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3)</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3 Logistics Consultancy, Supply Chain, and Design Solutions </w:t>
      </w:r>
    </w:p>
    <w:p w:rsidR="00000000" w:rsidDel="00000000" w:rsidP="00000000" w:rsidRDefault="00000000" w:rsidRPr="00000000" w14:paraId="00000008">
      <w:pPr>
        <w:tabs>
          <w:tab w:val="left" w:leader="none" w:pos="420"/>
          <w:tab w:val="left" w:leader="none" w:pos="0"/>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hanging="360"/>
        <w:jc w:val="left"/>
        <w:rPr>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This Annex 3 -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pecification for Lot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Logistics Consultancy, Supply Chain, and Design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3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left"/>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Logistics Consultancy, Supply Chain, and Design Solutions - Mandatory Deliverables</w:t>
      </w:r>
      <w:r w:rsidDel="00000000" w:rsidR="00000000" w:rsidRPr="00000000">
        <w:rPr>
          <w:rtl w:val="0"/>
        </w:rPr>
      </w:r>
    </w:p>
    <w:p w:rsidR="00000000" w:rsidDel="00000000" w:rsidP="00000000" w:rsidRDefault="00000000" w:rsidRPr="00000000" w14:paraId="00000010">
      <w:pPr>
        <w:shd w:fill="ffffff" w:val="clear"/>
        <w:tabs>
          <w:tab w:val="left" w:leader="none" w:pos="709"/>
          <w:tab w:val="left" w:leader="none" w:pos="284"/>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1"/>
          <w:numId w:val="1"/>
        </w:numPr>
        <w:shd w:fill="ffffff" w:val="clear"/>
        <w:tabs>
          <w:tab w:val="left" w:leader="none" w:pos="709"/>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This section provides details of the mandatory Deliverables that The Supplier appointed to this Lot shall be expected to fulfil in their entirety.  </w:t>
      </w:r>
      <w:r w:rsidDel="00000000" w:rsidR="00000000" w:rsidRPr="00000000">
        <w:rPr>
          <w:rtl w:val="0"/>
        </w:rPr>
      </w:r>
    </w:p>
    <w:p w:rsidR="00000000" w:rsidDel="00000000" w:rsidP="00000000" w:rsidRDefault="00000000" w:rsidRPr="00000000" w14:paraId="00000012">
      <w:pPr>
        <w:shd w:fill="ffffff" w:val="clear"/>
        <w:tabs>
          <w:tab w:val="left" w:leader="none" w:pos="709"/>
          <w:tab w:val="left" w:leader="none" w:pos="284"/>
        </w:tabs>
        <w:spacing w:after="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1"/>
          <w:numId w:val="1"/>
        </w:numPr>
        <w:shd w:fill="ffffff" w:val="clear"/>
        <w:tabs>
          <w:tab w:val="left" w:leader="none" w:pos="709"/>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provide the Deliverables to Buyers wishing to procure a wide range of logistics and supply chain consultancy, design and development related solutions.</w:t>
      </w:r>
      <w:r w:rsidDel="00000000" w:rsidR="00000000" w:rsidRPr="00000000">
        <w:rPr>
          <w:rFonts w:ascii="Arial" w:cs="Arial" w:eastAsia="Arial" w:hAnsi="Arial"/>
          <w:color w:val="444444"/>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shd w:fill="ffffff" w:val="clear"/>
        <w:tabs>
          <w:tab w:val="left" w:leader="none" w:pos="709"/>
          <w:tab w:val="left" w:leader="none" w:pos="284"/>
        </w:tabs>
        <w:spacing w:after="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1"/>
          <w:numId w:val="1"/>
        </w:numPr>
        <w:shd w:fill="ffffff" w:val="clear"/>
        <w:tabs>
          <w:tab w:val="left" w:leader="none" w:pos="709"/>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have the capability to provide consultancy services to Buyers wishing to procure logistics consultancy at an operational and/or strategic level.  This will include but is not limited to provision of personnel, systems, and research undertakings necessary to meet the Buyers’ needs, and may involve engagement with the Buyer’s staff and the wider market/supply chain.</w:t>
      </w:r>
      <w:r w:rsidDel="00000000" w:rsidR="00000000" w:rsidRPr="00000000">
        <w:rPr>
          <w:rtl w:val="0"/>
        </w:rPr>
      </w:r>
    </w:p>
    <w:p w:rsidR="00000000" w:rsidDel="00000000" w:rsidP="00000000" w:rsidRDefault="00000000" w:rsidRPr="00000000" w14:paraId="00000016">
      <w:pPr>
        <w:shd w:fill="ffffff" w:val="clear"/>
        <w:tabs>
          <w:tab w:val="left" w:leader="none" w:pos="709"/>
          <w:tab w:val="left" w:leader="none" w:pos="284"/>
        </w:tabs>
        <w:spacing w:after="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1"/>
          <w:numId w:val="1"/>
        </w:numPr>
        <w:shd w:fill="ffffff" w:val="clear"/>
        <w:tabs>
          <w:tab w:val="left" w:leader="none" w:pos="709"/>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have the capability to provide consultancy services to Buyers wishing to procure end to end supply chain consultancy at an operational and/or strategic level, which may involve engagement with the Buyer’s staff and the wider market/supply chain. This will include but is not limited to: </w:t>
      </w:r>
      <w:r w:rsidDel="00000000" w:rsidR="00000000" w:rsidRPr="00000000">
        <w:rPr>
          <w:rtl w:val="0"/>
        </w:rPr>
      </w:r>
    </w:p>
    <w:p w:rsidR="00000000" w:rsidDel="00000000" w:rsidP="00000000" w:rsidRDefault="00000000" w:rsidRPr="00000000" w14:paraId="00000018">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provisions of personnel;</w:t>
      </w:r>
    </w:p>
    <w:p w:rsidR="00000000" w:rsidDel="00000000" w:rsidP="00000000" w:rsidRDefault="00000000" w:rsidRPr="00000000" w14:paraId="00000019">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systems/methodologies; and </w:t>
      </w:r>
    </w:p>
    <w:p w:rsidR="00000000" w:rsidDel="00000000" w:rsidP="00000000" w:rsidRDefault="00000000" w:rsidRPr="00000000" w14:paraId="0000001A">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research undertakings.</w:t>
      </w:r>
    </w:p>
    <w:p w:rsidR="00000000" w:rsidDel="00000000" w:rsidP="00000000" w:rsidRDefault="00000000" w:rsidRPr="00000000" w14:paraId="0000001B">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numPr>
          <w:ilvl w:val="1"/>
          <w:numId w:val="1"/>
        </w:numPr>
        <w:shd w:fill="ffffff" w:val="clear"/>
        <w:tabs>
          <w:tab w:val="left" w:leader="none" w:pos="990"/>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have the capability to perform analysis of the Buyer’s operational information and system data.The information shall be gathered and analysed in order to inform and develop strategies and tangible delivery plans. This will provide the Buyer the ability to introduce, including but not limited to: </w:t>
      </w:r>
      <w:r w:rsidDel="00000000" w:rsidR="00000000" w:rsidRPr="00000000">
        <w:rPr>
          <w:rtl w:val="0"/>
        </w:rPr>
      </w:r>
    </w:p>
    <w:p w:rsidR="00000000" w:rsidDel="00000000" w:rsidP="00000000" w:rsidRDefault="00000000" w:rsidRPr="00000000" w14:paraId="0000001D">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process efficiency;</w:t>
      </w:r>
    </w:p>
    <w:p w:rsidR="00000000" w:rsidDel="00000000" w:rsidP="00000000" w:rsidRDefault="00000000" w:rsidRPr="00000000" w14:paraId="0000001E">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innovation; and </w:t>
      </w:r>
    </w:p>
    <w:p w:rsidR="00000000" w:rsidDel="00000000" w:rsidP="00000000" w:rsidRDefault="00000000" w:rsidRPr="00000000" w14:paraId="0000001F">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reduced operating costs.</w:t>
      </w:r>
    </w:p>
    <w:p w:rsidR="00000000" w:rsidDel="00000000" w:rsidP="00000000" w:rsidRDefault="00000000" w:rsidRPr="00000000" w14:paraId="00000020">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numPr>
          <w:ilvl w:val="1"/>
          <w:numId w:val="1"/>
        </w:numPr>
        <w:shd w:fill="ffffff" w:val="clear"/>
        <w:tabs>
          <w:tab w:val="left" w:leader="none" w:pos="990"/>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able to provide solutions including but not limited to: operational forecasting and planning systems, which can be deployed in order to inform and develop the Buyer’s process efficiencies and operating cost reduction.</w:t>
      </w:r>
      <w:r w:rsidDel="00000000" w:rsidR="00000000" w:rsidRPr="00000000">
        <w:rPr>
          <w:rtl w:val="0"/>
        </w:rPr>
      </w:r>
    </w:p>
    <w:p w:rsidR="00000000" w:rsidDel="00000000" w:rsidP="00000000" w:rsidRDefault="00000000" w:rsidRPr="00000000" w14:paraId="00000022">
      <w:pPr>
        <w:shd w:fill="ffffff" w:val="clear"/>
        <w:tabs>
          <w:tab w:val="left" w:leader="none" w:pos="990"/>
          <w:tab w:val="left" w:leader="none" w:pos="284"/>
        </w:tabs>
        <w:spacing w:after="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1"/>
          <w:numId w:val="1"/>
        </w:numPr>
        <w:shd w:fill="ffffff" w:val="clear"/>
        <w:tabs>
          <w:tab w:val="left" w:leader="none" w:pos="990"/>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able to provide including but not limited to:</w:t>
      </w:r>
      <w:r w:rsidDel="00000000" w:rsidR="00000000" w:rsidRPr="00000000">
        <w:rPr>
          <w:rtl w:val="0"/>
        </w:rPr>
      </w:r>
    </w:p>
    <w:p w:rsidR="00000000" w:rsidDel="00000000" w:rsidP="00000000" w:rsidRDefault="00000000" w:rsidRPr="00000000" w14:paraId="00000024">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price;</w:t>
      </w:r>
    </w:p>
    <w:p w:rsidR="00000000" w:rsidDel="00000000" w:rsidP="00000000" w:rsidRDefault="00000000" w:rsidRPr="00000000" w14:paraId="00000025">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service performance;</w:t>
      </w:r>
    </w:p>
    <w:p w:rsidR="00000000" w:rsidDel="00000000" w:rsidP="00000000" w:rsidRDefault="00000000" w:rsidRPr="00000000" w14:paraId="00000026">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quality benchmarking services;</w:t>
      </w:r>
    </w:p>
    <w:p w:rsidR="00000000" w:rsidDel="00000000" w:rsidP="00000000" w:rsidRDefault="00000000" w:rsidRPr="00000000" w14:paraId="00000027">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thought leadership in relation to innovation and technology; and</w:t>
      </w:r>
    </w:p>
    <w:p w:rsidR="00000000" w:rsidDel="00000000" w:rsidP="00000000" w:rsidRDefault="00000000" w:rsidRPr="00000000" w14:paraId="00000028">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market intelligence.</w:t>
      </w:r>
    </w:p>
    <w:p w:rsidR="00000000" w:rsidDel="00000000" w:rsidP="00000000" w:rsidRDefault="00000000" w:rsidRPr="00000000" w14:paraId="00000029">
      <w:pPr>
        <w:shd w:fill="ffffff" w:val="clear"/>
        <w:tabs>
          <w:tab w:val="left" w:leader="none" w:pos="709"/>
          <w:tab w:val="left" w:leader="none" w:pos="284"/>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numPr>
          <w:ilvl w:val="1"/>
          <w:numId w:val="1"/>
        </w:numPr>
        <w:shd w:fill="ffffff" w:val="clear"/>
        <w:tabs>
          <w:tab w:val="left" w:leader="none" w:pos="709"/>
          <w:tab w:val="left" w:leader="none" w:pos="284"/>
        </w:tabs>
        <w:spacing w:after="0" w:line="240" w:lineRule="auto"/>
        <w:ind w:left="992.1259842519685" w:hanging="708.6614173228347"/>
        <w:rPr>
          <w:sz w:val="24"/>
          <w:szCs w:val="24"/>
        </w:rPr>
      </w:pPr>
      <w:r w:rsidDel="00000000" w:rsidR="00000000" w:rsidRPr="00000000">
        <w:rPr>
          <w:rFonts w:ascii="Arial" w:cs="Arial" w:eastAsia="Arial" w:hAnsi="Arial"/>
          <w:sz w:val="24"/>
          <w:szCs w:val="24"/>
          <w:highlight w:val="white"/>
          <w:rtl w:val="0"/>
        </w:rPr>
        <w:t xml:space="preserve">The Supplier shall have processes and systems in place for ensuring costs and pricing are managed appropriately. This shall include ensuring the grade mix of the team (</w:t>
      </w:r>
      <w:r w:rsidDel="00000000" w:rsidR="00000000" w:rsidRPr="00000000">
        <w:rPr>
          <w:rFonts w:ascii="Arial" w:cs="Arial" w:eastAsia="Arial" w:hAnsi="Arial"/>
          <w:sz w:val="24"/>
          <w:szCs w:val="24"/>
          <w:highlight w:val="white"/>
          <w:rtl w:val="0"/>
        </w:rPr>
        <w:t xml:space="preserve">Project Manager, Analyst, Administration, Consultant, Partner/Director</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assigned will be adapted to provide the right balance in terms of quality and cost effectiveness. The Buyer may define their requirements during the Call-Off Procedure.</w:t>
      </w:r>
      <w:r w:rsidDel="00000000" w:rsidR="00000000" w:rsidRPr="00000000">
        <w:rPr>
          <w:rtl w:val="0"/>
        </w:rPr>
      </w:r>
    </w:p>
    <w:p w:rsidR="00000000" w:rsidDel="00000000" w:rsidP="00000000" w:rsidRDefault="00000000" w:rsidRPr="00000000" w14:paraId="0000002B">
      <w:pPr>
        <w:shd w:fill="ffffff" w:val="clear"/>
        <w:tabs>
          <w:tab w:val="left" w:leader="none" w:pos="709"/>
          <w:tab w:val="left" w:leader="none" w:pos="284"/>
        </w:tabs>
        <w:spacing w:after="0" w:line="240" w:lineRule="auto"/>
        <w:ind w:left="992.1259842519685" w:hanging="51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C">
      <w:pPr>
        <w:numPr>
          <w:ilvl w:val="1"/>
          <w:numId w:val="1"/>
        </w:numPr>
        <w:shd w:fill="ffffff" w:val="clear"/>
        <w:tabs>
          <w:tab w:val="left" w:leader="none" w:pos="709"/>
          <w:tab w:val="left" w:leader="none" w:pos="284"/>
        </w:tabs>
        <w:spacing w:after="0" w:line="240" w:lineRule="auto"/>
        <w:ind w:left="992.1259842519685" w:hanging="708.6614173228347"/>
        <w:rPr>
          <w:sz w:val="24"/>
          <w:szCs w:val="24"/>
          <w:highlight w:val="white"/>
        </w:rPr>
      </w:pPr>
      <w:r w:rsidDel="00000000" w:rsidR="00000000" w:rsidRPr="00000000">
        <w:rPr>
          <w:rFonts w:ascii="Arial" w:cs="Arial" w:eastAsia="Arial" w:hAnsi="Arial"/>
          <w:sz w:val="24"/>
          <w:szCs w:val="24"/>
          <w:highlight w:val="white"/>
          <w:rtl w:val="0"/>
        </w:rPr>
        <w:t xml:space="preserve">The Supplier shall provide a detailed project plan, the Buyer will define the frequency of updates during the Call-Off Procedure. This may include but not limited to:</w:t>
      </w:r>
      <w:r w:rsidDel="00000000" w:rsidR="00000000" w:rsidRPr="00000000">
        <w:rPr>
          <w:rtl w:val="0"/>
        </w:rPr>
      </w:r>
    </w:p>
    <w:p w:rsidR="00000000" w:rsidDel="00000000" w:rsidP="00000000" w:rsidRDefault="00000000" w:rsidRPr="00000000" w14:paraId="0000002D">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clear definitions of activities;</w:t>
      </w:r>
    </w:p>
    <w:p w:rsidR="00000000" w:rsidDel="00000000" w:rsidP="00000000" w:rsidRDefault="00000000" w:rsidRPr="00000000" w14:paraId="0000002E">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accountability;</w:t>
      </w:r>
    </w:p>
    <w:p w:rsidR="00000000" w:rsidDel="00000000" w:rsidP="00000000" w:rsidRDefault="00000000" w:rsidRPr="00000000" w14:paraId="0000002F">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milestones;</w:t>
      </w:r>
    </w:p>
    <w:p w:rsidR="00000000" w:rsidDel="00000000" w:rsidP="00000000" w:rsidRDefault="00000000" w:rsidRPr="00000000" w14:paraId="00000030">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updates on milestone delivery;</w:t>
      </w:r>
    </w:p>
    <w:p w:rsidR="00000000" w:rsidDel="00000000" w:rsidP="00000000" w:rsidRDefault="00000000" w:rsidRPr="00000000" w14:paraId="00000031">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risks; and</w:t>
      </w:r>
    </w:p>
    <w:p w:rsidR="00000000" w:rsidDel="00000000" w:rsidP="00000000" w:rsidRDefault="00000000" w:rsidRPr="00000000" w14:paraId="00000032">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issues.</w:t>
      </w:r>
    </w:p>
    <w:p w:rsidR="00000000" w:rsidDel="00000000" w:rsidP="00000000" w:rsidRDefault="00000000" w:rsidRPr="00000000" w14:paraId="00000033">
      <w:pPr>
        <w:shd w:fill="ffffff" w:val="clear"/>
        <w:tabs>
          <w:tab w:val="left" w:leader="none" w:pos="709"/>
          <w:tab w:val="left" w:leader="none" w:pos="284"/>
        </w:tabs>
        <w:spacing w:after="0" w:line="240" w:lineRule="auto"/>
        <w:ind w:left="1224"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4">
      <w:pPr>
        <w:numPr>
          <w:ilvl w:val="1"/>
          <w:numId w:val="1"/>
        </w:numPr>
        <w:shd w:fill="ffffff" w:val="clear"/>
        <w:tabs>
          <w:tab w:val="left" w:leader="none" w:pos="709"/>
          <w:tab w:val="left" w:leader="none" w:pos="284"/>
        </w:tabs>
        <w:spacing w:after="0" w:line="240" w:lineRule="auto"/>
        <w:ind w:left="992.1259842519685" w:hanging="708.6614173228347"/>
        <w:rPr>
          <w:sz w:val="24"/>
          <w:szCs w:val="24"/>
          <w:highlight w:val="white"/>
        </w:rPr>
      </w:pPr>
      <w:r w:rsidDel="00000000" w:rsidR="00000000" w:rsidRPr="00000000">
        <w:rPr>
          <w:rFonts w:ascii="Arial" w:cs="Arial" w:eastAsia="Arial" w:hAnsi="Arial"/>
          <w:sz w:val="24"/>
          <w:szCs w:val="24"/>
          <w:highlight w:val="white"/>
          <w:rtl w:val="0"/>
        </w:rPr>
        <w:t xml:space="preserve">The Supplier shall ensure full knowledge transfer procedures are in place with the Buyer prior to the completion of the Deliverables in the Call-Off Contract.</w:t>
      </w:r>
      <w:r w:rsidDel="00000000" w:rsidR="00000000" w:rsidRPr="00000000">
        <w:rPr>
          <w:rtl w:val="0"/>
        </w:rPr>
      </w:r>
    </w:p>
    <w:p w:rsidR="00000000" w:rsidDel="00000000" w:rsidP="00000000" w:rsidRDefault="00000000" w:rsidRPr="00000000" w14:paraId="00000035">
      <w:pPr>
        <w:shd w:fill="ffffff" w:val="clear"/>
        <w:tabs>
          <w:tab w:val="left" w:leader="none" w:pos="709"/>
          <w:tab w:val="left" w:leader="none" w:pos="284"/>
        </w:tabs>
        <w:spacing w:after="0" w:line="240" w:lineRule="auto"/>
        <w:ind w:left="992.1259842519685" w:hanging="51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6">
      <w:pPr>
        <w:numPr>
          <w:ilvl w:val="1"/>
          <w:numId w:val="1"/>
        </w:numPr>
        <w:shd w:fill="ffffff" w:val="clear"/>
        <w:tabs>
          <w:tab w:val="left" w:leader="none" w:pos="709"/>
          <w:tab w:val="left" w:leader="none" w:pos="284"/>
        </w:tabs>
        <w:spacing w:after="0" w:line="240" w:lineRule="auto"/>
        <w:ind w:left="992.1259842519685" w:hanging="708.6614173228347"/>
        <w:rPr>
          <w:sz w:val="24"/>
          <w:szCs w:val="24"/>
          <w:highlight w:val="white"/>
        </w:rPr>
      </w:pPr>
      <w:r w:rsidDel="00000000" w:rsidR="00000000" w:rsidRPr="00000000">
        <w:rPr>
          <w:rFonts w:ascii="Arial" w:cs="Arial" w:eastAsia="Arial" w:hAnsi="Arial"/>
          <w:sz w:val="24"/>
          <w:szCs w:val="24"/>
          <w:highlight w:val="white"/>
          <w:rtl w:val="0"/>
        </w:rPr>
        <w:t xml:space="preserve">The Supplier shall be expected to provide advice and assurance on different delivery options to the Buyer. This should include a clear assessment of each option including, but not limited to:</w:t>
      </w:r>
      <w:r w:rsidDel="00000000" w:rsidR="00000000" w:rsidRPr="00000000">
        <w:rPr>
          <w:rtl w:val="0"/>
        </w:rPr>
      </w:r>
    </w:p>
    <w:p w:rsidR="00000000" w:rsidDel="00000000" w:rsidP="00000000" w:rsidRDefault="00000000" w:rsidRPr="00000000" w14:paraId="00000037">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the practicality;</w:t>
      </w:r>
    </w:p>
    <w:p w:rsidR="00000000" w:rsidDel="00000000" w:rsidP="00000000" w:rsidRDefault="00000000" w:rsidRPr="00000000" w14:paraId="00000038">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timescales;</w:t>
      </w:r>
    </w:p>
    <w:p w:rsidR="00000000" w:rsidDel="00000000" w:rsidP="00000000" w:rsidRDefault="00000000" w:rsidRPr="00000000" w14:paraId="00000039">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cost;</w:t>
      </w:r>
    </w:p>
    <w:p w:rsidR="00000000" w:rsidDel="00000000" w:rsidP="00000000" w:rsidRDefault="00000000" w:rsidRPr="00000000" w14:paraId="0000003A">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comparative value for money;</w:t>
      </w:r>
    </w:p>
    <w:p w:rsidR="00000000" w:rsidDel="00000000" w:rsidP="00000000" w:rsidRDefault="00000000" w:rsidRPr="00000000" w14:paraId="0000003B">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risk;</w:t>
      </w:r>
    </w:p>
    <w:p w:rsidR="00000000" w:rsidDel="00000000" w:rsidP="00000000" w:rsidRDefault="00000000" w:rsidRPr="00000000" w14:paraId="0000003C">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outlining strategies; </w:t>
      </w:r>
    </w:p>
    <w:p w:rsidR="00000000" w:rsidDel="00000000" w:rsidP="00000000" w:rsidRDefault="00000000" w:rsidRPr="00000000" w14:paraId="0000003D">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identifying programs of work; and </w:t>
      </w:r>
    </w:p>
    <w:p w:rsidR="00000000" w:rsidDel="00000000" w:rsidP="00000000" w:rsidRDefault="00000000" w:rsidRPr="00000000" w14:paraId="0000003E">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associated project plans.</w:t>
      </w:r>
    </w:p>
    <w:p w:rsidR="00000000" w:rsidDel="00000000" w:rsidP="00000000" w:rsidRDefault="00000000" w:rsidRPr="00000000" w14:paraId="0000003F">
      <w:pPr>
        <w:shd w:fill="ffffff" w:val="clear"/>
        <w:tabs>
          <w:tab w:val="left" w:leader="none" w:pos="709"/>
          <w:tab w:val="left" w:leader="none" w:pos="284"/>
        </w:tabs>
        <w:spacing w:after="0" w:line="240" w:lineRule="auto"/>
        <w:ind w:left="792"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0">
      <w:pPr>
        <w:numPr>
          <w:ilvl w:val="1"/>
          <w:numId w:val="1"/>
        </w:numPr>
        <w:shd w:fill="ffffff" w:val="clear"/>
        <w:tabs>
          <w:tab w:val="left" w:leader="none" w:pos="709"/>
          <w:tab w:val="left" w:leader="none" w:pos="284"/>
        </w:tabs>
        <w:spacing w:after="0" w:line="240" w:lineRule="auto"/>
        <w:ind w:left="992.1259842519685" w:hanging="708.6614173228347"/>
        <w:rPr>
          <w:sz w:val="24"/>
          <w:szCs w:val="24"/>
          <w:highlight w:val="white"/>
        </w:rPr>
      </w:pPr>
      <w:r w:rsidDel="00000000" w:rsidR="00000000" w:rsidRPr="00000000">
        <w:rPr>
          <w:rFonts w:ascii="Arial" w:cs="Arial" w:eastAsia="Arial" w:hAnsi="Arial"/>
          <w:sz w:val="24"/>
          <w:szCs w:val="24"/>
          <w:highlight w:val="white"/>
          <w:rtl w:val="0"/>
        </w:rPr>
        <w:t xml:space="preserve">The Supplier shall provide complete risk management services including identification and recommendations for mitigation activities.</w:t>
      </w:r>
      <w:r w:rsidDel="00000000" w:rsidR="00000000" w:rsidRPr="00000000">
        <w:rPr>
          <w:rtl w:val="0"/>
        </w:rPr>
      </w:r>
    </w:p>
    <w:p w:rsidR="00000000" w:rsidDel="00000000" w:rsidP="00000000" w:rsidRDefault="00000000" w:rsidRPr="00000000" w14:paraId="00000041">
      <w:pPr>
        <w:shd w:fill="ffffff" w:val="clear"/>
        <w:tabs>
          <w:tab w:val="left" w:leader="none" w:pos="709"/>
          <w:tab w:val="left" w:leader="none" w:pos="284"/>
        </w:tabs>
        <w:spacing w:after="0" w:line="240" w:lineRule="auto"/>
        <w:ind w:left="992.1259842519685" w:hanging="51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2">
      <w:pPr>
        <w:numPr>
          <w:ilvl w:val="1"/>
          <w:numId w:val="1"/>
        </w:numPr>
        <w:shd w:fill="ffffff" w:val="clear"/>
        <w:tabs>
          <w:tab w:val="left" w:leader="none" w:pos="709"/>
          <w:tab w:val="left" w:leader="none" w:pos="284"/>
        </w:tabs>
        <w:spacing w:after="0" w:line="240" w:lineRule="auto"/>
        <w:ind w:left="992.1259842519685" w:hanging="708.6614173228347"/>
        <w:rPr>
          <w:sz w:val="24"/>
          <w:szCs w:val="24"/>
          <w:highlight w:val="white"/>
        </w:rPr>
      </w:pPr>
      <w:r w:rsidDel="00000000" w:rsidR="00000000" w:rsidRPr="00000000">
        <w:rPr>
          <w:rFonts w:ascii="Arial" w:cs="Arial" w:eastAsia="Arial" w:hAnsi="Arial"/>
          <w:sz w:val="24"/>
          <w:szCs w:val="24"/>
          <w:highlight w:val="white"/>
          <w:rtl w:val="0"/>
        </w:rPr>
        <w:t xml:space="preserve">The Supplier shall provide full project management capability utilising a number of different project methodologies that may be defined by the Buyer during the Call-Off Procedure.</w:t>
      </w:r>
      <w:r w:rsidDel="00000000" w:rsidR="00000000" w:rsidRPr="00000000">
        <w:rPr>
          <w:rtl w:val="0"/>
        </w:rPr>
      </w:r>
    </w:p>
    <w:p w:rsidR="00000000" w:rsidDel="00000000" w:rsidP="00000000" w:rsidRDefault="00000000" w:rsidRPr="00000000" w14:paraId="00000043">
      <w:pPr>
        <w:shd w:fill="ffffff" w:val="clear"/>
        <w:tabs>
          <w:tab w:val="left" w:leader="none" w:pos="709"/>
          <w:tab w:val="left" w:leader="none" w:pos="284"/>
        </w:tabs>
        <w:spacing w:after="0" w:line="240" w:lineRule="auto"/>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left"/>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Logistics Consultancy, Supply Chain, and Design Solutions - Optional Deliverables</w:t>
      </w:r>
      <w:r w:rsidDel="00000000" w:rsidR="00000000" w:rsidRPr="00000000">
        <w:rPr>
          <w:rtl w:val="0"/>
        </w:rPr>
      </w:r>
    </w:p>
    <w:p w:rsidR="00000000" w:rsidDel="00000000" w:rsidP="00000000" w:rsidRDefault="00000000" w:rsidRPr="00000000" w14:paraId="00000045">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1"/>
          <w:numId w:val="1"/>
        </w:numPr>
        <w:shd w:fill="ffffff" w:val="clear"/>
        <w:tabs>
          <w:tab w:val="left" w:leader="none" w:pos="709"/>
          <w:tab w:val="left" w:leader="none" w:pos="284"/>
        </w:tabs>
        <w:spacing w:after="0" w:line="240" w:lineRule="auto"/>
        <w:ind w:left="992.1259842519685" w:hanging="708.661417322834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Procurement Support   </w:t>
      </w:r>
    </w:p>
    <w:p w:rsidR="00000000" w:rsidDel="00000000" w:rsidP="00000000" w:rsidRDefault="00000000" w:rsidRPr="00000000" w14:paraId="00000047">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2"/>
          <w:numId w:val="1"/>
        </w:numPr>
        <w:shd w:fill="ffffff" w:val="clear"/>
        <w:tabs>
          <w:tab w:val="left" w:leader="none" w:pos="709"/>
          <w:tab w:val="left" w:leader="none" w:pos="284"/>
        </w:tabs>
        <w:spacing w:after="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procurement support that may include, but not be limited to:</w:t>
      </w:r>
    </w:p>
    <w:p w:rsidR="00000000" w:rsidDel="00000000" w:rsidP="00000000" w:rsidRDefault="00000000" w:rsidRPr="00000000" w14:paraId="00000049">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collation of pre-tender data/information gathering and analysis; </w:t>
      </w:r>
      <w:r w:rsidDel="00000000" w:rsidR="00000000" w:rsidRPr="00000000">
        <w:rPr>
          <w:rtl w:val="0"/>
        </w:rPr>
      </w:r>
    </w:p>
    <w:p w:rsidR="00000000" w:rsidDel="00000000" w:rsidP="00000000" w:rsidRDefault="00000000" w:rsidRPr="00000000" w14:paraId="0000004A">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market health assessments;</w:t>
      </w:r>
      <w:r w:rsidDel="00000000" w:rsidR="00000000" w:rsidRPr="00000000">
        <w:rPr>
          <w:rtl w:val="0"/>
        </w:rPr>
      </w:r>
    </w:p>
    <w:p w:rsidR="00000000" w:rsidDel="00000000" w:rsidP="00000000" w:rsidRDefault="00000000" w:rsidRPr="00000000" w14:paraId="0000004B">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tender speciation and design; </w:t>
      </w:r>
      <w:r w:rsidDel="00000000" w:rsidR="00000000" w:rsidRPr="00000000">
        <w:rPr>
          <w:rtl w:val="0"/>
        </w:rPr>
      </w:r>
    </w:p>
    <w:p w:rsidR="00000000" w:rsidDel="00000000" w:rsidP="00000000" w:rsidRDefault="00000000" w:rsidRPr="00000000" w14:paraId="0000004C">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commercial modelling; and</w:t>
      </w:r>
      <w:r w:rsidDel="00000000" w:rsidR="00000000" w:rsidRPr="00000000">
        <w:rPr>
          <w:rtl w:val="0"/>
        </w:rPr>
      </w:r>
    </w:p>
    <w:p w:rsidR="00000000" w:rsidDel="00000000" w:rsidP="00000000" w:rsidRDefault="00000000" w:rsidRPr="00000000" w14:paraId="0000004D">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tender evaluation.</w:t>
      </w:r>
      <w:r w:rsidDel="00000000" w:rsidR="00000000" w:rsidRPr="00000000">
        <w:rPr>
          <w:rtl w:val="0"/>
        </w:rPr>
      </w:r>
    </w:p>
    <w:p w:rsidR="00000000" w:rsidDel="00000000" w:rsidP="00000000" w:rsidRDefault="00000000" w:rsidRPr="00000000" w14:paraId="0000004E">
      <w:pPr>
        <w:shd w:fill="ffffff" w:val="clea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1"/>
          <w:numId w:val="1"/>
        </w:numPr>
        <w:shd w:fill="ffffff" w:val="clear"/>
        <w:tabs>
          <w:tab w:val="left" w:leader="none" w:pos="709"/>
          <w:tab w:val="left" w:leader="none" w:pos="284"/>
        </w:tabs>
        <w:spacing w:after="0" w:line="240" w:lineRule="auto"/>
        <w:ind w:left="992.1259842519685" w:hanging="708.661417322834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Resources</w:t>
      </w:r>
    </w:p>
    <w:p w:rsidR="00000000" w:rsidDel="00000000" w:rsidP="00000000" w:rsidRDefault="00000000" w:rsidRPr="00000000" w14:paraId="00000050">
      <w:pPr>
        <w:shd w:fill="ffffff" w:val="clear"/>
        <w:tabs>
          <w:tab w:val="left" w:leader="none" w:pos="709"/>
          <w:tab w:val="left" w:leader="none" w:pos="284"/>
        </w:tabs>
        <w:spacing w:after="0" w:line="240" w:lineRule="auto"/>
        <w:ind w:left="7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numPr>
          <w:ilvl w:val="2"/>
          <w:numId w:val="1"/>
        </w:numPr>
        <w:shd w:fill="ffffff" w:val="clear"/>
        <w:tabs>
          <w:tab w:val="left" w:leader="none" w:pos="709"/>
          <w:tab w:val="left" w:leader="none" w:pos="284"/>
        </w:tabs>
        <w:spacing w:after="0" w:line="240" w:lineRule="auto"/>
        <w:ind w:left="1224" w:hanging="231.874015748031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additional resources to the Buyer this may include but not be limited to:</w:t>
      </w:r>
    </w:p>
    <w:p w:rsidR="00000000" w:rsidDel="00000000" w:rsidP="00000000" w:rsidRDefault="00000000" w:rsidRPr="00000000" w14:paraId="00000052">
      <w:pPr>
        <w:numPr>
          <w:ilvl w:val="3"/>
          <w:numId w:val="1"/>
        </w:numPr>
        <w:shd w:fill="ffffff" w:val="clear"/>
        <w:tabs>
          <w:tab w:val="left" w:leader="none" w:pos="709"/>
          <w:tab w:val="left" w:leader="none" w:pos="284"/>
        </w:tabs>
        <w:spacing w:after="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contingent labour specialist resources to support complex workforce requirements.</w:t>
      </w:r>
      <w:r w:rsidDel="00000000" w:rsidR="00000000" w:rsidRPr="00000000">
        <w:rPr>
          <w:rtl w:val="0"/>
        </w:rPr>
      </w:r>
    </w:p>
    <w:p w:rsidR="00000000" w:rsidDel="00000000" w:rsidP="00000000" w:rsidRDefault="00000000" w:rsidRPr="00000000" w14:paraId="00000053">
      <w:pPr>
        <w:shd w:fill="ffffff" w:val="clea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1"/>
          <w:numId w:val="1"/>
        </w:numPr>
        <w:shd w:fill="ffffff" w:val="clear"/>
        <w:tabs>
          <w:tab w:val="left" w:leader="none" w:pos="990"/>
          <w:tab w:val="left" w:leader="none" w:pos="284"/>
        </w:tabs>
        <w:spacing w:after="0" w:line="240" w:lineRule="auto"/>
        <w:ind w:left="992.1259842519685" w:hanging="708.661417322834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Services</w:t>
      </w:r>
    </w:p>
    <w:p w:rsidR="00000000" w:rsidDel="00000000" w:rsidP="00000000" w:rsidRDefault="00000000" w:rsidRPr="00000000" w14:paraId="00000055">
      <w:pP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design, develop and and fit out a warehouse and/or storage facilities which may include but not be limited to:</w:t>
      </w:r>
    </w:p>
    <w:p w:rsidR="00000000" w:rsidDel="00000000" w:rsidP="00000000" w:rsidRDefault="00000000" w:rsidRPr="00000000" w14:paraId="00000057">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design, build or construction of racking systems, storage systems and mechanical handling systems;</w:t>
      </w:r>
      <w:r w:rsidDel="00000000" w:rsidR="00000000" w:rsidRPr="00000000">
        <w:rPr>
          <w:rtl w:val="0"/>
        </w:rPr>
      </w:r>
    </w:p>
    <w:p w:rsidR="00000000" w:rsidDel="00000000" w:rsidP="00000000" w:rsidRDefault="00000000" w:rsidRPr="00000000" w14:paraId="00000058">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development and deployment of automation, artificial intelligence, robotics, sequencing systems and digital modelling;</w:t>
      </w:r>
      <w:r w:rsidDel="00000000" w:rsidR="00000000" w:rsidRPr="00000000">
        <w:rPr>
          <w:rtl w:val="0"/>
        </w:rPr>
      </w:r>
    </w:p>
    <w:p w:rsidR="00000000" w:rsidDel="00000000" w:rsidP="00000000" w:rsidRDefault="00000000" w:rsidRPr="00000000" w14:paraId="00000059">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development, deployment and the interfacing of Supplier, Buyer, and third party agents IT systems; and</w:t>
      </w:r>
      <w:r w:rsidDel="00000000" w:rsidR="00000000" w:rsidRPr="00000000">
        <w:rPr>
          <w:rtl w:val="0"/>
        </w:rPr>
      </w:r>
    </w:p>
    <w:p w:rsidR="00000000" w:rsidDel="00000000" w:rsidP="00000000" w:rsidRDefault="00000000" w:rsidRPr="00000000" w14:paraId="0000005A">
      <w:pPr>
        <w:numPr>
          <w:ilvl w:val="3"/>
          <w:numId w:val="1"/>
        </w:numPr>
        <w:shd w:fill="ffffff" w:val="clear"/>
        <w:tabs>
          <w:tab w:val="left" w:leader="none" w:pos="709"/>
          <w:tab w:val="left" w:leader="none" w:pos="284"/>
        </w:tabs>
        <w:spacing w:after="0" w:line="240" w:lineRule="auto"/>
        <w:ind w:left="2267.716535433071" w:hanging="283.4645669291339"/>
        <w:rPr>
          <w:rFonts w:ascii="Arial" w:cs="Arial" w:eastAsia="Arial" w:hAnsi="Arial"/>
        </w:rPr>
      </w:pPr>
      <w:bookmarkStart w:colFirst="0" w:colLast="0" w:name="_heading=h.3znysh7" w:id="3"/>
      <w:bookmarkEnd w:id="3"/>
      <w:r w:rsidDel="00000000" w:rsidR="00000000" w:rsidRPr="00000000">
        <w:rPr>
          <w:rFonts w:ascii="Arial" w:cs="Arial" w:eastAsia="Arial" w:hAnsi="Arial"/>
          <w:sz w:val="24"/>
          <w:szCs w:val="24"/>
          <w:rtl w:val="0"/>
        </w:rPr>
        <w:t xml:space="preserve">ability to provide planning and strategy services.</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spacing w:after="0" w:line="24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Framework Schedule 1 Specification (Annex 3)</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sz w:val="24"/>
        <w:szCs w:val="24"/>
        <w:u w:val="none"/>
      </w:rPr>
    </w:lvl>
    <w:lvl w:ilvl="1">
      <w:start w:val="1"/>
      <w:numFmt w:val="decimal"/>
      <w:lvlText w:val="%1.%2."/>
      <w:lvlJc w:val="left"/>
      <w:pPr>
        <w:ind w:left="792" w:hanging="508.53543307086625"/>
      </w:pPr>
      <w:rPr>
        <w:rFonts w:ascii="Arial" w:cs="Arial" w:eastAsia="Arial" w:hAnsi="Arial"/>
        <w:b w:val="1"/>
      </w:rPr>
    </w:lvl>
    <w:lvl w:ilvl="2">
      <w:start w:val="1"/>
      <w:numFmt w:val="decimal"/>
      <w:lvlText w:val="%1.%2.%3."/>
      <w:lvlJc w:val="left"/>
      <w:pPr>
        <w:ind w:left="1224" w:hanging="231.8740157480314"/>
      </w:pPr>
      <w:rPr/>
    </w:lvl>
    <w:lvl w:ilvl="3">
      <w:start w:val="1"/>
      <w:numFmt w:val="decimal"/>
      <w:lvlText w:val="%1.%2.%3.%4."/>
      <w:lvlJc w:val="left"/>
      <w:pPr>
        <w:ind w:left="1728" w:firstLine="256.2519685039372"/>
      </w:pPr>
      <w:rPr>
        <w:sz w:val="24"/>
        <w:szCs w:val="24"/>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4llRlugW+5skeaCMsoU1A+E97w==">CgMxLjAyCGguZ2pkZ3hzMgloLjMwajB6bGwyCWguMWZvYjl0ZTIJaC4zem55c2g3OAByITFJLW1YeDlMV2lIWjVZcTBWSU45c2I0aFJ5NlVJMjRhNA==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