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EA03" w14:textId="5EC262CF" w:rsidR="001A236D" w:rsidRPr="00E13EFC" w:rsidRDefault="00E13EFC" w:rsidP="00E13EFC">
      <w:pPr>
        <w:tabs>
          <w:tab w:val="left" w:pos="709"/>
        </w:tabs>
        <w:overflowPunct w:val="0"/>
        <w:autoSpaceDE w:val="0"/>
        <w:autoSpaceDN w:val="0"/>
        <w:adjustRightInd w:val="0"/>
        <w:spacing w:after="120"/>
        <w:jc w:val="center"/>
        <w:textAlignment w:val="baseline"/>
        <w:rPr>
          <w:rFonts w:ascii="Arial" w:hAnsi="Arial" w:cs="Arial"/>
          <w:b/>
          <w:sz w:val="36"/>
          <w:szCs w:val="36"/>
        </w:rPr>
      </w:pPr>
      <w:r w:rsidRPr="00E13EFC">
        <w:rPr>
          <w:rFonts w:ascii="Arial" w:hAnsi="Arial" w:cs="Arial"/>
          <w:b/>
          <w:sz w:val="36"/>
          <w:szCs w:val="36"/>
        </w:rPr>
        <w:t>Schedule 2 - Specification</w:t>
      </w:r>
    </w:p>
    <w:p w14:paraId="7958EBB7" w14:textId="77777777" w:rsidR="001A236D" w:rsidRDefault="001A236D" w:rsidP="001A236D">
      <w:pPr>
        <w:jc w:val="center"/>
        <w:rPr>
          <w:rFonts w:ascii="Arial Black" w:hAnsi="Arial Black" w:cs="Arial"/>
          <w:sz w:val="40"/>
          <w:szCs w:val="40"/>
        </w:rPr>
      </w:pPr>
    </w:p>
    <w:p w14:paraId="6302436C" w14:textId="77777777" w:rsidR="006044C0" w:rsidRPr="006044C0" w:rsidRDefault="006044C0" w:rsidP="006044C0">
      <w:pPr>
        <w:jc w:val="center"/>
        <w:rPr>
          <w:rFonts w:ascii="Arial" w:hAnsi="Arial" w:cs="Arial"/>
          <w:b/>
          <w:sz w:val="32"/>
          <w:szCs w:val="32"/>
          <w:lang w:eastAsia="en-GB"/>
        </w:rPr>
      </w:pPr>
      <w:r w:rsidRPr="006044C0">
        <w:rPr>
          <w:rFonts w:ascii="Arial" w:hAnsi="Arial" w:cs="Arial"/>
          <w:b/>
          <w:sz w:val="32"/>
          <w:szCs w:val="32"/>
        </w:rPr>
        <w:t>Provision of the Support &amp; Maintenance for DVLA Current Flexi System</w:t>
      </w:r>
    </w:p>
    <w:p w14:paraId="36EF0FC6" w14:textId="16AC052F" w:rsidR="001A236D" w:rsidRPr="00B823DD" w:rsidRDefault="006044C0" w:rsidP="001A236D">
      <w:pPr>
        <w:jc w:val="center"/>
        <w:rPr>
          <w:rFonts w:ascii="Arial" w:hAnsi="Arial" w:cs="Arial"/>
          <w:sz w:val="32"/>
          <w:szCs w:val="32"/>
        </w:rPr>
      </w:pPr>
      <w:r>
        <w:rPr>
          <w:rFonts w:ascii="Arial" w:hAnsi="Arial" w:cs="Arial"/>
          <w:sz w:val="32"/>
          <w:szCs w:val="32"/>
        </w:rPr>
        <w:t>Commercial Directorate</w:t>
      </w:r>
    </w:p>
    <w:p w14:paraId="0C3CE19F" w14:textId="77777777" w:rsidR="001A236D" w:rsidRPr="00B823DD" w:rsidRDefault="001A236D" w:rsidP="001A236D"/>
    <w:p w14:paraId="4D618C88" w14:textId="3B03FE94" w:rsidR="001A236D" w:rsidRPr="00556954" w:rsidRDefault="001A236D" w:rsidP="001A236D">
      <w:pPr>
        <w:rPr>
          <w:rFonts w:ascii="Arial" w:hAnsi="Arial" w:cs="Arial"/>
          <w:b/>
          <w:szCs w:val="24"/>
        </w:rPr>
      </w:pPr>
      <w:r w:rsidRPr="00556954">
        <w:rPr>
          <w:rFonts w:ascii="Arial" w:hAnsi="Arial" w:cs="Arial"/>
          <w:b/>
          <w:szCs w:val="24"/>
        </w:rPr>
        <w:t>Date:</w:t>
      </w:r>
    </w:p>
    <w:p w14:paraId="32591E4A" w14:textId="6619738B" w:rsidR="001A236D" w:rsidRDefault="001A236D" w:rsidP="001A236D">
      <w:pPr>
        <w:rPr>
          <w:rFonts w:ascii="Arial" w:hAnsi="Arial" w:cs="Arial"/>
          <w:b/>
          <w:szCs w:val="24"/>
        </w:rPr>
      </w:pPr>
      <w:r w:rsidRPr="00556954">
        <w:rPr>
          <w:rFonts w:ascii="Arial" w:hAnsi="Arial" w:cs="Arial"/>
          <w:b/>
          <w:szCs w:val="24"/>
        </w:rPr>
        <w:t>Version:</w:t>
      </w:r>
    </w:p>
    <w:bookmarkStart w:id="0" w:name="_Toc177969165"/>
    <w:bookmarkStart w:id="1" w:name="_Toc180380664"/>
    <w:p w14:paraId="0D8BFFCD" w14:textId="15A43B2C" w:rsidR="00256266" w:rsidRDefault="00344563">
      <w:pPr>
        <w:pStyle w:val="TOC2"/>
        <w:tabs>
          <w:tab w:val="right" w:pos="9350"/>
        </w:tabs>
        <w:rPr>
          <w:rFonts w:asciiTheme="minorHAnsi" w:eastAsiaTheme="minorEastAsia" w:hAnsiTheme="minorHAnsi" w:cstheme="minorBidi"/>
          <w:b w:val="0"/>
          <w:bCs w:val="0"/>
          <w:noProof/>
          <w:sz w:val="22"/>
          <w:szCs w:val="22"/>
          <w:lang w:eastAsia="en-GB"/>
        </w:rPr>
      </w:pPr>
      <w:r w:rsidRPr="005F7352">
        <w:rPr>
          <w:rFonts w:ascii="Arial" w:hAnsi="Arial" w:cs="Arial"/>
          <w:bCs w:val="0"/>
          <w:sz w:val="24"/>
          <w:szCs w:val="24"/>
        </w:rPr>
        <w:fldChar w:fldCharType="begin"/>
      </w:r>
      <w:r w:rsidR="001A236D" w:rsidRPr="005F7352">
        <w:rPr>
          <w:rFonts w:ascii="Arial" w:hAnsi="Arial" w:cs="Arial"/>
          <w:bCs w:val="0"/>
          <w:sz w:val="24"/>
          <w:szCs w:val="24"/>
        </w:rPr>
        <w:instrText xml:space="preserve"> TOC \o "1-3" \h \z \u </w:instrText>
      </w:r>
      <w:r w:rsidRPr="005F7352">
        <w:rPr>
          <w:rFonts w:ascii="Arial" w:hAnsi="Arial" w:cs="Arial"/>
          <w:bCs w:val="0"/>
          <w:sz w:val="24"/>
          <w:szCs w:val="24"/>
        </w:rPr>
        <w:fldChar w:fldCharType="separate"/>
      </w:r>
      <w:hyperlink w:anchor="_Toc93661687" w:history="1">
        <w:r w:rsidR="00256266" w:rsidRPr="00EF5F35">
          <w:rPr>
            <w:rStyle w:val="Hyperlink"/>
            <w:noProof/>
          </w:rPr>
          <w:t>1. Introduction</w:t>
        </w:r>
        <w:r w:rsidR="00256266">
          <w:rPr>
            <w:noProof/>
            <w:webHidden/>
          </w:rPr>
          <w:tab/>
        </w:r>
        <w:r w:rsidR="00256266">
          <w:rPr>
            <w:noProof/>
            <w:webHidden/>
          </w:rPr>
          <w:fldChar w:fldCharType="begin"/>
        </w:r>
        <w:r w:rsidR="00256266">
          <w:rPr>
            <w:noProof/>
            <w:webHidden/>
          </w:rPr>
          <w:instrText xml:space="preserve"> PAGEREF _Toc93661687 \h </w:instrText>
        </w:r>
        <w:r w:rsidR="00256266">
          <w:rPr>
            <w:noProof/>
            <w:webHidden/>
          </w:rPr>
        </w:r>
        <w:r w:rsidR="00256266">
          <w:rPr>
            <w:noProof/>
            <w:webHidden/>
          </w:rPr>
          <w:fldChar w:fldCharType="separate"/>
        </w:r>
        <w:r w:rsidR="00256266">
          <w:rPr>
            <w:noProof/>
            <w:webHidden/>
          </w:rPr>
          <w:t>2</w:t>
        </w:r>
        <w:r w:rsidR="00256266">
          <w:rPr>
            <w:noProof/>
            <w:webHidden/>
          </w:rPr>
          <w:fldChar w:fldCharType="end"/>
        </w:r>
      </w:hyperlink>
    </w:p>
    <w:p w14:paraId="4EE1249A" w14:textId="0AE3548C"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88" w:history="1">
        <w:r w:rsidR="00256266" w:rsidRPr="00EF5F35">
          <w:rPr>
            <w:rStyle w:val="Hyperlink"/>
            <w:noProof/>
          </w:rPr>
          <w:t>2.</w:t>
        </w:r>
        <w:r w:rsidR="00256266" w:rsidRPr="00EF5F35">
          <w:rPr>
            <w:rStyle w:val="Hyperlink"/>
            <w:rFonts w:cs="Arial"/>
            <w:noProof/>
          </w:rPr>
          <w:t xml:space="preserve"> </w:t>
        </w:r>
        <w:r w:rsidR="00256266" w:rsidRPr="00EF5F35">
          <w:rPr>
            <w:rStyle w:val="Hyperlink"/>
            <w:noProof/>
          </w:rPr>
          <w:t>Background to the Requirement</w:t>
        </w:r>
        <w:r w:rsidR="00256266">
          <w:rPr>
            <w:noProof/>
            <w:webHidden/>
          </w:rPr>
          <w:tab/>
        </w:r>
        <w:r w:rsidR="00256266">
          <w:rPr>
            <w:noProof/>
            <w:webHidden/>
          </w:rPr>
          <w:fldChar w:fldCharType="begin"/>
        </w:r>
        <w:r w:rsidR="00256266">
          <w:rPr>
            <w:noProof/>
            <w:webHidden/>
          </w:rPr>
          <w:instrText xml:space="preserve"> PAGEREF _Toc93661688 \h </w:instrText>
        </w:r>
        <w:r w:rsidR="00256266">
          <w:rPr>
            <w:noProof/>
            <w:webHidden/>
          </w:rPr>
        </w:r>
        <w:r w:rsidR="00256266">
          <w:rPr>
            <w:noProof/>
            <w:webHidden/>
          </w:rPr>
          <w:fldChar w:fldCharType="separate"/>
        </w:r>
        <w:r w:rsidR="00256266">
          <w:rPr>
            <w:noProof/>
            <w:webHidden/>
          </w:rPr>
          <w:t>2</w:t>
        </w:r>
        <w:r w:rsidR="00256266">
          <w:rPr>
            <w:noProof/>
            <w:webHidden/>
          </w:rPr>
          <w:fldChar w:fldCharType="end"/>
        </w:r>
      </w:hyperlink>
    </w:p>
    <w:p w14:paraId="2E460C93" w14:textId="4FA7404C"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89" w:history="1">
        <w:r w:rsidR="00256266" w:rsidRPr="00EF5F35">
          <w:rPr>
            <w:rStyle w:val="Hyperlink"/>
            <w:noProof/>
          </w:rPr>
          <w:t>3.</w:t>
        </w:r>
        <w:r w:rsidR="00256266" w:rsidRPr="00EF5F35">
          <w:rPr>
            <w:rStyle w:val="Hyperlink"/>
            <w:rFonts w:cs="Arial"/>
            <w:noProof/>
          </w:rPr>
          <w:t xml:space="preserve"> </w:t>
        </w:r>
        <w:r w:rsidR="00256266" w:rsidRPr="00EF5F35">
          <w:rPr>
            <w:rStyle w:val="Hyperlink"/>
            <w:noProof/>
          </w:rPr>
          <w:t>Procurement Timetable</w:t>
        </w:r>
        <w:r w:rsidR="00256266">
          <w:rPr>
            <w:noProof/>
            <w:webHidden/>
          </w:rPr>
          <w:tab/>
        </w:r>
        <w:r w:rsidR="00256266">
          <w:rPr>
            <w:noProof/>
            <w:webHidden/>
          </w:rPr>
          <w:fldChar w:fldCharType="begin"/>
        </w:r>
        <w:r w:rsidR="00256266">
          <w:rPr>
            <w:noProof/>
            <w:webHidden/>
          </w:rPr>
          <w:instrText xml:space="preserve"> PAGEREF _Toc93661689 \h </w:instrText>
        </w:r>
        <w:r w:rsidR="00256266">
          <w:rPr>
            <w:noProof/>
            <w:webHidden/>
          </w:rPr>
        </w:r>
        <w:r w:rsidR="00256266">
          <w:rPr>
            <w:noProof/>
            <w:webHidden/>
          </w:rPr>
          <w:fldChar w:fldCharType="separate"/>
        </w:r>
        <w:r w:rsidR="00256266">
          <w:rPr>
            <w:noProof/>
            <w:webHidden/>
          </w:rPr>
          <w:t>2</w:t>
        </w:r>
        <w:r w:rsidR="00256266">
          <w:rPr>
            <w:noProof/>
            <w:webHidden/>
          </w:rPr>
          <w:fldChar w:fldCharType="end"/>
        </w:r>
      </w:hyperlink>
    </w:p>
    <w:p w14:paraId="505D3B11" w14:textId="5A2FC541"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0" w:history="1">
        <w:r w:rsidR="00256266" w:rsidRPr="00EF5F35">
          <w:rPr>
            <w:rStyle w:val="Hyperlink"/>
            <w:noProof/>
          </w:rPr>
          <w:t>4. Scope</w:t>
        </w:r>
        <w:r w:rsidR="00256266">
          <w:rPr>
            <w:noProof/>
            <w:webHidden/>
          </w:rPr>
          <w:tab/>
        </w:r>
        <w:r w:rsidR="00256266">
          <w:rPr>
            <w:noProof/>
            <w:webHidden/>
          </w:rPr>
          <w:fldChar w:fldCharType="begin"/>
        </w:r>
        <w:r w:rsidR="00256266">
          <w:rPr>
            <w:noProof/>
            <w:webHidden/>
          </w:rPr>
          <w:instrText xml:space="preserve"> PAGEREF _Toc93661690 \h </w:instrText>
        </w:r>
        <w:r w:rsidR="00256266">
          <w:rPr>
            <w:noProof/>
            <w:webHidden/>
          </w:rPr>
        </w:r>
        <w:r w:rsidR="00256266">
          <w:rPr>
            <w:noProof/>
            <w:webHidden/>
          </w:rPr>
          <w:fldChar w:fldCharType="separate"/>
        </w:r>
        <w:r w:rsidR="00256266">
          <w:rPr>
            <w:noProof/>
            <w:webHidden/>
          </w:rPr>
          <w:t>2</w:t>
        </w:r>
        <w:r w:rsidR="00256266">
          <w:rPr>
            <w:noProof/>
            <w:webHidden/>
          </w:rPr>
          <w:fldChar w:fldCharType="end"/>
        </w:r>
      </w:hyperlink>
    </w:p>
    <w:p w14:paraId="23AFE8F3" w14:textId="4E17D279"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1" w:history="1">
        <w:r w:rsidR="00256266" w:rsidRPr="00EF5F35">
          <w:rPr>
            <w:rStyle w:val="Hyperlink"/>
            <w:noProof/>
          </w:rPr>
          <w:t>5. Implementation and Deliverables</w:t>
        </w:r>
        <w:r w:rsidR="00256266">
          <w:rPr>
            <w:noProof/>
            <w:webHidden/>
          </w:rPr>
          <w:tab/>
        </w:r>
        <w:r w:rsidR="00256266">
          <w:rPr>
            <w:noProof/>
            <w:webHidden/>
          </w:rPr>
          <w:fldChar w:fldCharType="begin"/>
        </w:r>
        <w:r w:rsidR="00256266">
          <w:rPr>
            <w:noProof/>
            <w:webHidden/>
          </w:rPr>
          <w:instrText xml:space="preserve"> PAGEREF _Toc93661691 \h </w:instrText>
        </w:r>
        <w:r w:rsidR="00256266">
          <w:rPr>
            <w:noProof/>
            <w:webHidden/>
          </w:rPr>
        </w:r>
        <w:r w:rsidR="00256266">
          <w:rPr>
            <w:noProof/>
            <w:webHidden/>
          </w:rPr>
          <w:fldChar w:fldCharType="separate"/>
        </w:r>
        <w:r w:rsidR="00256266">
          <w:rPr>
            <w:noProof/>
            <w:webHidden/>
          </w:rPr>
          <w:t>2</w:t>
        </w:r>
        <w:r w:rsidR="00256266">
          <w:rPr>
            <w:noProof/>
            <w:webHidden/>
          </w:rPr>
          <w:fldChar w:fldCharType="end"/>
        </w:r>
      </w:hyperlink>
    </w:p>
    <w:p w14:paraId="2E8869BA" w14:textId="56D6571C"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2" w:history="1">
        <w:r w:rsidR="00256266" w:rsidRPr="00EF5F35">
          <w:rPr>
            <w:rStyle w:val="Hyperlink"/>
            <w:noProof/>
          </w:rPr>
          <w:t>6. Specifying Goods and / or Services</w:t>
        </w:r>
        <w:r w:rsidR="00256266">
          <w:rPr>
            <w:noProof/>
            <w:webHidden/>
          </w:rPr>
          <w:tab/>
        </w:r>
        <w:r w:rsidR="00256266">
          <w:rPr>
            <w:noProof/>
            <w:webHidden/>
          </w:rPr>
          <w:fldChar w:fldCharType="begin"/>
        </w:r>
        <w:r w:rsidR="00256266">
          <w:rPr>
            <w:noProof/>
            <w:webHidden/>
          </w:rPr>
          <w:instrText xml:space="preserve"> PAGEREF _Toc93661692 \h </w:instrText>
        </w:r>
        <w:r w:rsidR="00256266">
          <w:rPr>
            <w:noProof/>
            <w:webHidden/>
          </w:rPr>
        </w:r>
        <w:r w:rsidR="00256266">
          <w:rPr>
            <w:noProof/>
            <w:webHidden/>
          </w:rPr>
          <w:fldChar w:fldCharType="separate"/>
        </w:r>
        <w:r w:rsidR="00256266">
          <w:rPr>
            <w:noProof/>
            <w:webHidden/>
          </w:rPr>
          <w:t>2</w:t>
        </w:r>
        <w:r w:rsidR="00256266">
          <w:rPr>
            <w:noProof/>
            <w:webHidden/>
          </w:rPr>
          <w:fldChar w:fldCharType="end"/>
        </w:r>
      </w:hyperlink>
    </w:p>
    <w:p w14:paraId="424CC7EE" w14:textId="5400A086"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3" w:history="1">
        <w:r w:rsidR="00256266" w:rsidRPr="00EF5F35">
          <w:rPr>
            <w:rStyle w:val="Hyperlink"/>
            <w:noProof/>
          </w:rPr>
          <w:t>7. Quality Assurance Requirements</w:t>
        </w:r>
        <w:r w:rsidR="00256266">
          <w:rPr>
            <w:noProof/>
            <w:webHidden/>
          </w:rPr>
          <w:tab/>
        </w:r>
        <w:r w:rsidR="00256266">
          <w:rPr>
            <w:noProof/>
            <w:webHidden/>
          </w:rPr>
          <w:fldChar w:fldCharType="begin"/>
        </w:r>
        <w:r w:rsidR="00256266">
          <w:rPr>
            <w:noProof/>
            <w:webHidden/>
          </w:rPr>
          <w:instrText xml:space="preserve"> PAGEREF _Toc93661693 \h </w:instrText>
        </w:r>
        <w:r w:rsidR="00256266">
          <w:rPr>
            <w:noProof/>
            <w:webHidden/>
          </w:rPr>
        </w:r>
        <w:r w:rsidR="00256266">
          <w:rPr>
            <w:noProof/>
            <w:webHidden/>
          </w:rPr>
          <w:fldChar w:fldCharType="separate"/>
        </w:r>
        <w:r w:rsidR="00256266">
          <w:rPr>
            <w:noProof/>
            <w:webHidden/>
          </w:rPr>
          <w:t>4</w:t>
        </w:r>
        <w:r w:rsidR="00256266">
          <w:rPr>
            <w:noProof/>
            <w:webHidden/>
          </w:rPr>
          <w:fldChar w:fldCharType="end"/>
        </w:r>
      </w:hyperlink>
    </w:p>
    <w:p w14:paraId="169EDA9E" w14:textId="7441B4FF"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4" w:history="1">
        <w:r w:rsidR="00256266" w:rsidRPr="00EF5F35">
          <w:rPr>
            <w:rStyle w:val="Hyperlink"/>
            <w:noProof/>
          </w:rPr>
          <w:t>8. Other Requirements</w:t>
        </w:r>
        <w:r w:rsidR="00256266">
          <w:rPr>
            <w:noProof/>
            <w:webHidden/>
          </w:rPr>
          <w:tab/>
        </w:r>
        <w:r w:rsidR="00256266">
          <w:rPr>
            <w:noProof/>
            <w:webHidden/>
          </w:rPr>
          <w:fldChar w:fldCharType="begin"/>
        </w:r>
        <w:r w:rsidR="00256266">
          <w:rPr>
            <w:noProof/>
            <w:webHidden/>
          </w:rPr>
          <w:instrText xml:space="preserve"> PAGEREF _Toc93661694 \h </w:instrText>
        </w:r>
        <w:r w:rsidR="00256266">
          <w:rPr>
            <w:noProof/>
            <w:webHidden/>
          </w:rPr>
        </w:r>
        <w:r w:rsidR="00256266">
          <w:rPr>
            <w:noProof/>
            <w:webHidden/>
          </w:rPr>
          <w:fldChar w:fldCharType="separate"/>
        </w:r>
        <w:r w:rsidR="00256266">
          <w:rPr>
            <w:noProof/>
            <w:webHidden/>
          </w:rPr>
          <w:t>4</w:t>
        </w:r>
        <w:r w:rsidR="00256266">
          <w:rPr>
            <w:noProof/>
            <w:webHidden/>
          </w:rPr>
          <w:fldChar w:fldCharType="end"/>
        </w:r>
      </w:hyperlink>
    </w:p>
    <w:p w14:paraId="67359B1D" w14:textId="715C4F9B"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5" w:history="1">
        <w:r w:rsidR="00256266" w:rsidRPr="00EF5F35">
          <w:rPr>
            <w:rStyle w:val="Hyperlink"/>
            <w:noProof/>
          </w:rPr>
          <w:t>9. Management and Contract Administration</w:t>
        </w:r>
        <w:r w:rsidR="00256266">
          <w:rPr>
            <w:noProof/>
            <w:webHidden/>
          </w:rPr>
          <w:tab/>
        </w:r>
        <w:r w:rsidR="00256266">
          <w:rPr>
            <w:noProof/>
            <w:webHidden/>
          </w:rPr>
          <w:fldChar w:fldCharType="begin"/>
        </w:r>
        <w:r w:rsidR="00256266">
          <w:rPr>
            <w:noProof/>
            <w:webHidden/>
          </w:rPr>
          <w:instrText xml:space="preserve"> PAGEREF _Toc93661695 \h </w:instrText>
        </w:r>
        <w:r w:rsidR="00256266">
          <w:rPr>
            <w:noProof/>
            <w:webHidden/>
          </w:rPr>
        </w:r>
        <w:r w:rsidR="00256266">
          <w:rPr>
            <w:noProof/>
            <w:webHidden/>
          </w:rPr>
          <w:fldChar w:fldCharType="separate"/>
        </w:r>
        <w:r w:rsidR="00256266">
          <w:rPr>
            <w:noProof/>
            <w:webHidden/>
          </w:rPr>
          <w:t>15</w:t>
        </w:r>
        <w:r w:rsidR="00256266">
          <w:rPr>
            <w:noProof/>
            <w:webHidden/>
          </w:rPr>
          <w:fldChar w:fldCharType="end"/>
        </w:r>
      </w:hyperlink>
    </w:p>
    <w:p w14:paraId="0E8C9ED3" w14:textId="5A95FE45"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6" w:history="1">
        <w:r w:rsidR="00256266" w:rsidRPr="00EF5F35">
          <w:rPr>
            <w:rStyle w:val="Hyperlink"/>
            <w:noProof/>
          </w:rPr>
          <w:t>10. Training / Skills / Knowledge Transfer</w:t>
        </w:r>
        <w:r w:rsidR="00256266">
          <w:rPr>
            <w:noProof/>
            <w:webHidden/>
          </w:rPr>
          <w:tab/>
        </w:r>
        <w:r w:rsidR="00256266">
          <w:rPr>
            <w:noProof/>
            <w:webHidden/>
          </w:rPr>
          <w:fldChar w:fldCharType="begin"/>
        </w:r>
        <w:r w:rsidR="00256266">
          <w:rPr>
            <w:noProof/>
            <w:webHidden/>
          </w:rPr>
          <w:instrText xml:space="preserve"> PAGEREF _Toc93661696 \h </w:instrText>
        </w:r>
        <w:r w:rsidR="00256266">
          <w:rPr>
            <w:noProof/>
            <w:webHidden/>
          </w:rPr>
        </w:r>
        <w:r w:rsidR="00256266">
          <w:rPr>
            <w:noProof/>
            <w:webHidden/>
          </w:rPr>
          <w:fldChar w:fldCharType="separate"/>
        </w:r>
        <w:r w:rsidR="00256266">
          <w:rPr>
            <w:noProof/>
            <w:webHidden/>
          </w:rPr>
          <w:t>15</w:t>
        </w:r>
        <w:r w:rsidR="00256266">
          <w:rPr>
            <w:noProof/>
            <w:webHidden/>
          </w:rPr>
          <w:fldChar w:fldCharType="end"/>
        </w:r>
      </w:hyperlink>
    </w:p>
    <w:p w14:paraId="43B5BEB9" w14:textId="5BC06956"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7" w:history="1">
        <w:r w:rsidR="00256266" w:rsidRPr="00EF5F35">
          <w:rPr>
            <w:rStyle w:val="Hyperlink"/>
            <w:noProof/>
          </w:rPr>
          <w:t>11. Documentation</w:t>
        </w:r>
        <w:r w:rsidR="00256266">
          <w:rPr>
            <w:noProof/>
            <w:webHidden/>
          </w:rPr>
          <w:tab/>
        </w:r>
        <w:r w:rsidR="00256266">
          <w:rPr>
            <w:noProof/>
            <w:webHidden/>
          </w:rPr>
          <w:fldChar w:fldCharType="begin"/>
        </w:r>
        <w:r w:rsidR="00256266">
          <w:rPr>
            <w:noProof/>
            <w:webHidden/>
          </w:rPr>
          <w:instrText xml:space="preserve"> PAGEREF _Toc93661697 \h </w:instrText>
        </w:r>
        <w:r w:rsidR="00256266">
          <w:rPr>
            <w:noProof/>
            <w:webHidden/>
          </w:rPr>
        </w:r>
        <w:r w:rsidR="00256266">
          <w:rPr>
            <w:noProof/>
            <w:webHidden/>
          </w:rPr>
          <w:fldChar w:fldCharType="separate"/>
        </w:r>
        <w:r w:rsidR="00256266">
          <w:rPr>
            <w:noProof/>
            <w:webHidden/>
          </w:rPr>
          <w:t>15</w:t>
        </w:r>
        <w:r w:rsidR="00256266">
          <w:rPr>
            <w:noProof/>
            <w:webHidden/>
          </w:rPr>
          <w:fldChar w:fldCharType="end"/>
        </w:r>
      </w:hyperlink>
    </w:p>
    <w:p w14:paraId="2E629048" w14:textId="513ECAB3"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8" w:history="1">
        <w:r w:rsidR="00256266" w:rsidRPr="00EF5F35">
          <w:rPr>
            <w:rStyle w:val="Hyperlink"/>
            <w:noProof/>
          </w:rPr>
          <w:t>12. Arrangement for End of Contract</w:t>
        </w:r>
        <w:r w:rsidR="00256266">
          <w:rPr>
            <w:noProof/>
            <w:webHidden/>
          </w:rPr>
          <w:tab/>
        </w:r>
        <w:r w:rsidR="00256266">
          <w:rPr>
            <w:noProof/>
            <w:webHidden/>
          </w:rPr>
          <w:fldChar w:fldCharType="begin"/>
        </w:r>
        <w:r w:rsidR="00256266">
          <w:rPr>
            <w:noProof/>
            <w:webHidden/>
          </w:rPr>
          <w:instrText xml:space="preserve"> PAGEREF _Toc93661698 \h </w:instrText>
        </w:r>
        <w:r w:rsidR="00256266">
          <w:rPr>
            <w:noProof/>
            <w:webHidden/>
          </w:rPr>
        </w:r>
        <w:r w:rsidR="00256266">
          <w:rPr>
            <w:noProof/>
            <w:webHidden/>
          </w:rPr>
          <w:fldChar w:fldCharType="separate"/>
        </w:r>
        <w:r w:rsidR="00256266">
          <w:rPr>
            <w:noProof/>
            <w:webHidden/>
          </w:rPr>
          <w:t>15</w:t>
        </w:r>
        <w:r w:rsidR="00256266">
          <w:rPr>
            <w:noProof/>
            <w:webHidden/>
          </w:rPr>
          <w:fldChar w:fldCharType="end"/>
        </w:r>
      </w:hyperlink>
    </w:p>
    <w:p w14:paraId="1645E22A" w14:textId="2996C0A6" w:rsidR="00256266" w:rsidRDefault="00786483">
      <w:pPr>
        <w:pStyle w:val="TOC2"/>
        <w:tabs>
          <w:tab w:val="right" w:pos="9350"/>
        </w:tabs>
        <w:rPr>
          <w:rFonts w:asciiTheme="minorHAnsi" w:eastAsiaTheme="minorEastAsia" w:hAnsiTheme="minorHAnsi" w:cstheme="minorBidi"/>
          <w:b w:val="0"/>
          <w:bCs w:val="0"/>
          <w:noProof/>
          <w:sz w:val="22"/>
          <w:szCs w:val="22"/>
          <w:lang w:eastAsia="en-GB"/>
        </w:rPr>
      </w:pPr>
      <w:hyperlink w:anchor="_Toc93661699" w:history="1">
        <w:r w:rsidR="00256266" w:rsidRPr="00EF5F35">
          <w:rPr>
            <w:rStyle w:val="Hyperlink"/>
            <w:noProof/>
          </w:rPr>
          <w:t>13. Tender Evaluation</w:t>
        </w:r>
        <w:r w:rsidR="00256266">
          <w:rPr>
            <w:noProof/>
            <w:webHidden/>
          </w:rPr>
          <w:tab/>
        </w:r>
        <w:r w:rsidR="00256266">
          <w:rPr>
            <w:noProof/>
            <w:webHidden/>
          </w:rPr>
          <w:fldChar w:fldCharType="begin"/>
        </w:r>
        <w:r w:rsidR="00256266">
          <w:rPr>
            <w:noProof/>
            <w:webHidden/>
          </w:rPr>
          <w:instrText xml:space="preserve"> PAGEREF _Toc93661699 \h </w:instrText>
        </w:r>
        <w:r w:rsidR="00256266">
          <w:rPr>
            <w:noProof/>
            <w:webHidden/>
          </w:rPr>
        </w:r>
        <w:r w:rsidR="00256266">
          <w:rPr>
            <w:noProof/>
            <w:webHidden/>
          </w:rPr>
          <w:fldChar w:fldCharType="separate"/>
        </w:r>
        <w:r w:rsidR="00256266">
          <w:rPr>
            <w:noProof/>
            <w:webHidden/>
          </w:rPr>
          <w:t>16</w:t>
        </w:r>
        <w:r w:rsidR="00256266">
          <w:rPr>
            <w:noProof/>
            <w:webHidden/>
          </w:rPr>
          <w:fldChar w:fldCharType="end"/>
        </w:r>
      </w:hyperlink>
    </w:p>
    <w:p w14:paraId="7FB5C953" w14:textId="12022E17" w:rsidR="008A006D" w:rsidRPr="005A7DF2" w:rsidRDefault="00344563" w:rsidP="00476BAD">
      <w:pPr>
        <w:pStyle w:val="Heading2"/>
        <w:rPr>
          <w:rFonts w:cs="Arial"/>
          <w:bCs/>
          <w:sz w:val="20"/>
        </w:rPr>
      </w:pPr>
      <w:r w:rsidRPr="005F7352">
        <w:rPr>
          <w:rFonts w:cs="Arial"/>
          <w:bCs/>
          <w:sz w:val="24"/>
          <w:szCs w:val="24"/>
        </w:rPr>
        <w:fldChar w:fldCharType="end"/>
      </w:r>
    </w:p>
    <w:p w14:paraId="794C5848" w14:textId="77777777" w:rsidR="007A2EAA" w:rsidRPr="00BA0E8C" w:rsidRDefault="007A2EAA" w:rsidP="007A2EAA">
      <w:pPr>
        <w:rPr>
          <w:rFonts w:ascii="Arial" w:hAnsi="Arial" w:cs="Arial"/>
          <w:b/>
          <w:szCs w:val="24"/>
          <w:highlight w:val="yellow"/>
        </w:rPr>
      </w:pPr>
    </w:p>
    <w:p w14:paraId="00E3B480" w14:textId="77777777" w:rsidR="007A2EAA" w:rsidRPr="00BA0E8C" w:rsidRDefault="007A2EAA" w:rsidP="009D7678">
      <w:pPr>
        <w:numPr>
          <w:ilvl w:val="0"/>
          <w:numId w:val="4"/>
        </w:numPr>
        <w:rPr>
          <w:rFonts w:ascii="Arial" w:hAnsi="Arial" w:cs="Arial"/>
          <w:b/>
          <w:szCs w:val="24"/>
          <w:highlight w:val="yellow"/>
        </w:rPr>
      </w:pPr>
      <w:r w:rsidRPr="00BA0E8C">
        <w:rPr>
          <w:rFonts w:ascii="Arial" w:hAnsi="Arial" w:cs="Arial"/>
          <w:b/>
          <w:szCs w:val="24"/>
          <w:highlight w:val="yellow"/>
        </w:rPr>
        <w:t>Clicking the right hand mouse button on the Table of contents</w:t>
      </w:r>
    </w:p>
    <w:p w14:paraId="3A904D2B" w14:textId="77777777" w:rsidR="007A2EAA" w:rsidRPr="00BA0E8C" w:rsidRDefault="007A2EAA" w:rsidP="009D7678">
      <w:pPr>
        <w:numPr>
          <w:ilvl w:val="0"/>
          <w:numId w:val="4"/>
        </w:numPr>
        <w:rPr>
          <w:rFonts w:ascii="Arial" w:hAnsi="Arial" w:cs="Arial"/>
          <w:b/>
          <w:szCs w:val="24"/>
          <w:highlight w:val="yellow"/>
        </w:rPr>
      </w:pPr>
      <w:r w:rsidRPr="00BA0E8C">
        <w:rPr>
          <w:rFonts w:ascii="Arial" w:hAnsi="Arial" w:cs="Arial"/>
          <w:b/>
          <w:szCs w:val="24"/>
          <w:highlight w:val="yellow"/>
        </w:rPr>
        <w:t xml:space="preserve">Selecting ‘Update Field’ </w:t>
      </w:r>
    </w:p>
    <w:p w14:paraId="4CED4D14" w14:textId="77777777" w:rsidR="007A2EAA" w:rsidRPr="00BA0E8C" w:rsidRDefault="007A2EAA" w:rsidP="009D7678">
      <w:pPr>
        <w:numPr>
          <w:ilvl w:val="0"/>
          <w:numId w:val="4"/>
        </w:numPr>
        <w:rPr>
          <w:rFonts w:ascii="Arial" w:hAnsi="Arial" w:cs="Arial"/>
          <w:b/>
          <w:szCs w:val="24"/>
          <w:highlight w:val="yellow"/>
        </w:rPr>
      </w:pPr>
      <w:r w:rsidRPr="00BA0E8C">
        <w:rPr>
          <w:rFonts w:ascii="Arial" w:hAnsi="Arial" w:cs="Arial"/>
          <w:b/>
          <w:szCs w:val="24"/>
          <w:highlight w:val="yellow"/>
        </w:rPr>
        <w:t>Selecting the ‘Update entire table’ option</w:t>
      </w:r>
    </w:p>
    <w:p w14:paraId="46B2D121" w14:textId="77777777" w:rsidR="007A2EAA" w:rsidRPr="00BA0E8C" w:rsidRDefault="007A2EAA" w:rsidP="009D7678">
      <w:pPr>
        <w:numPr>
          <w:ilvl w:val="0"/>
          <w:numId w:val="4"/>
        </w:numPr>
        <w:rPr>
          <w:rFonts w:ascii="Arial" w:hAnsi="Arial" w:cs="Arial"/>
          <w:b/>
          <w:szCs w:val="24"/>
          <w:highlight w:val="yellow"/>
        </w:rPr>
      </w:pPr>
      <w:r w:rsidRPr="00BA0E8C">
        <w:rPr>
          <w:rFonts w:ascii="Arial" w:hAnsi="Arial" w:cs="Arial"/>
          <w:b/>
          <w:szCs w:val="24"/>
          <w:highlight w:val="yellow"/>
        </w:rPr>
        <w:t>Clicking ‘OK’.</w:t>
      </w:r>
    </w:p>
    <w:p w14:paraId="550DC929" w14:textId="77777777" w:rsidR="007A2EAA" w:rsidRPr="00BA0E8C" w:rsidRDefault="007A2EAA" w:rsidP="007A2EAA">
      <w:pPr>
        <w:rPr>
          <w:szCs w:val="24"/>
        </w:rPr>
      </w:pPr>
    </w:p>
    <w:p w14:paraId="0CEB127F" w14:textId="6D42C7F5" w:rsidR="007A2EAA" w:rsidRPr="00BA0E8C" w:rsidRDefault="007A2EAA" w:rsidP="007A2EAA">
      <w:pPr>
        <w:rPr>
          <w:rFonts w:ascii="Arial" w:hAnsi="Arial" w:cs="Arial"/>
          <w:b/>
          <w:szCs w:val="24"/>
        </w:rPr>
      </w:pPr>
      <w:r w:rsidRPr="00BA0E8C">
        <w:rPr>
          <w:rFonts w:ascii="Arial" w:hAnsi="Arial" w:cs="Arial"/>
          <w:b/>
          <w:szCs w:val="24"/>
          <w:highlight w:val="yellow"/>
        </w:rPr>
        <w:t>Any Text highlighted in yellow are guidance notes</w:t>
      </w:r>
      <w:r w:rsidR="0021542F" w:rsidRPr="00BA0E8C">
        <w:rPr>
          <w:rFonts w:ascii="Arial" w:hAnsi="Arial" w:cs="Arial"/>
          <w:b/>
          <w:szCs w:val="24"/>
          <w:highlight w:val="yellow"/>
        </w:rPr>
        <w:t xml:space="preserve"> or optional wording</w:t>
      </w:r>
      <w:r w:rsidRPr="00BA0E8C">
        <w:rPr>
          <w:rFonts w:ascii="Arial" w:hAnsi="Arial" w:cs="Arial"/>
          <w:b/>
          <w:szCs w:val="24"/>
          <w:highlight w:val="yellow"/>
        </w:rPr>
        <w:t xml:space="preserve"> and should be deleted</w:t>
      </w:r>
      <w:r w:rsidR="0021542F" w:rsidRPr="00BA0E8C">
        <w:rPr>
          <w:rFonts w:ascii="Arial" w:hAnsi="Arial" w:cs="Arial"/>
          <w:b/>
          <w:szCs w:val="24"/>
          <w:highlight w:val="yellow"/>
        </w:rPr>
        <w:t xml:space="preserve"> and/or amended as appropriate in </w:t>
      </w:r>
      <w:r w:rsidRPr="00BA0E8C">
        <w:rPr>
          <w:rFonts w:ascii="Arial" w:hAnsi="Arial" w:cs="Arial"/>
          <w:b/>
          <w:szCs w:val="24"/>
          <w:highlight w:val="yellow"/>
        </w:rPr>
        <w:t xml:space="preserve">the </w:t>
      </w:r>
      <w:r w:rsidR="00FB3029">
        <w:rPr>
          <w:rFonts w:ascii="Arial" w:hAnsi="Arial" w:cs="Arial"/>
          <w:b/>
          <w:szCs w:val="24"/>
          <w:highlight w:val="yellow"/>
        </w:rPr>
        <w:t>f</w:t>
      </w:r>
      <w:r w:rsidRPr="00BA0E8C">
        <w:rPr>
          <w:rFonts w:ascii="Arial" w:hAnsi="Arial" w:cs="Arial"/>
          <w:b/>
          <w:szCs w:val="24"/>
          <w:highlight w:val="yellow"/>
        </w:rPr>
        <w:t>inal version</w:t>
      </w:r>
      <w:r w:rsidR="0021542F" w:rsidRPr="00BA0E8C">
        <w:rPr>
          <w:rFonts w:ascii="Arial" w:hAnsi="Arial" w:cs="Arial"/>
          <w:b/>
          <w:szCs w:val="24"/>
          <w:highlight w:val="yellow"/>
        </w:rPr>
        <w:t>,</w:t>
      </w:r>
      <w:r w:rsidRPr="00BA0E8C">
        <w:rPr>
          <w:rFonts w:ascii="Arial" w:hAnsi="Arial" w:cs="Arial"/>
          <w:b/>
          <w:szCs w:val="24"/>
          <w:highlight w:val="yellow"/>
        </w:rPr>
        <w:t xml:space="preserve"> before submitting </w:t>
      </w:r>
      <w:r w:rsidR="002B5E1C" w:rsidRPr="00BA0E8C">
        <w:rPr>
          <w:rFonts w:ascii="Arial" w:hAnsi="Arial" w:cs="Arial"/>
          <w:b/>
          <w:szCs w:val="24"/>
          <w:highlight w:val="yellow"/>
        </w:rPr>
        <w:t xml:space="preserve">for approval and inclusion in </w:t>
      </w:r>
      <w:r w:rsidRPr="00BA0E8C">
        <w:rPr>
          <w:rFonts w:ascii="Arial" w:hAnsi="Arial" w:cs="Arial"/>
          <w:b/>
          <w:szCs w:val="24"/>
          <w:highlight w:val="yellow"/>
        </w:rPr>
        <w:t xml:space="preserve">the </w:t>
      </w:r>
      <w:r w:rsidR="003145E6" w:rsidRPr="00BA0E8C">
        <w:rPr>
          <w:rFonts w:ascii="Arial" w:hAnsi="Arial" w:cs="Arial"/>
          <w:b/>
          <w:szCs w:val="24"/>
          <w:highlight w:val="yellow"/>
        </w:rPr>
        <w:t>Invitation to Tender (</w:t>
      </w:r>
      <w:r w:rsidRPr="00BA0E8C">
        <w:rPr>
          <w:rFonts w:ascii="Arial" w:hAnsi="Arial" w:cs="Arial"/>
          <w:b/>
          <w:szCs w:val="24"/>
          <w:highlight w:val="yellow"/>
        </w:rPr>
        <w:t>ITT</w:t>
      </w:r>
      <w:r w:rsidR="003145E6" w:rsidRPr="00BA0E8C">
        <w:rPr>
          <w:rFonts w:ascii="Arial" w:hAnsi="Arial" w:cs="Arial"/>
          <w:b/>
          <w:szCs w:val="24"/>
          <w:highlight w:val="yellow"/>
        </w:rPr>
        <w:t>)</w:t>
      </w:r>
      <w:r w:rsidR="002B5E1C" w:rsidRPr="00BA0E8C">
        <w:rPr>
          <w:rFonts w:ascii="Arial" w:hAnsi="Arial" w:cs="Arial"/>
          <w:b/>
          <w:szCs w:val="24"/>
          <w:highlight w:val="yellow"/>
        </w:rPr>
        <w:t xml:space="preserve"> pack</w:t>
      </w:r>
      <w:r w:rsidR="00C03742">
        <w:rPr>
          <w:rFonts w:ascii="Arial" w:hAnsi="Arial" w:cs="Arial"/>
          <w:b/>
          <w:szCs w:val="24"/>
          <w:highlight w:val="yellow"/>
        </w:rPr>
        <w:t>. It is important to remember to also remove any highlighting from the final version</w:t>
      </w:r>
      <w:r w:rsidRPr="00BA0E8C">
        <w:rPr>
          <w:rFonts w:ascii="Arial" w:hAnsi="Arial" w:cs="Arial"/>
          <w:b/>
          <w:szCs w:val="24"/>
          <w:highlight w:val="yellow"/>
        </w:rPr>
        <w:t>.</w:t>
      </w:r>
    </w:p>
    <w:p w14:paraId="1F5CE638" w14:textId="77777777" w:rsidR="001A236D" w:rsidRPr="00237E4B" w:rsidRDefault="00237E4B" w:rsidP="00237E4B">
      <w:pPr>
        <w:pStyle w:val="Heading2"/>
        <w:tabs>
          <w:tab w:val="clear" w:pos="0"/>
          <w:tab w:val="left" w:pos="-180"/>
        </w:tabs>
        <w:ind w:hanging="180"/>
      </w:pPr>
      <w:bookmarkStart w:id="2" w:name="_Toc93661687"/>
      <w:r>
        <w:t xml:space="preserve">1. </w:t>
      </w:r>
      <w:r w:rsidR="001A236D" w:rsidRPr="00237E4B">
        <w:t>Introduction</w:t>
      </w:r>
      <w:bookmarkEnd w:id="0"/>
      <w:bookmarkEnd w:id="1"/>
      <w:bookmarkEnd w:id="2"/>
    </w:p>
    <w:p w14:paraId="6625F69E" w14:textId="77777777" w:rsidR="00BA0E8C" w:rsidRDefault="00BA0E8C" w:rsidP="005E3488">
      <w:pPr>
        <w:tabs>
          <w:tab w:val="left" w:pos="-180"/>
        </w:tabs>
        <w:ind w:left="-180"/>
        <w:rPr>
          <w:rFonts w:ascii="Arial" w:hAnsi="Arial" w:cs="Arial"/>
        </w:rPr>
      </w:pPr>
    </w:p>
    <w:p w14:paraId="42A92AA6" w14:textId="3E8BE720" w:rsidR="006044C0" w:rsidRDefault="00577367" w:rsidP="006044C0">
      <w:pPr>
        <w:rPr>
          <w:rFonts w:ascii="Arial" w:hAnsi="Arial" w:cs="Arial"/>
          <w:b/>
          <w:lang w:eastAsia="en-GB"/>
        </w:rPr>
      </w:pPr>
      <w:r>
        <w:rPr>
          <w:rFonts w:ascii="Arial" w:hAnsi="Arial" w:cs="Arial"/>
        </w:rPr>
        <w:t>As outlined in the Invitation to Tender (ITT), the Driver and Vehicle Licensing Agency (</w:t>
      </w:r>
      <w:r w:rsidRPr="005F2701">
        <w:rPr>
          <w:rFonts w:ascii="Arial" w:hAnsi="Arial" w:cs="Arial"/>
          <w:b/>
          <w:bCs/>
        </w:rPr>
        <w:t>DVLA</w:t>
      </w:r>
      <w:r>
        <w:rPr>
          <w:rFonts w:ascii="Arial" w:hAnsi="Arial" w:cs="Arial"/>
        </w:rPr>
        <w:t>)</w:t>
      </w:r>
      <w:r w:rsidR="0001576C">
        <w:rPr>
          <w:rFonts w:ascii="Arial" w:hAnsi="Arial" w:cs="Arial"/>
        </w:rPr>
        <w:t xml:space="preserve"> </w:t>
      </w:r>
      <w:r w:rsidR="001A236D" w:rsidRPr="00484A78">
        <w:rPr>
          <w:rFonts w:ascii="Arial" w:hAnsi="Arial" w:cs="Arial"/>
        </w:rPr>
        <w:t xml:space="preserve">invites </w:t>
      </w:r>
      <w:r>
        <w:rPr>
          <w:rFonts w:ascii="Arial" w:hAnsi="Arial" w:cs="Arial"/>
        </w:rPr>
        <w:t>tenders</w:t>
      </w:r>
      <w:r w:rsidRPr="00484A78">
        <w:rPr>
          <w:rFonts w:ascii="Arial" w:hAnsi="Arial" w:cs="Arial"/>
        </w:rPr>
        <w:t xml:space="preserve"> </w:t>
      </w:r>
      <w:r w:rsidR="001A236D" w:rsidRPr="00484A78">
        <w:rPr>
          <w:rFonts w:ascii="Arial" w:hAnsi="Arial" w:cs="Arial"/>
        </w:rPr>
        <w:t>for the following</w:t>
      </w:r>
      <w:r w:rsidR="006044C0">
        <w:rPr>
          <w:rFonts w:ascii="Arial" w:hAnsi="Arial" w:cs="Arial"/>
        </w:rPr>
        <w:t xml:space="preserve"> Service.</w:t>
      </w:r>
    </w:p>
    <w:p w14:paraId="59730408" w14:textId="6ED6062E" w:rsidR="001A236D" w:rsidRPr="00E676DC" w:rsidRDefault="001A236D" w:rsidP="005E3488">
      <w:pPr>
        <w:tabs>
          <w:tab w:val="left" w:pos="-180"/>
        </w:tabs>
        <w:ind w:left="-180"/>
        <w:rPr>
          <w:rFonts w:ascii="Arial" w:hAnsi="Arial" w:cs="Arial"/>
        </w:rPr>
      </w:pPr>
    </w:p>
    <w:p w14:paraId="15B6652D" w14:textId="77777777" w:rsidR="005E3488" w:rsidRPr="00E676DC" w:rsidRDefault="005E3488" w:rsidP="005E3488">
      <w:pPr>
        <w:ind w:left="-180"/>
        <w:rPr>
          <w:rFonts w:ascii="Arial" w:hAnsi="Arial" w:cs="Arial"/>
        </w:rPr>
      </w:pPr>
    </w:p>
    <w:p w14:paraId="59AAF719" w14:textId="77777777" w:rsidR="001A236D" w:rsidRDefault="00237E4B" w:rsidP="00237E4B">
      <w:pPr>
        <w:pStyle w:val="Heading2"/>
        <w:tabs>
          <w:tab w:val="clear" w:pos="0"/>
          <w:tab w:val="left" w:pos="-180"/>
        </w:tabs>
        <w:ind w:hanging="180"/>
      </w:pPr>
      <w:bookmarkStart w:id="3" w:name="_Toc93661688"/>
      <w:r w:rsidRPr="00237E4B">
        <w:t>2.</w:t>
      </w:r>
      <w:r>
        <w:rPr>
          <w:rFonts w:cs="Arial"/>
          <w:sz w:val="24"/>
        </w:rPr>
        <w:t xml:space="preserve"> </w:t>
      </w:r>
      <w:r w:rsidR="001A236D">
        <w:t>Background to the Requirement</w:t>
      </w:r>
      <w:bookmarkEnd w:id="3"/>
    </w:p>
    <w:p w14:paraId="0ED67199" w14:textId="59E01DC8" w:rsidR="005E3488" w:rsidRDefault="00920CD3" w:rsidP="005E3488">
      <w:pPr>
        <w:ind w:left="-142"/>
        <w:rPr>
          <w:rFonts w:ascii="Arial" w:eastAsia="STZhongsong" w:hAnsi="Arial" w:cs="Arial"/>
          <w:lang w:eastAsia="zh-CN"/>
        </w:rPr>
      </w:pPr>
      <w:bookmarkStart w:id="4" w:name="_Hlk87961019"/>
      <w:r w:rsidRPr="0001576C">
        <w:rPr>
          <w:rFonts w:ascii="Arial" w:eastAsia="STZhongsong" w:hAnsi="Arial" w:cs="Arial"/>
          <w:bCs/>
          <w:lang w:eastAsia="zh-CN"/>
        </w:rPr>
        <w:t xml:space="preserve">The </w:t>
      </w:r>
      <w:r w:rsidR="0017636D">
        <w:rPr>
          <w:rFonts w:ascii="Arial" w:eastAsia="STZhongsong" w:hAnsi="Arial" w:cs="Arial"/>
          <w:bCs/>
          <w:lang w:eastAsia="zh-CN"/>
        </w:rPr>
        <w:t>DVLA</w:t>
      </w:r>
      <w:r w:rsidRPr="00920CD3">
        <w:rPr>
          <w:rFonts w:ascii="Arial" w:eastAsia="STZhongsong" w:hAnsi="Arial" w:cs="Arial"/>
          <w:b/>
          <w:lang w:eastAsia="zh-CN"/>
        </w:rPr>
        <w:t xml:space="preserve"> </w:t>
      </w:r>
      <w:r w:rsidR="005E3488" w:rsidRPr="003D5E49">
        <w:rPr>
          <w:rFonts w:ascii="Arial" w:eastAsia="STZhongsong" w:hAnsi="Arial" w:cs="Arial"/>
          <w:lang w:eastAsia="zh-CN"/>
        </w:rPr>
        <w:t xml:space="preserve">is an Executive Agency of </w:t>
      </w:r>
      <w:r w:rsidR="005F2701">
        <w:rPr>
          <w:rFonts w:ascii="Arial" w:eastAsia="STZhongsong" w:hAnsi="Arial" w:cs="Arial"/>
          <w:lang w:eastAsia="zh-CN"/>
        </w:rPr>
        <w:t>the Department for Transport (</w:t>
      </w:r>
      <w:r w:rsidR="005E3488">
        <w:rPr>
          <w:rFonts w:ascii="Arial" w:eastAsia="STZhongsong" w:hAnsi="Arial" w:cs="Arial"/>
          <w:lang w:eastAsia="zh-CN"/>
        </w:rPr>
        <w:t>DfT</w:t>
      </w:r>
      <w:r w:rsidR="005F2701">
        <w:rPr>
          <w:rFonts w:ascii="Arial" w:eastAsia="STZhongsong" w:hAnsi="Arial" w:cs="Arial"/>
          <w:lang w:eastAsia="zh-CN"/>
        </w:rPr>
        <w:t>)</w:t>
      </w:r>
      <w:r w:rsidR="005E3488" w:rsidRPr="003D5E49">
        <w:rPr>
          <w:rFonts w:ascii="Arial" w:eastAsia="STZhongsong" w:hAnsi="Arial" w:cs="Arial"/>
          <w:lang w:eastAsia="zh-CN"/>
        </w:rPr>
        <w:t>, based in Swansea</w:t>
      </w:r>
      <w:r w:rsidR="005A4D9F">
        <w:rPr>
          <w:rFonts w:ascii="Arial" w:eastAsia="STZhongsong" w:hAnsi="Arial" w:cs="Arial"/>
          <w:lang w:eastAsia="zh-CN"/>
        </w:rPr>
        <w:t>.</w:t>
      </w:r>
      <w:r w:rsidR="005E3488" w:rsidRPr="003D5E49">
        <w:rPr>
          <w:rFonts w:ascii="Arial" w:eastAsia="STZhongsong" w:hAnsi="Arial" w:cs="Arial"/>
          <w:lang w:eastAsia="zh-CN"/>
        </w:rPr>
        <w:t xml:space="preserve"> The </w:t>
      </w:r>
      <w:r w:rsidR="0017636D">
        <w:rPr>
          <w:rFonts w:ascii="Arial" w:eastAsia="STZhongsong" w:hAnsi="Arial" w:cs="Arial"/>
          <w:lang w:eastAsia="zh-CN"/>
        </w:rPr>
        <w:t>DVLA</w:t>
      </w:r>
      <w:r w:rsidR="005E3488" w:rsidRPr="003D5E49">
        <w:rPr>
          <w:rFonts w:ascii="Arial" w:eastAsia="STZhongsong" w:hAnsi="Arial" w:cs="Arial"/>
          <w:lang w:eastAsia="zh-CN"/>
        </w:rPr>
        <w:t>’s primary aims are to facilitate road safety and general law enforcement by maintaining accurate registers of drivers and vehicle keepers and to collect Vehicle Excise Duty</w:t>
      </w:r>
      <w:r w:rsidR="005E3488">
        <w:rPr>
          <w:rFonts w:ascii="Arial" w:eastAsia="STZhongsong" w:hAnsi="Arial" w:cs="Arial"/>
          <w:lang w:eastAsia="zh-CN"/>
        </w:rPr>
        <w:t xml:space="preserve"> (VED)</w:t>
      </w:r>
      <w:r w:rsidR="005E3488" w:rsidRPr="003D5E49">
        <w:rPr>
          <w:rFonts w:ascii="Arial" w:eastAsia="STZhongsong" w:hAnsi="Arial" w:cs="Arial"/>
          <w:lang w:eastAsia="zh-CN"/>
        </w:rPr>
        <w:t xml:space="preserve">. </w:t>
      </w:r>
    </w:p>
    <w:bookmarkEnd w:id="4"/>
    <w:p w14:paraId="53D0A331" w14:textId="77777777" w:rsidR="005E3488" w:rsidRDefault="005E3488" w:rsidP="00237E4B">
      <w:pPr>
        <w:tabs>
          <w:tab w:val="left" w:pos="-180"/>
        </w:tabs>
        <w:ind w:hanging="180"/>
        <w:rPr>
          <w:rFonts w:ascii="Arial" w:hAnsi="Arial" w:cs="Arial"/>
          <w:highlight w:val="yellow"/>
        </w:rPr>
      </w:pPr>
    </w:p>
    <w:p w14:paraId="677D4F81" w14:textId="77777777" w:rsidR="009424D8" w:rsidRDefault="009424D8" w:rsidP="00850192">
      <w:pPr>
        <w:tabs>
          <w:tab w:val="left" w:pos="-180"/>
        </w:tabs>
        <w:ind w:hanging="181"/>
        <w:rPr>
          <w:rFonts w:ascii="Arial" w:hAnsi="Arial" w:cs="Arial"/>
        </w:rPr>
      </w:pPr>
    </w:p>
    <w:p w14:paraId="4D5FEC7E" w14:textId="01F7D8E3" w:rsidR="001A236D" w:rsidRDefault="00237E4B" w:rsidP="00850192">
      <w:pPr>
        <w:pStyle w:val="Heading2"/>
        <w:tabs>
          <w:tab w:val="clear" w:pos="0"/>
          <w:tab w:val="left" w:pos="-180"/>
        </w:tabs>
        <w:spacing w:before="0"/>
        <w:ind w:hanging="181"/>
      </w:pPr>
      <w:bookmarkStart w:id="5" w:name="_Toc253400957"/>
      <w:bookmarkStart w:id="6" w:name="_Toc93661689"/>
      <w:r w:rsidRPr="00ED4B17">
        <w:t>3.</w:t>
      </w:r>
      <w:r w:rsidRPr="00ED4B17">
        <w:rPr>
          <w:rFonts w:cs="Arial"/>
          <w:b w:val="0"/>
          <w:sz w:val="24"/>
        </w:rPr>
        <w:t xml:space="preserve"> </w:t>
      </w:r>
      <w:r w:rsidR="001A236D" w:rsidRPr="00ED4B17">
        <w:t>Procurement Timetable</w:t>
      </w:r>
      <w:bookmarkEnd w:id="5"/>
      <w:bookmarkEnd w:id="6"/>
    </w:p>
    <w:p w14:paraId="190B0099" w14:textId="77777777" w:rsidR="000020A9" w:rsidRDefault="000020A9" w:rsidP="000020A9">
      <w:pPr>
        <w:tabs>
          <w:tab w:val="left" w:pos="-180"/>
        </w:tabs>
        <w:ind w:hanging="180"/>
        <w:rPr>
          <w:rFonts w:ascii="Arial" w:eastAsia="STZhongsong" w:hAnsi="Arial" w:cs="Arial"/>
          <w:lang w:eastAsia="zh-CN"/>
        </w:rPr>
      </w:pPr>
      <w:r w:rsidRPr="000020A9">
        <w:rPr>
          <w:rFonts w:ascii="Arial" w:eastAsia="STZhongsong" w:hAnsi="Arial" w:cs="Arial"/>
          <w:lang w:eastAsia="zh-CN"/>
        </w:rPr>
        <w:t xml:space="preserve">The timetable for this Procurement is set out in </w:t>
      </w:r>
      <w:r>
        <w:rPr>
          <w:rFonts w:ascii="Arial" w:eastAsia="STZhongsong" w:hAnsi="Arial" w:cs="Arial"/>
          <w:lang w:eastAsia="zh-CN"/>
        </w:rPr>
        <w:t>Invitation to Tender (ITT)</w:t>
      </w:r>
      <w:r w:rsidRPr="000020A9">
        <w:rPr>
          <w:rFonts w:ascii="Arial" w:eastAsia="STZhongsong" w:hAnsi="Arial" w:cs="Arial"/>
          <w:lang w:eastAsia="zh-CN"/>
        </w:rPr>
        <w:t>.</w:t>
      </w:r>
      <w:r>
        <w:rPr>
          <w:rFonts w:ascii="Arial" w:eastAsia="STZhongsong" w:hAnsi="Arial" w:cs="Arial"/>
          <w:lang w:eastAsia="zh-CN"/>
        </w:rPr>
        <w:t xml:space="preserve"> </w:t>
      </w:r>
      <w:r w:rsidRPr="000020A9">
        <w:rPr>
          <w:rFonts w:ascii="Arial" w:eastAsia="STZhongsong" w:hAnsi="Arial" w:cs="Arial"/>
          <w:lang w:eastAsia="zh-CN"/>
        </w:rPr>
        <w:t xml:space="preserve">This timetable </w:t>
      </w:r>
    </w:p>
    <w:p w14:paraId="7A73ADAB" w14:textId="02BDDF7D" w:rsidR="000020A9" w:rsidRDefault="000020A9" w:rsidP="000020A9">
      <w:pPr>
        <w:tabs>
          <w:tab w:val="left" w:pos="-180"/>
        </w:tabs>
        <w:ind w:hanging="180"/>
        <w:rPr>
          <w:rFonts w:ascii="Arial" w:eastAsia="STZhongsong" w:hAnsi="Arial" w:cs="Arial"/>
          <w:lang w:eastAsia="zh-CN"/>
        </w:rPr>
      </w:pPr>
      <w:r w:rsidRPr="000020A9">
        <w:rPr>
          <w:rFonts w:ascii="Arial" w:eastAsia="STZhongsong" w:hAnsi="Arial" w:cs="Arial"/>
          <w:lang w:eastAsia="zh-CN"/>
        </w:rPr>
        <w:t>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 xml:space="preserve">accordance </w:t>
      </w:r>
    </w:p>
    <w:p w14:paraId="2CAAC8B7" w14:textId="52C633E2" w:rsidR="000020A9" w:rsidRPr="000020A9" w:rsidRDefault="000020A9" w:rsidP="000020A9">
      <w:pPr>
        <w:tabs>
          <w:tab w:val="left" w:pos="-180"/>
        </w:tabs>
        <w:ind w:hanging="180"/>
        <w:rPr>
          <w:rFonts w:ascii="Arial" w:eastAsia="STZhongsong" w:hAnsi="Arial" w:cs="Arial"/>
          <w:lang w:eastAsia="zh-CN"/>
        </w:rPr>
      </w:pPr>
      <w:r w:rsidRPr="000020A9">
        <w:rPr>
          <w:rFonts w:ascii="Arial" w:eastAsia="STZhongsong" w:hAnsi="Arial" w:cs="Arial"/>
          <w:lang w:eastAsia="zh-CN"/>
        </w:rPr>
        <w:t>with the Regulations (where applicable).</w:t>
      </w:r>
    </w:p>
    <w:p w14:paraId="483AE64F" w14:textId="77777777" w:rsidR="000020A9" w:rsidRDefault="000020A9" w:rsidP="000020A9">
      <w:pPr>
        <w:tabs>
          <w:tab w:val="left" w:pos="-180"/>
        </w:tabs>
        <w:ind w:hanging="180"/>
        <w:rPr>
          <w:rFonts w:ascii="Arial" w:eastAsia="STZhongsong" w:hAnsi="Arial" w:cs="Arial"/>
          <w:lang w:eastAsia="zh-CN"/>
        </w:rPr>
      </w:pPr>
    </w:p>
    <w:p w14:paraId="3CE63315" w14:textId="4E4856E8" w:rsidR="000020A9" w:rsidRPr="000020A9" w:rsidRDefault="000020A9" w:rsidP="000020A9">
      <w:pPr>
        <w:tabs>
          <w:tab w:val="left" w:pos="-180"/>
        </w:tabs>
        <w:ind w:hanging="180"/>
        <w:rPr>
          <w:rFonts w:ascii="Arial" w:eastAsia="STZhongsong" w:hAnsi="Arial" w:cs="Arial"/>
          <w:lang w:eastAsia="zh-CN"/>
        </w:rPr>
      </w:pPr>
      <w:r w:rsidRPr="000020A9">
        <w:rPr>
          <w:rFonts w:ascii="Arial" w:eastAsia="STZhongsong" w:hAnsi="Arial" w:cs="Arial"/>
          <w:lang w:eastAsia="zh-CN"/>
        </w:rPr>
        <w:t>Potential tenderers will be informed if changes to this timetable are necessary.</w:t>
      </w:r>
    </w:p>
    <w:p w14:paraId="25E1F2AC" w14:textId="77777777" w:rsidR="000020A9" w:rsidRDefault="000020A9"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7" w:name="_Toc177969166"/>
      <w:bookmarkStart w:id="8" w:name="_Toc180380665"/>
      <w:bookmarkStart w:id="9" w:name="_Toc93661690"/>
      <w:r>
        <w:t xml:space="preserve">4. </w:t>
      </w:r>
      <w:r w:rsidR="001A236D">
        <w:t>Scope</w:t>
      </w:r>
      <w:bookmarkStart w:id="10" w:name="_Toc177969167"/>
      <w:bookmarkStart w:id="11" w:name="_Toc180380666"/>
      <w:bookmarkEnd w:id="7"/>
      <w:bookmarkEnd w:id="8"/>
      <w:bookmarkEnd w:id="9"/>
    </w:p>
    <w:p w14:paraId="16D5705C" w14:textId="1BF8CA75" w:rsidR="006044C0" w:rsidRDefault="006044C0" w:rsidP="006044C0">
      <w:pPr>
        <w:spacing w:before="120"/>
        <w:rPr>
          <w:rFonts w:ascii="Arial" w:hAnsi="Arial" w:cs="Arial"/>
          <w:sz w:val="22"/>
          <w:szCs w:val="22"/>
        </w:rPr>
      </w:pPr>
      <w:r w:rsidRPr="00442209">
        <w:rPr>
          <w:rFonts w:ascii="Arial" w:hAnsi="Arial" w:cs="Arial"/>
          <w:sz w:val="22"/>
          <w:szCs w:val="22"/>
        </w:rPr>
        <w:t xml:space="preserve">A </w:t>
      </w:r>
      <w:r>
        <w:rPr>
          <w:rFonts w:ascii="Arial" w:hAnsi="Arial" w:cs="Arial"/>
          <w:sz w:val="22"/>
          <w:szCs w:val="22"/>
        </w:rPr>
        <w:t>contract</w:t>
      </w:r>
      <w:r w:rsidRPr="00442209">
        <w:rPr>
          <w:rFonts w:ascii="Arial" w:hAnsi="Arial" w:cs="Arial"/>
          <w:sz w:val="22"/>
          <w:szCs w:val="22"/>
        </w:rPr>
        <w:t xml:space="preserve"> is required for the support and maint</w:t>
      </w:r>
      <w:r>
        <w:rPr>
          <w:rFonts w:ascii="Arial" w:hAnsi="Arial" w:cs="Arial"/>
          <w:sz w:val="22"/>
          <w:szCs w:val="22"/>
        </w:rPr>
        <w:t>enance of</w:t>
      </w:r>
      <w:r w:rsidRPr="00442209">
        <w:rPr>
          <w:rFonts w:ascii="Arial" w:hAnsi="Arial" w:cs="Arial"/>
          <w:sz w:val="22"/>
          <w:szCs w:val="22"/>
        </w:rPr>
        <w:t xml:space="preserve"> the Interflex </w:t>
      </w:r>
      <w:r>
        <w:rPr>
          <w:rFonts w:ascii="Arial" w:hAnsi="Arial" w:cs="Arial"/>
          <w:sz w:val="22"/>
          <w:szCs w:val="22"/>
        </w:rPr>
        <w:t>time re</w:t>
      </w:r>
      <w:r w:rsidRPr="00442209">
        <w:rPr>
          <w:rFonts w:ascii="Arial" w:hAnsi="Arial" w:cs="Arial"/>
          <w:sz w:val="22"/>
          <w:szCs w:val="22"/>
        </w:rPr>
        <w:t xml:space="preserve">cording system. As DVLA is likely to stay on SAP for </w:t>
      </w:r>
      <w:r>
        <w:rPr>
          <w:rFonts w:ascii="Arial" w:hAnsi="Arial" w:cs="Arial"/>
          <w:sz w:val="22"/>
          <w:szCs w:val="22"/>
        </w:rPr>
        <w:t>at least a further one year and as such</w:t>
      </w:r>
      <w:r w:rsidRPr="00442209">
        <w:rPr>
          <w:rFonts w:ascii="Arial" w:hAnsi="Arial" w:cs="Arial"/>
          <w:sz w:val="22"/>
          <w:szCs w:val="22"/>
        </w:rPr>
        <w:t xml:space="preserve"> there is a requirement to maintain the service. </w:t>
      </w:r>
    </w:p>
    <w:p w14:paraId="154441CF" w14:textId="1322CBEC" w:rsidR="006044C0" w:rsidRDefault="006044C0" w:rsidP="006044C0">
      <w:pPr>
        <w:spacing w:before="120"/>
        <w:rPr>
          <w:rFonts w:ascii="Arial" w:hAnsi="Arial" w:cs="Arial"/>
          <w:sz w:val="22"/>
          <w:szCs w:val="22"/>
        </w:rPr>
      </w:pPr>
      <w:r>
        <w:rPr>
          <w:rFonts w:ascii="Arial" w:hAnsi="Arial" w:cs="Arial"/>
          <w:sz w:val="22"/>
          <w:szCs w:val="22"/>
        </w:rPr>
        <w:t>The requirement is</w:t>
      </w:r>
      <w:r>
        <w:rPr>
          <w:rFonts w:ascii="Arial" w:hAnsi="Arial" w:cs="Arial"/>
          <w:sz w:val="22"/>
          <w:szCs w:val="22"/>
        </w:rPr>
        <w:t xml:space="preserve"> for the</w:t>
      </w:r>
      <w:r>
        <w:rPr>
          <w:rFonts w:ascii="Arial" w:hAnsi="Arial" w:cs="Arial"/>
          <w:sz w:val="22"/>
          <w:szCs w:val="22"/>
        </w:rPr>
        <w:t xml:space="preserve"> service and maintenance agreement for the Interflex time recording system, which is integrated within the time and attendance functionality in SAP. This will ensure that continuity is maintained for this Agency wide function.</w:t>
      </w:r>
    </w:p>
    <w:p w14:paraId="12FDDA59" w14:textId="77777777" w:rsidR="00850192" w:rsidRPr="004437C5" w:rsidRDefault="00850192" w:rsidP="00850192">
      <w:pPr>
        <w:tabs>
          <w:tab w:val="left" w:pos="-180"/>
        </w:tabs>
        <w:ind w:left="-181"/>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12" w:name="_Toc253400959"/>
      <w:bookmarkStart w:id="13" w:name="_Toc93661691"/>
      <w:r>
        <w:t xml:space="preserve">5. </w:t>
      </w:r>
      <w:r w:rsidR="001A236D" w:rsidRPr="000E1435">
        <w:t>Implementation</w:t>
      </w:r>
      <w:r w:rsidR="001A236D">
        <w:t xml:space="preserve"> and Deliverables</w:t>
      </w:r>
      <w:bookmarkEnd w:id="12"/>
      <w:bookmarkEnd w:id="13"/>
    </w:p>
    <w:p w14:paraId="2A8C34F4" w14:textId="3734F890" w:rsidR="007A2EAA" w:rsidRDefault="006044C0" w:rsidP="00696D73">
      <w:pPr>
        <w:tabs>
          <w:tab w:val="left" w:pos="-180"/>
        </w:tabs>
        <w:ind w:left="-180"/>
        <w:rPr>
          <w:rFonts w:ascii="Arial" w:hAnsi="Arial"/>
          <w:bCs/>
        </w:rPr>
      </w:pPr>
      <w:r>
        <w:rPr>
          <w:rFonts w:ascii="Arial" w:hAnsi="Arial" w:cs="Arial"/>
        </w:rPr>
        <w:t xml:space="preserve">A contract is required to support and maintain the Interflex system from </w:t>
      </w:r>
      <w:r>
        <w:rPr>
          <w:rFonts w:ascii="Arial" w:hAnsi="Arial" w:cs="Arial"/>
        </w:rPr>
        <w:t>25</w:t>
      </w:r>
      <w:r>
        <w:rPr>
          <w:rFonts w:ascii="Arial" w:hAnsi="Arial" w:cs="Arial"/>
        </w:rPr>
        <w:t>/07/20</w:t>
      </w:r>
      <w:r>
        <w:rPr>
          <w:rFonts w:ascii="Arial" w:hAnsi="Arial" w:cs="Arial"/>
        </w:rPr>
        <w:t>22</w:t>
      </w:r>
      <w:r>
        <w:rPr>
          <w:rFonts w:ascii="Arial" w:hAnsi="Arial" w:cs="Arial"/>
        </w:rPr>
        <w:t xml:space="preserve"> for </w:t>
      </w:r>
      <w:r>
        <w:rPr>
          <w:rFonts w:ascii="Arial" w:hAnsi="Arial" w:cs="Arial"/>
        </w:rPr>
        <w:t>one</w:t>
      </w:r>
      <w:r>
        <w:rPr>
          <w:rFonts w:ascii="Arial" w:hAnsi="Arial" w:cs="Arial"/>
        </w:rPr>
        <w:t xml:space="preserve"> years with an option to extend for 1 + 1 years.</w:t>
      </w:r>
    </w:p>
    <w:p w14:paraId="5FD82FAF" w14:textId="77777777" w:rsidR="001A236D" w:rsidRDefault="00237E4B" w:rsidP="00237E4B">
      <w:pPr>
        <w:pStyle w:val="Heading2"/>
        <w:tabs>
          <w:tab w:val="clear" w:pos="0"/>
          <w:tab w:val="left" w:pos="-180"/>
          <w:tab w:val="num" w:pos="747"/>
        </w:tabs>
        <w:ind w:left="-180"/>
      </w:pPr>
      <w:bookmarkStart w:id="14" w:name="_Toc177969168"/>
      <w:bookmarkStart w:id="15" w:name="_Toc180380667"/>
      <w:bookmarkStart w:id="16" w:name="_Toc93661692"/>
      <w:bookmarkEnd w:id="10"/>
      <w:bookmarkEnd w:id="11"/>
      <w:r w:rsidRPr="00237E4B">
        <w:t>6.</w:t>
      </w:r>
      <w:r>
        <w:t xml:space="preserve"> </w:t>
      </w:r>
      <w:r w:rsidR="001A236D" w:rsidRPr="000E1435">
        <w:t>Specifying Goods and / or Services</w:t>
      </w:r>
      <w:bookmarkEnd w:id="14"/>
      <w:bookmarkEnd w:id="15"/>
      <w:bookmarkEnd w:id="16"/>
    </w:p>
    <w:p w14:paraId="248D954C" w14:textId="76749E75" w:rsidR="006044C0" w:rsidRDefault="006044C0" w:rsidP="006044C0">
      <w:pPr>
        <w:tabs>
          <w:tab w:val="left" w:pos="-180"/>
        </w:tabs>
        <w:ind w:left="-180"/>
        <w:rPr>
          <w:rFonts w:ascii="Arial" w:hAnsi="Arial" w:cs="Arial"/>
        </w:rPr>
      </w:pPr>
      <w:r>
        <w:rPr>
          <w:rFonts w:ascii="Arial" w:hAnsi="Arial" w:cs="Arial"/>
        </w:rPr>
        <w:t xml:space="preserve">A contract </w:t>
      </w:r>
      <w:r>
        <w:rPr>
          <w:rFonts w:ascii="Arial" w:hAnsi="Arial" w:cs="Arial"/>
        </w:rPr>
        <w:t>for</w:t>
      </w:r>
      <w:r>
        <w:rPr>
          <w:rFonts w:ascii="Arial" w:hAnsi="Arial" w:cs="Arial"/>
        </w:rPr>
        <w:t xml:space="preserve"> Interflex support and maintenance to cover the Interflex System 6020 Software (IF 6020 Application Modules) and Hardware (Data Recording Equipment) to include up to </w:t>
      </w:r>
      <w:r>
        <w:rPr>
          <w:rFonts w:ascii="Arial" w:hAnsi="Arial" w:cs="Arial"/>
        </w:rPr>
        <w:t>6</w:t>
      </w:r>
      <w:r>
        <w:rPr>
          <w:rFonts w:ascii="Arial" w:hAnsi="Arial" w:cs="Arial"/>
        </w:rPr>
        <w:t xml:space="preserve">000 employees and 35 master time recording terminals. </w:t>
      </w:r>
    </w:p>
    <w:p w14:paraId="234DD374" w14:textId="77777777" w:rsidR="003F7E1C" w:rsidRDefault="003F7E1C" w:rsidP="00237E4B">
      <w:pPr>
        <w:tabs>
          <w:tab w:val="left" w:pos="-180"/>
        </w:tabs>
        <w:ind w:hanging="180"/>
        <w:rPr>
          <w:rFonts w:ascii="Arial" w:hAnsi="Arial" w:cs="Arial"/>
        </w:rPr>
      </w:pPr>
    </w:p>
    <w:p w14:paraId="734AF3AE" w14:textId="77777777" w:rsidR="00F06671" w:rsidRDefault="00F06671" w:rsidP="00237E4B">
      <w:pPr>
        <w:tabs>
          <w:tab w:val="left" w:pos="-180"/>
        </w:tabs>
        <w:ind w:left="-180"/>
        <w:rPr>
          <w:rFonts w:ascii="Arial" w:hAnsi="Arial" w:cs="Arial"/>
        </w:rPr>
      </w:pPr>
    </w:p>
    <w:p w14:paraId="276A2306" w14:textId="77777777" w:rsidR="00136AFE" w:rsidRPr="003B029F" w:rsidRDefault="00136AFE" w:rsidP="00136AFE">
      <w:pPr>
        <w:tabs>
          <w:tab w:val="left" w:pos="-180"/>
        </w:tabs>
        <w:ind w:left="-180"/>
        <w:rPr>
          <w:rFonts w:ascii="Arial" w:hAnsi="Arial" w:cs="Arial"/>
          <w:iCs/>
          <w:szCs w:val="24"/>
        </w:rPr>
      </w:pPr>
    </w:p>
    <w:p w14:paraId="5BBF6BD5" w14:textId="77777777" w:rsidR="00256266" w:rsidRDefault="00256266" w:rsidP="00850192">
      <w:pPr>
        <w:pStyle w:val="Heading2"/>
        <w:tabs>
          <w:tab w:val="clear" w:pos="0"/>
          <w:tab w:val="left" w:pos="-180"/>
        </w:tabs>
        <w:spacing w:before="0"/>
        <w:ind w:hanging="181"/>
      </w:pPr>
      <w:bookmarkStart w:id="17" w:name="_Toc177969172"/>
      <w:bookmarkStart w:id="18" w:name="_Toc180380671"/>
    </w:p>
    <w:p w14:paraId="0CDDE049" w14:textId="54C319BE" w:rsidR="001A236D" w:rsidRDefault="00237E4B" w:rsidP="00850192">
      <w:pPr>
        <w:pStyle w:val="Heading2"/>
        <w:tabs>
          <w:tab w:val="clear" w:pos="0"/>
          <w:tab w:val="left" w:pos="-180"/>
        </w:tabs>
        <w:spacing w:before="0"/>
        <w:ind w:hanging="181"/>
      </w:pPr>
      <w:bookmarkStart w:id="19" w:name="_Toc93661693"/>
      <w:r>
        <w:t xml:space="preserve">7. </w:t>
      </w:r>
      <w:r w:rsidR="001A236D" w:rsidRPr="000E1435">
        <w:t>Quality Assurance Requirements</w:t>
      </w:r>
      <w:bookmarkEnd w:id="17"/>
      <w:bookmarkEnd w:id="18"/>
      <w:bookmarkEnd w:id="19"/>
      <w:r w:rsidR="001A236D" w:rsidRPr="000E1435">
        <w:t xml:space="preserve"> </w:t>
      </w:r>
      <w:r w:rsidR="001A236D" w:rsidRPr="000E1435">
        <w:tab/>
      </w:r>
    </w:p>
    <w:p w14:paraId="1901F0C0" w14:textId="5288C76F" w:rsidR="007F633E" w:rsidRPr="00601CD6" w:rsidRDefault="00601CD6" w:rsidP="00C2167B">
      <w:pPr>
        <w:ind w:left="-180"/>
        <w:rPr>
          <w:rFonts w:ascii="Arial" w:hAnsi="Arial" w:cs="Arial"/>
        </w:rPr>
      </w:pPr>
      <w:r w:rsidRPr="00601CD6">
        <w:rPr>
          <w:rFonts w:ascii="Arial" w:hAnsi="Arial"/>
        </w:rPr>
        <w:t>N/A</w:t>
      </w:r>
    </w:p>
    <w:p w14:paraId="689B7078" w14:textId="29F434A8" w:rsidR="008E61CF" w:rsidRPr="00C31971" w:rsidRDefault="008E61CF" w:rsidP="00C31971">
      <w:pPr>
        <w:tabs>
          <w:tab w:val="left" w:pos="-180"/>
        </w:tabs>
        <w:ind w:hanging="180"/>
        <w:jc w:val="both"/>
        <w:rPr>
          <w:rFonts w:ascii="Arial" w:hAnsi="Arial"/>
        </w:rPr>
      </w:pPr>
    </w:p>
    <w:p w14:paraId="4358D627" w14:textId="53EDE5F3" w:rsidR="00021DCA" w:rsidRDefault="000F2E21" w:rsidP="000F2E21">
      <w:pPr>
        <w:pStyle w:val="Heading2"/>
        <w:ind w:left="-180"/>
      </w:pPr>
      <w:bookmarkStart w:id="20" w:name="_Toc93661694"/>
      <w:r>
        <w:t xml:space="preserve">8. </w:t>
      </w:r>
      <w:r w:rsidR="006F21BC">
        <w:t>Other Requirements</w:t>
      </w:r>
      <w:bookmarkEnd w:id="20"/>
    </w:p>
    <w:p w14:paraId="58021C6E" w14:textId="77777777" w:rsidR="00BB623F" w:rsidRPr="000C2A5E" w:rsidRDefault="00BB623F" w:rsidP="00BB623F">
      <w:pPr>
        <w:ind w:left="-180"/>
        <w:rPr>
          <w:rFonts w:ascii="Arial" w:hAnsi="Arial" w:cs="Arial"/>
        </w:rPr>
      </w:pPr>
      <w:r w:rsidRPr="000C2A5E">
        <w:t>Suppliers shall provide a statement regarding the scope of their Business Continuity and Disaster Recovery Plans to protect the Agency from the consequences of business interruptions.</w:t>
      </w:r>
    </w:p>
    <w:p w14:paraId="5A35350D" w14:textId="77777777" w:rsidR="00630C0C" w:rsidRDefault="00630C0C" w:rsidP="007A2EAA">
      <w:pPr>
        <w:ind w:left="-180"/>
        <w:rPr>
          <w:rFonts w:ascii="Arial" w:hAnsi="Arial" w:cs="Arial"/>
          <w:highlight w:val="yellow"/>
        </w:rPr>
      </w:pPr>
    </w:p>
    <w:p w14:paraId="46410B04" w14:textId="77777777" w:rsidR="007A2EAA" w:rsidRDefault="009F6BD3" w:rsidP="007A2EAA">
      <w:pPr>
        <w:ind w:left="-180"/>
        <w:rPr>
          <w:rFonts w:ascii="Arial" w:hAnsi="Arial" w:cs="Arial"/>
        </w:rPr>
      </w:pPr>
      <w:r>
        <w:rPr>
          <w:rFonts w:ascii="Arial" w:hAnsi="Arial" w:cs="Arial"/>
          <w:highlight w:val="yellow"/>
        </w:rPr>
        <w:t>In this section, you also need to include</w:t>
      </w:r>
      <w:r w:rsidR="007A2EAA" w:rsidRPr="003F7E1C">
        <w:rPr>
          <w:rFonts w:ascii="Arial" w:hAnsi="Arial" w:cs="Arial"/>
          <w:highlight w:val="yellow"/>
        </w:rPr>
        <w:t xml:space="preserve"> the </w:t>
      </w:r>
      <w:r>
        <w:rPr>
          <w:rFonts w:ascii="Arial" w:hAnsi="Arial" w:cs="Arial"/>
          <w:highlight w:val="yellow"/>
        </w:rPr>
        <w:t xml:space="preserve">input from the </w:t>
      </w:r>
      <w:r w:rsidR="007A2EAA" w:rsidRPr="003F7E1C">
        <w:rPr>
          <w:rFonts w:ascii="Arial" w:hAnsi="Arial" w:cs="Arial"/>
          <w:highlight w:val="yellow"/>
        </w:rPr>
        <w:t>following Relevant Factors:</w:t>
      </w:r>
    </w:p>
    <w:p w14:paraId="48506362" w14:textId="77777777" w:rsidR="006F21BC" w:rsidRDefault="006F21BC" w:rsidP="006F21BC">
      <w:pPr>
        <w:ind w:left="-180"/>
        <w:rPr>
          <w:rFonts w:ascii="Arial" w:hAnsi="Arial" w:cs="Arial"/>
        </w:rPr>
      </w:pPr>
    </w:p>
    <w:p w14:paraId="4F0172A7" w14:textId="77777777" w:rsidR="006F21BC" w:rsidRPr="006D72D3" w:rsidRDefault="003B029F" w:rsidP="003145E6">
      <w:pPr>
        <w:spacing w:after="120"/>
        <w:rPr>
          <w:rFonts w:ascii="Arial" w:hAnsi="Arial" w:cs="Arial"/>
          <w:b/>
        </w:rPr>
      </w:pPr>
      <w:r>
        <w:rPr>
          <w:rFonts w:ascii="Arial" w:hAnsi="Arial" w:cs="Arial"/>
          <w:b/>
        </w:rPr>
        <w:lastRenderedPageBreak/>
        <w:t xml:space="preserve">8.1 </w:t>
      </w:r>
      <w:r w:rsidR="006F21BC" w:rsidRPr="006D72D3">
        <w:rPr>
          <w:rFonts w:ascii="Arial" w:hAnsi="Arial" w:cs="Arial"/>
          <w:b/>
        </w:rPr>
        <w:t xml:space="preserve">Information Assurance </w:t>
      </w:r>
    </w:p>
    <w:p w14:paraId="05985886" w14:textId="1CEAF625" w:rsidR="006D72D3" w:rsidRDefault="006D72D3" w:rsidP="0071376C">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0D83B028" w14:textId="77777777" w:rsidTr="00F2000D">
        <w:trPr>
          <w:trHeight w:val="983"/>
        </w:trPr>
        <w:tc>
          <w:tcPr>
            <w:tcW w:w="9350" w:type="dxa"/>
          </w:tcPr>
          <w:p w14:paraId="07A3A0ED" w14:textId="77777777" w:rsidR="00F30D07" w:rsidRPr="007A2EAA" w:rsidRDefault="00F30D07" w:rsidP="00F30D07">
            <w:pPr>
              <w:rPr>
                <w:rFonts w:ascii="Arial" w:hAnsi="Arial" w:cs="Arial"/>
              </w:rPr>
            </w:pPr>
            <w:r w:rsidRPr="002A67E8">
              <w:rPr>
                <w:rFonts w:ascii="Arial" w:hAnsi="Arial" w:cs="Arial"/>
                <w:b/>
              </w:rPr>
              <w:t>Removable Media</w:t>
            </w:r>
          </w:p>
          <w:p w14:paraId="5288BBA1" w14:textId="2BD93824" w:rsidR="00F30D07" w:rsidRPr="002A67E8" w:rsidRDefault="00F30D07" w:rsidP="00F30D07">
            <w:pPr>
              <w:rPr>
                <w:rFonts w:ascii="Arial" w:hAnsi="Arial" w:cs="Arial"/>
              </w:rPr>
            </w:pPr>
            <w:r w:rsidRPr="002A67E8">
              <w:rPr>
                <w:rFonts w:ascii="Arial" w:hAnsi="Arial" w:cs="Arial"/>
              </w:rPr>
              <w:t xml:space="preserve">Tenderers should note that removable media is not permitted in the delivery of this Contract.  Where there is a requirement for </w:t>
            </w:r>
            <w:r w:rsidR="00F10643">
              <w:rPr>
                <w:rFonts w:ascii="Arial" w:hAnsi="Arial" w:cs="Arial"/>
              </w:rPr>
              <w:t>S</w:t>
            </w:r>
            <w:r w:rsidR="007A111B">
              <w:rPr>
                <w:rFonts w:ascii="Arial" w:hAnsi="Arial" w:cs="Arial"/>
              </w:rPr>
              <w:t>upplier</w:t>
            </w:r>
            <w:r w:rsidRPr="002A67E8">
              <w:rPr>
                <w:rFonts w:ascii="Arial" w:hAnsi="Arial" w:cs="Arial"/>
              </w:rPr>
              <w:t xml:space="preserve"> </w:t>
            </w:r>
            <w:r w:rsidR="00F10643">
              <w:rPr>
                <w:rFonts w:ascii="Arial" w:hAnsi="Arial" w:cs="Arial"/>
              </w:rPr>
              <w:t>S</w:t>
            </w:r>
            <w:r w:rsidRPr="002A67E8">
              <w:rPr>
                <w:rFonts w:ascii="Arial" w:hAnsi="Arial" w:cs="Arial"/>
              </w:rPr>
              <w:t>taff to take data off site in electronic format, the DVLA will consider if it is appropriate to supply an encrypted hard drive.</w:t>
            </w:r>
          </w:p>
          <w:p w14:paraId="629303A0" w14:textId="77777777" w:rsidR="00F30D07" w:rsidRPr="002A67E8" w:rsidRDefault="00F30D07" w:rsidP="00F30D07">
            <w:pPr>
              <w:rPr>
                <w:rFonts w:ascii="Arial" w:hAnsi="Arial" w:cs="Arial"/>
                <w:b/>
              </w:rPr>
            </w:pPr>
          </w:p>
          <w:p w14:paraId="3CFEFFCB" w14:textId="77777777" w:rsidR="00F30D07" w:rsidRPr="007A2EAA" w:rsidRDefault="00F30D07" w:rsidP="00F30D07">
            <w:pPr>
              <w:rPr>
                <w:rFonts w:ascii="Arial" w:hAnsi="Arial" w:cs="Arial"/>
              </w:rPr>
            </w:pPr>
            <w:r w:rsidRPr="002A67E8">
              <w:rPr>
                <w:rFonts w:ascii="Arial" w:hAnsi="Arial" w:cs="Arial"/>
                <w:b/>
              </w:rPr>
              <w:t>Security Clearance</w:t>
            </w:r>
          </w:p>
          <w:p w14:paraId="012CE2CC" w14:textId="77777777" w:rsidR="00F30D07" w:rsidRPr="002A67E8" w:rsidRDefault="00F30D07" w:rsidP="00F30D07">
            <w:pPr>
              <w:rPr>
                <w:rFonts w:ascii="Arial" w:hAnsi="Arial" w:cs="Arial"/>
                <w:b/>
              </w:rPr>
            </w:pPr>
          </w:p>
          <w:p w14:paraId="320563EF" w14:textId="7CF1A634" w:rsidR="00F30D07" w:rsidRPr="007A2EAA" w:rsidRDefault="00F30D07" w:rsidP="00F30D07">
            <w:pPr>
              <w:rPr>
                <w:rFonts w:ascii="Arial" w:hAnsi="Arial" w:cs="Arial"/>
              </w:rPr>
            </w:pPr>
            <w:r w:rsidRPr="002A67E8">
              <w:rPr>
                <w:rFonts w:ascii="Arial" w:hAnsi="Arial" w:cs="Arial"/>
                <w:b/>
              </w:rPr>
              <w:t xml:space="preserve">Level 1 </w:t>
            </w:r>
          </w:p>
          <w:p w14:paraId="4E7C60CF" w14:textId="0EF93C8D" w:rsidR="00F30D07" w:rsidRPr="002A67E8" w:rsidRDefault="00F30D07" w:rsidP="00F30D07">
            <w:pPr>
              <w:rPr>
                <w:rFonts w:ascii="Arial" w:hAnsi="Arial" w:cs="Arial"/>
              </w:rPr>
            </w:pPr>
            <w:r w:rsidRPr="002A67E8">
              <w:rPr>
                <w:rFonts w:ascii="Arial" w:hAnsi="Arial" w:cs="Arial"/>
              </w:rPr>
              <w:t>Tender</w:t>
            </w:r>
            <w:r>
              <w:rPr>
                <w:rFonts w:ascii="Arial" w:hAnsi="Arial" w:cs="Arial"/>
              </w:rPr>
              <w:t>er</w:t>
            </w:r>
            <w:r w:rsidRPr="002A67E8">
              <w:rPr>
                <w:rFonts w:ascii="Arial" w:hAnsi="Arial" w:cs="Arial"/>
              </w:rPr>
              <w:t xml:space="preserve">s are required to acknowledge in their response that any </w:t>
            </w:r>
            <w:r w:rsidR="00F10643">
              <w:rPr>
                <w:rFonts w:ascii="Arial" w:hAnsi="Arial" w:cs="Arial"/>
              </w:rPr>
              <w:t>S</w:t>
            </w:r>
            <w:r w:rsidR="007A111B">
              <w:rPr>
                <w:rFonts w:ascii="Arial" w:hAnsi="Arial" w:cs="Arial"/>
              </w:rPr>
              <w:t>upplier</w:t>
            </w:r>
            <w:r w:rsidRPr="002A67E8">
              <w:rPr>
                <w:rFonts w:ascii="Arial" w:hAnsi="Arial" w:cs="Arial"/>
              </w:rPr>
              <w:t xml:space="preserve"> </w:t>
            </w:r>
            <w:r w:rsidR="00F10643">
              <w:rPr>
                <w:rFonts w:ascii="Arial" w:hAnsi="Arial" w:cs="Arial"/>
              </w:rPr>
              <w:t>S</w:t>
            </w:r>
            <w:r w:rsidRPr="002A67E8">
              <w:rPr>
                <w:rFonts w:ascii="Arial" w:hAnsi="Arial" w:cs="Arial"/>
              </w:rPr>
              <w:t>taff that will have access to the DVLA site for meetings and similar (but have no access to the DVLA systems), must be supervised at all times by DVLA staff.</w:t>
            </w:r>
          </w:p>
          <w:p w14:paraId="696DBB02" w14:textId="77777777" w:rsidR="00F30D07" w:rsidRDefault="00F30D07" w:rsidP="00F30D07">
            <w:pPr>
              <w:rPr>
                <w:rFonts w:ascii="Arial" w:hAnsi="Arial" w:cs="Arial"/>
                <w:b/>
              </w:rPr>
            </w:pPr>
            <w:r w:rsidRPr="002A67E8">
              <w:rPr>
                <w:rFonts w:ascii="Arial" w:hAnsi="Arial" w:cs="Arial"/>
                <w:b/>
              </w:rPr>
              <w:br w:type="page"/>
            </w:r>
          </w:p>
          <w:p w14:paraId="31AC247A" w14:textId="77777777" w:rsidR="00F30D07" w:rsidRPr="001A2B92" w:rsidRDefault="00F30D07" w:rsidP="00F30D07">
            <w:pPr>
              <w:rPr>
                <w:rFonts w:ascii="Arial" w:hAnsi="Arial" w:cs="Arial"/>
              </w:rPr>
            </w:pPr>
            <w:r w:rsidRPr="002A67E8">
              <w:rPr>
                <w:rFonts w:ascii="Arial" w:hAnsi="Arial" w:cs="Arial"/>
                <w:b/>
              </w:rPr>
              <w:t>Information Supply Chain</w:t>
            </w:r>
          </w:p>
          <w:p w14:paraId="1EC01798" w14:textId="5D822501" w:rsidR="00F30D07" w:rsidRPr="00BB623F" w:rsidRDefault="00F30D07" w:rsidP="00F30D07">
            <w:pPr>
              <w:rPr>
                <w:rFonts w:ascii="Arial" w:hAnsi="Arial" w:cs="Arial"/>
              </w:rPr>
            </w:pPr>
            <w:r w:rsidRPr="001A2B92">
              <w:rPr>
                <w:rFonts w:ascii="Arial" w:hAnsi="Arial" w:cs="Arial"/>
              </w:rPr>
              <w:t xml:space="preserve">Tenderers are required to confirm how DVLA Data will be securely managed at each stage of the Information Supply Chain.  This applies to both </w:t>
            </w:r>
            <w:r w:rsidR="00F10643">
              <w:rPr>
                <w:rFonts w:ascii="Arial" w:hAnsi="Arial" w:cs="Arial"/>
              </w:rPr>
              <w:t>S</w:t>
            </w:r>
            <w:r w:rsidR="007A111B">
              <w:rPr>
                <w:rFonts w:ascii="Arial" w:hAnsi="Arial" w:cs="Arial"/>
              </w:rPr>
              <w:t>upplier</w:t>
            </w:r>
            <w:r w:rsidRPr="001A2B92">
              <w:rPr>
                <w:rFonts w:ascii="Arial" w:hAnsi="Arial" w:cs="Arial"/>
              </w:rPr>
              <w:t>s and Sub</w:t>
            </w:r>
            <w:r w:rsidR="007A111B">
              <w:rPr>
                <w:rFonts w:ascii="Arial" w:hAnsi="Arial" w:cs="Arial"/>
              </w:rPr>
              <w:t>c</w:t>
            </w:r>
            <w:r w:rsidRPr="001A2B92">
              <w:rPr>
                <w:rFonts w:ascii="Arial" w:hAnsi="Arial" w:cs="Arial"/>
              </w:rPr>
              <w:t>ontractors.  Retention schedules will need to be defined and agreed prior to award of contract.</w:t>
            </w:r>
          </w:p>
          <w:p w14:paraId="266363C7" w14:textId="77777777" w:rsidR="00F2000D" w:rsidRDefault="00F2000D" w:rsidP="00F30D07">
            <w:pPr>
              <w:rPr>
                <w:rFonts w:ascii="Arial" w:hAnsi="Arial" w:cs="Arial"/>
                <w:b/>
              </w:rPr>
            </w:pPr>
          </w:p>
          <w:p w14:paraId="4A55ED5F" w14:textId="12545514" w:rsidR="00F30D07" w:rsidRPr="001A2B92" w:rsidRDefault="00F30D07" w:rsidP="00F30D07">
            <w:pPr>
              <w:rPr>
                <w:rFonts w:ascii="Arial" w:hAnsi="Arial" w:cs="Arial"/>
              </w:rPr>
            </w:pPr>
            <w:r w:rsidRPr="00423A1B">
              <w:rPr>
                <w:rFonts w:ascii="Arial" w:hAnsi="Arial" w:cs="Arial"/>
                <w:b/>
              </w:rPr>
              <w:t>Processing Personal Data</w:t>
            </w:r>
          </w:p>
          <w:p w14:paraId="1AB67515" w14:textId="77777777" w:rsidR="00F30D07" w:rsidRDefault="00F30D07" w:rsidP="00F30D07">
            <w:pPr>
              <w:rPr>
                <w:rFonts w:ascii="Arial" w:hAnsi="Arial" w:cs="Arial"/>
                <w:iCs/>
              </w:rPr>
            </w:pPr>
            <w:r w:rsidRPr="00423A1B">
              <w:rPr>
                <w:rFonts w:ascii="Arial" w:hAnsi="Arial" w:cs="Arial"/>
                <w:iCs/>
              </w:rPr>
              <w:t xml:space="preserve">Please note that the </w:t>
            </w:r>
            <w:r w:rsidRPr="00423A1B">
              <w:rPr>
                <w:rFonts w:ascii="Arial" w:hAnsi="Arial" w:cs="Arial"/>
              </w:rPr>
              <w:t>successful tenderer as part of the contract</w:t>
            </w:r>
            <w:r w:rsidRPr="00423A1B">
              <w:rPr>
                <w:rFonts w:ascii="Arial" w:hAnsi="Arial" w:cs="Arial"/>
                <w:iCs/>
              </w:rPr>
              <w:t xml:space="preserve"> agrees to comply with all applicable requirements of </w:t>
            </w:r>
            <w:r>
              <w:rPr>
                <w:rFonts w:ascii="Arial" w:hAnsi="Arial" w:cs="Arial"/>
                <w:iCs/>
              </w:rPr>
              <w:t>UK Data Protection L</w:t>
            </w:r>
            <w:r w:rsidRPr="00423A1B">
              <w:rPr>
                <w:rFonts w:ascii="Arial" w:hAnsi="Arial" w:cs="Arial"/>
                <w:iCs/>
              </w:rPr>
              <w:t>egislation</w:t>
            </w:r>
            <w:r>
              <w:rPr>
                <w:rFonts w:ascii="Arial" w:hAnsi="Arial" w:cs="Arial"/>
                <w:iCs/>
              </w:rPr>
              <w:t xml:space="preserve"> (including UK GDPR)</w:t>
            </w:r>
            <w:r w:rsidRPr="00423A1B">
              <w:rPr>
                <w:rFonts w:ascii="Arial" w:hAnsi="Arial" w:cs="Arial"/>
                <w:iCs/>
              </w:rPr>
              <w:t xml:space="preserve"> and all applicable Law about the processing of personal data and privacy.</w:t>
            </w:r>
          </w:p>
          <w:p w14:paraId="288B9299" w14:textId="050D1D18" w:rsidR="006D72D3" w:rsidRPr="002A67E8" w:rsidRDefault="006D72D3" w:rsidP="00F30D07">
            <w:pPr>
              <w:rPr>
                <w:rFonts w:ascii="Arial" w:hAnsi="Arial" w:cs="Arial"/>
                <w:b/>
              </w:rPr>
            </w:pPr>
          </w:p>
        </w:tc>
      </w:tr>
    </w:tbl>
    <w:p w14:paraId="0123B8E7" w14:textId="77777777" w:rsidR="008E61CF" w:rsidRDefault="008E61CF" w:rsidP="003145E6">
      <w:pPr>
        <w:spacing w:after="120"/>
        <w:rPr>
          <w:rFonts w:ascii="Arial" w:hAnsi="Arial" w:cs="Arial"/>
          <w:b/>
        </w:rPr>
      </w:pPr>
    </w:p>
    <w:p w14:paraId="4FFA8347" w14:textId="77777777" w:rsidR="003D4D09" w:rsidRPr="006F21BC" w:rsidRDefault="003D4D09" w:rsidP="003D4D0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0370" w:rsidRPr="002A67E8" w14:paraId="474B08BE" w14:textId="77777777" w:rsidTr="007E6AF7">
        <w:tc>
          <w:tcPr>
            <w:tcW w:w="5000" w:type="pct"/>
          </w:tcPr>
          <w:p w14:paraId="31A40E0A" w14:textId="4A38F5A4" w:rsidR="00A80370" w:rsidRDefault="00A80370" w:rsidP="007E6AF7">
            <w:pPr>
              <w:rPr>
                <w:rFonts w:ascii="Arial" w:hAnsi="Arial" w:cs="Arial"/>
                <w:szCs w:val="24"/>
              </w:rPr>
            </w:pPr>
            <w:r w:rsidRPr="0054597A">
              <w:rPr>
                <w:rFonts w:ascii="Arial" w:hAnsi="Arial" w:cs="Arial"/>
                <w:szCs w:val="24"/>
              </w:rPr>
              <w:t xml:space="preserve">To help prevent the spread of COVID-19 and reduce the potential risk of exposure, DVLA </w:t>
            </w:r>
            <w:r w:rsidRPr="00D12033">
              <w:rPr>
                <w:rFonts w:ascii="Arial" w:hAnsi="Arial" w:cs="Arial"/>
                <w:szCs w:val="24"/>
              </w:rPr>
              <w:t xml:space="preserve">has a </w:t>
            </w:r>
            <w:r>
              <w:rPr>
                <w:rFonts w:ascii="Arial" w:hAnsi="Arial" w:cs="Arial"/>
                <w:szCs w:val="24"/>
              </w:rPr>
              <w:t>set of assessments that must be completed prior to attendance at any DVLA site. There are also a strict set of procedures that must be adhered to whilst on site. These apply to all</w:t>
            </w:r>
            <w:r w:rsidR="007A111B">
              <w:rPr>
                <w:rFonts w:ascii="Arial" w:hAnsi="Arial" w:cs="Arial"/>
                <w:szCs w:val="24"/>
              </w:rPr>
              <w:t xml:space="preserve"> </w:t>
            </w:r>
            <w:r>
              <w:rPr>
                <w:rFonts w:ascii="Arial" w:hAnsi="Arial" w:cs="Arial"/>
                <w:szCs w:val="24"/>
              </w:rPr>
              <w:t xml:space="preserve">staff and </w:t>
            </w:r>
            <w:r w:rsidR="00742145">
              <w:rPr>
                <w:rFonts w:ascii="Arial" w:hAnsi="Arial" w:cs="Arial"/>
                <w:szCs w:val="24"/>
              </w:rPr>
              <w:t>contractors</w:t>
            </w:r>
            <w:r>
              <w:rPr>
                <w:rFonts w:ascii="Arial" w:hAnsi="Arial" w:cs="Arial"/>
                <w:szCs w:val="24"/>
              </w:rPr>
              <w:t xml:space="preserve"> are kept up-to-date based on the latest Government guidance.</w:t>
            </w:r>
          </w:p>
          <w:p w14:paraId="7DBB7264" w14:textId="7B3C666F" w:rsidR="00A80370" w:rsidRDefault="00A80370" w:rsidP="007E6AF7">
            <w:pPr>
              <w:rPr>
                <w:rFonts w:ascii="Arial" w:hAnsi="Arial" w:cs="Arial"/>
                <w:szCs w:val="24"/>
              </w:rPr>
            </w:pPr>
            <w:r w:rsidRPr="00D12033">
              <w:rPr>
                <w:rFonts w:ascii="Arial" w:hAnsi="Arial" w:cs="Arial"/>
                <w:szCs w:val="24"/>
              </w:rPr>
              <w:t xml:space="preserve">Any </w:t>
            </w:r>
            <w:r w:rsidR="007D16B9">
              <w:rPr>
                <w:rFonts w:ascii="Arial" w:hAnsi="Arial" w:cs="Arial"/>
                <w:szCs w:val="24"/>
              </w:rPr>
              <w:t>S</w:t>
            </w:r>
            <w:r w:rsidR="007A111B">
              <w:rPr>
                <w:rFonts w:ascii="Arial" w:hAnsi="Arial" w:cs="Arial"/>
                <w:szCs w:val="24"/>
              </w:rPr>
              <w:t xml:space="preserve">upplier </w:t>
            </w:r>
            <w:r w:rsidR="007D16B9">
              <w:rPr>
                <w:rFonts w:ascii="Arial" w:hAnsi="Arial" w:cs="Arial"/>
                <w:szCs w:val="24"/>
              </w:rPr>
              <w:t>S</w:t>
            </w:r>
            <w:r w:rsidR="007A111B">
              <w:rPr>
                <w:rFonts w:ascii="Arial" w:hAnsi="Arial" w:cs="Arial"/>
                <w:szCs w:val="24"/>
              </w:rPr>
              <w:t>taff</w:t>
            </w:r>
            <w:r w:rsidRPr="00D12033">
              <w:rPr>
                <w:rFonts w:ascii="Arial" w:hAnsi="Arial" w:cs="Arial"/>
                <w:szCs w:val="24"/>
              </w:rPr>
              <w:t xml:space="preserve"> required to attend/visit DVLA </w:t>
            </w:r>
            <w:r>
              <w:rPr>
                <w:rFonts w:ascii="Arial" w:hAnsi="Arial" w:cs="Arial"/>
                <w:szCs w:val="24"/>
              </w:rPr>
              <w:t>site</w:t>
            </w:r>
            <w:r w:rsidRPr="00D12033">
              <w:rPr>
                <w:rFonts w:ascii="Arial" w:hAnsi="Arial" w:cs="Arial"/>
                <w:szCs w:val="24"/>
              </w:rPr>
              <w:t>, during the period of the contract</w:t>
            </w:r>
            <w:r>
              <w:rPr>
                <w:rFonts w:ascii="Arial" w:hAnsi="Arial" w:cs="Arial"/>
                <w:szCs w:val="24"/>
              </w:rPr>
              <w:t>,</w:t>
            </w:r>
            <w:r w:rsidRPr="00D12033">
              <w:rPr>
                <w:rFonts w:ascii="Arial" w:hAnsi="Arial" w:cs="Arial"/>
                <w:szCs w:val="24"/>
              </w:rPr>
              <w:t xml:space="preserve"> </w:t>
            </w:r>
            <w:r w:rsidRPr="00D12033">
              <w:rPr>
                <w:rFonts w:ascii="Arial" w:hAnsi="Arial" w:cs="Arial"/>
                <w:b/>
                <w:szCs w:val="24"/>
              </w:rPr>
              <w:t>must request and obtain a copy of the most recent DVLA Covid-19 Risk Assessment from the DVLA Contract Owner/Manager</w:t>
            </w:r>
            <w:r>
              <w:rPr>
                <w:rFonts w:ascii="Arial" w:hAnsi="Arial" w:cs="Arial"/>
                <w:b/>
                <w:szCs w:val="24"/>
              </w:rPr>
              <w:t>. They must also submit a copy of a Covid-19 Risk Assessment for their own organisation</w:t>
            </w:r>
            <w:r w:rsidRPr="00D12033">
              <w:rPr>
                <w:rFonts w:ascii="Arial" w:hAnsi="Arial" w:cs="Arial"/>
                <w:szCs w:val="24"/>
              </w:rPr>
              <w:t>.</w:t>
            </w:r>
            <w:r>
              <w:rPr>
                <w:rFonts w:ascii="Arial" w:hAnsi="Arial" w:cs="Arial"/>
                <w:szCs w:val="24"/>
              </w:rPr>
              <w:t xml:space="preserve"> This ensures that DVLA </w:t>
            </w:r>
            <w:r w:rsidR="00742145">
              <w:rPr>
                <w:rFonts w:ascii="Arial" w:hAnsi="Arial" w:cs="Arial"/>
                <w:szCs w:val="24"/>
              </w:rPr>
              <w:t>s</w:t>
            </w:r>
            <w:r w:rsidR="006204AE">
              <w:rPr>
                <w:rFonts w:ascii="Arial" w:hAnsi="Arial" w:cs="Arial"/>
                <w:szCs w:val="24"/>
              </w:rPr>
              <w:t>upplier</w:t>
            </w:r>
            <w:r w:rsidR="007A111B">
              <w:rPr>
                <w:rFonts w:ascii="Arial" w:hAnsi="Arial" w:cs="Arial"/>
                <w:szCs w:val="24"/>
              </w:rPr>
              <w:t>s</w:t>
            </w:r>
            <w:r>
              <w:rPr>
                <w:rFonts w:ascii="Arial" w:hAnsi="Arial" w:cs="Arial"/>
                <w:szCs w:val="24"/>
              </w:rPr>
              <w:t xml:space="preserve"> are not only adhering to Government guidelines whilst on site at DVLA but also in the capacity of performing their own business.</w:t>
            </w:r>
          </w:p>
          <w:p w14:paraId="1B206196" w14:textId="69DEE3B4" w:rsidR="00A80370" w:rsidRDefault="00A80370" w:rsidP="007E6AF7">
            <w:pPr>
              <w:rPr>
                <w:rFonts w:ascii="Arial" w:hAnsi="Arial" w:cs="Arial"/>
                <w:szCs w:val="24"/>
              </w:rPr>
            </w:pPr>
            <w:r>
              <w:rPr>
                <w:rFonts w:ascii="Arial" w:hAnsi="Arial" w:cs="Arial"/>
                <w:szCs w:val="24"/>
              </w:rPr>
              <w:t xml:space="preserve">Prior to any visit, each individual </w:t>
            </w:r>
            <w:r w:rsidR="007D16B9">
              <w:rPr>
                <w:rFonts w:ascii="Arial" w:hAnsi="Arial" w:cs="Arial"/>
                <w:szCs w:val="24"/>
              </w:rPr>
              <w:t xml:space="preserve">Supplier Staff </w:t>
            </w:r>
            <w:r>
              <w:rPr>
                <w:rFonts w:ascii="Arial" w:hAnsi="Arial" w:cs="Arial"/>
                <w:szCs w:val="24"/>
              </w:rPr>
              <w:t xml:space="preserve">may also be required to complete a “Covid-19 Contractor Questionnaire”, which is a self-declaration to further minimise the risk of exposure. Copies of this Questionnaire, where required, will be available at DVLA Reception or from the member of staff escorting the </w:t>
            </w:r>
            <w:r w:rsidR="007D16B9">
              <w:rPr>
                <w:rFonts w:ascii="Arial" w:hAnsi="Arial" w:cs="Arial"/>
                <w:szCs w:val="24"/>
              </w:rPr>
              <w:t>Supplier Staff</w:t>
            </w:r>
            <w:r>
              <w:rPr>
                <w:rFonts w:ascii="Arial" w:hAnsi="Arial" w:cs="Arial"/>
                <w:szCs w:val="24"/>
              </w:rPr>
              <w:t xml:space="preserve"> (where required).</w:t>
            </w:r>
          </w:p>
          <w:p w14:paraId="444C89B0" w14:textId="681B32DC" w:rsidR="00A80370" w:rsidRPr="00305A22" w:rsidRDefault="00A80370" w:rsidP="007E6AF7">
            <w:pPr>
              <w:rPr>
                <w:rFonts w:ascii="Arial" w:hAnsi="Arial" w:cs="Arial"/>
                <w:szCs w:val="24"/>
              </w:rPr>
            </w:pPr>
            <w:r w:rsidRPr="00D12033">
              <w:rPr>
                <w:rFonts w:ascii="Arial" w:hAnsi="Arial" w:cs="Arial"/>
                <w:b/>
                <w:szCs w:val="24"/>
              </w:rPr>
              <w:t>N.B.</w:t>
            </w:r>
            <w:r>
              <w:rPr>
                <w:rFonts w:ascii="Arial" w:hAnsi="Arial" w:cs="Arial"/>
                <w:szCs w:val="24"/>
              </w:rPr>
              <w:t xml:space="preserve"> </w:t>
            </w:r>
            <w:r w:rsidRPr="00D12033">
              <w:rPr>
                <w:rFonts w:ascii="Arial" w:hAnsi="Arial" w:cs="Arial"/>
                <w:szCs w:val="24"/>
              </w:rPr>
              <w:t xml:space="preserve">The </w:t>
            </w:r>
            <w:r>
              <w:rPr>
                <w:rFonts w:ascii="Arial" w:hAnsi="Arial" w:cs="Arial"/>
                <w:szCs w:val="24"/>
              </w:rPr>
              <w:t>processes and a</w:t>
            </w:r>
            <w:r w:rsidRPr="00D12033">
              <w:rPr>
                <w:rFonts w:ascii="Arial" w:hAnsi="Arial" w:cs="Arial"/>
                <w:szCs w:val="24"/>
              </w:rPr>
              <w:t>ssessment</w:t>
            </w:r>
            <w:r>
              <w:rPr>
                <w:rFonts w:ascii="Arial" w:hAnsi="Arial" w:cs="Arial"/>
                <w:szCs w:val="24"/>
              </w:rPr>
              <w:t xml:space="preserve"> should be fully understood, ahead of any attendance/visit, as they include</w:t>
            </w:r>
            <w:r w:rsidRPr="00D12033">
              <w:rPr>
                <w:rFonts w:ascii="Arial" w:hAnsi="Arial" w:cs="Arial"/>
                <w:szCs w:val="24"/>
              </w:rPr>
              <w:t xml:space="preserve"> the arrangements and control measures in place to keep </w:t>
            </w:r>
            <w:r w:rsidR="006204AE">
              <w:rPr>
                <w:rFonts w:ascii="Arial" w:hAnsi="Arial" w:cs="Arial"/>
                <w:szCs w:val="24"/>
              </w:rPr>
              <w:t>S</w:t>
            </w:r>
            <w:r w:rsidR="007A111B">
              <w:rPr>
                <w:rFonts w:ascii="Arial" w:hAnsi="Arial" w:cs="Arial"/>
                <w:szCs w:val="24"/>
              </w:rPr>
              <w:t xml:space="preserve">upplier </w:t>
            </w:r>
            <w:r w:rsidR="006204AE">
              <w:rPr>
                <w:rFonts w:ascii="Arial" w:hAnsi="Arial" w:cs="Arial"/>
                <w:szCs w:val="24"/>
              </w:rPr>
              <w:t>S</w:t>
            </w:r>
            <w:r w:rsidR="007A111B">
              <w:rPr>
                <w:rFonts w:ascii="Arial" w:hAnsi="Arial" w:cs="Arial"/>
                <w:szCs w:val="24"/>
              </w:rPr>
              <w:t>taff</w:t>
            </w:r>
            <w:r w:rsidRPr="00D12033">
              <w:rPr>
                <w:rFonts w:ascii="Arial" w:hAnsi="Arial" w:cs="Arial"/>
                <w:szCs w:val="24"/>
              </w:rPr>
              <w:t xml:space="preserve"> and DVLA staff safe</w:t>
            </w:r>
            <w:r>
              <w:rPr>
                <w:rFonts w:ascii="Arial" w:hAnsi="Arial" w:cs="Arial"/>
                <w:szCs w:val="24"/>
              </w:rPr>
              <w:t>.</w:t>
            </w:r>
          </w:p>
        </w:tc>
      </w:tr>
    </w:tbl>
    <w:p w14:paraId="00DBA67C" w14:textId="61D3B796" w:rsidR="00BA1647" w:rsidRDefault="00BA1647">
      <w:pPr>
        <w:rPr>
          <w:rFonts w:ascii="Arial" w:hAnsi="Arial" w:cs="Arial"/>
          <w:b/>
        </w:rPr>
      </w:pPr>
    </w:p>
    <w:p w14:paraId="5978F6CE" w14:textId="77777777" w:rsidR="00BB623F" w:rsidRDefault="00BB623F" w:rsidP="008969AA">
      <w:pPr>
        <w:rPr>
          <w:rFonts w:ascii="Arial" w:hAnsi="Arial" w:cs="Arial"/>
          <w:b/>
          <w:highlight w:val="yellow"/>
          <w:u w:val="single"/>
        </w:rPr>
      </w:pPr>
      <w:bookmarkStart w:id="21" w:name="_Hlk83051335"/>
    </w:p>
    <w:p w14:paraId="39E4EE4F" w14:textId="77777777" w:rsidR="008969AA" w:rsidRPr="00871D00" w:rsidRDefault="008969AA" w:rsidP="008969AA">
      <w:pPr>
        <w:rPr>
          <w:rFonts w:ascii="Arial" w:hAnsi="Arial" w:cs="Arial"/>
          <w:b/>
          <w:u w:val="single"/>
        </w:rPr>
      </w:pPr>
    </w:p>
    <w:p w14:paraId="6F670E66" w14:textId="510CCAA4" w:rsidR="008969AA" w:rsidRPr="00C21B05" w:rsidRDefault="008969AA" w:rsidP="00C21B05">
      <w:pPr>
        <w:pStyle w:val="NormalWeb"/>
        <w:shd w:val="clear" w:color="auto" w:fill="FFFFFF"/>
        <w:rPr>
          <w:rFonts w:ascii="Arial" w:eastAsia="Arial" w:hAnsi="Arial" w:cs="Arial"/>
        </w:rPr>
      </w:pPr>
      <w:r w:rsidRPr="008969AA">
        <w:rPr>
          <w:rFonts w:ascii="Arial" w:hAnsi="Arial" w:cs="Arial"/>
          <w:spacing w:val="6"/>
        </w:rPr>
        <w:t>The Public sector equality duty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7A111B">
        <w:rPr>
          <w:rFonts w:ascii="Arial" w:hAnsi="Arial" w:cs="Arial"/>
          <w:spacing w:val="6"/>
        </w:rPr>
        <w:t>-</w:t>
      </w:r>
      <w:r w:rsidRPr="008969AA">
        <w:rPr>
          <w:rFonts w:ascii="Arial" w:hAnsi="Arial" w:cs="Arial"/>
          <w:spacing w:val="6"/>
        </w:rPr>
        <w:t>to</w:t>
      </w:r>
      <w:r w:rsidR="007A111B">
        <w:rPr>
          <w:rFonts w:ascii="Arial" w:hAnsi="Arial" w:cs="Arial"/>
          <w:spacing w:val="6"/>
        </w:rPr>
        <w:t>-</w:t>
      </w:r>
      <w:r w:rsidRPr="008969AA">
        <w:rPr>
          <w:rFonts w:ascii="Arial" w:hAnsi="Arial" w:cs="Arial"/>
          <w:spacing w:val="6"/>
        </w:rPr>
        <w:t>day work – in shaping policy, in delivering services, and in relation to their own employees.</w:t>
      </w:r>
      <w:r w:rsidR="00C21B05">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w:t>
      </w:r>
      <w:r w:rsidRPr="00C21B05">
        <w:rPr>
          <w:rFonts w:ascii="Arial" w:hAnsi="Arial" w:cs="Arial"/>
        </w:rPr>
        <w:t>e will not tolerate, bullying harassment or discrimination by staff, customers or partners we work with</w:t>
      </w:r>
      <w:r w:rsidRPr="00C21B05">
        <w:rPr>
          <w:rFonts w:ascii="Arial" w:hAnsi="Arial" w:cs="Arial"/>
          <w:lang w:val="en"/>
        </w:rPr>
        <w:t>.</w:t>
      </w:r>
      <w:r w:rsidR="00C21B05">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71EF4410" w14:textId="3297505E" w:rsidR="00307D58" w:rsidRDefault="00307D58" w:rsidP="004A144C">
      <w:pPr>
        <w:rPr>
          <w:rFonts w:ascii="Arial" w:hAnsi="Arial" w:cs="Arial"/>
        </w:rPr>
      </w:pPr>
    </w:p>
    <w:p w14:paraId="1000595B" w14:textId="4A05EC50" w:rsidR="008969AA" w:rsidRPr="00871D00" w:rsidRDefault="008969AA" w:rsidP="008969AA">
      <w:pPr>
        <w:rPr>
          <w:rFonts w:ascii="Arial" w:hAnsi="Arial" w:cs="Arial"/>
          <w:b/>
          <w:bCs/>
          <w:highlight w:val="yellow"/>
        </w:rPr>
      </w:pPr>
      <w:r w:rsidRPr="00DE745A">
        <w:rPr>
          <w:rFonts w:ascii="Arial" w:hAnsi="Arial" w:cs="Arial"/>
        </w:rPr>
        <w:t>A full cop</w:t>
      </w:r>
      <w:r w:rsidRPr="00786483">
        <w:rPr>
          <w:rFonts w:ascii="Arial" w:hAnsi="Arial" w:cs="Arial"/>
        </w:rPr>
        <w:t xml:space="preserve">y of our Equality, Diversity and Inclusion Policy is available on request from the </w:t>
      </w:r>
      <w:r w:rsidR="0017636D" w:rsidRPr="00786483">
        <w:rPr>
          <w:rFonts w:ascii="Arial" w:hAnsi="Arial" w:cs="Arial"/>
        </w:rPr>
        <w:t>DVLA</w:t>
      </w:r>
      <w:r w:rsidRPr="00786483">
        <w:rPr>
          <w:rFonts w:ascii="Arial" w:hAnsi="Arial" w:cs="Arial"/>
        </w:rPr>
        <w:t xml:space="preserve">. </w:t>
      </w:r>
    </w:p>
    <w:bookmarkEnd w:id="21"/>
    <w:p w14:paraId="3EB5446F" w14:textId="143E1AC3" w:rsidR="00BB0055" w:rsidRDefault="00BB0055">
      <w:pPr>
        <w:rPr>
          <w:rFonts w:ascii="Arial" w:hAnsi="Arial" w:cs="Arial"/>
          <w:b/>
        </w:rPr>
      </w:pPr>
    </w:p>
    <w:p w14:paraId="465062ED" w14:textId="7666CACC" w:rsidR="00BB0055" w:rsidRDefault="00BB0055" w:rsidP="00BB0055">
      <w:pPr>
        <w:spacing w:after="120"/>
        <w:rPr>
          <w:rFonts w:ascii="Arial" w:hAnsi="Arial" w:cs="Arial"/>
          <w:b/>
        </w:rPr>
      </w:pPr>
      <w:r w:rsidRPr="00BB0055">
        <w:rPr>
          <w:rFonts w:ascii="Arial" w:hAnsi="Arial" w:cs="Arial"/>
          <w:b/>
        </w:rPr>
        <w:t>8.</w:t>
      </w:r>
      <w:r w:rsidR="00786483">
        <w:rPr>
          <w:rFonts w:ascii="Arial" w:hAnsi="Arial" w:cs="Arial"/>
          <w:b/>
        </w:rPr>
        <w:t>2</w:t>
      </w:r>
      <w:r w:rsidRPr="00BB0055">
        <w:rPr>
          <w:rFonts w:ascii="Arial" w:hAnsi="Arial" w:cs="Arial"/>
          <w:b/>
        </w:rPr>
        <w:t xml:space="preserve"> Use of DVLA Brands, Logos and Trademarks</w:t>
      </w:r>
    </w:p>
    <w:p w14:paraId="1FC24857" w14:textId="58056C3C" w:rsidR="00BB0055" w:rsidRPr="00BB0055" w:rsidRDefault="00BB0055" w:rsidP="00BB0055">
      <w:pPr>
        <w:spacing w:after="120"/>
        <w:rPr>
          <w:rFonts w:ascii="Arial" w:hAnsi="Arial" w:cs="Arial"/>
        </w:rPr>
      </w:pPr>
      <w:r w:rsidRPr="00BB0055">
        <w:rPr>
          <w:rFonts w:ascii="Arial" w:hAnsi="Arial" w:cs="Arial"/>
        </w:rPr>
        <w:t xml:space="preserve">The </w:t>
      </w:r>
      <w:r w:rsidR="0017636D">
        <w:rPr>
          <w:rFonts w:ascii="Arial" w:hAnsi="Arial" w:cs="Arial"/>
        </w:rPr>
        <w:t>DVLA</w:t>
      </w:r>
      <w:r w:rsidRPr="00BB0055">
        <w:rPr>
          <w:rFonts w:ascii="Arial" w:hAnsi="Arial" w:cs="Arial"/>
        </w:rPr>
        <w:t xml:space="preserve"> does not grant the successful </w:t>
      </w:r>
      <w:r w:rsidR="006204AE">
        <w:rPr>
          <w:rFonts w:ascii="Arial" w:hAnsi="Arial" w:cs="Arial"/>
        </w:rPr>
        <w:t>Supplier</w:t>
      </w:r>
      <w:r w:rsidRPr="00BB0055">
        <w:rPr>
          <w:rFonts w:ascii="Arial" w:hAnsi="Arial" w:cs="Arial"/>
        </w:rPr>
        <w:t xml:space="preserve"> licence to use any of the </w:t>
      </w:r>
      <w:r w:rsidR="0017636D">
        <w:rPr>
          <w:rFonts w:ascii="Arial" w:hAnsi="Arial" w:cs="Arial"/>
        </w:rPr>
        <w:t>DVLA</w:t>
      </w:r>
      <w:r w:rsidRPr="00BB0055">
        <w:rPr>
          <w:rFonts w:ascii="Arial" w:hAnsi="Arial" w:cs="Arial"/>
        </w:rPr>
        <w:t xml:space="preserve">’s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17636D">
        <w:rPr>
          <w:rFonts w:ascii="Arial" w:hAnsi="Arial" w:cs="Arial"/>
        </w:rPr>
        <w:t>DVLA</w:t>
      </w:r>
      <w:r w:rsidRPr="00BB0055">
        <w:rPr>
          <w:rFonts w:ascii="Arial" w:hAnsi="Arial" w:cs="Arial"/>
        </w:rPr>
        <w:t xml:space="preserve"> and the successful </w:t>
      </w:r>
      <w:r w:rsidR="006204AE">
        <w:rPr>
          <w:rFonts w:ascii="Arial" w:hAnsi="Arial" w:cs="Arial"/>
        </w:rPr>
        <w:t>Supplier</w:t>
      </w:r>
      <w:r w:rsidRPr="00BB0055">
        <w:rPr>
          <w:rFonts w:ascii="Arial" w:hAnsi="Arial" w:cs="Arial"/>
        </w:rPr>
        <w:t xml:space="preserve"> as part of their fulfilment of the Contract.</w:t>
      </w:r>
    </w:p>
    <w:p w14:paraId="10C21830" w14:textId="250F211F" w:rsidR="00BB0055" w:rsidRDefault="00BB0055" w:rsidP="00786483">
      <w:pPr>
        <w:spacing w:after="120"/>
        <w:rPr>
          <w:rFonts w:ascii="Arial" w:hAnsi="Arial" w:cs="Arial"/>
        </w:rPr>
      </w:pPr>
      <w:r w:rsidRPr="00BB0055">
        <w:rPr>
          <w:rFonts w:ascii="Arial" w:hAnsi="Arial" w:cs="Arial"/>
        </w:rPr>
        <w:t xml:space="preserve">Approval for any further specific use of the </w:t>
      </w:r>
      <w:r w:rsidR="0017636D">
        <w:rPr>
          <w:rFonts w:ascii="Arial" w:hAnsi="Arial" w:cs="Arial"/>
        </w:rPr>
        <w:t>DVLA</w:t>
      </w:r>
      <w:r w:rsidRPr="00BB0055">
        <w:rPr>
          <w:rFonts w:ascii="Arial" w:hAnsi="Arial" w:cs="Arial"/>
        </w:rPr>
        <w:t xml:space="preserve">’s brands, logos or trademarks must be requested and obtained in writing from the </w:t>
      </w:r>
      <w:r w:rsidR="0017636D">
        <w:rPr>
          <w:rFonts w:ascii="Arial" w:hAnsi="Arial" w:cs="Arial"/>
        </w:rPr>
        <w:t>DVLA</w:t>
      </w:r>
      <w:r w:rsidRPr="00BB0055">
        <w:rPr>
          <w:rFonts w:ascii="Arial" w:hAnsi="Arial" w:cs="Arial"/>
        </w:rPr>
        <w:t>.</w:t>
      </w:r>
    </w:p>
    <w:p w14:paraId="507655D0" w14:textId="77777777" w:rsidR="00786483" w:rsidRPr="00786483" w:rsidRDefault="00786483" w:rsidP="00786483">
      <w:pPr>
        <w:spacing w:after="120"/>
        <w:rPr>
          <w:rFonts w:ascii="Arial" w:hAnsi="Arial" w:cs="Arial"/>
        </w:rPr>
      </w:pPr>
    </w:p>
    <w:p w14:paraId="2532A7F9" w14:textId="2498B0C4" w:rsidR="001A236D" w:rsidRPr="000F2E21" w:rsidRDefault="000F2E21" w:rsidP="00476BAD">
      <w:pPr>
        <w:pStyle w:val="Heading2"/>
        <w:tabs>
          <w:tab w:val="clear" w:pos="0"/>
          <w:tab w:val="left" w:pos="-180"/>
          <w:tab w:val="num" w:pos="747"/>
          <w:tab w:val="num" w:pos="1080"/>
        </w:tabs>
        <w:ind w:left="-142"/>
      </w:pPr>
      <w:bookmarkStart w:id="22" w:name="_Toc93661695"/>
      <w:r>
        <w:t xml:space="preserve">9. </w:t>
      </w:r>
      <w:r w:rsidR="001A236D" w:rsidRPr="000F2E21">
        <w:t>Management and Contract Administration</w:t>
      </w:r>
      <w:bookmarkEnd w:id="22"/>
    </w:p>
    <w:p w14:paraId="2362C317" w14:textId="77777777" w:rsidR="001A236D" w:rsidRDefault="001A236D" w:rsidP="00640CBA">
      <w:pPr>
        <w:tabs>
          <w:tab w:val="left" w:pos="-142"/>
        </w:tabs>
        <w:ind w:left="-142"/>
        <w:rPr>
          <w:rFonts w:ascii="Arial" w:hAnsi="Arial" w:cs="Arial"/>
        </w:rPr>
      </w:pPr>
      <w:r w:rsidRPr="001A2B92">
        <w:rPr>
          <w:rFonts w:ascii="Arial" w:hAnsi="Arial" w:cs="Arial"/>
          <w:highlight w:val="yellow"/>
        </w:rPr>
        <w:t>Detail a proposed approach to contract management over the course of the contract and detail the Purchase to Pay Process</w:t>
      </w:r>
      <w:r w:rsidR="00562632">
        <w:rPr>
          <w:rFonts w:ascii="Arial" w:hAnsi="Arial" w:cs="Arial"/>
          <w:highlight w:val="yellow"/>
        </w:rPr>
        <w:t xml:space="preserve">. </w:t>
      </w:r>
    </w:p>
    <w:p w14:paraId="1EE315B6" w14:textId="77777777" w:rsidR="001A2B92" w:rsidRPr="002D0CB5" w:rsidRDefault="001A2B92" w:rsidP="002D0CB5">
      <w:pPr>
        <w:tabs>
          <w:tab w:val="left" w:pos="-142"/>
        </w:tabs>
        <w:ind w:left="-142"/>
        <w:jc w:val="both"/>
        <w:rPr>
          <w:rFonts w:ascii="Arial" w:hAnsi="Arial" w:cs="Arial"/>
        </w:rPr>
      </w:pPr>
    </w:p>
    <w:p w14:paraId="08C49E1E" w14:textId="377627A6" w:rsidR="009F348D" w:rsidRDefault="009F348D" w:rsidP="002D0CB5">
      <w:pPr>
        <w:ind w:left="-142"/>
        <w:jc w:val="both"/>
        <w:rPr>
          <w:rFonts w:ascii="Arial" w:hAnsi="Arial" w:cs="Arial"/>
        </w:rPr>
      </w:pPr>
      <w:bookmarkStart w:id="23" w:name="_Toc408585086"/>
      <w:bookmarkStart w:id="24" w:name="_Toc177969175"/>
      <w:bookmarkStart w:id="25" w:name="_Toc180380674"/>
      <w:r w:rsidRPr="00775EAC">
        <w:rPr>
          <w:rFonts w:ascii="Arial" w:hAnsi="Arial" w:cs="Arial"/>
          <w:b/>
        </w:rPr>
        <w:t>Sub-contracting to Small and Medium Enterprises (SMEs)</w:t>
      </w:r>
      <w:r w:rsidR="00775EAC" w:rsidRPr="00775EAC">
        <w:rPr>
          <w:rFonts w:ascii="Arial" w:hAnsi="Arial" w:cs="Arial"/>
          <w:b/>
        </w:rPr>
        <w:t>:</w:t>
      </w:r>
      <w:r w:rsidRPr="00775EAC">
        <w:rPr>
          <w:rFonts w:ascii="Arial" w:hAnsi="Arial" w:cs="Arial"/>
          <w:b/>
        </w:rPr>
        <w:t xml:space="preserve"> </w:t>
      </w:r>
      <w:r w:rsidRPr="001A2B92">
        <w:rPr>
          <w:rFonts w:ascii="Arial" w:hAnsi="Arial" w:cs="Arial"/>
          <w:highlight w:val="yellow"/>
        </w:rPr>
        <w:t xml:space="preserve">[include the following text </w:t>
      </w:r>
      <w:r w:rsidR="008A447E">
        <w:rPr>
          <w:rFonts w:ascii="Arial" w:hAnsi="Arial" w:cs="Arial"/>
          <w:highlight w:val="yellow"/>
        </w:rPr>
        <w:t xml:space="preserve">which refers to the Form of Tender, </w:t>
      </w:r>
      <w:r w:rsidR="009D7678">
        <w:rPr>
          <w:rFonts w:ascii="Arial" w:hAnsi="Arial" w:cs="Arial"/>
          <w:highlight w:val="yellow"/>
        </w:rPr>
        <w:t>included within</w:t>
      </w:r>
      <w:r w:rsidR="00AB71B4">
        <w:rPr>
          <w:rFonts w:ascii="Arial" w:hAnsi="Arial" w:cs="Arial"/>
          <w:highlight w:val="yellow"/>
        </w:rPr>
        <w:t xml:space="preserve"> the ITT</w:t>
      </w:r>
      <w:r w:rsidRPr="001A2B92">
        <w:rPr>
          <w:rFonts w:ascii="Arial" w:hAnsi="Arial" w:cs="Arial"/>
          <w:highlight w:val="yellow"/>
        </w:rPr>
        <w:t>]</w:t>
      </w:r>
      <w:bookmarkEnd w:id="23"/>
    </w:p>
    <w:p w14:paraId="79F2A4CF" w14:textId="77777777" w:rsidR="002D0CB5" w:rsidRPr="002D0CB5" w:rsidRDefault="002D0CB5" w:rsidP="002D0CB5">
      <w:pPr>
        <w:ind w:left="-142"/>
        <w:jc w:val="both"/>
        <w:rPr>
          <w:rFonts w:ascii="Arial" w:hAnsi="Arial" w:cs="Arial"/>
        </w:rPr>
      </w:pPr>
    </w:p>
    <w:p w14:paraId="6CA99714" w14:textId="1F008BE2" w:rsidR="009F348D" w:rsidRDefault="005B56BC" w:rsidP="002D0CB5">
      <w:pPr>
        <w:tabs>
          <w:tab w:val="left" w:pos="-180"/>
        </w:tabs>
        <w:ind w:left="-180"/>
        <w:rPr>
          <w:rFonts w:ascii="Arial" w:hAnsi="Arial"/>
        </w:rPr>
      </w:pPr>
      <w:r>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742145">
        <w:rPr>
          <w:rFonts w:ascii="Arial" w:hAnsi="Arial"/>
        </w:rPr>
        <w:t>s</w:t>
      </w:r>
      <w:r w:rsidR="006204AE">
        <w:rPr>
          <w:rFonts w:ascii="Arial" w:hAnsi="Arial"/>
        </w:rPr>
        <w:t>uppliers</w:t>
      </w:r>
      <w:r w:rsidR="009F348D" w:rsidRPr="00CC29EC">
        <w:rPr>
          <w:rFonts w:ascii="Arial" w:hAnsi="Arial"/>
        </w:rPr>
        <w:t xml:space="preserve"> to make their sub-</w:t>
      </w:r>
      <w:r w:rsidR="008969AA">
        <w:rPr>
          <w:rFonts w:ascii="Arial" w:hAnsi="Arial"/>
        </w:rPr>
        <w:t>contracts</w:t>
      </w:r>
      <w:r w:rsidR="008969AA" w:rsidRPr="00CC29EC">
        <w:rPr>
          <w:rFonts w:ascii="Arial" w:hAnsi="Arial"/>
        </w:rPr>
        <w:t xml:space="preserve"> </w:t>
      </w:r>
      <w:r w:rsidR="009F348D" w:rsidRPr="00CC29EC">
        <w:rPr>
          <w:rFonts w:ascii="Arial" w:hAnsi="Arial"/>
        </w:rPr>
        <w:t>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hyperlink r:id="rId8" w:history="1">
        <w:r w:rsidR="009F348D" w:rsidRPr="00F837D5">
          <w:rPr>
            <w:rStyle w:val="Hyperlink"/>
            <w:rFonts w:ascii="Arial" w:hAnsi="Arial"/>
          </w:rPr>
          <w:t>website</w:t>
        </w:r>
      </w:hyperlink>
      <w:r w:rsidR="009F348D" w:rsidRPr="00CC29EC">
        <w:rPr>
          <w:rFonts w:ascii="Arial" w:hAnsi="Arial"/>
        </w:rPr>
        <w:t xml:space="preserve"> for further information). </w:t>
      </w:r>
    </w:p>
    <w:p w14:paraId="4115BA19" w14:textId="77777777" w:rsidR="009F348D" w:rsidRDefault="009F348D" w:rsidP="008D63EC">
      <w:pPr>
        <w:tabs>
          <w:tab w:val="left" w:pos="-180"/>
        </w:tabs>
        <w:rPr>
          <w:rFonts w:ascii="Arial" w:hAnsi="Arial"/>
        </w:rPr>
      </w:pPr>
    </w:p>
    <w:p w14:paraId="79913735" w14:textId="075E13A6"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sidR="00341B59">
        <w:rPr>
          <w:rFonts w:ascii="Arial" w:hAnsi="Arial"/>
        </w:rPr>
        <w:t>Schedule 3 (</w:t>
      </w:r>
      <w:r>
        <w:rPr>
          <w:rFonts w:ascii="Arial" w:hAnsi="Arial"/>
        </w:rPr>
        <w:t>Form of Tender</w:t>
      </w:r>
      <w:r w:rsidR="00341B59">
        <w:rPr>
          <w:rFonts w:ascii="Arial" w:hAnsi="Arial"/>
        </w:rPr>
        <w:t>) of the ITT</w:t>
      </w:r>
      <w:r>
        <w:rPr>
          <w:rFonts w:ascii="Arial" w:hAnsi="Arial"/>
        </w:rPr>
        <w:t xml:space="preserve">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8D63EC">
      <w:pPr>
        <w:tabs>
          <w:tab w:val="left" w:pos="-180"/>
        </w:tabs>
        <w:ind w:left="-180"/>
        <w:rPr>
          <w:rFonts w:ascii="Arial" w:hAnsi="Arial"/>
        </w:rPr>
      </w:pPr>
    </w:p>
    <w:p w14:paraId="3CAF5264" w14:textId="45FCD34C" w:rsidR="001A236D" w:rsidRDefault="009F348D" w:rsidP="009424D8">
      <w:pPr>
        <w:tabs>
          <w:tab w:val="left" w:pos="-180"/>
        </w:tabs>
        <w:ind w:left="-180"/>
        <w:rPr>
          <w:rFonts w:ascii="Arial" w:hAnsi="Arial"/>
        </w:rPr>
      </w:pPr>
      <w:r w:rsidRPr="00CC29EC">
        <w:rPr>
          <w:rFonts w:ascii="Arial" w:hAnsi="Arial"/>
        </w:rPr>
        <w:t>If you tell us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24"/>
      <w:bookmarkEnd w:id="25"/>
    </w:p>
    <w:p w14:paraId="2CF89335" w14:textId="77777777" w:rsidR="009424D8" w:rsidRDefault="009424D8" w:rsidP="009424D8">
      <w:pPr>
        <w:tabs>
          <w:tab w:val="left" w:pos="-180"/>
        </w:tabs>
        <w:ind w:left="-180"/>
        <w:rPr>
          <w:rFonts w:ascii="Arial" w:hAnsi="Arial"/>
        </w:rPr>
      </w:pPr>
    </w:p>
    <w:p w14:paraId="573419AA" w14:textId="77777777" w:rsidR="001A236D" w:rsidRDefault="005358B8" w:rsidP="008D63EC">
      <w:pPr>
        <w:pStyle w:val="Heading2"/>
        <w:tabs>
          <w:tab w:val="clear" w:pos="0"/>
          <w:tab w:val="left" w:pos="-180"/>
          <w:tab w:val="num" w:pos="747"/>
          <w:tab w:val="num" w:pos="1080"/>
        </w:tabs>
        <w:ind w:left="-180"/>
      </w:pPr>
      <w:bookmarkStart w:id="26" w:name="_Toc177969176"/>
      <w:bookmarkStart w:id="27" w:name="_Toc180380675"/>
      <w:bookmarkStart w:id="28" w:name="_Toc93661696"/>
      <w:r>
        <w:lastRenderedPageBreak/>
        <w:t>10</w:t>
      </w:r>
      <w:r w:rsidR="00904F8C">
        <w:t xml:space="preserve">. </w:t>
      </w:r>
      <w:r w:rsidR="001A236D" w:rsidRPr="000E1435">
        <w:t>Training / Skills</w:t>
      </w:r>
      <w:r w:rsidR="001A236D">
        <w:t xml:space="preserve"> / Knowledge</w:t>
      </w:r>
      <w:r w:rsidR="001A236D" w:rsidRPr="000E1435">
        <w:t xml:space="preserve"> Transfer</w:t>
      </w:r>
      <w:bookmarkEnd w:id="26"/>
      <w:bookmarkEnd w:id="27"/>
      <w:bookmarkEnd w:id="28"/>
      <w:r w:rsidR="001A236D" w:rsidRPr="000E1435">
        <w:t xml:space="preserve"> </w:t>
      </w:r>
    </w:p>
    <w:p w14:paraId="04C97E8E" w14:textId="77777777" w:rsidR="001A236D" w:rsidRDefault="00632F75" w:rsidP="009424D8">
      <w:pPr>
        <w:tabs>
          <w:tab w:val="left" w:pos="-180"/>
        </w:tabs>
        <w:ind w:left="-180"/>
        <w:rPr>
          <w:rFonts w:ascii="Arial" w:hAnsi="Arial"/>
          <w:bCs/>
        </w:rPr>
      </w:pPr>
      <w:r>
        <w:rPr>
          <w:rFonts w:ascii="Arial" w:hAnsi="Arial"/>
          <w:bCs/>
          <w:highlight w:val="yellow"/>
        </w:rPr>
        <w:t>If</w:t>
      </w:r>
      <w:r w:rsidR="001A236D" w:rsidRPr="00236890">
        <w:rPr>
          <w:rFonts w:ascii="Arial" w:hAnsi="Arial"/>
          <w:bCs/>
          <w:highlight w:val="yellow"/>
        </w:rPr>
        <w:t xml:space="preserve"> applicable</w:t>
      </w:r>
      <w:r>
        <w:rPr>
          <w:rFonts w:ascii="Arial" w:hAnsi="Arial"/>
          <w:bCs/>
          <w:highlight w:val="yellow"/>
        </w:rPr>
        <w:t>, include details here of any training, skills and/or knowledge transfer required</w:t>
      </w:r>
      <w:r w:rsidR="001A236D" w:rsidRPr="00236890">
        <w:rPr>
          <w:rFonts w:ascii="Arial" w:hAnsi="Arial"/>
          <w:bCs/>
          <w:highlight w:val="yellow"/>
        </w:rPr>
        <w:t>.</w:t>
      </w:r>
    </w:p>
    <w:p w14:paraId="4108C15D" w14:textId="77777777" w:rsidR="009424D8" w:rsidRDefault="009424D8" w:rsidP="009D6479">
      <w:pPr>
        <w:tabs>
          <w:tab w:val="left" w:pos="-180"/>
        </w:tabs>
        <w:ind w:left="-181"/>
        <w:rPr>
          <w:rFonts w:ascii="Arial" w:hAnsi="Arial"/>
          <w:bCs/>
        </w:rPr>
      </w:pPr>
    </w:p>
    <w:p w14:paraId="07EED3F9" w14:textId="77777777" w:rsidR="001A236D" w:rsidRDefault="005358B8" w:rsidP="009D6479">
      <w:pPr>
        <w:pStyle w:val="Heading2"/>
        <w:tabs>
          <w:tab w:val="clear" w:pos="0"/>
          <w:tab w:val="left" w:pos="-180"/>
          <w:tab w:val="num" w:pos="747"/>
          <w:tab w:val="num" w:pos="1080"/>
        </w:tabs>
        <w:spacing w:before="0"/>
        <w:ind w:left="-181"/>
      </w:pPr>
      <w:bookmarkStart w:id="29" w:name="_Toc177969177"/>
      <w:bookmarkStart w:id="30" w:name="_Toc180380676"/>
      <w:bookmarkStart w:id="31" w:name="_Toc93661697"/>
      <w:r>
        <w:t>11</w:t>
      </w:r>
      <w:r w:rsidR="00904F8C">
        <w:t xml:space="preserve">. </w:t>
      </w:r>
      <w:r w:rsidR="001A236D" w:rsidRPr="000E1435">
        <w:t>Documentation</w:t>
      </w:r>
      <w:bookmarkEnd w:id="29"/>
      <w:bookmarkEnd w:id="30"/>
      <w:bookmarkEnd w:id="31"/>
    </w:p>
    <w:p w14:paraId="704699FF" w14:textId="10F13727" w:rsidR="009424D8" w:rsidRDefault="00B25974" w:rsidP="008D63EC">
      <w:pPr>
        <w:tabs>
          <w:tab w:val="left" w:pos="-180"/>
        </w:tabs>
        <w:ind w:left="-180"/>
        <w:rPr>
          <w:rFonts w:ascii="Arial" w:hAnsi="Arial"/>
          <w:bCs/>
        </w:rPr>
      </w:pPr>
      <w:r>
        <w:rPr>
          <w:rFonts w:ascii="Arial" w:hAnsi="Arial"/>
          <w:bCs/>
          <w:highlight w:val="yellow"/>
        </w:rPr>
        <w:t>If applicable, include a</w:t>
      </w:r>
      <w:r w:rsidR="001A236D" w:rsidRPr="00236890">
        <w:rPr>
          <w:rFonts w:ascii="Arial" w:hAnsi="Arial"/>
          <w:bCs/>
          <w:highlight w:val="yellow"/>
        </w:rPr>
        <w:t xml:space="preserve">ny </w:t>
      </w:r>
      <w:r w:rsidR="00632F75">
        <w:rPr>
          <w:rFonts w:ascii="Arial" w:hAnsi="Arial"/>
          <w:bCs/>
          <w:highlight w:val="yellow"/>
        </w:rPr>
        <w:t>requirement</w:t>
      </w:r>
      <w:r>
        <w:rPr>
          <w:rFonts w:ascii="Arial" w:hAnsi="Arial"/>
          <w:bCs/>
          <w:highlight w:val="yellow"/>
        </w:rPr>
        <w:t>s</w:t>
      </w:r>
      <w:r w:rsidR="00632F75">
        <w:rPr>
          <w:rFonts w:ascii="Arial" w:hAnsi="Arial"/>
          <w:bCs/>
          <w:highlight w:val="yellow"/>
        </w:rPr>
        <w:t xml:space="preserve"> for </w:t>
      </w:r>
      <w:r w:rsidR="001A236D" w:rsidRPr="00236890">
        <w:rPr>
          <w:rFonts w:ascii="Arial" w:hAnsi="Arial"/>
          <w:bCs/>
          <w:highlight w:val="yellow"/>
        </w:rPr>
        <w:t>reports, manuals, drawings, invoices, delivery notes etc</w:t>
      </w:r>
      <w:r w:rsidR="00236890" w:rsidRPr="00236890">
        <w:rPr>
          <w:rFonts w:ascii="Arial" w:hAnsi="Arial"/>
          <w:bCs/>
          <w:highlight w:val="yellow"/>
        </w:rPr>
        <w:t>.</w:t>
      </w:r>
      <w:r>
        <w:rPr>
          <w:rFonts w:ascii="Arial" w:hAnsi="Arial"/>
          <w:bCs/>
          <w:highlight w:val="yellow"/>
        </w:rPr>
        <w:t xml:space="preserve"> </w:t>
      </w:r>
      <w:r w:rsidR="001A236D" w:rsidRPr="00236890">
        <w:rPr>
          <w:rFonts w:ascii="Arial" w:hAnsi="Arial"/>
          <w:bCs/>
          <w:highlight w:val="yellow"/>
        </w:rPr>
        <w:t>Detail the format in which they must be submitted</w:t>
      </w:r>
      <w:r>
        <w:rPr>
          <w:rFonts w:ascii="Arial" w:hAnsi="Arial"/>
          <w:bCs/>
          <w:highlight w:val="yellow"/>
        </w:rPr>
        <w:t>,</w:t>
      </w:r>
      <w:r w:rsidR="001A236D" w:rsidRPr="00236890">
        <w:rPr>
          <w:rFonts w:ascii="Arial" w:hAnsi="Arial"/>
          <w:bCs/>
          <w:highlight w:val="yellow"/>
        </w:rPr>
        <w:t xml:space="preserve"> if appropriate.</w:t>
      </w:r>
    </w:p>
    <w:p w14:paraId="5F8EC1B9" w14:textId="77777777" w:rsidR="001A236D" w:rsidRDefault="001A236D" w:rsidP="008D63EC">
      <w:pPr>
        <w:tabs>
          <w:tab w:val="left" w:pos="-180"/>
        </w:tabs>
        <w:ind w:left="-180"/>
        <w:rPr>
          <w:rFonts w:ascii="Arial" w:hAnsi="Arial"/>
          <w:bCs/>
        </w:rPr>
      </w:pPr>
    </w:p>
    <w:p w14:paraId="02AABA3E" w14:textId="77777777" w:rsidR="00BF6E83" w:rsidRDefault="005358B8" w:rsidP="009D6479">
      <w:pPr>
        <w:pStyle w:val="Heading2"/>
        <w:tabs>
          <w:tab w:val="clear" w:pos="0"/>
          <w:tab w:val="left" w:pos="-180"/>
          <w:tab w:val="num" w:pos="747"/>
          <w:tab w:val="num" w:pos="1080"/>
        </w:tabs>
        <w:spacing w:before="0"/>
        <w:ind w:left="-142"/>
      </w:pPr>
      <w:bookmarkStart w:id="32" w:name="_Toc93661698"/>
      <w:r>
        <w:t>12</w:t>
      </w:r>
      <w:r w:rsidR="00BF6E83">
        <w:t>. Arrangement for End of Contract</w:t>
      </w:r>
      <w:bookmarkEnd w:id="32"/>
    </w:p>
    <w:p w14:paraId="4F783D31" w14:textId="41B5379B" w:rsidR="00686DCB" w:rsidRPr="008E61CF" w:rsidRDefault="002739A0" w:rsidP="008E61CF">
      <w:pPr>
        <w:tabs>
          <w:tab w:val="left" w:pos="-180"/>
        </w:tabs>
        <w:ind w:left="-142"/>
        <w:rPr>
          <w:rFonts w:ascii="Arial" w:hAnsi="Arial"/>
          <w:bCs/>
          <w:i/>
          <w:szCs w:val="24"/>
        </w:rPr>
      </w:pPr>
      <w:r>
        <w:rPr>
          <w:rFonts w:ascii="Arial" w:hAnsi="Arial"/>
          <w:bCs/>
          <w:szCs w:val="24"/>
          <w:highlight w:val="yellow"/>
        </w:rPr>
        <w:t>Please detail all arrangements for End of Contract.</w:t>
      </w:r>
    </w:p>
    <w:p w14:paraId="5DF4A7FE" w14:textId="431B8738" w:rsidR="008A439A" w:rsidRDefault="008A439A">
      <w:pPr>
        <w:rPr>
          <w:rFonts w:ascii="Arial" w:hAnsi="Arial"/>
          <w:b/>
          <w:sz w:val="28"/>
        </w:rPr>
      </w:pPr>
    </w:p>
    <w:p w14:paraId="719518CE" w14:textId="77777777" w:rsidR="00256266" w:rsidRDefault="00256266">
      <w:pPr>
        <w:rPr>
          <w:rFonts w:ascii="Arial" w:hAnsi="Arial"/>
          <w:b/>
          <w:sz w:val="28"/>
        </w:rPr>
      </w:pPr>
      <w:r>
        <w:br w:type="page"/>
      </w:r>
    </w:p>
    <w:p w14:paraId="2AE7BEFA" w14:textId="1DFF98C9" w:rsidR="00D52F9F" w:rsidRDefault="005358B8" w:rsidP="00850192">
      <w:pPr>
        <w:pStyle w:val="Heading2"/>
        <w:tabs>
          <w:tab w:val="clear" w:pos="0"/>
          <w:tab w:val="left" w:pos="-180"/>
          <w:tab w:val="num" w:pos="747"/>
          <w:tab w:val="num" w:pos="1080"/>
        </w:tabs>
        <w:spacing w:before="0" w:after="0"/>
        <w:ind w:hanging="142"/>
      </w:pPr>
      <w:bookmarkStart w:id="33" w:name="_Toc93661699"/>
      <w:r>
        <w:lastRenderedPageBreak/>
        <w:t>13</w:t>
      </w:r>
      <w:r w:rsidR="00904F8C">
        <w:t xml:space="preserve">. </w:t>
      </w:r>
      <w:r w:rsidR="008074E1">
        <w:t xml:space="preserve">Tender </w:t>
      </w:r>
      <w:r w:rsidR="001A236D">
        <w:t>Evaluation</w:t>
      </w:r>
      <w:bookmarkStart w:id="34" w:name="_Toc380578633"/>
      <w:bookmarkEnd w:id="33"/>
    </w:p>
    <w:p w14:paraId="091E4411" w14:textId="4B45A8CF" w:rsidR="00213203" w:rsidRDefault="00213203" w:rsidP="00213203">
      <w:pPr>
        <w:pStyle w:val="Heading3"/>
        <w:numPr>
          <w:ilvl w:val="0"/>
          <w:numId w:val="0"/>
        </w:numPr>
        <w:spacing w:before="0" w:after="0"/>
      </w:pPr>
    </w:p>
    <w:p w14:paraId="63C15308" w14:textId="77777777" w:rsidR="008A439A" w:rsidRDefault="008A439A" w:rsidP="008A439A">
      <w:pPr>
        <w:rPr>
          <w:rFonts w:ascii="Arial" w:hAnsi="Arial" w:cs="Arial"/>
        </w:rPr>
      </w:pPr>
      <w:r>
        <w:rPr>
          <w:rFonts w:ascii="Arial" w:hAnsi="Arial" w:cs="Arial"/>
        </w:rPr>
        <w:t xml:space="preserve">This </w:t>
      </w:r>
      <w:r w:rsidRPr="00D01D0D">
        <w:rPr>
          <w:rFonts w:ascii="Arial" w:hAnsi="Arial" w:cs="Arial"/>
        </w:rPr>
        <w:t xml:space="preserve">will comprise of </w:t>
      </w:r>
      <w:r>
        <w:rPr>
          <w:rFonts w:ascii="Arial" w:hAnsi="Arial" w:cs="Arial"/>
        </w:rPr>
        <w:t>the following</w:t>
      </w:r>
      <w:r w:rsidRPr="00D01D0D">
        <w:rPr>
          <w:rFonts w:ascii="Arial" w:hAnsi="Arial" w:cs="Arial"/>
        </w:rPr>
        <w:t xml:space="preserve"> elements:</w:t>
      </w:r>
    </w:p>
    <w:p w14:paraId="0A9B4F2C" w14:textId="77777777" w:rsidR="008A439A" w:rsidRPr="00D01D0D" w:rsidRDefault="008A439A" w:rsidP="008A439A">
      <w:pPr>
        <w:rPr>
          <w:rFonts w:ascii="Arial" w:hAnsi="Arial" w:cs="Arial"/>
        </w:rPr>
      </w:pPr>
    </w:p>
    <w:p w14:paraId="033908BB" w14:textId="009E3E09" w:rsidR="008A439A" w:rsidRPr="00D01D0D" w:rsidRDefault="008A439A" w:rsidP="009D7678">
      <w:pPr>
        <w:numPr>
          <w:ilvl w:val="0"/>
          <w:numId w:val="11"/>
        </w:numPr>
        <w:rPr>
          <w:rFonts w:ascii="Arial" w:hAnsi="Arial" w:cs="Arial"/>
        </w:rPr>
      </w:pPr>
      <w:r w:rsidRPr="00D01D0D">
        <w:rPr>
          <w:rFonts w:ascii="Arial" w:hAnsi="Arial" w:cs="Arial"/>
        </w:rPr>
        <w:t>an evaluation of mandatory requirements</w:t>
      </w:r>
      <w:r>
        <w:rPr>
          <w:rFonts w:ascii="Arial" w:hAnsi="Arial" w:cs="Arial"/>
        </w:rPr>
        <w:t>,</w:t>
      </w:r>
      <w:r w:rsidRPr="00D01D0D">
        <w:rPr>
          <w:rFonts w:ascii="Arial" w:hAnsi="Arial" w:cs="Arial"/>
        </w:rPr>
        <w:t xml:space="preserve"> if applicabl</w:t>
      </w:r>
      <w:r w:rsidR="008074E1">
        <w:rPr>
          <w:rFonts w:ascii="Arial" w:hAnsi="Arial" w:cs="Arial"/>
        </w:rPr>
        <w:t>e</w:t>
      </w:r>
      <w:r w:rsidRPr="00D01D0D">
        <w:rPr>
          <w:rFonts w:ascii="Arial" w:hAnsi="Arial" w:cs="Arial"/>
        </w:rPr>
        <w:t>. These will be assessed on a pass/fail basis. Tenders that fail any of the mandatory requirements may be disquali</w:t>
      </w:r>
      <w:r>
        <w:rPr>
          <w:rFonts w:ascii="Arial" w:hAnsi="Arial" w:cs="Arial"/>
        </w:rPr>
        <w:t>fied from further consideration</w:t>
      </w:r>
    </w:p>
    <w:p w14:paraId="3E1094D2" w14:textId="158F4C64" w:rsidR="008A439A" w:rsidRDefault="008A439A" w:rsidP="009D7678">
      <w:pPr>
        <w:numPr>
          <w:ilvl w:val="0"/>
          <w:numId w:val="11"/>
        </w:numPr>
        <w:rPr>
          <w:rFonts w:ascii="Arial" w:hAnsi="Arial" w:cs="Arial"/>
        </w:rPr>
      </w:pPr>
      <w:r>
        <w:rPr>
          <w:rFonts w:ascii="Arial" w:hAnsi="Arial" w:cs="Arial"/>
        </w:rPr>
        <w:t>an evaluation of the t</w:t>
      </w:r>
      <w:r w:rsidRPr="00D01D0D">
        <w:rPr>
          <w:rFonts w:ascii="Arial" w:hAnsi="Arial" w:cs="Arial"/>
        </w:rPr>
        <w:t xml:space="preserve">ender based on </w:t>
      </w:r>
      <w:r>
        <w:rPr>
          <w:rFonts w:ascii="Arial" w:hAnsi="Arial" w:cs="Arial"/>
        </w:rPr>
        <w:t>the quality criteria and social value criteria (if applicable)</w:t>
      </w:r>
    </w:p>
    <w:p w14:paraId="1D2A208C" w14:textId="361AD3B3" w:rsidR="008A439A" w:rsidRPr="00D01D0D" w:rsidRDefault="008A439A" w:rsidP="009D7678">
      <w:pPr>
        <w:numPr>
          <w:ilvl w:val="0"/>
          <w:numId w:val="11"/>
        </w:numPr>
        <w:rPr>
          <w:rFonts w:ascii="Arial" w:hAnsi="Arial" w:cs="Arial"/>
        </w:rPr>
      </w:pPr>
      <w:r w:rsidRPr="00D01D0D">
        <w:rPr>
          <w:rFonts w:ascii="Arial" w:hAnsi="Arial" w:cs="Arial"/>
        </w:rPr>
        <w:t>an evaluation of the prices tendered</w:t>
      </w:r>
    </w:p>
    <w:p w14:paraId="742F66AF" w14:textId="77777777" w:rsidR="008A439A" w:rsidRDefault="008A439A" w:rsidP="008A439A">
      <w:pPr>
        <w:rPr>
          <w:rFonts w:ascii="Arial" w:hAnsi="Arial" w:cs="Arial"/>
        </w:rPr>
      </w:pPr>
    </w:p>
    <w:bookmarkEnd w:id="34"/>
    <w:p w14:paraId="1922E9D9" w14:textId="38B8268B" w:rsidR="00077A17" w:rsidRDefault="0016217D" w:rsidP="008D63EC">
      <w:pPr>
        <w:tabs>
          <w:tab w:val="left" w:pos="-180"/>
          <w:tab w:val="left" w:pos="454"/>
          <w:tab w:val="left" w:pos="907"/>
        </w:tabs>
        <w:rPr>
          <w:rFonts w:ascii="Arial" w:hAnsi="Arial" w:cs="Arial"/>
        </w:rPr>
      </w:pPr>
      <w:r>
        <w:rPr>
          <w:rFonts w:ascii="Arial" w:hAnsi="Arial" w:cs="Arial"/>
        </w:rPr>
        <w:t>Selection will be based on the Evaluation C</w:t>
      </w:r>
      <w:r w:rsidR="00077A17" w:rsidRPr="009A66BA">
        <w:rPr>
          <w:rFonts w:ascii="Arial" w:hAnsi="Arial" w:cs="Arial"/>
        </w:rPr>
        <w:t>riteria</w:t>
      </w:r>
      <w:r w:rsidR="001925F7">
        <w:rPr>
          <w:rFonts w:ascii="Arial" w:hAnsi="Arial" w:cs="Arial"/>
        </w:rPr>
        <w:t>,</w:t>
      </w:r>
      <w:r w:rsidR="00077A17">
        <w:rPr>
          <w:rFonts w:ascii="Arial" w:hAnsi="Arial" w:cs="Arial"/>
        </w:rPr>
        <w:t xml:space="preserve"> encompassing </w:t>
      </w:r>
      <w:r w:rsidR="00077A17" w:rsidRPr="009A66BA">
        <w:rPr>
          <w:rFonts w:ascii="Arial" w:hAnsi="Arial" w:cs="Arial"/>
        </w:rPr>
        <w:t>the most</w:t>
      </w:r>
      <w:r w:rsidR="00077A17">
        <w:rPr>
          <w:rFonts w:ascii="Arial" w:hAnsi="Arial" w:cs="Arial"/>
        </w:rPr>
        <w:t xml:space="preserve"> economically</w:t>
      </w:r>
      <w:r w:rsidR="00077A17" w:rsidRPr="009A66BA">
        <w:rPr>
          <w:rFonts w:ascii="Arial" w:hAnsi="Arial" w:cs="Arial"/>
        </w:rPr>
        <w:t xml:space="preserve"> advantageous </w:t>
      </w:r>
      <w:r w:rsidR="001A6828">
        <w:rPr>
          <w:rFonts w:ascii="Arial" w:hAnsi="Arial" w:cs="Arial"/>
        </w:rPr>
        <w:t>tender</w:t>
      </w:r>
      <w:r w:rsidR="001A6828" w:rsidRPr="009A66BA">
        <w:rPr>
          <w:rFonts w:ascii="Arial" w:hAnsi="Arial" w:cs="Arial"/>
        </w:rPr>
        <w:t>, which</w:t>
      </w:r>
      <w:r w:rsidR="00077A17" w:rsidRPr="009A66BA">
        <w:rPr>
          <w:rFonts w:ascii="Arial" w:hAnsi="Arial" w:cs="Arial"/>
        </w:rPr>
        <w:t xml:space="preserve"> demonstrates a high degree of overall value for money, competence, credibility and ability to deliver.</w:t>
      </w:r>
    </w:p>
    <w:p w14:paraId="6B71E998" w14:textId="77777777" w:rsidR="00077A17" w:rsidRDefault="00077A17" w:rsidP="008D63EC">
      <w:pPr>
        <w:tabs>
          <w:tab w:val="left" w:pos="-180"/>
          <w:tab w:val="left" w:pos="454"/>
          <w:tab w:val="left" w:pos="907"/>
        </w:tabs>
        <w:rPr>
          <w:rFonts w:ascii="Arial" w:hAnsi="Arial" w:cs="Arial"/>
        </w:rPr>
      </w:pPr>
    </w:p>
    <w:p w14:paraId="7EB43717" w14:textId="3F24875E" w:rsidR="008074E1" w:rsidRDefault="00A11F92" w:rsidP="008447A5">
      <w:pPr>
        <w:tabs>
          <w:tab w:val="left" w:pos="-180"/>
          <w:tab w:val="left" w:pos="454"/>
          <w:tab w:val="left" w:pos="907"/>
        </w:tabs>
        <w:rPr>
          <w:rFonts w:ascii="Arial" w:hAnsi="Arial" w:cs="Arial"/>
        </w:rPr>
      </w:pPr>
      <w:r w:rsidRPr="00A4503A">
        <w:rPr>
          <w:rFonts w:ascii="Arial" w:hAnsi="Arial" w:cs="Arial"/>
        </w:rPr>
        <w:t>Your</w:t>
      </w:r>
      <w:r w:rsidR="00077A17" w:rsidRPr="00A4503A">
        <w:rPr>
          <w:rFonts w:ascii="Arial" w:hAnsi="Arial" w:cs="Arial"/>
        </w:rPr>
        <w:t xml:space="preserve"> tender will be evaluated using the weightings</w:t>
      </w:r>
      <w:r w:rsidR="00A4503A" w:rsidRPr="00A4503A">
        <w:rPr>
          <w:rFonts w:ascii="Arial" w:hAnsi="Arial" w:cs="Arial"/>
        </w:rPr>
        <w:t xml:space="preserve"> </w:t>
      </w:r>
      <w:r w:rsidR="00A4503A" w:rsidRPr="00A4503A">
        <w:rPr>
          <w:rFonts w:ascii="Arial" w:hAnsi="Arial" w:cs="Arial"/>
          <w:b/>
        </w:rPr>
        <w:t>and</w:t>
      </w:r>
      <w:r w:rsidR="00A60832" w:rsidRPr="00A4503A">
        <w:rPr>
          <w:rFonts w:ascii="Arial" w:hAnsi="Arial" w:cs="Arial"/>
        </w:rPr>
        <w:t xml:space="preserve"> </w:t>
      </w:r>
      <w:r w:rsidR="00A4503A" w:rsidRPr="00A4503A">
        <w:rPr>
          <w:rFonts w:ascii="Arial" w:hAnsi="Arial" w:cs="Arial"/>
        </w:rPr>
        <w:t xml:space="preserve">criteria </w:t>
      </w:r>
      <w:r w:rsidR="006F5D75" w:rsidRPr="00A4503A">
        <w:rPr>
          <w:rFonts w:ascii="Arial" w:hAnsi="Arial" w:cs="Arial"/>
        </w:rPr>
        <w:t xml:space="preserve">weightings set out </w:t>
      </w:r>
      <w:r w:rsidR="008074E1">
        <w:rPr>
          <w:rFonts w:ascii="Arial" w:hAnsi="Arial" w:cs="Arial"/>
        </w:rPr>
        <w:t xml:space="preserve">within the </w:t>
      </w:r>
      <w:r w:rsidR="00341B59">
        <w:rPr>
          <w:rFonts w:ascii="Arial" w:hAnsi="Arial" w:cs="Arial"/>
        </w:rPr>
        <w:t>ITT</w:t>
      </w:r>
      <w:r w:rsidR="008074E1">
        <w:rPr>
          <w:rFonts w:ascii="Arial" w:hAnsi="Arial" w:cs="Arial"/>
        </w:rPr>
        <w:t>.</w:t>
      </w:r>
    </w:p>
    <w:p w14:paraId="723037F9" w14:textId="77777777" w:rsidR="008074E1" w:rsidRDefault="008074E1" w:rsidP="008447A5">
      <w:pPr>
        <w:tabs>
          <w:tab w:val="left" w:pos="-180"/>
          <w:tab w:val="left" w:pos="454"/>
          <w:tab w:val="left" w:pos="907"/>
        </w:tabs>
        <w:rPr>
          <w:rFonts w:ascii="Arial" w:hAnsi="Arial" w:cs="Arial"/>
        </w:rPr>
      </w:pPr>
    </w:p>
    <w:p w14:paraId="637AADB3" w14:textId="12C2CF31" w:rsidR="00DF07C6" w:rsidRDefault="008074E1" w:rsidP="008074E1">
      <w:pPr>
        <w:rPr>
          <w:rFonts w:ascii="Arial" w:hAnsi="Arial" w:cs="Arial"/>
          <w:b/>
          <w:bCs/>
        </w:rPr>
      </w:pPr>
      <w:r w:rsidRPr="00236890">
        <w:rPr>
          <w:rFonts w:ascii="Arial" w:hAnsi="Arial" w:cs="Arial"/>
          <w:b/>
          <w:bCs/>
          <w:highlight w:val="yellow"/>
        </w:rPr>
        <w:t>See the Specification Guidance for details on how to formulate your Evaluation Criteria.</w:t>
      </w:r>
    </w:p>
    <w:p w14:paraId="3E788CF6" w14:textId="77777777" w:rsidR="00B90A65" w:rsidRDefault="00B90A65">
      <w:pPr>
        <w:rPr>
          <w:rFonts w:ascii="Arial" w:hAnsi="Arial" w:cs="Arial"/>
          <w:b/>
          <w:highlight w:val="yellow"/>
        </w:rPr>
      </w:pPr>
      <w:r>
        <w:rPr>
          <w:rFonts w:ascii="Arial" w:hAnsi="Arial" w:cs="Arial"/>
          <w:b/>
          <w:highlight w:val="yellow"/>
        </w:rPr>
        <w:br w:type="page"/>
      </w:r>
    </w:p>
    <w:p w14:paraId="1DAC30C7" w14:textId="774DC82E" w:rsidR="000635DD" w:rsidRDefault="000635DD" w:rsidP="000635DD">
      <w:pPr>
        <w:rPr>
          <w:rFonts w:ascii="Arial" w:hAnsi="Arial" w:cs="Arial"/>
          <w:b/>
          <w:highlight w:val="yellow"/>
        </w:rPr>
      </w:pPr>
      <w:r>
        <w:rPr>
          <w:rFonts w:ascii="Arial" w:hAnsi="Arial" w:cs="Arial"/>
          <w:b/>
          <w:highlight w:val="yellow"/>
        </w:rPr>
        <w:lastRenderedPageBreak/>
        <w:t>Annex 1 – Welsh Language Scheme Requirements</w:t>
      </w:r>
      <w:r w:rsidR="00C22236">
        <w:rPr>
          <w:rFonts w:ascii="Arial" w:hAnsi="Arial" w:cs="Arial"/>
          <w:b/>
          <w:highlight w:val="yellow"/>
        </w:rPr>
        <w:t xml:space="preserve"> (only include were required in 8.11)</w:t>
      </w:r>
    </w:p>
    <w:p w14:paraId="71D8123D" w14:textId="77777777" w:rsidR="000635DD" w:rsidRDefault="000635DD" w:rsidP="000635DD">
      <w:pPr>
        <w:rPr>
          <w:rFonts w:ascii="Arial" w:hAnsi="Arial" w:cs="Arial"/>
          <w:b/>
          <w:highlight w:val="yellow"/>
        </w:rPr>
      </w:pPr>
    </w:p>
    <w:p w14:paraId="0940A719" w14:textId="77777777" w:rsidR="000635DD" w:rsidRPr="0017636D" w:rsidRDefault="000635DD" w:rsidP="000635DD">
      <w:pPr>
        <w:pStyle w:val="Default"/>
      </w:pPr>
      <w:r w:rsidRPr="0017636D">
        <w:t xml:space="preserve">DVLA must ensure that arrangements and contracts with third parties that relate to the provision of services to the public in Wales are consistent with the terms of the Welsh Language Scheme and are implemented accordingly. </w:t>
      </w:r>
    </w:p>
    <w:p w14:paraId="10572428" w14:textId="77777777" w:rsidR="000635DD" w:rsidRPr="0017636D" w:rsidRDefault="000635DD" w:rsidP="000635DD">
      <w:pPr>
        <w:pStyle w:val="Default"/>
      </w:pPr>
    </w:p>
    <w:p w14:paraId="7A12BD3D" w14:textId="065CD418" w:rsidR="000635DD" w:rsidRPr="0017636D" w:rsidRDefault="000635DD" w:rsidP="000635DD">
      <w:pPr>
        <w:pStyle w:val="Default"/>
      </w:pPr>
      <w:r w:rsidRPr="0017636D">
        <w:t>This means that where DVLA provides services in English through use of a 3</w:t>
      </w:r>
      <w:r w:rsidRPr="0017636D">
        <w:rPr>
          <w:vertAlign w:val="superscript"/>
        </w:rPr>
        <w:t>rd</w:t>
      </w:r>
      <w:r w:rsidRPr="0017636D">
        <w:t xml:space="preserve"> party </w:t>
      </w:r>
      <w:r w:rsidR="006204AE">
        <w:t>Supplier</w:t>
      </w:r>
      <w:r w:rsidRPr="0017636D">
        <w:t>, it will deliver the same quality of service to residents in Wales, specifically:</w:t>
      </w:r>
    </w:p>
    <w:p w14:paraId="3BF2BB88" w14:textId="77777777" w:rsidR="000635DD" w:rsidRPr="0017636D" w:rsidRDefault="000635DD" w:rsidP="000635DD">
      <w:pPr>
        <w:pStyle w:val="Default"/>
      </w:pPr>
      <w:r w:rsidRPr="0017636D">
        <w:t xml:space="preserve"> </w:t>
      </w:r>
    </w:p>
    <w:p w14:paraId="6A11194F" w14:textId="77777777" w:rsidR="000635DD" w:rsidRPr="0017636D" w:rsidRDefault="000635DD" w:rsidP="000635DD">
      <w:pPr>
        <w:pStyle w:val="Default"/>
      </w:pPr>
    </w:p>
    <w:p w14:paraId="2D04E1CA" w14:textId="77777777" w:rsidR="000635DD" w:rsidRPr="0017636D" w:rsidRDefault="000635DD" w:rsidP="009D7678">
      <w:pPr>
        <w:pStyle w:val="Default"/>
        <w:numPr>
          <w:ilvl w:val="0"/>
          <w:numId w:val="13"/>
        </w:numPr>
      </w:pPr>
      <w:r w:rsidRPr="0017636D">
        <w:t xml:space="preserve">documentation and publications in English and in Welsh will be provided to the same quality and timescale. The majority of forms and correspondence provided as part of the Service will be provided by DVLA. </w:t>
      </w:r>
    </w:p>
    <w:p w14:paraId="2F56C00D" w14:textId="77777777" w:rsidR="000635DD" w:rsidRPr="0017636D" w:rsidRDefault="000635DD" w:rsidP="000635DD">
      <w:pPr>
        <w:pStyle w:val="Default"/>
        <w:ind w:left="720"/>
      </w:pPr>
    </w:p>
    <w:p w14:paraId="2E127902" w14:textId="77777777" w:rsidR="000635DD" w:rsidRPr="0017636D" w:rsidRDefault="000635DD" w:rsidP="009D7678">
      <w:pPr>
        <w:pStyle w:val="Default"/>
        <w:numPr>
          <w:ilvl w:val="0"/>
          <w:numId w:val="13"/>
        </w:numPr>
      </w:pPr>
      <w:r w:rsidRPr="0017636D">
        <w:t xml:space="preserve">target times for response to correspondence will be the same whether the correspondence is conducted in English or in Welsh; </w:t>
      </w:r>
    </w:p>
    <w:p w14:paraId="75D14478" w14:textId="77777777" w:rsidR="000635DD" w:rsidRPr="0017636D" w:rsidRDefault="000635DD" w:rsidP="000635DD">
      <w:pPr>
        <w:pStyle w:val="Default"/>
      </w:pPr>
    </w:p>
    <w:p w14:paraId="783CB57D" w14:textId="5878236B" w:rsidR="000635DD" w:rsidRPr="0017636D" w:rsidRDefault="000635DD" w:rsidP="000635DD">
      <w:pPr>
        <w:pStyle w:val="Default"/>
      </w:pPr>
      <w:r w:rsidRPr="0017636D">
        <w:t xml:space="preserve">Where the service is supported by a corporate or telephone support service located outside Wales, it will not be practicable to offer a Welsh Language telephone service. However, the </w:t>
      </w:r>
      <w:r w:rsidR="007A111B" w:rsidRPr="0017636D">
        <w:t>S</w:t>
      </w:r>
      <w:r w:rsidRPr="0017636D">
        <w:t xml:space="preserve">upplier must offer those who call and who wish to speak in Welsh the option of writing in Welsh or continuing the conversation in English. </w:t>
      </w:r>
    </w:p>
    <w:p w14:paraId="4C0B6D07" w14:textId="77777777" w:rsidR="000635DD" w:rsidRPr="0017636D" w:rsidRDefault="000635DD" w:rsidP="000635DD">
      <w:pPr>
        <w:pStyle w:val="Default"/>
        <w:rPr>
          <w:b/>
        </w:rPr>
      </w:pPr>
    </w:p>
    <w:p w14:paraId="6D627FAE" w14:textId="77777777" w:rsidR="000635DD" w:rsidRPr="0017636D" w:rsidRDefault="000635DD" w:rsidP="000635DD">
      <w:pPr>
        <w:rPr>
          <w:rFonts w:ascii="Arial" w:hAnsi="Arial" w:cs="Arial"/>
          <w:color w:val="000000"/>
          <w:szCs w:val="24"/>
          <w:lang w:eastAsia="en-GB"/>
        </w:rPr>
      </w:pPr>
      <w:r w:rsidRPr="0017636D">
        <w:rPr>
          <w:rFonts w:ascii="Arial" w:hAnsi="Arial" w:cs="Arial"/>
          <w:color w:val="000000"/>
          <w:szCs w:val="24"/>
          <w:lang w:eastAsia="en-GB"/>
        </w:rPr>
        <w:t>Suppliers must adopt a bilingual corporate identity within Wales. This means Welsh and English must be displayed on all material which displays corporate identity. This includes identity badges and vehicles.</w:t>
      </w:r>
    </w:p>
    <w:p w14:paraId="76C923C1" w14:textId="77777777" w:rsidR="000635DD" w:rsidRPr="0017636D" w:rsidRDefault="000635DD" w:rsidP="000635DD">
      <w:pPr>
        <w:rPr>
          <w:rFonts w:ascii="Arial" w:hAnsi="Arial" w:cs="Arial"/>
          <w:color w:val="000000"/>
          <w:szCs w:val="24"/>
          <w:lang w:eastAsia="en-GB"/>
        </w:rPr>
      </w:pPr>
    </w:p>
    <w:p w14:paraId="1D6D9289" w14:textId="77777777" w:rsidR="000635DD" w:rsidRPr="0017636D" w:rsidRDefault="000635DD" w:rsidP="000635DD">
      <w:pPr>
        <w:rPr>
          <w:rFonts w:ascii="Arial" w:hAnsi="Arial" w:cs="Arial"/>
          <w:color w:val="000000"/>
          <w:szCs w:val="24"/>
          <w:lang w:eastAsia="en-GB"/>
        </w:rPr>
      </w:pPr>
      <w:r w:rsidRPr="0017636D">
        <w:rPr>
          <w:rFonts w:ascii="Arial" w:hAnsi="Arial" w:cs="Arial"/>
          <w:color w:val="000000"/>
          <w:szCs w:val="24"/>
          <w:lang w:eastAsia="en-GB"/>
        </w:rPr>
        <w:t>All signs, which give information to the public, must be bilingual with the Welsh and English text being treated equally with regard to size, legibility and prominence.</w:t>
      </w:r>
    </w:p>
    <w:p w14:paraId="0F9B4925" w14:textId="77777777" w:rsidR="000635DD" w:rsidRPr="0017636D" w:rsidRDefault="000635DD" w:rsidP="000635DD">
      <w:pPr>
        <w:pStyle w:val="Default"/>
      </w:pPr>
    </w:p>
    <w:p w14:paraId="5351CCD5" w14:textId="3B374BF9" w:rsidR="000635DD" w:rsidRPr="007870AA" w:rsidRDefault="000635DD" w:rsidP="000635DD">
      <w:pPr>
        <w:pStyle w:val="Default"/>
        <w:rPr>
          <w:sz w:val="22"/>
          <w:szCs w:val="22"/>
        </w:rPr>
      </w:pPr>
      <w:r w:rsidRPr="0017636D">
        <w:t xml:space="preserve">Each agent or </w:t>
      </w:r>
      <w:r w:rsidR="007A111B" w:rsidRPr="0017636D">
        <w:t>Supplier</w:t>
      </w:r>
      <w:r w:rsidRPr="0017636D">
        <w:t xml:space="preserve"> who delivers services to the public on behalf of DVLA in Wales will be monitored on an annual basis to ensure compliance with the Welsh Language terms of their agreements or arrangements.</w:t>
      </w:r>
    </w:p>
    <w:p w14:paraId="7D8CCD48" w14:textId="3621BF28" w:rsidR="000635DD" w:rsidRPr="008074E1" w:rsidRDefault="000635DD" w:rsidP="008074E1"/>
    <w:sectPr w:rsidR="000635DD" w:rsidRPr="008074E1" w:rsidSect="004908EB">
      <w:headerReference w:type="default" r:id="rId9"/>
      <w:footerReference w:type="default" r:id="rId10"/>
      <w:headerReference w:type="first" r:id="rId11"/>
      <w:footerReference w:type="first" r:id="rId12"/>
      <w:pgSz w:w="11906" w:h="16838"/>
      <w:pgMar w:top="1440"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B697" w14:textId="77777777" w:rsidR="00B24DFD" w:rsidRDefault="00B24DFD">
      <w:r>
        <w:separator/>
      </w:r>
    </w:p>
  </w:endnote>
  <w:endnote w:type="continuationSeparator" w:id="0">
    <w:p w14:paraId="7652E5FB" w14:textId="77777777" w:rsidR="00B24DFD" w:rsidRDefault="00B2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D080" w14:textId="257309BF" w:rsidR="00B24DFD" w:rsidRDefault="00B24DFD">
    <w:pPr>
      <w:pStyle w:val="Footer"/>
      <w:rPr>
        <w:color w:val="000000"/>
        <w:sz w:val="22"/>
        <w:highlight w:val="yellow"/>
      </w:rPr>
    </w:pPr>
    <w:bookmarkStart w:id="37" w:name="_Hlk88050191"/>
    <w:r w:rsidRPr="004908EB">
      <w:rPr>
        <w:color w:val="000000"/>
        <w:sz w:val="22"/>
      </w:rPr>
      <w:t>Schedule 2</w:t>
    </w:r>
    <w:r w:rsidRPr="004908EB">
      <w:rPr>
        <w:color w:val="000000"/>
        <w:sz w:val="22"/>
      </w:rPr>
      <w:tab/>
    </w:r>
    <w:r w:rsidRPr="004908EB">
      <w:rPr>
        <w:color w:val="000000"/>
        <w:sz w:val="22"/>
      </w:rPr>
      <w:tab/>
      <w:t xml:space="preserve">Page </w:t>
    </w:r>
    <w:r w:rsidRPr="004908EB">
      <w:rPr>
        <w:b/>
        <w:bCs/>
        <w:color w:val="000000"/>
        <w:sz w:val="22"/>
      </w:rPr>
      <w:fldChar w:fldCharType="begin"/>
    </w:r>
    <w:r w:rsidRPr="004908EB">
      <w:rPr>
        <w:b/>
        <w:bCs/>
        <w:color w:val="000000"/>
        <w:sz w:val="22"/>
      </w:rPr>
      <w:instrText xml:space="preserve"> PAGE  \* Arabic  \* MERGEFORMAT </w:instrText>
    </w:r>
    <w:r w:rsidRPr="004908EB">
      <w:rPr>
        <w:b/>
        <w:bCs/>
        <w:color w:val="000000"/>
        <w:sz w:val="22"/>
      </w:rPr>
      <w:fldChar w:fldCharType="separate"/>
    </w:r>
    <w:r w:rsidRPr="004908EB">
      <w:rPr>
        <w:b/>
        <w:bCs/>
        <w:noProof/>
        <w:color w:val="000000"/>
        <w:sz w:val="22"/>
      </w:rPr>
      <w:t>1</w:t>
    </w:r>
    <w:r w:rsidRPr="004908EB">
      <w:rPr>
        <w:b/>
        <w:bCs/>
        <w:color w:val="000000"/>
        <w:sz w:val="22"/>
      </w:rPr>
      <w:fldChar w:fldCharType="end"/>
    </w:r>
    <w:r w:rsidRPr="004908EB">
      <w:rPr>
        <w:color w:val="000000"/>
        <w:sz w:val="22"/>
      </w:rPr>
      <w:t xml:space="preserve"> of </w:t>
    </w:r>
    <w:r w:rsidRPr="004908EB">
      <w:rPr>
        <w:b/>
        <w:bCs/>
        <w:color w:val="000000"/>
        <w:sz w:val="22"/>
      </w:rPr>
      <w:fldChar w:fldCharType="begin"/>
    </w:r>
    <w:r w:rsidRPr="004908EB">
      <w:rPr>
        <w:b/>
        <w:bCs/>
        <w:color w:val="000000"/>
        <w:sz w:val="22"/>
      </w:rPr>
      <w:instrText xml:space="preserve"> NUMPAGES  \* Arabic  \* MERGEFORMAT </w:instrText>
    </w:r>
    <w:r w:rsidRPr="004908EB">
      <w:rPr>
        <w:b/>
        <w:bCs/>
        <w:color w:val="000000"/>
        <w:sz w:val="22"/>
      </w:rPr>
      <w:fldChar w:fldCharType="separate"/>
    </w:r>
    <w:r w:rsidRPr="004908EB">
      <w:rPr>
        <w:b/>
        <w:bCs/>
        <w:noProof/>
        <w:color w:val="000000"/>
        <w:sz w:val="22"/>
      </w:rPr>
      <w:t>2</w:t>
    </w:r>
    <w:r w:rsidRPr="004908EB">
      <w:rPr>
        <w:b/>
        <w:bCs/>
        <w:color w:val="000000"/>
        <w:sz w:val="22"/>
      </w:rPr>
      <w:fldChar w:fldCharType="end"/>
    </w:r>
  </w:p>
  <w:p w14:paraId="204C9021" w14:textId="28D85BFA" w:rsidR="00B24DFD" w:rsidRPr="005A7DF2" w:rsidRDefault="00256266">
    <w:pPr>
      <w:pStyle w:val="Footer"/>
      <w:rPr>
        <w:rFonts w:ascii="Arial" w:hAnsi="Arial" w:cs="Arial"/>
      </w:rPr>
    </w:pPr>
    <w:r w:rsidRPr="00256266">
      <w:rPr>
        <w:color w:val="000000"/>
        <w:sz w:val="22"/>
      </w:rPr>
      <w:t>February 2022</w:t>
    </w:r>
    <w:bookmarkEnd w:id="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F692" w14:textId="725C8DDB" w:rsidR="00B24DFD" w:rsidRDefault="00B24DFD">
    <w:pPr>
      <w:pStyle w:val="Footer"/>
      <w:rPr>
        <w:color w:val="000000"/>
        <w:sz w:val="22"/>
        <w:highlight w:val="yellow"/>
      </w:rPr>
    </w:pPr>
    <w:r>
      <w:rPr>
        <w:color w:val="000000"/>
        <w:sz w:val="22"/>
        <w:highlight w:val="yellow"/>
      </w:rPr>
      <w:t>Below Threshold ITT – Schedule 2</w:t>
    </w:r>
  </w:p>
  <w:p w14:paraId="39CD13C4" w14:textId="6969E565" w:rsidR="00B24DFD" w:rsidRDefault="00B24DFD">
    <w:pPr>
      <w:pStyle w:val="Footer"/>
    </w:pPr>
    <w:r w:rsidRPr="003E164D">
      <w:rPr>
        <w:color w:val="000000"/>
        <w:sz w:val="22"/>
        <w:highlight w:val="yellow"/>
      </w:rPr>
      <w:t>Revision Date</w:t>
    </w:r>
    <w:r>
      <w:rPr>
        <w:color w:val="000000"/>
        <w:sz w:val="22"/>
      </w:rPr>
      <w:tab/>
    </w:r>
    <w:r>
      <w:rPr>
        <w:color w:val="000000"/>
        <w:sz w:val="22"/>
      </w:rPr>
      <w:tab/>
    </w:r>
    <w:r w:rsidRPr="004908EB">
      <w:rPr>
        <w:color w:val="000000"/>
        <w:sz w:val="22"/>
      </w:rPr>
      <w:t xml:space="preserve">Page </w:t>
    </w:r>
    <w:r w:rsidRPr="004908EB">
      <w:rPr>
        <w:b/>
        <w:bCs/>
        <w:color w:val="000000"/>
        <w:sz w:val="22"/>
      </w:rPr>
      <w:fldChar w:fldCharType="begin"/>
    </w:r>
    <w:r w:rsidRPr="004908EB">
      <w:rPr>
        <w:b/>
        <w:bCs/>
        <w:color w:val="000000"/>
        <w:sz w:val="22"/>
      </w:rPr>
      <w:instrText xml:space="preserve"> PAGE  \* Arabic  \* MERGEFORMAT </w:instrText>
    </w:r>
    <w:r w:rsidRPr="004908EB">
      <w:rPr>
        <w:b/>
        <w:bCs/>
        <w:color w:val="000000"/>
        <w:sz w:val="22"/>
      </w:rPr>
      <w:fldChar w:fldCharType="separate"/>
    </w:r>
    <w:r w:rsidRPr="004908EB">
      <w:rPr>
        <w:b/>
        <w:bCs/>
        <w:noProof/>
        <w:color w:val="000000"/>
        <w:sz w:val="22"/>
      </w:rPr>
      <w:t>1</w:t>
    </w:r>
    <w:r w:rsidRPr="004908EB">
      <w:rPr>
        <w:b/>
        <w:bCs/>
        <w:color w:val="000000"/>
        <w:sz w:val="22"/>
      </w:rPr>
      <w:fldChar w:fldCharType="end"/>
    </w:r>
    <w:r w:rsidRPr="004908EB">
      <w:rPr>
        <w:color w:val="000000"/>
        <w:sz w:val="22"/>
      </w:rPr>
      <w:t xml:space="preserve"> of </w:t>
    </w:r>
    <w:r w:rsidRPr="004908EB">
      <w:rPr>
        <w:b/>
        <w:bCs/>
        <w:color w:val="000000"/>
        <w:sz w:val="22"/>
      </w:rPr>
      <w:fldChar w:fldCharType="begin"/>
    </w:r>
    <w:r w:rsidRPr="004908EB">
      <w:rPr>
        <w:b/>
        <w:bCs/>
        <w:color w:val="000000"/>
        <w:sz w:val="22"/>
      </w:rPr>
      <w:instrText xml:space="preserve"> NUMPAGES  \* Arabic  \* MERGEFORMAT </w:instrText>
    </w:r>
    <w:r w:rsidRPr="004908EB">
      <w:rPr>
        <w:b/>
        <w:bCs/>
        <w:color w:val="000000"/>
        <w:sz w:val="22"/>
      </w:rPr>
      <w:fldChar w:fldCharType="separate"/>
    </w:r>
    <w:r w:rsidRPr="004908EB">
      <w:rPr>
        <w:b/>
        <w:bCs/>
        <w:noProof/>
        <w:color w:val="000000"/>
        <w:sz w:val="22"/>
      </w:rPr>
      <w:t>2</w:t>
    </w:r>
    <w:r w:rsidRPr="004908EB">
      <w:rPr>
        <w:b/>
        <w:bCs/>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FDA" w14:textId="77777777" w:rsidR="00B24DFD" w:rsidRDefault="00B24DFD">
      <w:r>
        <w:separator/>
      </w:r>
    </w:p>
  </w:footnote>
  <w:footnote w:type="continuationSeparator" w:id="0">
    <w:p w14:paraId="03CE3534" w14:textId="77777777" w:rsidR="00B24DFD" w:rsidRDefault="00B2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56F8" w14:textId="2A90BE2A" w:rsidR="00B24DFD" w:rsidRDefault="00B24DFD" w:rsidP="004908EB">
    <w:pPr>
      <w:pStyle w:val="Header"/>
      <w:ind w:firstLine="2880"/>
      <w:rPr>
        <w:rFonts w:ascii="Arial" w:hAnsi="Arial"/>
        <w:color w:val="000000"/>
        <w:sz w:val="20"/>
        <w:lang w:eastAsia="en-GB"/>
      </w:rPr>
    </w:pPr>
    <w:bookmarkStart w:id="35" w:name="_Hlk88050561"/>
    <w:r>
      <w:rPr>
        <w:noProof/>
        <w:lang w:eastAsia="en-GB"/>
      </w:rPr>
      <w:drawing>
        <wp:anchor distT="0" distB="0" distL="114300" distR="114300" simplePos="0" relativeHeight="251662336" behindDoc="0" locked="0" layoutInCell="1" allowOverlap="1" wp14:anchorId="2CBF31C0" wp14:editId="3DE45B6E">
          <wp:simplePos x="0" y="0"/>
          <wp:positionH relativeFrom="column">
            <wp:posOffset>619760</wp:posOffset>
          </wp:positionH>
          <wp:positionV relativeFrom="paragraph">
            <wp:posOffset>-282575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4" name="Picture 4"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7C946C24" wp14:editId="65059178">
          <wp:simplePos x="0" y="0"/>
          <wp:positionH relativeFrom="column">
            <wp:posOffset>-704850</wp:posOffset>
          </wp:positionH>
          <wp:positionV relativeFrom="paragraph">
            <wp:posOffset>-286385</wp:posOffset>
          </wp:positionV>
          <wp:extent cx="1036320" cy="683260"/>
          <wp:effectExtent l="0" t="0" r="0" b="2540"/>
          <wp:wrapThrough wrapText="bothSides">
            <wp:wrapPolygon edited="0">
              <wp:start x="0" y="0"/>
              <wp:lineTo x="0" y="21078"/>
              <wp:lineTo x="21044" y="21078"/>
              <wp:lineTo x="2104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36" w:name="_Hlk88049569"/>
    <w:r w:rsidRPr="00EC7129">
      <w:rPr>
        <w:rFonts w:ascii="Arial" w:hAnsi="Arial" w:cs="Arial"/>
        <w:color w:val="000000"/>
        <w:szCs w:val="24"/>
      </w:rPr>
      <w:t xml:space="preserve">Contract Reference: </w:t>
    </w:r>
    <w:bookmarkEnd w:id="36"/>
    <w:r w:rsidR="006044C0">
      <w:rPr>
        <w:rFonts w:ascii="Arial" w:hAnsi="Arial" w:cs="Arial"/>
        <w:color w:val="000000"/>
        <w:szCs w:val="24"/>
      </w:rPr>
      <w:t>PS/22/82</w:t>
    </w:r>
  </w:p>
  <w:bookmarkEnd w:id="35"/>
  <w:p w14:paraId="33DBB19E" w14:textId="77777777" w:rsidR="00B24DFD" w:rsidRDefault="00B24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C0C9C81" w:rsidR="00B24DFD" w:rsidRDefault="00B24DFD" w:rsidP="003049E0">
    <w:pPr>
      <w:pStyle w:val="Header"/>
    </w:pPr>
    <w:r>
      <w:rPr>
        <w:noProof/>
        <w:lang w:eastAsia="en-GB"/>
      </w:rPr>
      <w:drawing>
        <wp:anchor distT="0" distB="0" distL="114300" distR="114300" simplePos="0" relativeHeight="251660288" behindDoc="0" locked="0" layoutInCell="1" allowOverlap="1" wp14:anchorId="2724455F" wp14:editId="0A11F1B9">
          <wp:simplePos x="0" y="0"/>
          <wp:positionH relativeFrom="column">
            <wp:posOffset>771525</wp:posOffset>
          </wp:positionH>
          <wp:positionV relativeFrom="paragraph">
            <wp:posOffset>-344805</wp:posOffset>
          </wp:positionV>
          <wp:extent cx="1209675" cy="704850"/>
          <wp:effectExtent l="0" t="0" r="9525" b="0"/>
          <wp:wrapThrough wrapText="bothSides">
            <wp:wrapPolygon edited="0">
              <wp:start x="0" y="0"/>
              <wp:lineTo x="0" y="21016"/>
              <wp:lineTo x="2721" y="21016"/>
              <wp:lineTo x="10885" y="21016"/>
              <wp:lineTo x="11565" y="18681"/>
              <wp:lineTo x="21430" y="11676"/>
              <wp:lineTo x="21430" y="7589"/>
              <wp:lineTo x="5783"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7B73805" wp14:editId="5D8B567F">
          <wp:simplePos x="0" y="0"/>
          <wp:positionH relativeFrom="column">
            <wp:posOffset>-619125</wp:posOffset>
          </wp:positionH>
          <wp:positionV relativeFrom="paragraph">
            <wp:posOffset>-363855</wp:posOffset>
          </wp:positionV>
          <wp:extent cx="1283970" cy="771525"/>
          <wp:effectExtent l="0" t="0" r="0" b="9525"/>
          <wp:wrapThrough wrapText="bothSides">
            <wp:wrapPolygon edited="0">
              <wp:start x="0" y="0"/>
              <wp:lineTo x="0" y="21333"/>
              <wp:lineTo x="21151" y="21333"/>
              <wp:lineTo x="211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83970" cy="77152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EC7129">
      <w:rPr>
        <w:rFonts w:ascii="Arial" w:hAnsi="Arial" w:cs="Arial"/>
        <w:color w:val="000000"/>
        <w:szCs w:val="24"/>
      </w:rPr>
      <w:t>Contract Reference: [</w:t>
    </w:r>
    <w:r w:rsidRPr="00EC7129">
      <w:rPr>
        <w:rFonts w:ascii="Arial" w:hAnsi="Arial" w:cs="Arial"/>
        <w:color w:val="000000"/>
        <w:szCs w:val="24"/>
        <w:highlight w:val="yellow"/>
      </w:rPr>
      <w:t>Insert</w:t>
    </w:r>
    <w:r w:rsidRPr="00EC7129">
      <w:rPr>
        <w:rFonts w:ascii="Arial" w:hAnsi="Arial" w:cs="Arial"/>
        <w:color w:val="00000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8"/>
  </w:num>
  <w:num w:numId="7">
    <w:abstractNumId w:val="7"/>
  </w:num>
  <w:num w:numId="8">
    <w:abstractNumId w:val="0"/>
  </w:num>
  <w:num w:numId="9">
    <w:abstractNumId w:val="13"/>
  </w:num>
  <w:num w:numId="10">
    <w:abstractNumId w:val="2"/>
  </w:num>
  <w:num w:numId="11">
    <w:abstractNumId w:val="10"/>
  </w:num>
  <w:num w:numId="12">
    <w:abstractNumId w:val="12"/>
  </w:num>
  <w:num w:numId="13">
    <w:abstractNumId w:val="5"/>
  </w:num>
  <w:num w:numId="14">
    <w:abstractNumId w:val="9"/>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11F3E"/>
    <w:rsid w:val="00013A7F"/>
    <w:rsid w:val="0001576C"/>
    <w:rsid w:val="000164A5"/>
    <w:rsid w:val="00021DCA"/>
    <w:rsid w:val="000305B2"/>
    <w:rsid w:val="00030C8C"/>
    <w:rsid w:val="00033C37"/>
    <w:rsid w:val="00034B4F"/>
    <w:rsid w:val="000443B0"/>
    <w:rsid w:val="00046BD2"/>
    <w:rsid w:val="00050FBE"/>
    <w:rsid w:val="00057810"/>
    <w:rsid w:val="000635DD"/>
    <w:rsid w:val="00067851"/>
    <w:rsid w:val="00072BF5"/>
    <w:rsid w:val="0007750C"/>
    <w:rsid w:val="00077A17"/>
    <w:rsid w:val="00077AD0"/>
    <w:rsid w:val="0008110C"/>
    <w:rsid w:val="00082D33"/>
    <w:rsid w:val="00086A73"/>
    <w:rsid w:val="00087C2B"/>
    <w:rsid w:val="00091B80"/>
    <w:rsid w:val="0009506C"/>
    <w:rsid w:val="000A12E9"/>
    <w:rsid w:val="000C3014"/>
    <w:rsid w:val="000E1435"/>
    <w:rsid w:val="000E1CA5"/>
    <w:rsid w:val="000F08FB"/>
    <w:rsid w:val="000F1815"/>
    <w:rsid w:val="000F2E21"/>
    <w:rsid w:val="000F32C3"/>
    <w:rsid w:val="000F563D"/>
    <w:rsid w:val="001013C5"/>
    <w:rsid w:val="00103F4B"/>
    <w:rsid w:val="00110F4A"/>
    <w:rsid w:val="00115794"/>
    <w:rsid w:val="00120940"/>
    <w:rsid w:val="00136330"/>
    <w:rsid w:val="00136AFE"/>
    <w:rsid w:val="0013764B"/>
    <w:rsid w:val="00141192"/>
    <w:rsid w:val="00142529"/>
    <w:rsid w:val="00146794"/>
    <w:rsid w:val="001470BF"/>
    <w:rsid w:val="00147696"/>
    <w:rsid w:val="00153E53"/>
    <w:rsid w:val="00157C17"/>
    <w:rsid w:val="00161A63"/>
    <w:rsid w:val="0016217D"/>
    <w:rsid w:val="00162B99"/>
    <w:rsid w:val="00166E06"/>
    <w:rsid w:val="00171330"/>
    <w:rsid w:val="00171F1F"/>
    <w:rsid w:val="00173AC0"/>
    <w:rsid w:val="00175680"/>
    <w:rsid w:val="0017636D"/>
    <w:rsid w:val="00176795"/>
    <w:rsid w:val="00176FCB"/>
    <w:rsid w:val="0018142D"/>
    <w:rsid w:val="0018220F"/>
    <w:rsid w:val="00190473"/>
    <w:rsid w:val="001916B4"/>
    <w:rsid w:val="00191BE9"/>
    <w:rsid w:val="00191F7D"/>
    <w:rsid w:val="001925F7"/>
    <w:rsid w:val="00192965"/>
    <w:rsid w:val="00194695"/>
    <w:rsid w:val="001A236D"/>
    <w:rsid w:val="001A2B92"/>
    <w:rsid w:val="001A59F6"/>
    <w:rsid w:val="001A6828"/>
    <w:rsid w:val="001A7B1C"/>
    <w:rsid w:val="001B0DD7"/>
    <w:rsid w:val="001B15B6"/>
    <w:rsid w:val="001B2327"/>
    <w:rsid w:val="001B69DC"/>
    <w:rsid w:val="001C1CB6"/>
    <w:rsid w:val="001C624D"/>
    <w:rsid w:val="001C6E8E"/>
    <w:rsid w:val="001D010C"/>
    <w:rsid w:val="001D13BF"/>
    <w:rsid w:val="001E092D"/>
    <w:rsid w:val="001E15EA"/>
    <w:rsid w:val="001E236E"/>
    <w:rsid w:val="001F3A20"/>
    <w:rsid w:val="001F4895"/>
    <w:rsid w:val="00202B96"/>
    <w:rsid w:val="00203519"/>
    <w:rsid w:val="0021007A"/>
    <w:rsid w:val="002108D8"/>
    <w:rsid w:val="00211032"/>
    <w:rsid w:val="00212657"/>
    <w:rsid w:val="00212BB0"/>
    <w:rsid w:val="00213203"/>
    <w:rsid w:val="0021542F"/>
    <w:rsid w:val="00220165"/>
    <w:rsid w:val="00220488"/>
    <w:rsid w:val="00226712"/>
    <w:rsid w:val="0023368B"/>
    <w:rsid w:val="00236890"/>
    <w:rsid w:val="00237E4B"/>
    <w:rsid w:val="002409E1"/>
    <w:rsid w:val="0025267D"/>
    <w:rsid w:val="00253F00"/>
    <w:rsid w:val="00256266"/>
    <w:rsid w:val="00260E8B"/>
    <w:rsid w:val="0026368F"/>
    <w:rsid w:val="002643B2"/>
    <w:rsid w:val="00264EB4"/>
    <w:rsid w:val="00264F0E"/>
    <w:rsid w:val="00266854"/>
    <w:rsid w:val="00271B0F"/>
    <w:rsid w:val="002739A0"/>
    <w:rsid w:val="00276D00"/>
    <w:rsid w:val="002773C8"/>
    <w:rsid w:val="00284EB1"/>
    <w:rsid w:val="00294417"/>
    <w:rsid w:val="002A67E8"/>
    <w:rsid w:val="002A7E36"/>
    <w:rsid w:val="002B5811"/>
    <w:rsid w:val="002B5E1C"/>
    <w:rsid w:val="002C16CC"/>
    <w:rsid w:val="002C5781"/>
    <w:rsid w:val="002D0917"/>
    <w:rsid w:val="002D0CB5"/>
    <w:rsid w:val="002D6126"/>
    <w:rsid w:val="002E114F"/>
    <w:rsid w:val="002E499F"/>
    <w:rsid w:val="002F277B"/>
    <w:rsid w:val="0030069B"/>
    <w:rsid w:val="00301979"/>
    <w:rsid w:val="00301D64"/>
    <w:rsid w:val="003049E0"/>
    <w:rsid w:val="00305A22"/>
    <w:rsid w:val="00307D58"/>
    <w:rsid w:val="003145E6"/>
    <w:rsid w:val="00321E0B"/>
    <w:rsid w:val="00333D5A"/>
    <w:rsid w:val="00337E88"/>
    <w:rsid w:val="00341B59"/>
    <w:rsid w:val="00344298"/>
    <w:rsid w:val="00344563"/>
    <w:rsid w:val="003455F4"/>
    <w:rsid w:val="00354877"/>
    <w:rsid w:val="00355289"/>
    <w:rsid w:val="00355700"/>
    <w:rsid w:val="00355FC4"/>
    <w:rsid w:val="00356175"/>
    <w:rsid w:val="00357208"/>
    <w:rsid w:val="0036118D"/>
    <w:rsid w:val="00364A90"/>
    <w:rsid w:val="003678CF"/>
    <w:rsid w:val="003758E9"/>
    <w:rsid w:val="0037592B"/>
    <w:rsid w:val="0037695D"/>
    <w:rsid w:val="00376B0D"/>
    <w:rsid w:val="00376F96"/>
    <w:rsid w:val="003800CA"/>
    <w:rsid w:val="00381081"/>
    <w:rsid w:val="00385379"/>
    <w:rsid w:val="00386A73"/>
    <w:rsid w:val="003945DF"/>
    <w:rsid w:val="003A0CFA"/>
    <w:rsid w:val="003A5A34"/>
    <w:rsid w:val="003A5CA9"/>
    <w:rsid w:val="003A6184"/>
    <w:rsid w:val="003B029F"/>
    <w:rsid w:val="003B15B8"/>
    <w:rsid w:val="003C66B7"/>
    <w:rsid w:val="003D07B1"/>
    <w:rsid w:val="003D29FA"/>
    <w:rsid w:val="003D4D09"/>
    <w:rsid w:val="003D502C"/>
    <w:rsid w:val="003D5803"/>
    <w:rsid w:val="003D5E49"/>
    <w:rsid w:val="003D72BA"/>
    <w:rsid w:val="003E078D"/>
    <w:rsid w:val="003F421E"/>
    <w:rsid w:val="003F4C4B"/>
    <w:rsid w:val="003F712B"/>
    <w:rsid w:val="003F7E1C"/>
    <w:rsid w:val="004011A8"/>
    <w:rsid w:val="004027C4"/>
    <w:rsid w:val="00404A1A"/>
    <w:rsid w:val="004051D8"/>
    <w:rsid w:val="00413135"/>
    <w:rsid w:val="0041550C"/>
    <w:rsid w:val="004157CE"/>
    <w:rsid w:val="00416612"/>
    <w:rsid w:val="0041697C"/>
    <w:rsid w:val="004177EB"/>
    <w:rsid w:val="0042256B"/>
    <w:rsid w:val="00423A1B"/>
    <w:rsid w:val="004259DF"/>
    <w:rsid w:val="0043081A"/>
    <w:rsid w:val="00430AAC"/>
    <w:rsid w:val="00433814"/>
    <w:rsid w:val="00434A68"/>
    <w:rsid w:val="00434D1D"/>
    <w:rsid w:val="00436005"/>
    <w:rsid w:val="0044039E"/>
    <w:rsid w:val="004437C5"/>
    <w:rsid w:val="00446A2F"/>
    <w:rsid w:val="00446EC5"/>
    <w:rsid w:val="00455722"/>
    <w:rsid w:val="00461BEC"/>
    <w:rsid w:val="00462C40"/>
    <w:rsid w:val="004676C3"/>
    <w:rsid w:val="004734A7"/>
    <w:rsid w:val="00476BAD"/>
    <w:rsid w:val="00484A78"/>
    <w:rsid w:val="0048791E"/>
    <w:rsid w:val="004908EB"/>
    <w:rsid w:val="0049145E"/>
    <w:rsid w:val="00492167"/>
    <w:rsid w:val="00496949"/>
    <w:rsid w:val="004A144C"/>
    <w:rsid w:val="004A5544"/>
    <w:rsid w:val="004A591F"/>
    <w:rsid w:val="004A7502"/>
    <w:rsid w:val="004B295E"/>
    <w:rsid w:val="004B34C1"/>
    <w:rsid w:val="004B3C1E"/>
    <w:rsid w:val="004B6EE6"/>
    <w:rsid w:val="004C1118"/>
    <w:rsid w:val="004C3CA5"/>
    <w:rsid w:val="004C62D8"/>
    <w:rsid w:val="004D0F42"/>
    <w:rsid w:val="004D14CE"/>
    <w:rsid w:val="004D7E93"/>
    <w:rsid w:val="004E35B6"/>
    <w:rsid w:val="004F67FE"/>
    <w:rsid w:val="00500264"/>
    <w:rsid w:val="005023FA"/>
    <w:rsid w:val="00503A18"/>
    <w:rsid w:val="00504A4E"/>
    <w:rsid w:val="00505BAA"/>
    <w:rsid w:val="00511151"/>
    <w:rsid w:val="00514C1D"/>
    <w:rsid w:val="005253E6"/>
    <w:rsid w:val="00526582"/>
    <w:rsid w:val="00527013"/>
    <w:rsid w:val="00531398"/>
    <w:rsid w:val="00534732"/>
    <w:rsid w:val="005358B8"/>
    <w:rsid w:val="00536A09"/>
    <w:rsid w:val="00536FD1"/>
    <w:rsid w:val="00540538"/>
    <w:rsid w:val="00542C2D"/>
    <w:rsid w:val="00544221"/>
    <w:rsid w:val="00544B59"/>
    <w:rsid w:val="00544F94"/>
    <w:rsid w:val="00550051"/>
    <w:rsid w:val="00556954"/>
    <w:rsid w:val="00562632"/>
    <w:rsid w:val="00565D16"/>
    <w:rsid w:val="0057628B"/>
    <w:rsid w:val="00577367"/>
    <w:rsid w:val="00577892"/>
    <w:rsid w:val="005835B2"/>
    <w:rsid w:val="0059187A"/>
    <w:rsid w:val="00592694"/>
    <w:rsid w:val="00594035"/>
    <w:rsid w:val="0059411E"/>
    <w:rsid w:val="005954BC"/>
    <w:rsid w:val="00595FF2"/>
    <w:rsid w:val="00597ADD"/>
    <w:rsid w:val="005A0097"/>
    <w:rsid w:val="005A1487"/>
    <w:rsid w:val="005A1D70"/>
    <w:rsid w:val="005A2D9B"/>
    <w:rsid w:val="005A4D9F"/>
    <w:rsid w:val="005A7B34"/>
    <w:rsid w:val="005A7DF2"/>
    <w:rsid w:val="005B56BC"/>
    <w:rsid w:val="005D0237"/>
    <w:rsid w:val="005D4687"/>
    <w:rsid w:val="005D4A3D"/>
    <w:rsid w:val="005E3488"/>
    <w:rsid w:val="005E3DA4"/>
    <w:rsid w:val="005F1E7C"/>
    <w:rsid w:val="005F2701"/>
    <w:rsid w:val="005F7352"/>
    <w:rsid w:val="006006F7"/>
    <w:rsid w:val="00601CD6"/>
    <w:rsid w:val="006044C0"/>
    <w:rsid w:val="00606930"/>
    <w:rsid w:val="006148EE"/>
    <w:rsid w:val="00615FC4"/>
    <w:rsid w:val="006204AE"/>
    <w:rsid w:val="00630C0C"/>
    <w:rsid w:val="00632F75"/>
    <w:rsid w:val="00633334"/>
    <w:rsid w:val="0063367E"/>
    <w:rsid w:val="00635819"/>
    <w:rsid w:val="00636DF1"/>
    <w:rsid w:val="0063757C"/>
    <w:rsid w:val="00640CBA"/>
    <w:rsid w:val="006432A1"/>
    <w:rsid w:val="00647C38"/>
    <w:rsid w:val="00650CA8"/>
    <w:rsid w:val="00651512"/>
    <w:rsid w:val="00651F06"/>
    <w:rsid w:val="00662B62"/>
    <w:rsid w:val="00663BF1"/>
    <w:rsid w:val="00664E04"/>
    <w:rsid w:val="006675AC"/>
    <w:rsid w:val="00667684"/>
    <w:rsid w:val="0067327F"/>
    <w:rsid w:val="00675659"/>
    <w:rsid w:val="00680AA4"/>
    <w:rsid w:val="00680F18"/>
    <w:rsid w:val="0068131C"/>
    <w:rsid w:val="00684601"/>
    <w:rsid w:val="00685324"/>
    <w:rsid w:val="00685336"/>
    <w:rsid w:val="00686DCB"/>
    <w:rsid w:val="0068736B"/>
    <w:rsid w:val="0069124E"/>
    <w:rsid w:val="0069185B"/>
    <w:rsid w:val="00696D73"/>
    <w:rsid w:val="00697835"/>
    <w:rsid w:val="006A0DE0"/>
    <w:rsid w:val="006A47CA"/>
    <w:rsid w:val="006B179D"/>
    <w:rsid w:val="006B3327"/>
    <w:rsid w:val="006C1145"/>
    <w:rsid w:val="006C2254"/>
    <w:rsid w:val="006C57D4"/>
    <w:rsid w:val="006D2453"/>
    <w:rsid w:val="006D4AF7"/>
    <w:rsid w:val="006D72D3"/>
    <w:rsid w:val="006E228F"/>
    <w:rsid w:val="006E2514"/>
    <w:rsid w:val="006E2DD4"/>
    <w:rsid w:val="006E341C"/>
    <w:rsid w:val="006E36FD"/>
    <w:rsid w:val="006E6A4D"/>
    <w:rsid w:val="006F21BC"/>
    <w:rsid w:val="006F5746"/>
    <w:rsid w:val="006F5D75"/>
    <w:rsid w:val="006F7E88"/>
    <w:rsid w:val="0070235E"/>
    <w:rsid w:val="0070600A"/>
    <w:rsid w:val="00706CC3"/>
    <w:rsid w:val="00710748"/>
    <w:rsid w:val="007119C7"/>
    <w:rsid w:val="0071376C"/>
    <w:rsid w:val="007264B1"/>
    <w:rsid w:val="0073356B"/>
    <w:rsid w:val="007414AD"/>
    <w:rsid w:val="00742145"/>
    <w:rsid w:val="00743E92"/>
    <w:rsid w:val="007455DC"/>
    <w:rsid w:val="00754361"/>
    <w:rsid w:val="00757094"/>
    <w:rsid w:val="00760E82"/>
    <w:rsid w:val="00771E66"/>
    <w:rsid w:val="00775539"/>
    <w:rsid w:val="00775EAC"/>
    <w:rsid w:val="007779F1"/>
    <w:rsid w:val="00780CA1"/>
    <w:rsid w:val="00781BA1"/>
    <w:rsid w:val="00783512"/>
    <w:rsid w:val="00786483"/>
    <w:rsid w:val="007A111B"/>
    <w:rsid w:val="007A2887"/>
    <w:rsid w:val="007A2EAA"/>
    <w:rsid w:val="007A4598"/>
    <w:rsid w:val="007A4E93"/>
    <w:rsid w:val="007A61E9"/>
    <w:rsid w:val="007C3C3B"/>
    <w:rsid w:val="007C6011"/>
    <w:rsid w:val="007C6A2F"/>
    <w:rsid w:val="007C6A37"/>
    <w:rsid w:val="007C6A82"/>
    <w:rsid w:val="007D16B9"/>
    <w:rsid w:val="007D20BE"/>
    <w:rsid w:val="007D774F"/>
    <w:rsid w:val="007E34BB"/>
    <w:rsid w:val="007E54BC"/>
    <w:rsid w:val="007E6AF7"/>
    <w:rsid w:val="007F095A"/>
    <w:rsid w:val="007F4801"/>
    <w:rsid w:val="007F633E"/>
    <w:rsid w:val="007F7E58"/>
    <w:rsid w:val="00800973"/>
    <w:rsid w:val="008042EC"/>
    <w:rsid w:val="00806673"/>
    <w:rsid w:val="008074E1"/>
    <w:rsid w:val="00812026"/>
    <w:rsid w:val="00820ABF"/>
    <w:rsid w:val="00827DD2"/>
    <w:rsid w:val="00834157"/>
    <w:rsid w:val="00840CE1"/>
    <w:rsid w:val="008447A5"/>
    <w:rsid w:val="00844FF4"/>
    <w:rsid w:val="00846033"/>
    <w:rsid w:val="00847A2F"/>
    <w:rsid w:val="00850192"/>
    <w:rsid w:val="00854744"/>
    <w:rsid w:val="00860FCC"/>
    <w:rsid w:val="0086165E"/>
    <w:rsid w:val="0086489D"/>
    <w:rsid w:val="0087593E"/>
    <w:rsid w:val="008969AA"/>
    <w:rsid w:val="008A006D"/>
    <w:rsid w:val="008A1146"/>
    <w:rsid w:val="008A439A"/>
    <w:rsid w:val="008A447E"/>
    <w:rsid w:val="008B34AD"/>
    <w:rsid w:val="008C164B"/>
    <w:rsid w:val="008C42AC"/>
    <w:rsid w:val="008C6693"/>
    <w:rsid w:val="008C66A1"/>
    <w:rsid w:val="008C729C"/>
    <w:rsid w:val="008D0049"/>
    <w:rsid w:val="008D2EFD"/>
    <w:rsid w:val="008D4AA5"/>
    <w:rsid w:val="008D623D"/>
    <w:rsid w:val="008D63EC"/>
    <w:rsid w:val="008E3704"/>
    <w:rsid w:val="008E5C2F"/>
    <w:rsid w:val="008E61CF"/>
    <w:rsid w:val="008E7575"/>
    <w:rsid w:val="008F188C"/>
    <w:rsid w:val="008F1CA0"/>
    <w:rsid w:val="008F6944"/>
    <w:rsid w:val="00904BD7"/>
    <w:rsid w:val="00904F8C"/>
    <w:rsid w:val="00906E16"/>
    <w:rsid w:val="0091083F"/>
    <w:rsid w:val="009109E4"/>
    <w:rsid w:val="00917E2B"/>
    <w:rsid w:val="00920CD3"/>
    <w:rsid w:val="0092350C"/>
    <w:rsid w:val="0093049C"/>
    <w:rsid w:val="00931F00"/>
    <w:rsid w:val="00931FAE"/>
    <w:rsid w:val="009424D8"/>
    <w:rsid w:val="0094289B"/>
    <w:rsid w:val="00942F5D"/>
    <w:rsid w:val="00943D93"/>
    <w:rsid w:val="00945DAF"/>
    <w:rsid w:val="009507A1"/>
    <w:rsid w:val="009522B3"/>
    <w:rsid w:val="009554ED"/>
    <w:rsid w:val="009609F0"/>
    <w:rsid w:val="0096150B"/>
    <w:rsid w:val="00966EF0"/>
    <w:rsid w:val="00970909"/>
    <w:rsid w:val="00985E2F"/>
    <w:rsid w:val="00990A79"/>
    <w:rsid w:val="00992869"/>
    <w:rsid w:val="009A00F2"/>
    <w:rsid w:val="009A5A2D"/>
    <w:rsid w:val="009B14E3"/>
    <w:rsid w:val="009B158B"/>
    <w:rsid w:val="009B67E8"/>
    <w:rsid w:val="009C0A08"/>
    <w:rsid w:val="009C2460"/>
    <w:rsid w:val="009C54A7"/>
    <w:rsid w:val="009C65C0"/>
    <w:rsid w:val="009C671B"/>
    <w:rsid w:val="009C75B9"/>
    <w:rsid w:val="009D06A9"/>
    <w:rsid w:val="009D6479"/>
    <w:rsid w:val="009D7678"/>
    <w:rsid w:val="009E722A"/>
    <w:rsid w:val="009F1004"/>
    <w:rsid w:val="009F2C82"/>
    <w:rsid w:val="009F2F8A"/>
    <w:rsid w:val="009F348D"/>
    <w:rsid w:val="009F5C9F"/>
    <w:rsid w:val="009F5CD6"/>
    <w:rsid w:val="009F6BD3"/>
    <w:rsid w:val="00A024A2"/>
    <w:rsid w:val="00A068CE"/>
    <w:rsid w:val="00A11F92"/>
    <w:rsid w:val="00A12DD2"/>
    <w:rsid w:val="00A175F3"/>
    <w:rsid w:val="00A17AED"/>
    <w:rsid w:val="00A24A7E"/>
    <w:rsid w:val="00A256B3"/>
    <w:rsid w:val="00A33728"/>
    <w:rsid w:val="00A4130A"/>
    <w:rsid w:val="00A42C5D"/>
    <w:rsid w:val="00A4503A"/>
    <w:rsid w:val="00A45567"/>
    <w:rsid w:val="00A47A8B"/>
    <w:rsid w:val="00A60832"/>
    <w:rsid w:val="00A80370"/>
    <w:rsid w:val="00A82231"/>
    <w:rsid w:val="00A878AB"/>
    <w:rsid w:val="00A87A59"/>
    <w:rsid w:val="00A9040F"/>
    <w:rsid w:val="00AA102D"/>
    <w:rsid w:val="00AB3234"/>
    <w:rsid w:val="00AB3FB8"/>
    <w:rsid w:val="00AB5796"/>
    <w:rsid w:val="00AB71B4"/>
    <w:rsid w:val="00AB7CC6"/>
    <w:rsid w:val="00AC5522"/>
    <w:rsid w:val="00AC5DCC"/>
    <w:rsid w:val="00AD645B"/>
    <w:rsid w:val="00AD6875"/>
    <w:rsid w:val="00AE13D9"/>
    <w:rsid w:val="00AE6A40"/>
    <w:rsid w:val="00AE7D97"/>
    <w:rsid w:val="00AF734D"/>
    <w:rsid w:val="00AF785A"/>
    <w:rsid w:val="00AF7AB8"/>
    <w:rsid w:val="00B0075E"/>
    <w:rsid w:val="00B0397E"/>
    <w:rsid w:val="00B04CA1"/>
    <w:rsid w:val="00B05FE7"/>
    <w:rsid w:val="00B13EFF"/>
    <w:rsid w:val="00B159BD"/>
    <w:rsid w:val="00B22335"/>
    <w:rsid w:val="00B24DFD"/>
    <w:rsid w:val="00B25974"/>
    <w:rsid w:val="00B33D56"/>
    <w:rsid w:val="00B34FB2"/>
    <w:rsid w:val="00B355E7"/>
    <w:rsid w:val="00B367FD"/>
    <w:rsid w:val="00B36E6C"/>
    <w:rsid w:val="00B42F5C"/>
    <w:rsid w:val="00B43326"/>
    <w:rsid w:val="00B5060B"/>
    <w:rsid w:val="00B51367"/>
    <w:rsid w:val="00B55EB4"/>
    <w:rsid w:val="00B62B2E"/>
    <w:rsid w:val="00B62BFD"/>
    <w:rsid w:val="00B639EE"/>
    <w:rsid w:val="00B675DC"/>
    <w:rsid w:val="00B747E0"/>
    <w:rsid w:val="00B748C6"/>
    <w:rsid w:val="00B801B4"/>
    <w:rsid w:val="00B823DD"/>
    <w:rsid w:val="00B85CAE"/>
    <w:rsid w:val="00B85D16"/>
    <w:rsid w:val="00B8698A"/>
    <w:rsid w:val="00B87D8B"/>
    <w:rsid w:val="00B90A65"/>
    <w:rsid w:val="00B96CC0"/>
    <w:rsid w:val="00B9753F"/>
    <w:rsid w:val="00BA0E8C"/>
    <w:rsid w:val="00BA1647"/>
    <w:rsid w:val="00BA2647"/>
    <w:rsid w:val="00BA3490"/>
    <w:rsid w:val="00BA5ADD"/>
    <w:rsid w:val="00BA6940"/>
    <w:rsid w:val="00BA69A6"/>
    <w:rsid w:val="00BA71C8"/>
    <w:rsid w:val="00BB0055"/>
    <w:rsid w:val="00BB31C1"/>
    <w:rsid w:val="00BB4DAC"/>
    <w:rsid w:val="00BB623F"/>
    <w:rsid w:val="00BC0F4A"/>
    <w:rsid w:val="00BD3E00"/>
    <w:rsid w:val="00BD5E56"/>
    <w:rsid w:val="00BD7249"/>
    <w:rsid w:val="00BE17D4"/>
    <w:rsid w:val="00BE6924"/>
    <w:rsid w:val="00BE7BF9"/>
    <w:rsid w:val="00BF1A58"/>
    <w:rsid w:val="00BF26F7"/>
    <w:rsid w:val="00BF4E6A"/>
    <w:rsid w:val="00BF6E83"/>
    <w:rsid w:val="00C03742"/>
    <w:rsid w:val="00C06D64"/>
    <w:rsid w:val="00C10E0A"/>
    <w:rsid w:val="00C124E1"/>
    <w:rsid w:val="00C16F91"/>
    <w:rsid w:val="00C2167B"/>
    <w:rsid w:val="00C21B05"/>
    <w:rsid w:val="00C22236"/>
    <w:rsid w:val="00C274A5"/>
    <w:rsid w:val="00C27660"/>
    <w:rsid w:val="00C31971"/>
    <w:rsid w:val="00C34AD4"/>
    <w:rsid w:val="00C351E4"/>
    <w:rsid w:val="00C35A82"/>
    <w:rsid w:val="00C40209"/>
    <w:rsid w:val="00C40BE3"/>
    <w:rsid w:val="00C41A09"/>
    <w:rsid w:val="00C43ADB"/>
    <w:rsid w:val="00C500ED"/>
    <w:rsid w:val="00C53AEA"/>
    <w:rsid w:val="00C53EFF"/>
    <w:rsid w:val="00C55C70"/>
    <w:rsid w:val="00C567BF"/>
    <w:rsid w:val="00C56BE5"/>
    <w:rsid w:val="00C62215"/>
    <w:rsid w:val="00C775FD"/>
    <w:rsid w:val="00C815E0"/>
    <w:rsid w:val="00C95239"/>
    <w:rsid w:val="00C9734C"/>
    <w:rsid w:val="00CA0203"/>
    <w:rsid w:val="00CA1486"/>
    <w:rsid w:val="00CA5821"/>
    <w:rsid w:val="00CA6221"/>
    <w:rsid w:val="00CB5A16"/>
    <w:rsid w:val="00CB5C62"/>
    <w:rsid w:val="00CC3C85"/>
    <w:rsid w:val="00CD234D"/>
    <w:rsid w:val="00CD5DAA"/>
    <w:rsid w:val="00CD628A"/>
    <w:rsid w:val="00CF024D"/>
    <w:rsid w:val="00CF2E84"/>
    <w:rsid w:val="00D0012E"/>
    <w:rsid w:val="00D01C9D"/>
    <w:rsid w:val="00D01D0D"/>
    <w:rsid w:val="00D13523"/>
    <w:rsid w:val="00D15E0D"/>
    <w:rsid w:val="00D20CCD"/>
    <w:rsid w:val="00D24313"/>
    <w:rsid w:val="00D30A94"/>
    <w:rsid w:val="00D31EB7"/>
    <w:rsid w:val="00D32E58"/>
    <w:rsid w:val="00D40677"/>
    <w:rsid w:val="00D44413"/>
    <w:rsid w:val="00D456FE"/>
    <w:rsid w:val="00D45722"/>
    <w:rsid w:val="00D511AB"/>
    <w:rsid w:val="00D52548"/>
    <w:rsid w:val="00D52F9F"/>
    <w:rsid w:val="00D565F0"/>
    <w:rsid w:val="00D60304"/>
    <w:rsid w:val="00D63562"/>
    <w:rsid w:val="00D651CF"/>
    <w:rsid w:val="00D70D80"/>
    <w:rsid w:val="00D733C4"/>
    <w:rsid w:val="00D76D6E"/>
    <w:rsid w:val="00D90D4A"/>
    <w:rsid w:val="00D9216B"/>
    <w:rsid w:val="00D951A3"/>
    <w:rsid w:val="00DA222C"/>
    <w:rsid w:val="00DA331C"/>
    <w:rsid w:val="00DA3D2D"/>
    <w:rsid w:val="00DA44A9"/>
    <w:rsid w:val="00DA51B3"/>
    <w:rsid w:val="00DB29AB"/>
    <w:rsid w:val="00DB2B00"/>
    <w:rsid w:val="00DC0C76"/>
    <w:rsid w:val="00DC7BC6"/>
    <w:rsid w:val="00DD59CC"/>
    <w:rsid w:val="00DD6474"/>
    <w:rsid w:val="00DE1130"/>
    <w:rsid w:val="00DE6E80"/>
    <w:rsid w:val="00DE745A"/>
    <w:rsid w:val="00DF07C6"/>
    <w:rsid w:val="00DF4AE3"/>
    <w:rsid w:val="00DF6335"/>
    <w:rsid w:val="00DF75C6"/>
    <w:rsid w:val="00E06DD0"/>
    <w:rsid w:val="00E10CD4"/>
    <w:rsid w:val="00E11991"/>
    <w:rsid w:val="00E13EFC"/>
    <w:rsid w:val="00E16E7E"/>
    <w:rsid w:val="00E16FE1"/>
    <w:rsid w:val="00E22A4B"/>
    <w:rsid w:val="00E2575F"/>
    <w:rsid w:val="00E2638D"/>
    <w:rsid w:val="00E2737A"/>
    <w:rsid w:val="00E34400"/>
    <w:rsid w:val="00E43ED3"/>
    <w:rsid w:val="00E45180"/>
    <w:rsid w:val="00E45D01"/>
    <w:rsid w:val="00E5511D"/>
    <w:rsid w:val="00E6242D"/>
    <w:rsid w:val="00E66935"/>
    <w:rsid w:val="00E676DC"/>
    <w:rsid w:val="00E77C6B"/>
    <w:rsid w:val="00E80842"/>
    <w:rsid w:val="00E91929"/>
    <w:rsid w:val="00E95709"/>
    <w:rsid w:val="00EB24CD"/>
    <w:rsid w:val="00EC0323"/>
    <w:rsid w:val="00EC0A92"/>
    <w:rsid w:val="00EC0B60"/>
    <w:rsid w:val="00EC5CAB"/>
    <w:rsid w:val="00EC7A3D"/>
    <w:rsid w:val="00ED021C"/>
    <w:rsid w:val="00ED4B17"/>
    <w:rsid w:val="00ED7714"/>
    <w:rsid w:val="00EE3B69"/>
    <w:rsid w:val="00EE71D6"/>
    <w:rsid w:val="00EF0506"/>
    <w:rsid w:val="00EF0C55"/>
    <w:rsid w:val="00EF5CBA"/>
    <w:rsid w:val="00EF5E9D"/>
    <w:rsid w:val="00F01B35"/>
    <w:rsid w:val="00F0363F"/>
    <w:rsid w:val="00F056C6"/>
    <w:rsid w:val="00F063E6"/>
    <w:rsid w:val="00F06671"/>
    <w:rsid w:val="00F07501"/>
    <w:rsid w:val="00F10643"/>
    <w:rsid w:val="00F12361"/>
    <w:rsid w:val="00F15F3E"/>
    <w:rsid w:val="00F2000D"/>
    <w:rsid w:val="00F2115A"/>
    <w:rsid w:val="00F30D07"/>
    <w:rsid w:val="00F32C18"/>
    <w:rsid w:val="00F34AF3"/>
    <w:rsid w:val="00F34C6D"/>
    <w:rsid w:val="00F36769"/>
    <w:rsid w:val="00F4103A"/>
    <w:rsid w:val="00F42D14"/>
    <w:rsid w:val="00F444B5"/>
    <w:rsid w:val="00F44FA2"/>
    <w:rsid w:val="00F528C6"/>
    <w:rsid w:val="00F53EA0"/>
    <w:rsid w:val="00F549B4"/>
    <w:rsid w:val="00F54E2A"/>
    <w:rsid w:val="00F613DD"/>
    <w:rsid w:val="00F62D65"/>
    <w:rsid w:val="00F66BF9"/>
    <w:rsid w:val="00F95168"/>
    <w:rsid w:val="00FA0C19"/>
    <w:rsid w:val="00FA2C34"/>
    <w:rsid w:val="00FB0BEF"/>
    <w:rsid w:val="00FB3029"/>
    <w:rsid w:val="00FC6D04"/>
    <w:rsid w:val="00FC71D6"/>
    <w:rsid w:val="00FD1408"/>
    <w:rsid w:val="00FD7F0E"/>
    <w:rsid w:val="00FE6886"/>
    <w:rsid w:val="00FE7414"/>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customStyle="1" w:styleId="HeaderChar">
    <w:name w:val="Header Char"/>
    <w:basedOn w:val="DefaultParagraphFont"/>
    <w:link w:val="Header"/>
    <w:uiPriority w:val="99"/>
    <w:rsid w:val="00C06D64"/>
    <w:rPr>
      <w:rFonts w:ascii="Times" w:eastAsia="Times" w:hAnsi="Times"/>
      <w:sz w:val="24"/>
      <w:lang w:eastAsia="en-US"/>
    </w:rPr>
  </w:style>
  <w:style w:type="paragraph" w:styleId="NormalWeb">
    <w:name w:val="Normal (Web)"/>
    <w:basedOn w:val="Normal"/>
    <w:uiPriority w:val="99"/>
    <w:unhideWhenUsed/>
    <w:rsid w:val="008969AA"/>
    <w:pPr>
      <w:spacing w:after="150"/>
    </w:pPr>
    <w:rPr>
      <w:szCs w:val="24"/>
      <w:lang w:eastAsia="en-GB"/>
    </w:rPr>
  </w:style>
  <w:style w:type="character" w:styleId="UnresolvedMention">
    <w:name w:val="Unresolved Mention"/>
    <w:basedOn w:val="DefaultParagraphFont"/>
    <w:uiPriority w:val="99"/>
    <w:semiHidden/>
    <w:unhideWhenUsed/>
    <w:rsid w:val="0077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2922">
      <w:bodyDiv w:val="1"/>
      <w:marLeft w:val="0"/>
      <w:marRight w:val="0"/>
      <w:marTop w:val="0"/>
      <w:marBottom w:val="0"/>
      <w:divBdr>
        <w:top w:val="none" w:sz="0" w:space="0" w:color="auto"/>
        <w:left w:val="none" w:sz="0" w:space="0" w:color="auto"/>
        <w:bottom w:val="none" w:sz="0" w:space="0" w:color="auto"/>
        <w:right w:val="none" w:sz="0" w:space="0" w:color="auto"/>
      </w:divBdr>
    </w:div>
    <w:div w:id="651176405">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partment-for-transport-actions-for-improving-business-opportunities-for-small-and-medium-enterpri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1769</Words>
  <Characters>10408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12153</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Samantha Hemsley</cp:lastModifiedBy>
  <cp:revision>2</cp:revision>
  <cp:lastPrinted>2018-03-07T08:33:00Z</cp:lastPrinted>
  <dcterms:created xsi:type="dcterms:W3CDTF">2022-07-08T09:58:00Z</dcterms:created>
  <dcterms:modified xsi:type="dcterms:W3CDTF">2022-07-08T09:58:00Z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