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w:t>
      </w:r>
      <w:r w:rsidDel="00000000" w:rsidR="00000000" w:rsidRPr="00000000">
        <w:rPr>
          <w:rFonts w:ascii="Arial" w:cs="Arial" w:eastAsia="Arial" w:hAnsi="Arial"/>
          <w:b w:val="1"/>
          <w:color w:val="202124"/>
          <w:sz w:val="28"/>
          <w:szCs w:val="28"/>
          <w:highlight w:val="white"/>
          <w:rtl w:val="0"/>
        </w:rPr>
        <w:t xml:space="preserve">3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highlight w:val="white"/>
          <w:rtl w:val="0"/>
        </w:rPr>
        <w:t xml:space="preserve">Residential</w:t>
      </w:r>
      <w:r w:rsidDel="00000000" w:rsidR="00000000" w:rsidRPr="00000000">
        <w:rPr>
          <w:rFonts w:ascii="Arial" w:cs="Arial" w:eastAsia="Arial" w:hAnsi="Arial"/>
          <w:b w:val="1"/>
          <w:color w:val="ff0000"/>
          <w:sz w:val="28"/>
          <w:szCs w:val="28"/>
          <w:rtl w:val="0"/>
        </w:rPr>
        <w:t xml:space="preserve">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spacing w:after="120" w:lineRule="auto"/>
        <w:ind w:right="-18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w:t>
      </w:r>
      <w:r w:rsidDel="00000000" w:rsidR="00000000" w:rsidRPr="00000000">
        <w:rPr>
          <w:rFonts w:ascii="Arial" w:cs="Arial" w:eastAsia="Arial" w:hAnsi="Arial"/>
          <w:highlight w:val="white"/>
          <w:rtl w:val="0"/>
        </w:rPr>
        <w:t xml:space="preserve">3</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w:t>
      </w:r>
      <w:r w:rsidDel="00000000" w:rsidR="00000000" w:rsidRPr="00000000">
        <w:rPr>
          <w:rFonts w:ascii="Arial" w:cs="Arial" w:eastAsia="Arial" w:hAnsi="Arial"/>
          <w:highlight w:val="white"/>
          <w:rtl w:val="0"/>
        </w:rPr>
        <w:t xml:space="preserve">3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w:t>
      </w:r>
      <w:r w:rsidDel="00000000" w:rsidR="00000000" w:rsidRPr="00000000">
        <w:rPr>
          <w:rFonts w:ascii="Arial" w:cs="Arial" w:eastAsia="Arial" w:hAnsi="Arial"/>
          <w:b w:val="1"/>
          <w:i w:val="1"/>
          <w:highlight w:val="white"/>
          <w:rtl w:val="0"/>
        </w:rPr>
        <w:t xml:space="preserve">3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1">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customers listed in the certificates to verify the information provided. You must notify the customer that they may be contacted by us.</w:t>
      </w:r>
    </w:p>
    <w:p w:rsidR="00000000" w:rsidDel="00000000" w:rsidP="00000000" w:rsidRDefault="00000000" w:rsidRPr="00000000" w14:paraId="00000012">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spacing w:after="0" w:lineRule="auto"/>
        <w:ind w:right="-620"/>
        <w:jc w:val="center"/>
        <w:rPr>
          <w:rFonts w:ascii="Arial" w:cs="Arial" w:eastAsia="Arial" w:hAnsi="Arial"/>
          <w:highlight w:val="white"/>
        </w:rPr>
      </w:pPr>
      <w:r w:rsidDel="00000000" w:rsidR="00000000" w:rsidRPr="00000000">
        <w:rPr>
          <w:rFonts w:ascii="Arial" w:cs="Arial" w:eastAsia="Arial" w:hAnsi="Arial"/>
          <w:highlight w:val="white"/>
          <w:rtl w:val="0"/>
        </w:rPr>
        <w:t xml:space="preserve">(PMV contact value £ / Gross Construction contract value £) x 100 = PMV%</w:t>
      </w:r>
    </w:p>
    <w:p w:rsidR="00000000" w:rsidDel="00000000" w:rsidP="00000000" w:rsidRDefault="00000000" w:rsidRPr="00000000" w14:paraId="00000018">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A">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55% PMV</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2">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3">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r w:rsidDel="00000000" w:rsidR="00000000" w:rsidRPr="00000000">
        <w:rPr>
          <w:rtl w:val="0"/>
        </w:rPr>
      </w:r>
    </w:p>
    <w:p w:rsidR="00000000" w:rsidDel="00000000" w:rsidP="00000000" w:rsidRDefault="00000000" w:rsidRPr="00000000" w14:paraId="00000024">
      <w:pPr>
        <w:spacing w:after="0" w:lineRule="auto"/>
        <w:ind w:left="1440" w:right="-620" w:firstLine="720"/>
        <w:rPr>
          <w:rFonts w:ascii="Arial" w:cs="Arial" w:eastAsia="Arial" w:hAnsi="Arial"/>
          <w:strike w:val="1"/>
          <w:highlight w:val="white"/>
        </w:rPr>
      </w:pPr>
      <w:r w:rsidDel="00000000" w:rsidR="00000000" w:rsidRPr="00000000">
        <w:rPr>
          <w:rtl w:val="0"/>
        </w:rPr>
      </w:r>
    </w:p>
    <w:p w:rsidR="00000000" w:rsidDel="00000000" w:rsidP="00000000" w:rsidRDefault="00000000" w:rsidRPr="00000000" w14:paraId="00000025">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3</w:t>
      </w:r>
    </w:p>
    <w:p w:rsidR="00000000" w:rsidDel="00000000" w:rsidP="00000000" w:rsidRDefault="00000000" w:rsidRPr="00000000" w14:paraId="0000002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 bidder can submit an example project for either an MMC Category 1 (3D) or a Category 2 (2D) solution depending on their manufacturing system.  Should they wish to provide both systems, they must provide an example project for each system.</w:t>
      </w:r>
    </w:p>
    <w:p w:rsidR="00000000" w:rsidDel="00000000" w:rsidP="00000000" w:rsidRDefault="00000000" w:rsidRPr="00000000" w14:paraId="00000027">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residential or mixed-use (including residential) project, or a design and construction project of comparable complexity, utilising either MMC Categories 1 or 2.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55%</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Satisfies either BOPAS or NHBC Accepts, or similar approved, requirements</w:t>
      </w:r>
    </w:p>
    <w:p w:rsidR="00000000" w:rsidDel="00000000" w:rsidP="00000000" w:rsidRDefault="00000000" w:rsidRPr="00000000" w14:paraId="0000002C">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5) Delivers a minimum of 20 individual dwellings</w:t>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E">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F">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0">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55% PMV qualifying criteria</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5">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6">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8">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9">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w:t>
      </w:r>
      <w:r w:rsidDel="00000000" w:rsidR="00000000" w:rsidRPr="00000000">
        <w:rPr>
          <w:rFonts w:ascii="Arial" w:cs="Arial" w:eastAsia="Arial" w:hAnsi="Arial"/>
          <w:b w:val="1"/>
          <w:sz w:val="24"/>
          <w:szCs w:val="24"/>
          <w:highlight w:val="white"/>
          <w:rtl w:val="0"/>
        </w:rPr>
        <w:t xml:space="preserve">3</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vAlign w:val="center"/>
          </w:tcPr>
          <w:p w:rsidR="00000000" w:rsidDel="00000000" w:rsidP="00000000" w:rsidRDefault="00000000" w:rsidRPr="00000000" w14:paraId="0000003C">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3 Residential</w:t>
            </w:r>
            <w:r w:rsidDel="00000000" w:rsidR="00000000" w:rsidRPr="00000000">
              <w:rPr>
                <w:rtl w:val="0"/>
              </w:rPr>
            </w:r>
          </w:p>
        </w:tc>
        <w:tc>
          <w:tcP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3D Turnkey Solution</w:t>
            </w:r>
          </w:p>
        </w:tc>
      </w:tr>
      <w:tr>
        <w:trPr>
          <w:cantSplit w:val="0"/>
          <w:tblHeader w:val="0"/>
        </w:trPr>
        <w:tc>
          <w:tcP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D">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0">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2">
            <w:pPr>
              <w:widowControl w:val="0"/>
              <w:numPr>
                <w:ilvl w:val="0"/>
                <w:numId w:val="4"/>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3">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4">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5">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6">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7">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8">
            <w:pPr>
              <w:widowControl w:val="0"/>
              <w:numPr>
                <w:ilvl w:val="1"/>
                <w:numId w:val="4"/>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A">
            <w:pPr>
              <w:widowControl w:val="0"/>
              <w:numPr>
                <w:ilvl w:val="0"/>
                <w:numId w:val="4"/>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B">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C">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D">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E">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F">
            <w:pPr>
              <w:widowControl w:val="0"/>
              <w:numPr>
                <w:ilvl w:val="1"/>
                <w:numId w:val="4"/>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70">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1">
            <w:pPr>
              <w:widowControl w:val="0"/>
              <w:numPr>
                <w:ilvl w:val="0"/>
                <w:numId w:val="4"/>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2">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3">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4">
            <w:pPr>
              <w:widowControl w:val="0"/>
              <w:numPr>
                <w:ilvl w:val="1"/>
                <w:numId w:val="4"/>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5">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6">
            <w:pPr>
              <w:widowControl w:val="0"/>
              <w:numPr>
                <w:ilvl w:val="0"/>
                <w:numId w:val="4"/>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7">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8">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9">
            <w:pPr>
              <w:widowControl w:val="0"/>
              <w:numPr>
                <w:ilvl w:val="1"/>
                <w:numId w:val="4"/>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A">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B">
            <w:pPr>
              <w:widowControl w:val="0"/>
              <w:numPr>
                <w:ilvl w:val="0"/>
                <w:numId w:val="4"/>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C">
            <w:pPr>
              <w:widowControl w:val="0"/>
              <w:numPr>
                <w:ilvl w:val="1"/>
                <w:numId w:val="4"/>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D">
            <w:pPr>
              <w:widowControl w:val="0"/>
              <w:numPr>
                <w:ilvl w:val="1"/>
                <w:numId w:val="4"/>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E">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F">
            <w:pPr>
              <w:widowControl w:val="0"/>
              <w:numPr>
                <w:ilvl w:val="0"/>
                <w:numId w:val="4"/>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80">
            <w:pPr>
              <w:widowControl w:val="0"/>
              <w:numPr>
                <w:ilvl w:val="1"/>
                <w:numId w:val="4"/>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1">
            <w:pPr>
              <w:widowControl w:val="0"/>
              <w:numPr>
                <w:ilvl w:val="1"/>
                <w:numId w:val="4"/>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tc>
      </w:tr>
    </w:tbl>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ind w:hanging="567"/>
        <w:rPr>
          <w:rFonts w:ascii="Arial" w:cs="Arial" w:eastAsia="Arial" w:hAnsi="Arial"/>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white"/>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vAlign w:val="center"/>
          </w:tcPr>
          <w:p w:rsidR="00000000" w:rsidDel="00000000" w:rsidP="00000000" w:rsidRDefault="00000000" w:rsidRPr="00000000" w14:paraId="00000086">
            <w:pPr>
              <w:spacing w:after="80" w:before="80" w:line="24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3 Residential</w:t>
            </w:r>
            <w:r w:rsidDel="00000000" w:rsidR="00000000" w:rsidRPr="00000000">
              <w:rPr>
                <w:rtl w:val="0"/>
              </w:rPr>
            </w:r>
          </w:p>
        </w:tc>
        <w:tc>
          <w:tcPr>
            <w:vAlign w:val="center"/>
          </w:tcPr>
          <w:p w:rsidR="00000000" w:rsidDel="00000000" w:rsidP="00000000" w:rsidRDefault="00000000" w:rsidRPr="00000000" w14:paraId="00000087">
            <w:pPr>
              <w:widowControl w:val="0"/>
              <w:spacing w:after="0" w:line="276" w:lineRule="auto"/>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2D Turnkey Solution</w:t>
            </w:r>
          </w:p>
        </w:tc>
      </w:tr>
      <w:tr>
        <w:trPr>
          <w:cantSplit w:val="0"/>
          <w:tblHeader w:val="0"/>
        </w:trPr>
        <w:tc>
          <w:tcPr>
            <w:vAlign w:val="center"/>
          </w:tcPr>
          <w:p w:rsidR="00000000" w:rsidDel="00000000" w:rsidP="00000000" w:rsidRDefault="00000000" w:rsidRPr="00000000" w14:paraId="00000088">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89">
            <w:pPr>
              <w:spacing w:after="80" w:before="80" w:line="24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8A">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8C">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8D">
            <w:pPr>
              <w:spacing w:after="80" w:before="80" w:line="24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8E">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8F">
            <w:pPr>
              <w:spacing w:after="80" w:before="80" w:line="24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90">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91">
            <w:pPr>
              <w:spacing w:after="80" w:before="80" w:line="24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2">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4">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5">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6">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8">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9">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A">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B">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C">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D">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E">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F">
            <w:pPr>
              <w:spacing w:after="80" w:before="80" w:line="24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A1">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A2">
            <w:pPr>
              <w:spacing w:after="80" w:before="80" w:line="24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A3">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A4">
            <w:pPr>
              <w:spacing w:after="80" w:before="80" w:line="24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A5">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A6">
            <w:pPr>
              <w:spacing w:after="80" w:before="80" w:line="24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A7">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A8">
            <w:pPr>
              <w:spacing w:after="80" w:before="80" w:line="24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A9">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AA">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AB">
            <w:pPr>
              <w:spacing w:after="80" w:before="80" w:line="24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AC">
            <w:pPr>
              <w:spacing w:after="80" w:before="80" w:line="24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AD">
            <w:pPr>
              <w:spacing w:after="80" w:before="80" w:line="24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AE">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B0">
            <w:pPr>
              <w:widowControl w:val="0"/>
              <w:numPr>
                <w:ilvl w:val="0"/>
                <w:numId w:val="4"/>
              </w:numPr>
              <w:spacing w:after="0" w:before="120" w:line="24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B1">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Defining client requirements</w:t>
            </w:r>
          </w:p>
          <w:p w:rsidR="00000000" w:rsidDel="00000000" w:rsidP="00000000" w:rsidRDefault="00000000" w:rsidRPr="00000000" w14:paraId="000000B2">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Option Analysis including Value for Money proposals</w:t>
            </w:r>
          </w:p>
          <w:p w:rsidR="00000000" w:rsidDel="00000000" w:rsidP="00000000" w:rsidRDefault="00000000" w:rsidRPr="00000000" w14:paraId="000000B3">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Design activity, including any associated BIM action</w:t>
            </w:r>
          </w:p>
          <w:p w:rsidR="00000000" w:rsidDel="00000000" w:rsidP="00000000" w:rsidRDefault="00000000" w:rsidRPr="00000000" w14:paraId="000000B4">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Planning Application and Approvals</w:t>
            </w:r>
          </w:p>
          <w:p w:rsidR="00000000" w:rsidDel="00000000" w:rsidP="00000000" w:rsidRDefault="00000000" w:rsidRPr="00000000" w14:paraId="000000B5">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Capacity Management and Programme Planning</w:t>
            </w:r>
          </w:p>
          <w:p w:rsidR="00000000" w:rsidDel="00000000" w:rsidP="00000000" w:rsidRDefault="00000000" w:rsidRPr="00000000" w14:paraId="000000B6">
            <w:pPr>
              <w:widowControl w:val="0"/>
              <w:numPr>
                <w:ilvl w:val="1"/>
                <w:numId w:val="4"/>
              </w:numPr>
              <w:spacing w:after="12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Design Freeze and Change Management</w:t>
            </w:r>
          </w:p>
          <w:p w:rsidR="00000000" w:rsidDel="00000000" w:rsidP="00000000" w:rsidRDefault="00000000" w:rsidRPr="00000000" w14:paraId="000000B7">
            <w:pPr>
              <w:widowControl w:val="0"/>
              <w:spacing w:after="120" w:before="120" w:line="24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B8">
            <w:pPr>
              <w:widowControl w:val="0"/>
              <w:numPr>
                <w:ilvl w:val="0"/>
                <w:numId w:val="4"/>
              </w:numPr>
              <w:spacing w:after="0" w:before="120" w:line="24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B9">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Integration of offsite and onsite workstreams</w:t>
            </w:r>
          </w:p>
          <w:p w:rsidR="00000000" w:rsidDel="00000000" w:rsidP="00000000" w:rsidRDefault="00000000" w:rsidRPr="00000000" w14:paraId="000000BA">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Site Preparation</w:t>
            </w:r>
          </w:p>
          <w:p w:rsidR="00000000" w:rsidDel="00000000" w:rsidP="00000000" w:rsidRDefault="00000000" w:rsidRPr="00000000" w14:paraId="000000BB">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Onsite installation</w:t>
            </w:r>
          </w:p>
          <w:p w:rsidR="00000000" w:rsidDel="00000000" w:rsidP="00000000" w:rsidRDefault="00000000" w:rsidRPr="00000000" w14:paraId="000000BC">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Offsite and Onsite Health and Safety management</w:t>
            </w:r>
          </w:p>
          <w:p w:rsidR="00000000" w:rsidDel="00000000" w:rsidP="00000000" w:rsidRDefault="00000000" w:rsidRPr="00000000" w14:paraId="000000BD">
            <w:pPr>
              <w:widowControl w:val="0"/>
              <w:numPr>
                <w:ilvl w:val="1"/>
                <w:numId w:val="4"/>
              </w:numPr>
              <w:spacing w:after="12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Management of variations</w:t>
            </w:r>
          </w:p>
          <w:p w:rsidR="00000000" w:rsidDel="00000000" w:rsidP="00000000" w:rsidRDefault="00000000" w:rsidRPr="00000000" w14:paraId="000000BE">
            <w:pPr>
              <w:widowControl w:val="0"/>
              <w:spacing w:after="120" w:before="120" w:line="24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BF">
            <w:pPr>
              <w:widowControl w:val="0"/>
              <w:numPr>
                <w:ilvl w:val="0"/>
                <w:numId w:val="4"/>
              </w:numPr>
              <w:spacing w:after="0" w:before="120" w:line="24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C0">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Project Team Engagement</w:t>
            </w:r>
          </w:p>
          <w:p w:rsidR="00000000" w:rsidDel="00000000" w:rsidP="00000000" w:rsidRDefault="00000000" w:rsidRPr="00000000" w14:paraId="000000C1">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Client relationship management</w:t>
            </w:r>
          </w:p>
          <w:p w:rsidR="00000000" w:rsidDel="00000000" w:rsidP="00000000" w:rsidRDefault="00000000" w:rsidRPr="00000000" w14:paraId="000000C2">
            <w:pPr>
              <w:widowControl w:val="0"/>
              <w:numPr>
                <w:ilvl w:val="1"/>
                <w:numId w:val="4"/>
              </w:numPr>
              <w:spacing w:after="12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Other Third Parties, for e.g. end-users, local community, etc</w:t>
            </w:r>
          </w:p>
          <w:p w:rsidR="00000000" w:rsidDel="00000000" w:rsidP="00000000" w:rsidRDefault="00000000" w:rsidRPr="00000000" w14:paraId="000000C3">
            <w:pPr>
              <w:widowControl w:val="0"/>
              <w:spacing w:after="120" w:before="120" w:line="240" w:lineRule="auto"/>
              <w:ind w:right="160"/>
              <w:rPr>
                <w:rFonts w:ascii="Arial" w:cs="Arial" w:eastAsia="Arial" w:hAnsi="Arial"/>
                <w:color w:val="202124"/>
              </w:rPr>
            </w:pPr>
            <w:r w:rsidDel="00000000" w:rsidR="00000000" w:rsidRPr="00000000">
              <w:rPr>
                <w:rtl w:val="0"/>
              </w:rPr>
            </w:r>
          </w:p>
          <w:p w:rsidR="00000000" w:rsidDel="00000000" w:rsidP="00000000" w:rsidRDefault="00000000" w:rsidRPr="00000000" w14:paraId="000000C4">
            <w:pPr>
              <w:widowControl w:val="0"/>
              <w:numPr>
                <w:ilvl w:val="0"/>
                <w:numId w:val="4"/>
              </w:numPr>
              <w:spacing w:after="0" w:before="120" w:line="24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C5">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Performance Management &amp; Quality Control</w:t>
            </w:r>
          </w:p>
          <w:p w:rsidR="00000000" w:rsidDel="00000000" w:rsidP="00000000" w:rsidRDefault="00000000" w:rsidRPr="00000000" w14:paraId="000000C6">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Managing information exchanges</w:t>
            </w:r>
          </w:p>
          <w:p w:rsidR="00000000" w:rsidDel="00000000" w:rsidP="00000000" w:rsidRDefault="00000000" w:rsidRPr="00000000" w14:paraId="000000C7">
            <w:pPr>
              <w:widowControl w:val="0"/>
              <w:numPr>
                <w:ilvl w:val="1"/>
                <w:numId w:val="4"/>
              </w:numPr>
              <w:spacing w:after="12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Lead times</w:t>
            </w:r>
          </w:p>
          <w:p w:rsidR="00000000" w:rsidDel="00000000" w:rsidP="00000000" w:rsidRDefault="00000000" w:rsidRPr="00000000" w14:paraId="000000C8">
            <w:pPr>
              <w:widowControl w:val="0"/>
              <w:spacing w:after="120" w:before="120" w:line="24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C9">
            <w:pPr>
              <w:widowControl w:val="0"/>
              <w:numPr>
                <w:ilvl w:val="0"/>
                <w:numId w:val="4"/>
              </w:numPr>
              <w:spacing w:after="0" w:before="120" w:line="24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CA">
            <w:pPr>
              <w:widowControl w:val="0"/>
              <w:numPr>
                <w:ilvl w:val="1"/>
                <w:numId w:val="4"/>
              </w:numPr>
              <w:spacing w:after="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Quality Control</w:t>
            </w:r>
          </w:p>
          <w:p w:rsidR="00000000" w:rsidDel="00000000" w:rsidP="00000000" w:rsidRDefault="00000000" w:rsidRPr="00000000" w14:paraId="000000CB">
            <w:pPr>
              <w:widowControl w:val="0"/>
              <w:numPr>
                <w:ilvl w:val="1"/>
                <w:numId w:val="4"/>
              </w:numPr>
              <w:spacing w:after="120" w:line="240" w:lineRule="auto"/>
              <w:ind w:left="1440" w:right="160" w:hanging="360"/>
              <w:rPr>
                <w:rFonts w:ascii="Arial" w:cs="Arial" w:eastAsia="Arial" w:hAnsi="Arial"/>
                <w:color w:val="202124"/>
              </w:rPr>
            </w:pPr>
            <w:r w:rsidDel="00000000" w:rsidR="00000000" w:rsidRPr="00000000">
              <w:rPr>
                <w:rFonts w:ascii="Arial" w:cs="Arial" w:eastAsia="Arial" w:hAnsi="Arial"/>
                <w:color w:val="202124"/>
                <w:rtl w:val="0"/>
              </w:rPr>
              <w:t xml:space="preserve">Risk management and defect mitigation and/or management</w:t>
            </w:r>
          </w:p>
          <w:p w:rsidR="00000000" w:rsidDel="00000000" w:rsidP="00000000" w:rsidRDefault="00000000" w:rsidRPr="00000000" w14:paraId="000000CC">
            <w:pPr>
              <w:widowControl w:val="0"/>
              <w:spacing w:after="120" w:before="120" w:line="24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CD">
            <w:pPr>
              <w:widowControl w:val="0"/>
              <w:numPr>
                <w:ilvl w:val="0"/>
                <w:numId w:val="4"/>
              </w:numPr>
              <w:spacing w:after="0" w:before="120" w:line="24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CE">
            <w:pPr>
              <w:widowControl w:val="0"/>
              <w:numPr>
                <w:ilvl w:val="1"/>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CF">
            <w:pPr>
              <w:widowControl w:val="0"/>
              <w:numPr>
                <w:ilvl w:val="1"/>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Management of Defects (if any)</w:t>
            </w:r>
          </w:p>
        </w:tc>
      </w:tr>
    </w:tbl>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3">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4">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6">
      <w:pPr>
        <w:ind w:hanging="567"/>
        <w:rPr>
          <w:rFonts w:ascii="Arial" w:cs="Arial" w:eastAsia="Arial" w:hAnsi="Arial"/>
          <w:b w:val="1"/>
          <w:sz w:val="24"/>
          <w:szCs w:val="24"/>
          <w:highlight w:val="yellow"/>
        </w:rPr>
      </w:pPr>
      <w:r w:rsidDel="00000000" w:rsidR="00000000" w:rsidRPr="00000000">
        <w:rPr>
          <w:rtl w:val="0"/>
        </w:rPr>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D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 (2D COPTA, if applicable)</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D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D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D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D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D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D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E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E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E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E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E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6">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E7">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E8">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E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EA">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EB">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EC">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EE">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E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F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F2">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F3">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 (3D COPTA, if applicable)</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F5">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F7">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F8">
            <w:pPr>
              <w:spacing w:after="80" w:before="80" w:line="24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F9">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FA">
            <w:pPr>
              <w:spacing w:after="80" w:before="80" w:line="24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FB">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FC">
            <w:pPr>
              <w:spacing w:after="80" w:before="80" w:line="24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FD">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FE">
            <w:pPr>
              <w:spacing w:after="80" w:before="80" w:line="24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FF">
            <w:pPr>
              <w:spacing w:after="80" w:before="80" w:line="24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101">
            <w:pPr>
              <w:spacing w:after="80" w:before="8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2">
            <w:pPr>
              <w:spacing w:after="80" w:before="80" w:line="24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103">
            <w:pPr>
              <w:spacing w:after="80" w:before="80" w:line="24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104">
            <w:pPr>
              <w:spacing w:after="80" w:before="80" w:line="24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105">
            <w:pPr>
              <w:spacing w:after="80" w:before="8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6">
            <w:pPr>
              <w:spacing w:after="80" w:before="80" w:line="240" w:lineRule="auto"/>
              <w:rPr>
                <w:rFonts w:ascii="Arial" w:cs="Arial" w:eastAsia="Arial" w:hAnsi="Arial"/>
                <w:b w:val="1"/>
              </w:rPr>
            </w:pPr>
            <w:r w:rsidDel="00000000" w:rsidR="00000000" w:rsidRPr="00000000">
              <w:rPr>
                <w:rFonts w:ascii="Arial" w:cs="Arial" w:eastAsia="Arial" w:hAnsi="Arial"/>
              </w:rPr>
              <w:drawing>
                <wp:inline distB="0" distT="0" distL="114300" distR="114300">
                  <wp:extent cx="2435860" cy="1221740"/>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435860" cy="1221740"/>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spacing w:after="80" w:before="80" w:line="24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108">
            <w:pPr>
              <w:spacing w:after="80" w:before="80" w:line="24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10A">
            <w:pPr>
              <w:spacing w:after="80" w:before="80" w:line="24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10B">
            <w:pPr>
              <w:spacing w:after="80" w:before="80" w:line="24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10C">
            <w:pPr>
              <w:spacing w:after="80" w:before="80" w:line="24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10E">
      <w:pPr>
        <w:rPr>
          <w:rFonts w:ascii="Arial" w:cs="Arial" w:eastAsia="Arial" w:hAnsi="Arial"/>
        </w:rPr>
      </w:pPr>
      <w:r w:rsidDel="00000000" w:rsidR="00000000" w:rsidRPr="00000000">
        <w:rPr>
          <w:rtl w:val="0"/>
        </w:rPr>
      </w:r>
    </w:p>
    <w:sectPr>
      <w:footerReference r:id="rId10"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w:t>
    </w:r>
    <w:r w:rsidDel="00000000" w:rsidR="00000000" w:rsidRPr="00000000">
      <w:rPr>
        <w:rFonts w:ascii="Arial" w:cs="Arial" w:eastAsia="Arial" w:hAnsi="Arial"/>
        <w:sz w:val="16"/>
        <w:szCs w:val="16"/>
        <w:highlight w:val="white"/>
        <w:rtl w:val="0"/>
      </w:rPr>
      <w:t xml:space="preserve">3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11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xdfWFV5ZSAOia0gYYQAACjnoKg==">AMUW2mWV+tYXSvddGqNihJ9lf7xn1ktklkcYq35DWKaDDFlvD2LUk0FuFaCv1l8bsFZlaNClPuKK0DTPkzGpGhjIAagdL3ym1n5pBOGxiWg2PLVToUzL8j5ahFiUAFUSGHShcbYO+OK0+zz9HnVptsJ0aYoInj3oFqJ7yb2NNJFR5drEiRe/kPorr3hGWYwJ2BRxiUbdX4pcmvJRFMyD6d4rgcs+sTUSwKENeS7hmwyBXfShP1ezql3QPcCsF7o2yU027cYxj7pHow7K8k2+zWbxUjaxeEP/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