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03A11A9A"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OF:</w:t>
      </w:r>
      <w:r w:rsidR="007014DB" w:rsidRPr="007014DB">
        <w:t xml:space="preserve"> RSSB2616 - Identifying best practices in how public procurement can support the uptake of innovation in risk averse industries</w:t>
      </w:r>
    </w:p>
    <w:p w14:paraId="367CB7EE" w14:textId="73683531" w:rsidR="00E52B87" w:rsidRPr="00E52B87" w:rsidRDefault="00E52B87" w:rsidP="00E52B87">
      <w:pPr>
        <w:pStyle w:val="CoverTitle"/>
      </w:pPr>
    </w:p>
    <w:p w14:paraId="69A8EB25" w14:textId="160011E9" w:rsidR="00E52B87" w:rsidRPr="00E52B87" w:rsidRDefault="00E52B87" w:rsidP="00E52B87">
      <w:pPr>
        <w:pStyle w:val="CoverSubTitle"/>
      </w:pPr>
      <w:r w:rsidRPr="00E52B87">
        <w:t xml:space="preserve">Deadline: </w:t>
      </w:r>
      <w:r w:rsidR="000603CB">
        <w:t>Friday 2</w:t>
      </w:r>
      <w:r w:rsidR="007014DB" w:rsidRPr="007014DB">
        <w:rPr>
          <w:vertAlign w:val="superscript"/>
        </w:rPr>
        <w:t>nd</w:t>
      </w:r>
      <w:r w:rsidR="007014DB">
        <w:t xml:space="preserve"> January</w:t>
      </w:r>
      <w:r w:rsidR="006D1C93">
        <w:t xml:space="preserve"> </w:t>
      </w:r>
      <w:r w:rsidR="002A7571">
        <w:t>201</w:t>
      </w:r>
      <w:r w:rsidR="007014DB">
        <w:t>8</w:t>
      </w:r>
      <w:r w:rsidRPr="00E52B87">
        <w:t xml:space="preserve"> </w:t>
      </w:r>
    </w:p>
    <w:p w14:paraId="1051D870" w14:textId="79EF40AC" w:rsidR="00E52B87" w:rsidRPr="00E52B87" w:rsidRDefault="00E52B87" w:rsidP="00E52B87">
      <w:pPr>
        <w:pStyle w:val="CoverSubTitle"/>
      </w:pPr>
      <w:r w:rsidRPr="00E52B87">
        <w:t xml:space="preserve">ITT Reference: </w:t>
      </w:r>
      <w:r w:rsidR="0095659E">
        <w:t xml:space="preserve"> </w:t>
      </w:r>
      <w:r w:rsidR="007014DB" w:rsidRPr="007014DB">
        <w:t>RSSB2616 - Identifying best practices in how public procurement can support the uptake of innovation in risk averse industries</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lastRenderedPageBreak/>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7014DB" w14:paraId="1B8CFD56" w14:textId="77777777" w:rsidTr="007014DB">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158EDBB2" w14:textId="77777777" w:rsidR="007014DB" w:rsidRDefault="007014DB">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48EF656" w14:textId="77777777" w:rsidR="007014DB" w:rsidRDefault="007014DB">
            <w:pPr>
              <w:spacing w:before="120" w:after="120"/>
              <w:jc w:val="center"/>
              <w:rPr>
                <w:b/>
                <w:bCs/>
              </w:rPr>
            </w:pPr>
            <w:r>
              <w:rPr>
                <w:b/>
                <w:bCs/>
              </w:rPr>
              <w:t>Start Date</w:t>
            </w:r>
          </w:p>
        </w:tc>
      </w:tr>
      <w:tr w:rsidR="007014DB" w14:paraId="4E0DCA83"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DF99A6" w14:textId="77777777" w:rsidR="007014DB" w:rsidRDefault="007014DB">
            <w:pPr>
              <w:spacing w:before="120" w:after="120"/>
              <w:jc w:val="both"/>
              <w:rPr>
                <w:highlight w:val="yellow"/>
              </w:rPr>
            </w:pPr>
            <w:r>
              <w:rPr>
                <w:sz w:val="20"/>
                <w:szCs w:val="20"/>
                <w:lang w:eastAsia="en-GB"/>
              </w:rP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3F161AC5" w14:textId="77777777" w:rsidR="007014DB" w:rsidRDefault="007014DB">
            <w:pPr>
              <w:spacing w:before="120" w:after="120"/>
              <w:rPr>
                <w:highlight w:val="yellow"/>
              </w:rPr>
            </w:pPr>
            <w:r>
              <w:rPr>
                <w:sz w:val="20"/>
                <w:szCs w:val="20"/>
                <w:lang w:eastAsia="en-GB"/>
              </w:rPr>
              <w:t>23/11/2017</w:t>
            </w:r>
          </w:p>
        </w:tc>
      </w:tr>
      <w:tr w:rsidR="007014DB" w14:paraId="7156BFFA" w14:textId="77777777" w:rsidTr="007014DB">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21EE05B" w14:textId="77777777" w:rsidR="007014DB" w:rsidRDefault="007014DB">
            <w:pPr>
              <w:spacing w:before="120" w:after="120"/>
              <w:jc w:val="both"/>
              <w:rPr>
                <w:highlight w:val="yellow"/>
              </w:rPr>
            </w:pPr>
            <w:r>
              <w:rPr>
                <w:sz w:val="20"/>
                <w:szCs w:val="20"/>
                <w:lang w:eastAsia="en-GB"/>
              </w:rP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591B196" w14:textId="77777777" w:rsidR="007014DB" w:rsidRDefault="007014DB">
            <w:pPr>
              <w:spacing w:before="120" w:after="120"/>
              <w:rPr>
                <w:highlight w:val="yellow"/>
              </w:rPr>
            </w:pPr>
            <w:r>
              <w:rPr>
                <w:sz w:val="20"/>
                <w:szCs w:val="20"/>
                <w:lang w:eastAsia="en-GB"/>
              </w:rPr>
              <w:t>15/12/2017 17:00 hours</w:t>
            </w:r>
          </w:p>
        </w:tc>
      </w:tr>
      <w:tr w:rsidR="007014DB" w14:paraId="219E3364" w14:textId="77777777" w:rsidTr="007014DB">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80FCDBC" w14:textId="77777777" w:rsidR="007014DB" w:rsidRDefault="007014DB">
            <w:pPr>
              <w:spacing w:before="120" w:after="120"/>
              <w:jc w:val="both"/>
              <w:rPr>
                <w:b/>
                <w:bCs/>
                <w:color w:val="FF0000"/>
                <w:highlight w:val="yellow"/>
              </w:rPr>
            </w:pPr>
            <w:r>
              <w:rPr>
                <w:b/>
                <w:bCs/>
                <w:color w:val="FF0000"/>
                <w:sz w:val="20"/>
                <w:szCs w:val="20"/>
                <w:lang w:eastAsia="en-GB"/>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01547F24" w14:textId="61888B7C" w:rsidR="007014DB" w:rsidRDefault="007014DB">
            <w:pPr>
              <w:spacing w:before="120" w:after="120"/>
              <w:rPr>
                <w:b/>
                <w:bCs/>
                <w:color w:val="FF0000"/>
                <w:highlight w:val="yellow"/>
              </w:rPr>
            </w:pPr>
            <w:r>
              <w:rPr>
                <w:b/>
                <w:bCs/>
                <w:color w:val="FF0000"/>
                <w:sz w:val="20"/>
                <w:szCs w:val="20"/>
                <w:lang w:eastAsia="en-GB"/>
              </w:rPr>
              <w:t>0</w:t>
            </w:r>
            <w:r w:rsidR="000603CB">
              <w:rPr>
                <w:b/>
                <w:bCs/>
                <w:color w:val="FF0000"/>
                <w:sz w:val="20"/>
                <w:szCs w:val="20"/>
                <w:lang w:eastAsia="en-GB"/>
              </w:rPr>
              <w:t>5</w:t>
            </w:r>
            <w:bookmarkStart w:id="2" w:name="_GoBack"/>
            <w:bookmarkEnd w:id="2"/>
            <w:r>
              <w:rPr>
                <w:b/>
                <w:bCs/>
                <w:color w:val="FF0000"/>
                <w:sz w:val="20"/>
                <w:szCs w:val="20"/>
                <w:lang w:eastAsia="en-GB"/>
              </w:rPr>
              <w:t>/01/2018 17:00 hours</w:t>
            </w:r>
          </w:p>
        </w:tc>
      </w:tr>
      <w:tr w:rsidR="007014DB" w14:paraId="75106B61" w14:textId="77777777" w:rsidTr="007014DB">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26365B" w14:textId="77777777" w:rsidR="007014DB" w:rsidRDefault="007014DB">
            <w:pPr>
              <w:spacing w:before="120" w:after="120"/>
              <w:jc w:val="both"/>
              <w:rPr>
                <w:highlight w:val="yellow"/>
              </w:rPr>
            </w:pPr>
            <w:r>
              <w:rPr>
                <w:sz w:val="20"/>
                <w:szCs w:val="20"/>
                <w:lang w:eastAsia="en-GB"/>
              </w:rP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E001AC9" w14:textId="77777777" w:rsidR="007014DB" w:rsidRDefault="007014DB">
            <w:pPr>
              <w:spacing w:before="120" w:after="120"/>
              <w:rPr>
                <w:highlight w:val="yellow"/>
              </w:rPr>
            </w:pPr>
            <w:r>
              <w:rPr>
                <w:sz w:val="20"/>
                <w:szCs w:val="20"/>
                <w:lang w:eastAsia="en-GB"/>
              </w:rPr>
              <w:t>W/c</w:t>
            </w:r>
          </w:p>
        </w:tc>
      </w:tr>
      <w:tr w:rsidR="007014DB" w14:paraId="6D68432F"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1F46AB1" w14:textId="77777777" w:rsidR="007014DB" w:rsidRDefault="007014DB">
            <w:pPr>
              <w:spacing w:before="120" w:after="120"/>
              <w:jc w:val="both"/>
              <w:rPr>
                <w:highlight w:val="yellow"/>
              </w:rPr>
            </w:pPr>
            <w:r>
              <w:rPr>
                <w:sz w:val="20"/>
                <w:szCs w:val="20"/>
                <w:lang w:eastAsia="en-GB"/>
              </w:rP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8ADC4EA" w14:textId="77777777" w:rsidR="007014DB" w:rsidRDefault="007014DB">
            <w:pPr>
              <w:spacing w:before="120" w:after="120"/>
              <w:rPr>
                <w:highlight w:val="yellow"/>
              </w:rPr>
            </w:pPr>
            <w:r>
              <w:rPr>
                <w:sz w:val="20"/>
                <w:szCs w:val="20"/>
                <w:lang w:eastAsia="en-GB"/>
              </w:rPr>
              <w:t>W/C 15/01/2018</w:t>
            </w:r>
          </w:p>
        </w:tc>
      </w:tr>
      <w:tr w:rsidR="007014DB" w14:paraId="29C1300D" w14:textId="77777777" w:rsidTr="007014DB">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3E65DC8" w14:textId="77777777" w:rsidR="007014DB" w:rsidRDefault="007014DB">
            <w:pPr>
              <w:spacing w:before="120" w:after="120"/>
              <w:jc w:val="both"/>
              <w:rPr>
                <w:highlight w:val="yellow"/>
              </w:rPr>
            </w:pPr>
            <w:r>
              <w:rPr>
                <w:sz w:val="20"/>
                <w:szCs w:val="20"/>
                <w:lang w:eastAsia="en-GB"/>
              </w:rP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47A8974D" w14:textId="77777777" w:rsidR="007014DB" w:rsidRDefault="007014DB">
            <w:pPr>
              <w:spacing w:before="120" w:after="120"/>
              <w:rPr>
                <w:highlight w:val="yellow"/>
              </w:rPr>
            </w:pPr>
            <w:r>
              <w:rPr>
                <w:sz w:val="20"/>
                <w:szCs w:val="20"/>
                <w:lang w:eastAsia="en-GB"/>
              </w:rPr>
              <w:t>W/C 22/01/2018</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551117D6" w14:textId="5158E1EC" w:rsidR="009437FF" w:rsidRDefault="007014DB" w:rsidP="00FD1FB6">
      <w:pPr>
        <w:pStyle w:val="Heading1"/>
        <w:numPr>
          <w:ilvl w:val="0"/>
          <w:numId w:val="0"/>
        </w:numPr>
      </w:pPr>
      <w:r>
        <w:lastRenderedPageBreak/>
        <w:t xml:space="preserve"> </w:t>
      </w:r>
      <w:r w:rsidR="000140D4">
        <w:t xml:space="preserve">7.0 TENDER EVALUATION </w:t>
      </w:r>
      <w:r w:rsidR="000140D4" w:rsidRPr="00E52B87">
        <w:t>(</w:t>
      </w:r>
      <w:r w:rsidR="000140D4">
        <w:t>SELECTION CRITERIA)</w:t>
      </w:r>
    </w:p>
    <w:p w14:paraId="59DFF326" w14:textId="47A5F2F9" w:rsidR="007014DB" w:rsidRDefault="007014DB" w:rsidP="007014DB">
      <w:pPr>
        <w:pStyle w:val="Body"/>
      </w:pPr>
    </w:p>
    <w:p w14:paraId="44671220" w14:textId="47C3FB14" w:rsidR="007014DB" w:rsidRDefault="007014DB" w:rsidP="007014DB">
      <w:pPr>
        <w:pStyle w:val="Body"/>
      </w:pPr>
    </w:p>
    <w:p w14:paraId="4483FF30" w14:textId="6D82A754" w:rsidR="007014DB" w:rsidRDefault="007014DB" w:rsidP="007014DB">
      <w:pPr>
        <w:pStyle w:val="Body"/>
      </w:pPr>
    </w:p>
    <w:tbl>
      <w:tblPr>
        <w:tblStyle w:val="TableGrid"/>
        <w:tblpPr w:leftFromText="180" w:rightFromText="180" w:vertAnchor="text" w:horzAnchor="page" w:tblpX="777" w:tblpY="1278"/>
        <w:tblW w:w="15446" w:type="dxa"/>
        <w:tblLook w:val="04A0" w:firstRow="1" w:lastRow="0" w:firstColumn="1" w:lastColumn="0" w:noHBand="0" w:noVBand="1"/>
      </w:tblPr>
      <w:tblGrid>
        <w:gridCol w:w="1555"/>
        <w:gridCol w:w="3827"/>
        <w:gridCol w:w="10064"/>
      </w:tblGrid>
      <w:tr w:rsidR="007014DB" w14:paraId="0EA80C17" w14:textId="77777777" w:rsidTr="007014DB">
        <w:tc>
          <w:tcPr>
            <w:tcW w:w="1555" w:type="dxa"/>
          </w:tcPr>
          <w:p w14:paraId="36E026A7" w14:textId="77777777" w:rsidR="007014DB" w:rsidRPr="007014DB" w:rsidRDefault="007014DB" w:rsidP="007014DB">
            <w:pPr>
              <w:pStyle w:val="Body"/>
              <w:rPr>
                <w:rFonts w:asciiTheme="minorHAnsi" w:hAnsiTheme="minorHAnsi"/>
              </w:rPr>
            </w:pPr>
            <w:r w:rsidRPr="007014DB">
              <w:rPr>
                <w:rFonts w:asciiTheme="minorHAnsi" w:hAnsiTheme="minorHAnsi"/>
                <w:b/>
                <w:bCs/>
              </w:rPr>
              <w:t>Heading</w:t>
            </w:r>
          </w:p>
        </w:tc>
        <w:tc>
          <w:tcPr>
            <w:tcW w:w="3827" w:type="dxa"/>
          </w:tcPr>
          <w:p w14:paraId="5037B493" w14:textId="77777777" w:rsidR="007014DB" w:rsidRPr="007014DB" w:rsidRDefault="007014DB" w:rsidP="007014DB">
            <w:pPr>
              <w:pStyle w:val="Body"/>
              <w:rPr>
                <w:rFonts w:asciiTheme="minorHAnsi" w:hAnsiTheme="minorHAnsi"/>
              </w:rPr>
            </w:pPr>
            <w:r w:rsidRPr="007014DB">
              <w:rPr>
                <w:rFonts w:asciiTheme="minorHAnsi" w:hAnsiTheme="minorHAnsi"/>
                <w:b/>
                <w:bCs/>
              </w:rPr>
              <w:t>Specific question(s)</w:t>
            </w:r>
          </w:p>
        </w:tc>
        <w:tc>
          <w:tcPr>
            <w:tcW w:w="10064" w:type="dxa"/>
          </w:tcPr>
          <w:p w14:paraId="0417586D" w14:textId="77777777" w:rsidR="007014DB" w:rsidRPr="007014DB" w:rsidRDefault="007014DB" w:rsidP="007014DB">
            <w:pPr>
              <w:pStyle w:val="Body"/>
              <w:rPr>
                <w:rFonts w:asciiTheme="minorHAnsi" w:hAnsiTheme="minorHAnsi"/>
              </w:rPr>
            </w:pPr>
            <w:r w:rsidRPr="007014DB">
              <w:rPr>
                <w:rFonts w:asciiTheme="minorHAnsi" w:hAnsiTheme="minorHAnsi"/>
                <w:b/>
                <w:bCs/>
              </w:rPr>
              <w:t>Evaluation Criteria</w:t>
            </w:r>
          </w:p>
        </w:tc>
      </w:tr>
      <w:tr w:rsidR="007014DB" w14:paraId="7AE3E9E1" w14:textId="77777777" w:rsidTr="007014DB">
        <w:tc>
          <w:tcPr>
            <w:tcW w:w="1555" w:type="dxa"/>
          </w:tcPr>
          <w:p w14:paraId="5FE49490" w14:textId="77777777" w:rsidR="007014DB" w:rsidRPr="007014DB" w:rsidRDefault="007014DB" w:rsidP="007014DB">
            <w:pPr>
              <w:pStyle w:val="Body"/>
              <w:rPr>
                <w:rFonts w:asciiTheme="minorHAnsi" w:hAnsiTheme="minorHAnsi"/>
              </w:rPr>
            </w:pPr>
            <w:r w:rsidRPr="007014DB">
              <w:rPr>
                <w:rFonts w:asciiTheme="minorHAnsi" w:hAnsiTheme="minorHAnsi"/>
              </w:rPr>
              <w:t>S1 Experience of the supplier in public procurement policy analysis</w:t>
            </w:r>
          </w:p>
        </w:tc>
        <w:tc>
          <w:tcPr>
            <w:tcW w:w="3827" w:type="dxa"/>
          </w:tcPr>
          <w:p w14:paraId="5F2439B8" w14:textId="77777777" w:rsidR="007014DB" w:rsidRPr="007014DB" w:rsidRDefault="007014DB" w:rsidP="007014DB">
            <w:pPr>
              <w:pStyle w:val="Body"/>
              <w:rPr>
                <w:rFonts w:asciiTheme="minorHAnsi" w:hAnsiTheme="minorHAnsi"/>
              </w:rPr>
            </w:pPr>
            <w:r w:rsidRPr="007014DB">
              <w:rPr>
                <w:rFonts w:asciiTheme="minorHAnsi" w:hAnsiTheme="minorHAnsi"/>
              </w:rPr>
              <w:t>Please provide a short description of two projects in which you undertook public procurement policy analysis over the last two years. Please provide a short explanation on why they provide experience relevant to this project.</w:t>
            </w:r>
          </w:p>
        </w:tc>
        <w:tc>
          <w:tcPr>
            <w:tcW w:w="10064" w:type="dxa"/>
          </w:tcPr>
          <w:p w14:paraId="0BC726C8" w14:textId="77777777" w:rsidR="007014DB" w:rsidRPr="007014DB" w:rsidRDefault="007014DB" w:rsidP="007014DB">
            <w:pPr>
              <w:rPr>
                <w:rFonts w:asciiTheme="minorHAnsi" w:hAnsiTheme="minorHAnsi"/>
                <w:b/>
                <w:bCs/>
              </w:rPr>
            </w:pPr>
            <w:r w:rsidRPr="007014DB">
              <w:rPr>
                <w:rFonts w:asciiTheme="minorHAnsi" w:hAnsiTheme="minorHAnsi"/>
                <w:b/>
                <w:bCs/>
              </w:rPr>
              <w:t>Pass/Fail</w:t>
            </w:r>
          </w:p>
          <w:p w14:paraId="72277F73" w14:textId="77777777" w:rsidR="007014DB" w:rsidRPr="007014DB" w:rsidRDefault="007014DB" w:rsidP="007014DB">
            <w:pPr>
              <w:rPr>
                <w:rFonts w:asciiTheme="minorHAnsi" w:hAnsiTheme="minorHAnsi"/>
              </w:rPr>
            </w:pPr>
            <w:r w:rsidRPr="007014DB">
              <w:rPr>
                <w:rFonts w:asciiTheme="minorHAnsi" w:hAnsiTheme="minorHAnsi"/>
                <w:b/>
                <w:bCs/>
              </w:rPr>
              <w:t xml:space="preserve">Pass </w:t>
            </w:r>
            <w:r w:rsidRPr="007014DB">
              <w:rPr>
                <w:rFonts w:asciiTheme="minorHAnsi" w:hAnsiTheme="minorHAnsi"/>
              </w:rPr>
              <w:t>= The tenderer provides two examples of projects they have undertook in the last two years of public procurement policy analysis of which both are relevant, in terms of experience, to this project.</w:t>
            </w:r>
          </w:p>
          <w:p w14:paraId="705152D7" w14:textId="77777777" w:rsidR="007014DB" w:rsidRPr="007014DB" w:rsidRDefault="007014DB" w:rsidP="007014DB">
            <w:pPr>
              <w:pStyle w:val="Body"/>
              <w:rPr>
                <w:rFonts w:asciiTheme="minorHAnsi" w:hAnsiTheme="minorHAnsi"/>
              </w:rPr>
            </w:pPr>
            <w:r w:rsidRPr="007014DB">
              <w:rPr>
                <w:rFonts w:asciiTheme="minorHAnsi" w:hAnsiTheme="minorHAnsi"/>
                <w:b/>
                <w:bCs/>
              </w:rPr>
              <w:t>Fail</w:t>
            </w:r>
            <w:r w:rsidRPr="007014DB">
              <w:rPr>
                <w:rFonts w:asciiTheme="minorHAnsi" w:hAnsiTheme="minorHAnsi"/>
              </w:rPr>
              <w:t xml:space="preserve"> = The tenderer has not provided two examples, or less than two examples, of projects they have undertaken in the last two years of public procurement policy analysis or the projects provided are not relevant, in terms of experience, to this project.</w:t>
            </w:r>
          </w:p>
        </w:tc>
      </w:tr>
      <w:tr w:rsidR="007014DB" w14:paraId="37B1AB18" w14:textId="77777777" w:rsidTr="007014DB">
        <w:tc>
          <w:tcPr>
            <w:tcW w:w="1555" w:type="dxa"/>
          </w:tcPr>
          <w:p w14:paraId="14904C9C" w14:textId="77777777" w:rsidR="007014DB" w:rsidRPr="007014DB" w:rsidRDefault="007014DB" w:rsidP="007014DB">
            <w:pPr>
              <w:pStyle w:val="Body"/>
              <w:rPr>
                <w:rFonts w:asciiTheme="minorHAnsi" w:hAnsiTheme="minorHAnsi"/>
              </w:rPr>
            </w:pPr>
            <w:r w:rsidRPr="007014DB">
              <w:rPr>
                <w:rFonts w:asciiTheme="minorHAnsi" w:hAnsiTheme="minorHAnsi"/>
              </w:rPr>
              <w:t>S2 Experience of the organisation in designing and implementing stakeholder engagement campaigns</w:t>
            </w:r>
          </w:p>
        </w:tc>
        <w:tc>
          <w:tcPr>
            <w:tcW w:w="3827" w:type="dxa"/>
          </w:tcPr>
          <w:p w14:paraId="7ED7B77D" w14:textId="77777777" w:rsidR="007014DB" w:rsidRPr="007014DB" w:rsidRDefault="007014DB" w:rsidP="007014DB">
            <w:pPr>
              <w:pStyle w:val="Body"/>
              <w:rPr>
                <w:rFonts w:asciiTheme="minorHAnsi" w:hAnsiTheme="minorHAnsi"/>
              </w:rPr>
            </w:pPr>
            <w:r w:rsidRPr="007014DB">
              <w:rPr>
                <w:rFonts w:asciiTheme="minorHAnsi" w:hAnsiTheme="minorHAnsi"/>
              </w:rPr>
              <w:t>Please provide a short description of two research projects you have delivered to clients over the last two years demonstrating how stakeholder engagement was positively addressed within the projects.</w:t>
            </w:r>
          </w:p>
        </w:tc>
        <w:tc>
          <w:tcPr>
            <w:tcW w:w="10064" w:type="dxa"/>
          </w:tcPr>
          <w:p w14:paraId="34A726CE" w14:textId="77777777" w:rsidR="007014DB" w:rsidRPr="007014DB" w:rsidRDefault="007014DB" w:rsidP="007014DB">
            <w:pPr>
              <w:rPr>
                <w:rFonts w:asciiTheme="minorHAnsi" w:hAnsiTheme="minorHAnsi"/>
                <w:b/>
                <w:bCs/>
              </w:rPr>
            </w:pPr>
            <w:r w:rsidRPr="007014DB">
              <w:rPr>
                <w:rFonts w:asciiTheme="minorHAnsi" w:hAnsiTheme="minorHAnsi"/>
                <w:b/>
                <w:bCs/>
              </w:rPr>
              <w:t>Pass/Fail</w:t>
            </w:r>
          </w:p>
          <w:p w14:paraId="0B887200" w14:textId="77777777" w:rsidR="007014DB" w:rsidRPr="007014DB" w:rsidRDefault="007014DB" w:rsidP="007014DB">
            <w:pPr>
              <w:rPr>
                <w:rFonts w:asciiTheme="minorHAnsi" w:hAnsiTheme="minorHAnsi"/>
              </w:rPr>
            </w:pPr>
            <w:r w:rsidRPr="007014DB">
              <w:rPr>
                <w:rFonts w:asciiTheme="minorHAnsi" w:hAnsiTheme="minorHAnsi"/>
                <w:b/>
                <w:bCs/>
              </w:rPr>
              <w:t>Pass</w:t>
            </w:r>
            <w:r w:rsidRPr="007014DB">
              <w:rPr>
                <w:rFonts w:asciiTheme="minorHAnsi" w:hAnsiTheme="minorHAnsi"/>
              </w:rPr>
              <w:t xml:space="preserve"> = The tenderer provides two or more short descriptions of two research projects they have delivered to clients over the last two years demonstrating, to a reasonably degree of quality, how stakeholder engagement was positively addressed within the projects.</w:t>
            </w:r>
          </w:p>
          <w:p w14:paraId="0C8A1038" w14:textId="77777777" w:rsidR="007014DB" w:rsidRPr="007014DB" w:rsidRDefault="007014DB" w:rsidP="007014DB">
            <w:pPr>
              <w:rPr>
                <w:rFonts w:asciiTheme="minorHAnsi" w:hAnsiTheme="minorHAnsi"/>
              </w:rPr>
            </w:pPr>
          </w:p>
          <w:p w14:paraId="279CD9E2" w14:textId="77777777" w:rsidR="007014DB" w:rsidRPr="007014DB" w:rsidRDefault="007014DB" w:rsidP="007014DB">
            <w:pPr>
              <w:rPr>
                <w:rFonts w:asciiTheme="minorHAnsi" w:hAnsiTheme="minorHAnsi"/>
              </w:rPr>
            </w:pPr>
            <w:r w:rsidRPr="007014DB">
              <w:rPr>
                <w:rFonts w:asciiTheme="minorHAnsi" w:hAnsiTheme="minorHAnsi"/>
                <w:b/>
                <w:bCs/>
              </w:rPr>
              <w:t>Fail</w:t>
            </w:r>
            <w:r w:rsidRPr="007014DB">
              <w:rPr>
                <w:rFonts w:asciiTheme="minorHAnsi" w:hAnsiTheme="minorHAnsi"/>
              </w:rPr>
              <w:t xml:space="preserve"> = The tenderer has not provided two or more short descriptions of two research projects they have delivered to clients over the last two years or the tenderer’s examples/descriptions are not of a reasonable degree of quality or the tenderer has not demonstrated how the stakeholders engagement was positively addressing within said examples/projects/descriptions.</w:t>
            </w:r>
          </w:p>
          <w:p w14:paraId="475F8D04" w14:textId="77777777" w:rsidR="007014DB" w:rsidRPr="007014DB" w:rsidRDefault="007014DB" w:rsidP="007014DB">
            <w:pPr>
              <w:pStyle w:val="Body"/>
              <w:rPr>
                <w:rFonts w:asciiTheme="minorHAnsi" w:hAnsiTheme="minorHAnsi"/>
              </w:rPr>
            </w:pPr>
          </w:p>
        </w:tc>
      </w:tr>
    </w:tbl>
    <w:p w14:paraId="66CF59D8" w14:textId="77777777" w:rsidR="007014DB" w:rsidRDefault="007014DB" w:rsidP="009437FF">
      <w:pPr>
        <w:pStyle w:val="Body"/>
        <w:rPr>
          <w:rFonts w:asciiTheme="minorHAnsi" w:hAnsiTheme="minorHAnsi"/>
        </w:rPr>
        <w:sectPr w:rsidR="007014DB" w:rsidSect="007014DB">
          <w:pgSz w:w="16838" w:h="11906" w:orient="landscape"/>
          <w:pgMar w:top="284"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11D7CE5D"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857AA1">
        <w:rPr>
          <w:rFonts w:asciiTheme="minorHAnsi" w:hAnsiTheme="minorHAnsi"/>
          <w:bCs/>
          <w:kern w:val="28"/>
          <w:lang w:eastAsia="en-GB"/>
        </w:rPr>
        <w:t xml:space="preserve">Quality </w:t>
      </w:r>
      <w:r w:rsidR="007014DB">
        <w:rPr>
          <w:rFonts w:asciiTheme="minorHAnsi" w:hAnsiTheme="minorHAnsi"/>
          <w:bCs/>
          <w:kern w:val="28"/>
          <w:lang w:eastAsia="en-GB"/>
        </w:rPr>
        <w:t>7</w:t>
      </w:r>
      <w:r w:rsidR="00857AA1">
        <w:rPr>
          <w:rFonts w:asciiTheme="minorHAnsi" w:hAnsiTheme="minorHAnsi"/>
          <w:bCs/>
          <w:kern w:val="28"/>
          <w:lang w:eastAsia="en-GB"/>
        </w:rPr>
        <w:t xml:space="preserve">0%: Price </w:t>
      </w:r>
      <w:r w:rsidR="007014DB">
        <w:rPr>
          <w:rFonts w:asciiTheme="minorHAnsi" w:hAnsiTheme="minorHAnsi"/>
          <w:bCs/>
          <w:kern w:val="28"/>
          <w:lang w:eastAsia="en-GB"/>
        </w:rPr>
        <w:t>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269E9216" w14:textId="5CF6CF8E" w:rsidR="00801CC8" w:rsidRDefault="00936D92" w:rsidP="00E62A97">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03856DAE" w14:textId="73339A2C" w:rsidR="007014DB" w:rsidRDefault="007014DB" w:rsidP="007014DB">
      <w:pPr>
        <w:pStyle w:val="Body"/>
      </w:pPr>
    </w:p>
    <w:tbl>
      <w:tblPr>
        <w:tblW w:w="6327" w:type="pct"/>
        <w:tblInd w:w="-714" w:type="dxa"/>
        <w:tblCellMar>
          <w:left w:w="0" w:type="dxa"/>
          <w:right w:w="0" w:type="dxa"/>
        </w:tblCellMar>
        <w:tblLook w:val="04A0" w:firstRow="1" w:lastRow="0" w:firstColumn="1" w:lastColumn="0" w:noHBand="0" w:noVBand="1"/>
      </w:tblPr>
      <w:tblGrid>
        <w:gridCol w:w="1637"/>
        <w:gridCol w:w="3127"/>
        <w:gridCol w:w="4729"/>
        <w:gridCol w:w="992"/>
      </w:tblGrid>
      <w:tr w:rsidR="007014DB" w:rsidRPr="008E2F4A" w14:paraId="0C7D50D0" w14:textId="77777777" w:rsidTr="007014DB">
        <w:trPr>
          <w:trHeight w:val="724"/>
        </w:trPr>
        <w:tc>
          <w:tcPr>
            <w:tcW w:w="781"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597B64E" w14:textId="77777777" w:rsidR="007014DB" w:rsidRPr="008E2F4A" w:rsidRDefault="007014DB" w:rsidP="007014DB">
            <w:pPr>
              <w:spacing w:after="120" w:line="300" w:lineRule="exact"/>
              <w:rPr>
                <w:rFonts w:asciiTheme="minorHAnsi" w:hAnsiTheme="minorHAnsi"/>
                <w:b/>
                <w:bCs/>
                <w:lang w:eastAsia="en-GB"/>
              </w:rPr>
            </w:pPr>
            <w:r w:rsidRPr="008E2F4A">
              <w:rPr>
                <w:rFonts w:asciiTheme="minorHAnsi" w:hAnsiTheme="minorHAnsi"/>
                <w:b/>
                <w:bCs/>
                <w:lang w:eastAsia="en-GB"/>
              </w:rPr>
              <w:t>Heading</w:t>
            </w:r>
          </w:p>
        </w:tc>
        <w:tc>
          <w:tcPr>
            <w:tcW w:w="1491"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8398064" w14:textId="77777777" w:rsidR="007014DB" w:rsidRPr="008E2F4A" w:rsidRDefault="007014DB" w:rsidP="007014DB">
            <w:pPr>
              <w:spacing w:after="120" w:line="300" w:lineRule="exact"/>
              <w:rPr>
                <w:rFonts w:asciiTheme="minorHAnsi" w:hAnsiTheme="minorHAnsi"/>
                <w:b/>
                <w:bCs/>
                <w:lang w:eastAsia="en-GB"/>
              </w:rPr>
            </w:pPr>
            <w:r w:rsidRPr="008E2F4A">
              <w:rPr>
                <w:rFonts w:asciiTheme="minorHAnsi" w:hAnsiTheme="minorHAnsi"/>
                <w:b/>
                <w:bCs/>
                <w:lang w:eastAsia="en-GB"/>
              </w:rPr>
              <w:t>Specific question(s)</w:t>
            </w:r>
          </w:p>
        </w:tc>
        <w:tc>
          <w:tcPr>
            <w:tcW w:w="225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0FF3CB1" w14:textId="77777777" w:rsidR="007014DB" w:rsidRPr="008E2F4A" w:rsidRDefault="007014DB" w:rsidP="007014DB">
            <w:pPr>
              <w:spacing w:after="120" w:line="300" w:lineRule="exact"/>
              <w:ind w:right="-96"/>
              <w:rPr>
                <w:rFonts w:asciiTheme="minorHAnsi" w:hAnsiTheme="minorHAnsi"/>
                <w:b/>
                <w:bCs/>
                <w:lang w:eastAsia="en-GB"/>
              </w:rPr>
            </w:pPr>
            <w:r w:rsidRPr="008E2F4A">
              <w:rPr>
                <w:rFonts w:asciiTheme="minorHAnsi" w:hAnsiTheme="minorHAnsi"/>
                <w:b/>
                <w:bCs/>
                <w:lang w:eastAsia="en-GB"/>
              </w:rPr>
              <w:t>Evaluation Criteria</w:t>
            </w:r>
          </w:p>
        </w:tc>
        <w:tc>
          <w:tcPr>
            <w:tcW w:w="473"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AC82D44" w14:textId="77777777" w:rsidR="007014DB" w:rsidRPr="008E2F4A" w:rsidRDefault="007014DB" w:rsidP="007014DB">
            <w:pPr>
              <w:spacing w:after="120" w:line="300" w:lineRule="exact"/>
              <w:jc w:val="right"/>
              <w:rPr>
                <w:rFonts w:asciiTheme="minorHAnsi" w:hAnsiTheme="minorHAnsi"/>
                <w:b/>
                <w:bCs/>
                <w:lang w:eastAsia="en-GB"/>
              </w:rPr>
            </w:pPr>
            <w:r w:rsidRPr="008E2F4A">
              <w:rPr>
                <w:rFonts w:asciiTheme="minorHAnsi" w:hAnsiTheme="minorHAnsi"/>
                <w:b/>
                <w:bCs/>
                <w:lang w:eastAsia="en-GB"/>
              </w:rPr>
              <w:t xml:space="preserve">Weight </w:t>
            </w:r>
          </w:p>
        </w:tc>
      </w:tr>
      <w:tr w:rsidR="007014DB" w:rsidRPr="008E2F4A" w14:paraId="1158828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E91FD80"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A.1. Summary of the proposal </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01B6EB59"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The tenderer must provide a concise summary (in no more than two pages) highlighting the key aspects of the proposal.  The summary is not evaluated and is used to contextualise the Tenderer’s proposal.</w:t>
            </w: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616F729F" w14:textId="77777777" w:rsidR="007014DB" w:rsidRPr="008E2F4A" w:rsidRDefault="007014DB" w:rsidP="007014DB">
            <w:pPr>
              <w:ind w:left="227" w:hanging="227"/>
              <w:rPr>
                <w:rFonts w:asciiTheme="minorHAnsi" w:hAnsiTheme="minorHAnsi"/>
                <w:lang w:eastAsia="en-GB"/>
              </w:rPr>
            </w:pPr>
            <w:r w:rsidRPr="008E2F4A">
              <w:rPr>
                <w:rFonts w:asciiTheme="minorHAnsi" w:hAnsiTheme="minorHAnsi"/>
              </w:rPr>
              <w:t>For Information Only</w:t>
            </w:r>
          </w:p>
          <w:p w14:paraId="0B8D2DEF" w14:textId="77777777" w:rsidR="007014DB" w:rsidRPr="008E2F4A" w:rsidRDefault="007014DB" w:rsidP="007014DB">
            <w:pPr>
              <w:ind w:left="227" w:hanging="227"/>
              <w:rPr>
                <w:rFonts w:asciiTheme="minorHAnsi" w:hAnsiTheme="minorHAnsi"/>
              </w:rPr>
            </w:pPr>
            <w:r w:rsidRPr="008E2F4A">
              <w:rPr>
                <w:rFonts w:asciiTheme="minorHAnsi" w:hAnsiTheme="minorHAnsi"/>
              </w:rPr>
              <w:t>This question is not scored</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4227F115"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N/</w:t>
            </w:r>
            <w:r>
              <w:rPr>
                <w:rFonts w:asciiTheme="minorHAnsi" w:hAnsiTheme="minorHAnsi"/>
                <w:lang w:eastAsia="en-GB"/>
              </w:rPr>
              <w:t>A</w:t>
            </w:r>
          </w:p>
        </w:tc>
      </w:tr>
      <w:tr w:rsidR="007014DB" w:rsidRPr="008E2F4A" w14:paraId="4723FC2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B935A78"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A.2 Method Statement -ability to meet deliverables</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2F026BA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The tenderer should provide evidence (in no more than five pages): that it has the expertise to deliver this project by providing a method statement that sets out how it is intended to obtain, deliver and sustain the services for all aspects of the requirement.  </w:t>
            </w: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0AE80EFB"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The Tenderer’s response (in no more than five pages):</w:t>
            </w:r>
          </w:p>
          <w:p w14:paraId="03936098"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Explains how they would apply their expertise to meet the specification, including how they would conduct the study;</w:t>
            </w:r>
          </w:p>
          <w:p w14:paraId="47ED5D8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Demonstrates their understanding of the objectives and provide a coherent and systematic approach to meet these objectives.</w:t>
            </w:r>
          </w:p>
          <w:p w14:paraId="782A6B6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understood the requirements</w:t>
            </w:r>
          </w:p>
          <w:p w14:paraId="0E67E47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proposed a credible and sound methodology</w:t>
            </w:r>
          </w:p>
          <w:p w14:paraId="42B4F8DB" w14:textId="77777777" w:rsidR="007014DB" w:rsidRPr="008E2F4A" w:rsidRDefault="007014DB" w:rsidP="00E51DD4">
            <w:pPr>
              <w:numPr>
                <w:ilvl w:val="0"/>
                <w:numId w:val="44"/>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described how this will be applied to the specific challenges the work is set up to cover</w:t>
            </w:r>
            <w:r w:rsidRPr="008E2F4A">
              <w:rPr>
                <w:rFonts w:asciiTheme="minorHAnsi" w:hAnsiTheme="minorHAnsi"/>
              </w:rPr>
              <w:t xml:space="preserve">     </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33BBCFE9"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25%</w:t>
            </w:r>
          </w:p>
        </w:tc>
      </w:tr>
      <w:tr w:rsidR="007014DB" w:rsidRPr="008E2F4A" w14:paraId="26C38401"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A8C59B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 xml:space="preserve">A.3 Project management: resource, quality, time </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055A0E75" w14:textId="77777777" w:rsidR="007014DB" w:rsidRPr="008E2F4A" w:rsidRDefault="007014DB" w:rsidP="007014DB">
            <w:pPr>
              <w:spacing w:after="40" w:line="280" w:lineRule="exact"/>
              <w:rPr>
                <w:rFonts w:asciiTheme="minorHAnsi" w:hAnsiTheme="minorHAnsi"/>
                <w:lang w:eastAsia="en-GB"/>
              </w:rPr>
            </w:pPr>
            <w:r w:rsidRPr="008E2F4A">
              <w:rPr>
                <w:rFonts w:asciiTheme="minorHAnsi" w:hAnsiTheme="minorHAnsi"/>
                <w:lang w:eastAsia="en-GB"/>
              </w:rPr>
              <w:t>Tenderers should outline (in no more than ten pages) the processes and resources it proposes to use in order to fulfil RSSB requirements.</w:t>
            </w:r>
          </w:p>
          <w:p w14:paraId="6AE95D97"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Tenderers should:</w:t>
            </w:r>
          </w:p>
          <w:p w14:paraId="15B867D0"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Clearly identify each team member’s role;</w:t>
            </w:r>
          </w:p>
          <w:p w14:paraId="5E735713"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Provide adequate allocation of appropriate resources against deliverables;</w:t>
            </w:r>
          </w:p>
          <w:p w14:paraId="09E05CCE"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 xml:space="preserve">Demonstrate how they would work with RSSB </w:t>
            </w:r>
            <w:r w:rsidRPr="008E2F4A">
              <w:rPr>
                <w:rFonts w:asciiTheme="minorHAnsi" w:eastAsia="Times New Roman" w:hAnsiTheme="minorHAnsi"/>
                <w:lang w:eastAsia="en-GB"/>
              </w:rPr>
              <w:lastRenderedPageBreak/>
              <w:t>and communicate and engage with relevant industry stakeholders to ensure that the quality and content of the deliverables are fit for purpose;</w:t>
            </w:r>
          </w:p>
          <w:p w14:paraId="7F5509B2" w14:textId="77777777" w:rsidR="007014DB" w:rsidRPr="008E2F4A" w:rsidRDefault="007014DB" w:rsidP="00E51DD4">
            <w:pPr>
              <w:numPr>
                <w:ilvl w:val="0"/>
                <w:numId w:val="45"/>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Explain how they would meet the critical success factors for this piece of research;</w:t>
            </w:r>
          </w:p>
          <w:p w14:paraId="7C620113" w14:textId="77777777" w:rsidR="007014DB" w:rsidRPr="008E2F4A" w:rsidRDefault="007014DB" w:rsidP="007014DB">
            <w:pPr>
              <w:spacing w:after="120" w:line="300" w:lineRule="exact"/>
              <w:ind w:left="720"/>
              <w:contextualSpacing/>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56D02937" w14:textId="77777777" w:rsidR="007014DB" w:rsidRPr="008E2F4A" w:rsidRDefault="007014DB" w:rsidP="007014DB">
            <w:pPr>
              <w:ind w:left="227" w:hanging="227"/>
              <w:rPr>
                <w:rFonts w:asciiTheme="minorHAnsi" w:hAnsiTheme="minorHAnsi"/>
                <w:lang w:eastAsia="en-GB"/>
              </w:rPr>
            </w:pPr>
            <w:r w:rsidRPr="008E2F4A">
              <w:rPr>
                <w:rFonts w:asciiTheme="minorHAnsi" w:hAnsiTheme="minorHAnsi"/>
              </w:rPr>
              <w:lastRenderedPageBreak/>
              <w:t>The tenderer’s response sh</w:t>
            </w:r>
            <w:r>
              <w:rPr>
                <w:rFonts w:asciiTheme="minorHAnsi" w:hAnsiTheme="minorHAnsi"/>
              </w:rPr>
              <w:t xml:space="preserve">ows (in no more than ten pages) </w:t>
            </w:r>
            <w:r w:rsidRPr="008E2F4A">
              <w:rPr>
                <w:rFonts w:asciiTheme="minorHAnsi" w:hAnsiTheme="minorHAnsi"/>
              </w:rPr>
              <w:t>that it:</w:t>
            </w:r>
          </w:p>
          <w:p w14:paraId="0ACA11CE"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identified relevant individuals to deliver the work;</w:t>
            </w:r>
          </w:p>
          <w:p w14:paraId="0519B1C1"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provided a credible plan for delivering successful outcomes to time, quality and cost;</w:t>
            </w:r>
          </w:p>
          <w:p w14:paraId="45C4E924" w14:textId="77777777" w:rsidR="007014DB" w:rsidRPr="008E2F4A" w:rsidRDefault="007014DB" w:rsidP="00E51DD4">
            <w:pPr>
              <w:numPr>
                <w:ilvl w:val="0"/>
                <w:numId w:val="46"/>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Has identified appropriate ways to engage with RSSB and relevant stakeholders;</w:t>
            </w:r>
          </w:p>
          <w:p w14:paraId="2E30F47A" w14:textId="77777777" w:rsidR="007014DB" w:rsidRPr="008E2F4A" w:rsidRDefault="007014DB" w:rsidP="00E51DD4">
            <w:pPr>
              <w:numPr>
                <w:ilvl w:val="0"/>
                <w:numId w:val="46"/>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identified suitable ways to address the project’s critical success factors;</w:t>
            </w:r>
          </w:p>
          <w:p w14:paraId="271FC377" w14:textId="77777777" w:rsidR="007014DB" w:rsidRPr="008E2F4A" w:rsidRDefault="007014DB" w:rsidP="007014DB">
            <w:pPr>
              <w:spacing w:after="120" w:line="300" w:lineRule="exact"/>
              <w:ind w:left="1080"/>
              <w:rPr>
                <w:rFonts w:asciiTheme="minorHAnsi" w:hAnsiTheme="minorHAnsi"/>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089A693A"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25%</w:t>
            </w:r>
          </w:p>
        </w:tc>
      </w:tr>
      <w:tr w:rsidR="007014DB" w:rsidRPr="008E2F4A" w14:paraId="6445F6D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tcPr>
          <w:p w14:paraId="35ABDB1A"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A.4 Risks and Challenges</w:t>
            </w:r>
          </w:p>
          <w:p w14:paraId="1D014BE4" w14:textId="77777777" w:rsidR="007014DB" w:rsidRPr="008E2F4A" w:rsidRDefault="007014DB" w:rsidP="007014DB">
            <w:pPr>
              <w:spacing w:after="120" w:line="300" w:lineRule="exact"/>
              <w:rPr>
                <w:rFonts w:asciiTheme="minorHAnsi" w:hAnsiTheme="minorHAnsi"/>
                <w:lang w:eastAsia="en-GB"/>
              </w:rPr>
            </w:pP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55C91C54"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What risks and challenges do you foresee in this project? What mitigating actions will you take in relations to these risks?</w:t>
            </w:r>
          </w:p>
          <w:p w14:paraId="1F50ACB1" w14:textId="77777777" w:rsidR="007014DB" w:rsidRPr="008E2F4A" w:rsidRDefault="007014DB" w:rsidP="007014DB">
            <w:pPr>
              <w:spacing w:after="0" w:line="240" w:lineRule="auto"/>
              <w:rPr>
                <w:rFonts w:asciiTheme="minorHAnsi" w:hAnsiTheme="minorHAnsi"/>
                <w:color w:val="000000"/>
                <w:lang w:eastAsia="en-GB"/>
              </w:rPr>
            </w:pPr>
          </w:p>
          <w:p w14:paraId="74FDC489" w14:textId="77777777" w:rsidR="007014DB" w:rsidRPr="008E2F4A" w:rsidRDefault="007014DB" w:rsidP="007014DB">
            <w:pPr>
              <w:spacing w:after="240" w:line="240" w:lineRule="auto"/>
              <w:contextualSpacing/>
              <w:rPr>
                <w:rFonts w:asciiTheme="minorHAnsi" w:hAnsiTheme="minorHAnsi"/>
                <w:color w:val="000000"/>
                <w:lang w:eastAsia="en-GB"/>
              </w:rPr>
            </w:pPr>
            <w:r w:rsidRPr="008E2F4A">
              <w:rPr>
                <w:rFonts w:asciiTheme="minorHAnsi" w:hAnsiTheme="minorHAnsi"/>
                <w:color w:val="000000"/>
                <w:lang w:eastAsia="en-GB"/>
              </w:rPr>
              <w:t>Tenderers should provide, in no more than three pages, the risks and challenges that the tenderer foresees for this project as well as the mitigating actions:</w:t>
            </w:r>
            <w:r w:rsidRPr="008E2F4A">
              <w:rPr>
                <w:rFonts w:asciiTheme="minorHAnsi" w:hAnsiTheme="minorHAnsi"/>
                <w:color w:val="000000"/>
                <w:lang w:eastAsia="en-GB"/>
              </w:rPr>
              <w:br/>
            </w:r>
          </w:p>
          <w:p w14:paraId="4669AB7D"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detailed and succinct Risk Register.</w:t>
            </w:r>
          </w:p>
          <w:p w14:paraId="5EE4ADA7"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risks for this project.</w:t>
            </w:r>
          </w:p>
          <w:p w14:paraId="05E6D84E"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challenges for this project.</w:t>
            </w:r>
          </w:p>
          <w:p w14:paraId="0404ECC0" w14:textId="77777777" w:rsidR="007014DB" w:rsidRPr="008E2F4A" w:rsidRDefault="007014DB" w:rsidP="007014DB">
            <w:pPr>
              <w:numPr>
                <w:ilvl w:val="0"/>
                <w:numId w:val="42"/>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an in-depth statement of what mitigating actions will be taken by the tenderer in relation and with specific regard to each risk.</w:t>
            </w:r>
          </w:p>
          <w:p w14:paraId="4BFB2F02" w14:textId="77777777" w:rsidR="007014DB" w:rsidRPr="008E2F4A" w:rsidRDefault="007014DB" w:rsidP="007014DB">
            <w:pPr>
              <w:numPr>
                <w:ilvl w:val="0"/>
                <w:numId w:val="42"/>
              </w:numPr>
              <w:spacing w:after="24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demonstrates how they will overcome the challenges that have been identified for this project.</w:t>
            </w:r>
          </w:p>
          <w:p w14:paraId="7E472E79" w14:textId="77777777" w:rsidR="007014DB" w:rsidRPr="008E2F4A" w:rsidRDefault="007014DB" w:rsidP="007014DB">
            <w:pPr>
              <w:spacing w:after="40" w:line="280" w:lineRule="exact"/>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0BCED47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detailed and succinct Risk Register.</w:t>
            </w:r>
          </w:p>
          <w:p w14:paraId="18BA950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risks for this project.</w:t>
            </w:r>
          </w:p>
          <w:p w14:paraId="48F5052A"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identifies appropriate challenges for this project.</w:t>
            </w:r>
          </w:p>
          <w:p w14:paraId="7AD3F63E" w14:textId="77777777" w:rsidR="007014DB" w:rsidRPr="008E2F4A" w:rsidRDefault="007014DB" w:rsidP="00E51DD4">
            <w:pPr>
              <w:numPr>
                <w:ilvl w:val="0"/>
                <w:numId w:val="47"/>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an in-depth statement of what mitigating actions will be taken by the tenderer in relation and with specific regard to each risk.</w:t>
            </w:r>
          </w:p>
          <w:p w14:paraId="309AAE7F" w14:textId="77777777" w:rsidR="007014DB" w:rsidRPr="008E2F4A" w:rsidRDefault="007014DB" w:rsidP="00E51DD4">
            <w:pPr>
              <w:numPr>
                <w:ilvl w:val="0"/>
                <w:numId w:val="47"/>
              </w:numPr>
              <w:spacing w:after="24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demonstrates how they will overcome the challenges that have been identified for this project.</w:t>
            </w:r>
          </w:p>
          <w:p w14:paraId="39250F49" w14:textId="77777777" w:rsidR="007014DB" w:rsidRPr="008E2F4A" w:rsidRDefault="007014DB" w:rsidP="007014DB">
            <w:pPr>
              <w:spacing w:after="120" w:line="300" w:lineRule="exact"/>
              <w:rPr>
                <w:rFonts w:asciiTheme="minorHAnsi" w:hAnsiTheme="minorHAnsi"/>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5DC8327E"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5%</w:t>
            </w:r>
          </w:p>
        </w:tc>
      </w:tr>
      <w:tr w:rsidR="007014DB" w:rsidRPr="008E2F4A" w14:paraId="00CCBCB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B1BABF6" w14:textId="77777777" w:rsidR="007014DB" w:rsidRPr="008E2F4A" w:rsidRDefault="007014DB" w:rsidP="007014DB">
            <w:pPr>
              <w:spacing w:after="0" w:line="240" w:lineRule="auto"/>
              <w:rPr>
                <w:rFonts w:asciiTheme="minorHAnsi" w:hAnsiTheme="minorHAnsi"/>
                <w:color w:val="000000"/>
                <w:lang w:eastAsia="en-GB"/>
              </w:rPr>
            </w:pPr>
            <w:r w:rsidRPr="008E2F4A">
              <w:rPr>
                <w:rFonts w:asciiTheme="minorHAnsi" w:hAnsiTheme="minorHAnsi"/>
                <w:color w:val="000000"/>
                <w:lang w:eastAsia="en-GB"/>
              </w:rPr>
              <w:t>A5. Communication</w:t>
            </w:r>
          </w:p>
        </w:tc>
        <w:tc>
          <w:tcPr>
            <w:tcW w:w="1491" w:type="pct"/>
            <w:tcBorders>
              <w:top w:val="nil"/>
              <w:left w:val="nil"/>
              <w:bottom w:val="single" w:sz="8" w:space="0" w:color="808080"/>
              <w:right w:val="single" w:sz="8" w:space="0" w:color="808080"/>
            </w:tcBorders>
            <w:tcMar>
              <w:top w:w="0" w:type="dxa"/>
              <w:left w:w="108" w:type="dxa"/>
              <w:bottom w:w="0" w:type="dxa"/>
              <w:right w:w="108" w:type="dxa"/>
            </w:tcMar>
            <w:hideMark/>
          </w:tcPr>
          <w:p w14:paraId="1FA0E100" w14:textId="77777777" w:rsidR="007014DB" w:rsidRPr="008E2F4A" w:rsidRDefault="007014DB" w:rsidP="007014DB">
            <w:pPr>
              <w:spacing w:after="0" w:line="240" w:lineRule="auto"/>
              <w:contextualSpacing/>
              <w:rPr>
                <w:rFonts w:asciiTheme="minorHAnsi" w:hAnsiTheme="minorHAnsi"/>
                <w:color w:val="000000"/>
                <w:lang w:eastAsia="en-GB"/>
              </w:rPr>
            </w:pPr>
            <w:r w:rsidRPr="008E2F4A">
              <w:rPr>
                <w:rFonts w:asciiTheme="minorHAnsi" w:hAnsiTheme="minorHAnsi"/>
                <w:color w:val="000000"/>
                <w:lang w:eastAsia="en-GB"/>
              </w:rPr>
              <w:t xml:space="preserve">How will you ensure effective communication </w:t>
            </w:r>
            <w:r>
              <w:rPr>
                <w:rFonts w:asciiTheme="minorHAnsi" w:hAnsiTheme="minorHAnsi"/>
                <w:color w:val="000000"/>
                <w:lang w:eastAsia="en-GB"/>
              </w:rPr>
              <w:t>between?</w:t>
            </w:r>
            <w:r w:rsidRPr="008E2F4A">
              <w:rPr>
                <w:rFonts w:asciiTheme="minorHAnsi" w:hAnsiTheme="minorHAnsi"/>
                <w:color w:val="000000"/>
                <w:lang w:eastAsia="en-GB"/>
              </w:rPr>
              <w:t xml:space="preserve"> both </w:t>
            </w:r>
            <w:r w:rsidRPr="008E2F4A">
              <w:rPr>
                <w:rFonts w:asciiTheme="minorHAnsi" w:hAnsiTheme="minorHAnsi"/>
                <w:color w:val="000000"/>
                <w:lang w:eastAsia="en-GB"/>
              </w:rPr>
              <w:lastRenderedPageBreak/>
              <w:t>yourself &amp; RSSB? Additionally, how do you propose to communicate with key stakeholders</w:t>
            </w:r>
          </w:p>
        </w:tc>
        <w:tc>
          <w:tcPr>
            <w:tcW w:w="2255" w:type="pct"/>
            <w:tcBorders>
              <w:top w:val="nil"/>
              <w:left w:val="nil"/>
              <w:bottom w:val="single" w:sz="8" w:space="0" w:color="808080"/>
              <w:right w:val="single" w:sz="8" w:space="0" w:color="808080"/>
            </w:tcBorders>
            <w:tcMar>
              <w:top w:w="0" w:type="dxa"/>
              <w:left w:w="108" w:type="dxa"/>
              <w:bottom w:w="0" w:type="dxa"/>
              <w:right w:w="108" w:type="dxa"/>
            </w:tcMar>
          </w:tcPr>
          <w:p w14:paraId="79E46E60"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lastRenderedPageBreak/>
              <w:t xml:space="preserve">The tenderer provides a well thought out and appropriate communication plan for </w:t>
            </w:r>
            <w:r w:rsidRPr="008E2F4A">
              <w:rPr>
                <w:rFonts w:asciiTheme="minorHAnsi" w:eastAsia="Times New Roman" w:hAnsiTheme="minorHAnsi"/>
                <w:color w:val="000000"/>
                <w:lang w:eastAsia="en-GB"/>
              </w:rPr>
              <w:lastRenderedPageBreak/>
              <w:t>communication between the tenderer and RSSB.</w:t>
            </w:r>
          </w:p>
          <w:p w14:paraId="4B6B4D9D"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commun</w:t>
            </w:r>
            <w:r>
              <w:rPr>
                <w:rFonts w:asciiTheme="minorHAnsi" w:eastAsia="Times New Roman" w:hAnsiTheme="minorHAnsi"/>
                <w:color w:val="000000"/>
                <w:lang w:eastAsia="en-GB"/>
              </w:rPr>
              <w:t>ication plan is effective in it</w:t>
            </w:r>
            <w:r w:rsidRPr="008E2F4A">
              <w:rPr>
                <w:rFonts w:asciiTheme="minorHAnsi" w:eastAsia="Times New Roman" w:hAnsiTheme="minorHAnsi"/>
                <w:color w:val="000000"/>
                <w:lang w:eastAsia="en-GB"/>
              </w:rPr>
              <w:t>s ability.</w:t>
            </w:r>
          </w:p>
          <w:p w14:paraId="6E8D59DF" w14:textId="77777777" w:rsidR="007014DB" w:rsidRPr="008E2F4A" w:rsidRDefault="007014DB" w:rsidP="00E51DD4">
            <w:pPr>
              <w:numPr>
                <w:ilvl w:val="0"/>
                <w:numId w:val="48"/>
              </w:numPr>
              <w:spacing w:after="0" w:line="240" w:lineRule="auto"/>
              <w:contextualSpacing/>
              <w:rPr>
                <w:rFonts w:asciiTheme="minorHAnsi" w:eastAsia="Times New Roman" w:hAnsiTheme="minorHAnsi"/>
                <w:color w:val="000000"/>
                <w:lang w:eastAsia="en-GB"/>
              </w:rPr>
            </w:pPr>
            <w:r w:rsidRPr="008E2F4A">
              <w:rPr>
                <w:rFonts w:asciiTheme="minorHAnsi" w:eastAsia="Times New Roman" w:hAnsiTheme="minorHAnsi"/>
                <w:color w:val="000000"/>
                <w:lang w:eastAsia="en-GB"/>
              </w:rPr>
              <w:t>The tenderer provides a robust statement for communicating with key stakeholders.</w:t>
            </w:r>
          </w:p>
          <w:p w14:paraId="3FBDB80C" w14:textId="77777777" w:rsidR="007014DB" w:rsidRPr="008E2F4A" w:rsidRDefault="007014DB" w:rsidP="007014DB">
            <w:pPr>
              <w:spacing w:after="0" w:line="240" w:lineRule="auto"/>
              <w:ind w:left="360"/>
              <w:contextualSpacing/>
              <w:rPr>
                <w:rFonts w:asciiTheme="minorHAnsi" w:hAnsiTheme="minorHAnsi"/>
                <w:color w:val="000000"/>
                <w:lang w:eastAsia="en-GB"/>
              </w:rPr>
            </w:pP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6C4A7DE5"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lastRenderedPageBreak/>
              <w:t>5%</w:t>
            </w:r>
          </w:p>
        </w:tc>
      </w:tr>
      <w:tr w:rsidR="007014DB" w:rsidRPr="008E2F4A" w14:paraId="0DB7E4A8"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970A281"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A.6 Deliverables</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01170988" w14:textId="77777777" w:rsidR="007014DB" w:rsidRPr="008E2F4A" w:rsidRDefault="007014DB" w:rsidP="007014DB">
            <w:pPr>
              <w:spacing w:after="120" w:line="240" w:lineRule="auto"/>
              <w:rPr>
                <w:rFonts w:asciiTheme="minorHAnsi" w:hAnsiTheme="minorHAnsi"/>
                <w:lang w:eastAsia="en-GB"/>
              </w:rPr>
            </w:pPr>
            <w:r w:rsidRPr="008E2F4A">
              <w:rPr>
                <w:rFonts w:asciiTheme="minorHAnsi" w:hAnsiTheme="minorHAnsi"/>
                <w:lang w:eastAsia="en-GB"/>
              </w:rPr>
              <w:t>The Tenderer must provide detail (in no more than two pages) on the project deliverables and their successful delivery, to include:</w:t>
            </w:r>
          </w:p>
          <w:p w14:paraId="6BD55D1A" w14:textId="77777777" w:rsidR="007014DB" w:rsidRPr="008E2F4A" w:rsidRDefault="007014DB" w:rsidP="00E51DD4">
            <w:pPr>
              <w:numPr>
                <w:ilvl w:val="0"/>
                <w:numId w:val="49"/>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Clear understanding of and process plan for each deliverable</w:t>
            </w:r>
          </w:p>
          <w:p w14:paraId="73619F36" w14:textId="77777777" w:rsidR="007014DB" w:rsidRPr="008E2F4A" w:rsidRDefault="007014DB" w:rsidP="00E51DD4">
            <w:pPr>
              <w:numPr>
                <w:ilvl w:val="0"/>
                <w:numId w:val="49"/>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Process for review of deliverables and drafts</w:t>
            </w: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0325CE3C" w14:textId="77777777" w:rsidR="007014DB" w:rsidRPr="008E2F4A" w:rsidRDefault="007014DB" w:rsidP="00E51DD4">
            <w:pPr>
              <w:numPr>
                <w:ilvl w:val="0"/>
                <w:numId w:val="50"/>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The Tenderer’s response shows (in no more than 2 pages), that it:</w:t>
            </w:r>
          </w:p>
          <w:p w14:paraId="5C6591C3" w14:textId="77777777" w:rsidR="007014DB" w:rsidRPr="008E2F4A" w:rsidRDefault="007014DB" w:rsidP="00E51DD4">
            <w:pPr>
              <w:numPr>
                <w:ilvl w:val="1"/>
                <w:numId w:val="50"/>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a clear plan for delivery of key deliverables, with process plan, milestones and target due dates.</w:t>
            </w:r>
          </w:p>
          <w:p w14:paraId="3F95C800" w14:textId="77777777" w:rsidR="007014DB" w:rsidRPr="008E2F4A" w:rsidRDefault="007014DB" w:rsidP="00E51DD4">
            <w:pPr>
              <w:numPr>
                <w:ilvl w:val="1"/>
                <w:numId w:val="50"/>
              </w:numPr>
              <w:spacing w:after="120" w:line="300" w:lineRule="exact"/>
              <w:rPr>
                <w:rFonts w:asciiTheme="minorHAnsi" w:eastAsia="Times New Roman" w:hAnsiTheme="minorHAnsi"/>
                <w:lang w:eastAsia="en-GB"/>
              </w:rPr>
            </w:pPr>
            <w:r w:rsidRPr="008E2F4A">
              <w:rPr>
                <w:rFonts w:asciiTheme="minorHAnsi" w:eastAsia="Times New Roman" w:hAnsiTheme="minorHAnsi"/>
                <w:lang w:eastAsia="en-GB"/>
              </w:rPr>
              <w:t>Has identified a robust review process that allows for iterations</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70267087"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10%</w:t>
            </w:r>
          </w:p>
        </w:tc>
      </w:tr>
      <w:tr w:rsidR="007014DB" w:rsidRPr="008E2F4A" w14:paraId="789D9FFA" w14:textId="77777777" w:rsidTr="007014DB">
        <w:trPr>
          <w:trHeight w:val="724"/>
        </w:trPr>
        <w:tc>
          <w:tcPr>
            <w:tcW w:w="781"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2CBAD03"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A.7</w:t>
            </w:r>
          </w:p>
          <w:p w14:paraId="3AB93DD5" w14:textId="77777777" w:rsidR="007014DB" w:rsidRPr="008E2F4A" w:rsidRDefault="007014DB" w:rsidP="007014DB">
            <w:pPr>
              <w:spacing w:after="120" w:line="300" w:lineRule="exact"/>
              <w:rPr>
                <w:rFonts w:asciiTheme="minorHAnsi" w:hAnsiTheme="minorHAnsi"/>
                <w:lang w:eastAsia="en-GB"/>
              </w:rPr>
            </w:pPr>
            <w:r w:rsidRPr="008E2F4A">
              <w:rPr>
                <w:rFonts w:asciiTheme="minorHAnsi" w:hAnsiTheme="minorHAnsi"/>
                <w:lang w:eastAsia="en-GB"/>
              </w:rPr>
              <w:t>Cost of project</w:t>
            </w:r>
          </w:p>
        </w:tc>
        <w:tc>
          <w:tcPr>
            <w:tcW w:w="1491" w:type="pct"/>
            <w:tcBorders>
              <w:top w:val="nil"/>
              <w:left w:val="nil"/>
              <w:bottom w:val="single" w:sz="8" w:space="0" w:color="808080"/>
              <w:right w:val="single" w:sz="8" w:space="0" w:color="808080"/>
            </w:tcBorders>
            <w:tcMar>
              <w:top w:w="0" w:type="dxa"/>
              <w:left w:w="108" w:type="dxa"/>
              <w:bottom w:w="0" w:type="dxa"/>
              <w:right w:w="108" w:type="dxa"/>
            </w:tcMar>
          </w:tcPr>
          <w:p w14:paraId="6F85E3E0" w14:textId="77777777" w:rsidR="007014DB" w:rsidRPr="008E2F4A" w:rsidRDefault="007014DB" w:rsidP="007014DB">
            <w:pPr>
              <w:spacing w:after="40" w:line="280" w:lineRule="exact"/>
              <w:rPr>
                <w:rFonts w:asciiTheme="minorHAnsi" w:hAnsiTheme="minorHAnsi"/>
                <w:lang w:eastAsia="en-GB"/>
              </w:rPr>
            </w:pPr>
            <w:r w:rsidRPr="008E2F4A">
              <w:rPr>
                <w:rFonts w:asciiTheme="minorHAnsi" w:hAnsiTheme="minorHAnsi"/>
                <w:lang w:eastAsia="en-GB"/>
              </w:rPr>
              <w:t>Tenderers should:</w:t>
            </w:r>
          </w:p>
          <w:p w14:paraId="7E83FDDC" w14:textId="77777777" w:rsidR="007014DB" w:rsidRPr="008E2F4A" w:rsidRDefault="007014DB" w:rsidP="00E51DD4">
            <w:pPr>
              <w:numPr>
                <w:ilvl w:val="0"/>
                <w:numId w:val="51"/>
              </w:numPr>
              <w:spacing w:after="120" w:line="300" w:lineRule="exact"/>
              <w:contextualSpacing/>
              <w:rPr>
                <w:rFonts w:asciiTheme="minorHAnsi" w:eastAsia="Times New Roman" w:hAnsiTheme="minorHAnsi"/>
                <w:lang w:eastAsia="en-GB"/>
              </w:rPr>
            </w:pPr>
            <w:r w:rsidRPr="008E2F4A">
              <w:rPr>
                <w:rFonts w:asciiTheme="minorHAnsi" w:eastAsia="Times New Roman" w:hAnsiTheme="minorHAnsi"/>
                <w:lang w:eastAsia="en-GB"/>
              </w:rPr>
              <w:t>Provide a fixed cost for the project and the associated cost break down.</w:t>
            </w:r>
          </w:p>
          <w:p w14:paraId="28AED9EF" w14:textId="77777777" w:rsidR="007014DB" w:rsidRPr="008E2F4A" w:rsidRDefault="007014DB" w:rsidP="007014DB">
            <w:pPr>
              <w:spacing w:after="120" w:line="240" w:lineRule="auto"/>
              <w:rPr>
                <w:rFonts w:asciiTheme="minorHAnsi" w:hAnsiTheme="minorHAnsi"/>
                <w:lang w:eastAsia="en-GB"/>
              </w:rPr>
            </w:pPr>
          </w:p>
        </w:tc>
        <w:tc>
          <w:tcPr>
            <w:tcW w:w="2255" w:type="pct"/>
            <w:tcBorders>
              <w:top w:val="nil"/>
              <w:left w:val="nil"/>
              <w:bottom w:val="single" w:sz="8" w:space="0" w:color="808080"/>
              <w:right w:val="single" w:sz="8" w:space="0" w:color="808080"/>
            </w:tcBorders>
            <w:tcMar>
              <w:top w:w="0" w:type="dxa"/>
              <w:left w:w="108" w:type="dxa"/>
              <w:bottom w:w="0" w:type="dxa"/>
              <w:right w:w="108" w:type="dxa"/>
            </w:tcMar>
            <w:hideMark/>
          </w:tcPr>
          <w:p w14:paraId="56EB66C9" w14:textId="77777777" w:rsidR="007014DB" w:rsidRPr="008E2F4A" w:rsidRDefault="007014DB" w:rsidP="00E51DD4">
            <w:pPr>
              <w:pStyle w:val="ListParagraph"/>
              <w:numPr>
                <w:ilvl w:val="0"/>
                <w:numId w:val="52"/>
              </w:numPr>
              <w:spacing w:after="120" w:line="300" w:lineRule="exact"/>
              <w:rPr>
                <w:rFonts w:asciiTheme="minorHAnsi" w:hAnsiTheme="minorHAnsi"/>
                <w:sz w:val="22"/>
                <w:szCs w:val="22"/>
              </w:rPr>
            </w:pPr>
            <w:r w:rsidRPr="008E2F4A">
              <w:rPr>
                <w:rFonts w:asciiTheme="minorHAnsi" w:hAnsiTheme="minorHAnsi"/>
                <w:sz w:val="22"/>
                <w:szCs w:val="22"/>
              </w:rPr>
              <w:t>The tender with the lowest total cost will receive 100% of the available weighted score (30%).</w:t>
            </w:r>
          </w:p>
          <w:p w14:paraId="1FD3195E" w14:textId="77777777" w:rsidR="007014DB" w:rsidRPr="008E2F4A" w:rsidRDefault="007014DB" w:rsidP="00E51DD4">
            <w:pPr>
              <w:pStyle w:val="ListParagraph"/>
              <w:numPr>
                <w:ilvl w:val="0"/>
                <w:numId w:val="52"/>
              </w:numPr>
              <w:spacing w:after="120" w:line="300" w:lineRule="exact"/>
              <w:rPr>
                <w:rFonts w:asciiTheme="minorHAnsi" w:hAnsiTheme="minorHAnsi"/>
                <w:sz w:val="22"/>
                <w:szCs w:val="22"/>
              </w:rPr>
            </w:pPr>
            <w:r w:rsidRPr="008E2F4A">
              <w:rPr>
                <w:rFonts w:asciiTheme="minorHAnsi" w:hAnsiTheme="minorHAnsi"/>
                <w:sz w:val="22"/>
                <w:szCs w:val="22"/>
              </w:rPr>
              <w:t>Other tenderer’s tenders will receive a pro-rated relative to the lowest cost according to the following formula:</w:t>
            </w:r>
          </w:p>
          <w:p w14:paraId="0080F7A8" w14:textId="77777777" w:rsidR="007014DB" w:rsidRPr="008E2F4A" w:rsidRDefault="007014DB" w:rsidP="00E51DD4">
            <w:pPr>
              <w:pStyle w:val="ListParagraph"/>
              <w:numPr>
                <w:ilvl w:val="0"/>
                <w:numId w:val="43"/>
              </w:numPr>
              <w:spacing w:after="120" w:line="300" w:lineRule="exact"/>
              <w:ind w:left="1445" w:hanging="284"/>
              <w:rPr>
                <w:rFonts w:asciiTheme="minorHAnsi" w:hAnsiTheme="minorHAnsi"/>
                <w:sz w:val="22"/>
                <w:szCs w:val="22"/>
              </w:rPr>
            </w:pPr>
            <w:r w:rsidRPr="008E2F4A">
              <w:rPr>
                <w:rFonts w:asciiTheme="minorHAnsi" w:hAnsiTheme="minorHAnsi"/>
                <w:sz w:val="22"/>
                <w:szCs w:val="22"/>
              </w:rPr>
              <w:t>Score of other tender = lowest tender total cost / other tender total cost x 100%.</w:t>
            </w:r>
          </w:p>
        </w:tc>
        <w:tc>
          <w:tcPr>
            <w:tcW w:w="473" w:type="pct"/>
            <w:tcBorders>
              <w:top w:val="nil"/>
              <w:left w:val="nil"/>
              <w:bottom w:val="single" w:sz="8" w:space="0" w:color="808080"/>
              <w:right w:val="single" w:sz="8" w:space="0" w:color="808080"/>
            </w:tcBorders>
            <w:tcMar>
              <w:top w:w="0" w:type="dxa"/>
              <w:left w:w="108" w:type="dxa"/>
              <w:bottom w:w="0" w:type="dxa"/>
              <w:right w:w="108" w:type="dxa"/>
            </w:tcMar>
            <w:hideMark/>
          </w:tcPr>
          <w:p w14:paraId="6EA98699" w14:textId="77777777" w:rsidR="007014DB" w:rsidRPr="008E2F4A" w:rsidRDefault="007014DB" w:rsidP="007014DB">
            <w:pPr>
              <w:spacing w:after="120" w:line="300" w:lineRule="exact"/>
              <w:jc w:val="right"/>
              <w:rPr>
                <w:rFonts w:asciiTheme="minorHAnsi" w:hAnsiTheme="minorHAnsi"/>
                <w:lang w:eastAsia="en-GB"/>
              </w:rPr>
            </w:pPr>
            <w:r w:rsidRPr="008E2F4A">
              <w:rPr>
                <w:rFonts w:asciiTheme="minorHAnsi" w:hAnsiTheme="minorHAnsi"/>
                <w:lang w:eastAsia="en-GB"/>
              </w:rPr>
              <w:t>30%</w:t>
            </w:r>
          </w:p>
        </w:tc>
      </w:tr>
    </w:tbl>
    <w:p w14:paraId="1DAE7788" w14:textId="77777777" w:rsidR="007014DB" w:rsidRPr="007014DB" w:rsidRDefault="007014DB" w:rsidP="007014DB">
      <w:pPr>
        <w:pStyle w:val="Body"/>
      </w:pPr>
    </w:p>
    <w:p w14:paraId="19036008" w14:textId="3AC3A6A1" w:rsidR="00E62A97" w:rsidRDefault="00E62A97" w:rsidP="00E62A97">
      <w:pPr>
        <w:pStyle w:val="Body"/>
      </w:pPr>
    </w:p>
    <w:p w14:paraId="7EDC49AC" w14:textId="77777777" w:rsidR="00E62A97" w:rsidRPr="00E62A97" w:rsidRDefault="00E62A97" w:rsidP="00E62A97">
      <w:pPr>
        <w:pStyle w:val="Body"/>
        <w:sectPr w:rsidR="00E62A97" w:rsidRPr="00E62A97"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4041C0F" w14:textId="77777777" w:rsidR="00E62A97" w:rsidRDefault="00E62A97" w:rsidP="00E62A97">
      <w:pPr>
        <w:pStyle w:val="CoverTitle"/>
      </w:pPr>
      <w:r>
        <w:t>Specification for Research Project</w:t>
      </w:r>
    </w:p>
    <w:p w14:paraId="41EE2712" w14:textId="77777777" w:rsidR="003E3E31" w:rsidRDefault="003E3E31" w:rsidP="003E3E31">
      <w:pPr>
        <w:pStyle w:val="CoverTitle"/>
      </w:pPr>
      <w:r>
        <w:t>Identifying best practices in how public procurement can support the uptake of innovation in risk averse industries</w:t>
      </w:r>
    </w:p>
    <w:p w14:paraId="60C6AE8C" w14:textId="77777777" w:rsidR="00E62A97" w:rsidRDefault="00E62A97" w:rsidP="00E62A97">
      <w:pPr>
        <w:pStyle w:val="CoverTitle"/>
      </w:pPr>
    </w:p>
    <w:p w14:paraId="41231557" w14:textId="77777777" w:rsidR="00E62A97" w:rsidRDefault="00E62A97" w:rsidP="00E62A97">
      <w:pPr>
        <w:pStyle w:val="CoverTitle"/>
      </w:pPr>
    </w:p>
    <w:p w14:paraId="79F67455" w14:textId="77777777" w:rsidR="00E62A97" w:rsidRDefault="00E62A97" w:rsidP="00E62A97">
      <w:pPr>
        <w:pStyle w:val="CoverTitle"/>
      </w:pPr>
    </w:p>
    <w:p w14:paraId="7ED9D6E3" w14:textId="77777777" w:rsidR="00E62A97" w:rsidRDefault="00E62A97" w:rsidP="00E62A97">
      <w:pPr>
        <w:pStyle w:val="CoverTitle"/>
      </w:pPr>
    </w:p>
    <w:p w14:paraId="0615C5F8" w14:textId="77777777" w:rsidR="00E62A97" w:rsidRDefault="00E62A97" w:rsidP="00E62A97">
      <w:pPr>
        <w:pStyle w:val="CoverTitle"/>
      </w:pPr>
    </w:p>
    <w:p w14:paraId="60CD9382" w14:textId="77777777" w:rsidR="00E62A97" w:rsidRDefault="00E62A97" w:rsidP="00E62A97"/>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405F8993" w14:textId="77777777" w:rsidR="003E3E31" w:rsidRDefault="003E3E31" w:rsidP="003E3E31">
      <w:r>
        <w:lastRenderedPageBreak/>
        <w:br w:type="page"/>
      </w:r>
    </w:p>
    <w:p w14:paraId="2C2DB228" w14:textId="77777777" w:rsidR="003E3E31" w:rsidRDefault="003E3E31" w:rsidP="003E3E31">
      <w:pPr>
        <w:pStyle w:val="Heading1"/>
      </w:pPr>
      <w:r>
        <w:lastRenderedPageBreak/>
        <w:t>Background</w:t>
      </w:r>
    </w:p>
    <w:p w14:paraId="701875A1" w14:textId="77777777" w:rsidR="003E3E31" w:rsidRPr="00F732AB" w:rsidRDefault="003E3E31" w:rsidP="003E3E31">
      <w:pPr>
        <w:pStyle w:val="Body"/>
        <w:jc w:val="both"/>
      </w:pPr>
      <w:r w:rsidRPr="00F732AB">
        <w:t xml:space="preserve">This project is part of a wider longer term project programme to ensure that innovation within the UK rail industry is supported also via public procurement. </w:t>
      </w:r>
    </w:p>
    <w:p w14:paraId="75659E2B" w14:textId="77777777" w:rsidR="003E3E31" w:rsidRDefault="003E3E31" w:rsidP="003E3E31">
      <w:pPr>
        <w:pStyle w:val="Body"/>
        <w:rPr>
          <w:b/>
          <w:bCs/>
        </w:rPr>
      </w:pPr>
    </w:p>
    <w:p w14:paraId="5671BB0D" w14:textId="77777777" w:rsidR="003E3E31" w:rsidRDefault="003E3E31" w:rsidP="003E3E31">
      <w:pPr>
        <w:pStyle w:val="Body"/>
        <w:rPr>
          <w:b/>
          <w:bCs/>
        </w:rPr>
      </w:pPr>
      <w:r>
        <w:rPr>
          <w:b/>
          <w:bCs/>
        </w:rPr>
        <w:t>McNulty Report</w:t>
      </w:r>
    </w:p>
    <w:p w14:paraId="6421BD0F" w14:textId="77777777" w:rsidR="003E3E31" w:rsidRPr="00AF6F9B" w:rsidRDefault="003E3E31" w:rsidP="003E3E31">
      <w:pPr>
        <w:pStyle w:val="Body"/>
        <w:jc w:val="both"/>
        <w:rPr>
          <w:bCs/>
        </w:rPr>
      </w:pPr>
      <w:r w:rsidRPr="00AF6F9B">
        <w:rPr>
          <w:bCs/>
        </w:rPr>
        <w:t>To help build a long term vision of more sustainable financial and organisational platforms for future growth, the UK’s Department for Transport (DfT) and the Office of Rail Regulation jointly commissioned a study (McNulty, 2011). This examined the UK rail business and made recommendations to improve its value for money.</w:t>
      </w:r>
    </w:p>
    <w:p w14:paraId="7D5ED265" w14:textId="77777777" w:rsidR="003E3E31" w:rsidRDefault="003E3E31" w:rsidP="003E3E31">
      <w:pPr>
        <w:pStyle w:val="Body"/>
        <w:jc w:val="both"/>
        <w:rPr>
          <w:bCs/>
        </w:rPr>
      </w:pPr>
      <w:r w:rsidRPr="00AF6F9B">
        <w:rPr>
          <w:bCs/>
        </w:rPr>
        <w:t>The McNulty report concluded that more effective innovation in UK rail could deliver savings across the whole industry of around £190 million pa, additional benefits such as customer satisfaction are also expected to be considerable. In addition to the strong domestic business case for introducing industry innovation enablers, the potential global market for rail innovation is also considerable. Returns on innovation investment in other industries ranging from 3:1 to 10:1 provide a realistic expectation that the rail industry should be able to achieve at least a 3:1 return.</w:t>
      </w:r>
    </w:p>
    <w:p w14:paraId="39BA66C0" w14:textId="77777777" w:rsidR="003E3E31" w:rsidRDefault="003E3E31" w:rsidP="003E3E31">
      <w:pPr>
        <w:pStyle w:val="Body"/>
        <w:jc w:val="both"/>
        <w:rPr>
          <w:bCs/>
        </w:rPr>
      </w:pPr>
    </w:p>
    <w:p w14:paraId="3F04A98B" w14:textId="77777777" w:rsidR="003E3E31" w:rsidRDefault="003E3E31" w:rsidP="003E3E31">
      <w:pPr>
        <w:pStyle w:val="Body"/>
        <w:jc w:val="both"/>
        <w:rPr>
          <w:bCs/>
        </w:rPr>
      </w:pPr>
      <w:r>
        <w:rPr>
          <w:bCs/>
        </w:rPr>
        <w:t>McNulty’s findings included the following observations relating to procurement:</w:t>
      </w:r>
    </w:p>
    <w:p w14:paraId="30E91283" w14:textId="77777777" w:rsidR="003E3E31" w:rsidRPr="003C3AD5" w:rsidRDefault="003E3E31" w:rsidP="00E51DD4">
      <w:pPr>
        <w:pStyle w:val="Body"/>
        <w:numPr>
          <w:ilvl w:val="0"/>
          <w:numId w:val="63"/>
        </w:numPr>
        <w:jc w:val="both"/>
        <w:rPr>
          <w:bCs/>
        </w:rPr>
      </w:pPr>
      <w:r w:rsidRPr="003C3AD5">
        <w:rPr>
          <w:bCs/>
        </w:rPr>
        <w:t>DfT procur</w:t>
      </w:r>
      <w:r>
        <w:rPr>
          <w:bCs/>
        </w:rPr>
        <w:t>e</w:t>
      </w:r>
      <w:r w:rsidRPr="003C3AD5">
        <w:rPr>
          <w:bCs/>
        </w:rPr>
        <w:t>ment models of short franchises, with detailed specification, provides weak incentives for TOCs to tackle unit costs</w:t>
      </w:r>
    </w:p>
    <w:p w14:paraId="7877FD55" w14:textId="77777777" w:rsidR="003E3E31" w:rsidRPr="003C3AD5" w:rsidRDefault="003E3E31" w:rsidP="00E51DD4">
      <w:pPr>
        <w:pStyle w:val="Body"/>
        <w:numPr>
          <w:ilvl w:val="0"/>
          <w:numId w:val="63"/>
        </w:numPr>
        <w:jc w:val="both"/>
        <w:rPr>
          <w:bCs/>
        </w:rPr>
      </w:pPr>
      <w:r w:rsidRPr="003C3AD5">
        <w:rPr>
          <w:bCs/>
        </w:rPr>
        <w:t>The current</w:t>
      </w:r>
      <w:r>
        <w:rPr>
          <w:bCs/>
        </w:rPr>
        <w:t xml:space="preserve"> [in 2010]</w:t>
      </w:r>
      <w:r w:rsidRPr="003C3AD5">
        <w:rPr>
          <w:bCs/>
        </w:rPr>
        <w:t>, centrally procured model (particularly in rela</w:t>
      </w:r>
      <w:r>
        <w:rPr>
          <w:bCs/>
        </w:rPr>
        <w:t>tion to Northern and TransPenni</w:t>
      </w:r>
      <w:r w:rsidRPr="003C3AD5">
        <w:rPr>
          <w:bCs/>
        </w:rPr>
        <w:t>ne Express (TPE) franchises presents a barrier to achieving the benefits that such trade-off [between regional/ local bodies] might bring.</w:t>
      </w:r>
    </w:p>
    <w:p w14:paraId="2E3EAC9A" w14:textId="77777777" w:rsidR="003E3E31" w:rsidRPr="003C3AD5" w:rsidRDefault="003E3E31" w:rsidP="00E51DD4">
      <w:pPr>
        <w:pStyle w:val="Body"/>
        <w:numPr>
          <w:ilvl w:val="0"/>
          <w:numId w:val="63"/>
        </w:numPr>
        <w:jc w:val="both"/>
        <w:rPr>
          <w:bCs/>
        </w:rPr>
      </w:pPr>
      <w:r w:rsidRPr="003C3AD5">
        <w:rPr>
          <w:bCs/>
        </w:rPr>
        <w:t>Less specificity in franchise procurement could help to address barriers to innovation, allowing TICs more scope to flex their outputs, and hence their costs, in response to passenger demand.</w:t>
      </w:r>
    </w:p>
    <w:p w14:paraId="35705A33" w14:textId="77777777" w:rsidR="003E3E31" w:rsidRPr="003C3AD5" w:rsidRDefault="003E3E31" w:rsidP="00E51DD4">
      <w:pPr>
        <w:pStyle w:val="Body"/>
        <w:numPr>
          <w:ilvl w:val="0"/>
          <w:numId w:val="63"/>
        </w:numPr>
        <w:jc w:val="both"/>
        <w:rPr>
          <w:bCs/>
        </w:rPr>
      </w:pPr>
      <w:r w:rsidRPr="003C3AD5">
        <w:rPr>
          <w:bCs/>
        </w:rPr>
        <w:t>There is potential merit in an alternative procurement model based on price-based franchises.</w:t>
      </w:r>
    </w:p>
    <w:p w14:paraId="32413098" w14:textId="77777777" w:rsidR="003E3E31" w:rsidRDefault="003E3E31" w:rsidP="00E51DD4">
      <w:pPr>
        <w:pStyle w:val="Body"/>
        <w:numPr>
          <w:ilvl w:val="0"/>
          <w:numId w:val="63"/>
        </w:numPr>
        <w:jc w:val="both"/>
        <w:rPr>
          <w:bCs/>
        </w:rPr>
      </w:pPr>
      <w:r w:rsidRPr="003C3AD5">
        <w:rPr>
          <w:bCs/>
        </w:rPr>
        <w:t>A key barrier in procurement was a spreading and thinning of procurement expertise</w:t>
      </w:r>
    </w:p>
    <w:p w14:paraId="09F1F770" w14:textId="3F31C446" w:rsidR="003E3E31" w:rsidRDefault="003E3E31" w:rsidP="003E3E31">
      <w:pPr>
        <w:pStyle w:val="Body"/>
        <w:rPr>
          <w:bCs/>
        </w:rPr>
      </w:pPr>
    </w:p>
    <w:p w14:paraId="73437C0E" w14:textId="638C52F8" w:rsidR="003E3E31" w:rsidRDefault="003E3E31" w:rsidP="003E3E31">
      <w:pPr>
        <w:pStyle w:val="Body"/>
        <w:rPr>
          <w:bCs/>
        </w:rPr>
      </w:pPr>
    </w:p>
    <w:p w14:paraId="1957F280" w14:textId="7942A99B" w:rsidR="003E3E31" w:rsidRDefault="003E3E31" w:rsidP="003E3E31">
      <w:pPr>
        <w:pStyle w:val="Body"/>
        <w:rPr>
          <w:bCs/>
        </w:rPr>
      </w:pPr>
    </w:p>
    <w:p w14:paraId="0D719FF7" w14:textId="77777777" w:rsidR="003E3E31" w:rsidRPr="00AF6F9B" w:rsidRDefault="003E3E31" w:rsidP="003E3E31">
      <w:pPr>
        <w:pStyle w:val="Body"/>
        <w:rPr>
          <w:bCs/>
        </w:rPr>
      </w:pPr>
    </w:p>
    <w:p w14:paraId="22AE2A5A" w14:textId="77777777" w:rsidR="003E3E31" w:rsidRPr="00F732AB" w:rsidRDefault="003E3E31" w:rsidP="003E3E31">
      <w:pPr>
        <w:pStyle w:val="Body"/>
        <w:jc w:val="both"/>
        <w:rPr>
          <w:b/>
        </w:rPr>
      </w:pPr>
      <w:r w:rsidRPr="00F732AB">
        <w:rPr>
          <w:b/>
        </w:rPr>
        <w:lastRenderedPageBreak/>
        <w:t>Post McNulty Response</w:t>
      </w:r>
    </w:p>
    <w:p w14:paraId="0E9B8E0C" w14:textId="77777777" w:rsidR="003E3E31" w:rsidRPr="00F732AB" w:rsidRDefault="003E3E31" w:rsidP="003E3E31">
      <w:pPr>
        <w:pStyle w:val="Body"/>
        <w:jc w:val="both"/>
      </w:pPr>
      <w:r w:rsidRPr="00F732AB">
        <w:t>There have been number of client initiatives aimed at improving the industry capabilities in these areas, including</w:t>
      </w:r>
      <w:r>
        <w:t xml:space="preserve">; Innovation in Franchising Pilot Funding, </w:t>
      </w:r>
      <w:r w:rsidRPr="00F732AB" w:rsidDel="00267D04">
        <w:t xml:space="preserve"> </w:t>
      </w:r>
      <w:r w:rsidRPr="00F732AB">
        <w:t>Need for innovation strategy in franchise bids</w:t>
      </w:r>
      <w:r>
        <w:t xml:space="preserve"> and Residual Value Mechanism.</w:t>
      </w:r>
    </w:p>
    <w:p w14:paraId="059161E5" w14:textId="77777777" w:rsidR="003E3E31" w:rsidRPr="00F732AB" w:rsidRDefault="003E3E31" w:rsidP="003E3E31">
      <w:pPr>
        <w:pStyle w:val="Body"/>
        <w:jc w:val="both"/>
      </w:pPr>
    </w:p>
    <w:p w14:paraId="3565395A" w14:textId="77777777" w:rsidR="003E3E31" w:rsidRPr="00F732AB" w:rsidRDefault="003E3E31" w:rsidP="003E3E31">
      <w:pPr>
        <w:pStyle w:val="Body"/>
        <w:jc w:val="both"/>
        <w:rPr>
          <w:b/>
        </w:rPr>
      </w:pPr>
      <w:r w:rsidRPr="00F732AB">
        <w:rPr>
          <w:b/>
        </w:rPr>
        <w:t>Market failure: Post McNulty Evidence</w:t>
      </w:r>
    </w:p>
    <w:p w14:paraId="0755FD27" w14:textId="77777777" w:rsidR="003E3E31" w:rsidRPr="00F732AB" w:rsidRDefault="003E3E31" w:rsidP="003E3E31">
      <w:pPr>
        <w:pStyle w:val="Body"/>
        <w:jc w:val="both"/>
      </w:pPr>
      <w:r w:rsidRPr="00F732AB">
        <w:t>However recent evidence still suggests that more could be done in the space of client leadership as suggested by the following studies:</w:t>
      </w:r>
    </w:p>
    <w:p w14:paraId="08DD7147" w14:textId="77777777" w:rsidR="003E3E31" w:rsidRPr="00F732AB" w:rsidRDefault="003E3E31" w:rsidP="003E3E31">
      <w:pPr>
        <w:pStyle w:val="Body"/>
      </w:pPr>
    </w:p>
    <w:tbl>
      <w:tblPr>
        <w:tblStyle w:val="TableGrid"/>
        <w:tblW w:w="0" w:type="auto"/>
        <w:tblLook w:val="04A0" w:firstRow="1" w:lastRow="0" w:firstColumn="1" w:lastColumn="0" w:noHBand="0" w:noVBand="1"/>
      </w:tblPr>
      <w:tblGrid>
        <w:gridCol w:w="2046"/>
        <w:gridCol w:w="1288"/>
        <w:gridCol w:w="4592"/>
      </w:tblGrid>
      <w:tr w:rsidR="003E3E31" w:rsidRPr="00F732AB" w14:paraId="2BE910CD" w14:textId="77777777" w:rsidTr="001525C6">
        <w:tc>
          <w:tcPr>
            <w:tcW w:w="2099" w:type="dxa"/>
          </w:tcPr>
          <w:p w14:paraId="324F556F" w14:textId="77777777" w:rsidR="003E3E31" w:rsidRPr="00F732AB" w:rsidRDefault="003E3E31" w:rsidP="001525C6">
            <w:pPr>
              <w:pStyle w:val="Body"/>
            </w:pPr>
            <w:r w:rsidRPr="00F732AB">
              <w:t>Source</w:t>
            </w:r>
          </w:p>
        </w:tc>
        <w:tc>
          <w:tcPr>
            <w:tcW w:w="1327" w:type="dxa"/>
          </w:tcPr>
          <w:p w14:paraId="288D5659" w14:textId="77777777" w:rsidR="003E3E31" w:rsidRPr="00F732AB" w:rsidRDefault="003E3E31" w:rsidP="001525C6">
            <w:pPr>
              <w:pStyle w:val="Body"/>
            </w:pPr>
            <w:r w:rsidRPr="00F732AB">
              <w:t>Date(s)</w:t>
            </w:r>
          </w:p>
        </w:tc>
        <w:tc>
          <w:tcPr>
            <w:tcW w:w="4870" w:type="dxa"/>
          </w:tcPr>
          <w:p w14:paraId="513651B3" w14:textId="77777777" w:rsidR="003E3E31" w:rsidRPr="00F732AB" w:rsidRDefault="003E3E31" w:rsidP="001525C6">
            <w:pPr>
              <w:pStyle w:val="Body"/>
            </w:pPr>
            <w:r w:rsidRPr="00F732AB">
              <w:t>Pertinent Finding(s)</w:t>
            </w:r>
          </w:p>
        </w:tc>
      </w:tr>
      <w:tr w:rsidR="003E3E31" w:rsidRPr="00F732AB" w14:paraId="746B65FF" w14:textId="77777777" w:rsidTr="001525C6">
        <w:tc>
          <w:tcPr>
            <w:tcW w:w="2099" w:type="dxa"/>
          </w:tcPr>
          <w:p w14:paraId="27365AF8" w14:textId="77777777" w:rsidR="003E3E31" w:rsidRPr="00F732AB" w:rsidRDefault="003E3E31" w:rsidP="001525C6">
            <w:pPr>
              <w:pStyle w:val="Body"/>
            </w:pPr>
            <w:r w:rsidRPr="00F732AB">
              <w:t xml:space="preserve">Georghiou </w:t>
            </w:r>
            <w:r w:rsidRPr="00F732AB">
              <w:rPr>
                <w:i/>
              </w:rPr>
              <w:t>et al</w:t>
            </w:r>
            <w:r w:rsidRPr="00F732AB">
              <w:t>, Policy instruments for public procurement of innovation:</w:t>
            </w:r>
          </w:p>
          <w:p w14:paraId="6B4CB568" w14:textId="77777777" w:rsidR="003E3E31" w:rsidRPr="00F732AB" w:rsidRDefault="003E3E31" w:rsidP="001525C6">
            <w:pPr>
              <w:pStyle w:val="Body"/>
            </w:pPr>
            <w:r w:rsidRPr="00F732AB">
              <w:t>Choice, design and assessment</w:t>
            </w:r>
          </w:p>
        </w:tc>
        <w:tc>
          <w:tcPr>
            <w:tcW w:w="1327" w:type="dxa"/>
          </w:tcPr>
          <w:p w14:paraId="78D84466" w14:textId="77777777" w:rsidR="003E3E31" w:rsidRPr="00F732AB" w:rsidRDefault="003E3E31" w:rsidP="001525C6">
            <w:pPr>
              <w:pStyle w:val="Body"/>
              <w:jc w:val="both"/>
            </w:pPr>
            <w:r w:rsidRPr="00F732AB">
              <w:t>Sep 2013</w:t>
            </w:r>
          </w:p>
        </w:tc>
        <w:tc>
          <w:tcPr>
            <w:tcW w:w="4870" w:type="dxa"/>
          </w:tcPr>
          <w:p w14:paraId="1BC4F35E" w14:textId="77777777" w:rsidR="003E3E31" w:rsidRPr="00F732AB" w:rsidRDefault="003E3E31" w:rsidP="00E51DD4">
            <w:pPr>
              <w:pStyle w:val="Body"/>
              <w:numPr>
                <w:ilvl w:val="0"/>
                <w:numId w:val="56"/>
              </w:numPr>
              <w:ind w:left="0"/>
              <w:jc w:val="both"/>
            </w:pPr>
            <w:r w:rsidRPr="00F732AB">
              <w:t xml:space="preserve">Policy design has been underpinned largely by anecdotal evidence and without a clear theoretical or empirical basis for understanding how supplying to the public sector actually influences a firm's innovation capabilities and performance and in what ways desirable behaviour and outcomes can be promoted. </w:t>
            </w:r>
          </w:p>
          <w:p w14:paraId="6DB92FCB" w14:textId="77777777" w:rsidR="003E3E31" w:rsidRPr="00F732AB" w:rsidRDefault="003E3E31" w:rsidP="001525C6">
            <w:pPr>
              <w:pStyle w:val="Body"/>
              <w:jc w:val="both"/>
            </w:pPr>
          </w:p>
        </w:tc>
      </w:tr>
      <w:tr w:rsidR="003E3E31" w:rsidRPr="00F732AB" w14:paraId="75CDE710" w14:textId="77777777" w:rsidTr="001525C6">
        <w:tc>
          <w:tcPr>
            <w:tcW w:w="2099" w:type="dxa"/>
          </w:tcPr>
          <w:p w14:paraId="5734CD2A" w14:textId="77777777" w:rsidR="003E3E31" w:rsidRPr="00F732AB" w:rsidRDefault="003E3E31" w:rsidP="001525C6">
            <w:pPr>
              <w:pStyle w:val="Body"/>
            </w:pPr>
            <w:r w:rsidRPr="00F732AB">
              <w:t>NESTA: why motivation matters in public sector innovation</w:t>
            </w:r>
          </w:p>
        </w:tc>
        <w:tc>
          <w:tcPr>
            <w:tcW w:w="1327" w:type="dxa"/>
          </w:tcPr>
          <w:p w14:paraId="1FAFA2E5" w14:textId="77777777" w:rsidR="003E3E31" w:rsidRPr="00F732AB" w:rsidRDefault="003E3E31" w:rsidP="001525C6">
            <w:pPr>
              <w:pStyle w:val="Body"/>
              <w:jc w:val="both"/>
            </w:pPr>
            <w:r w:rsidRPr="00F732AB">
              <w:t>Dec 2014</w:t>
            </w:r>
          </w:p>
        </w:tc>
        <w:tc>
          <w:tcPr>
            <w:tcW w:w="4870" w:type="dxa"/>
          </w:tcPr>
          <w:p w14:paraId="3008EE7A" w14:textId="77777777" w:rsidR="003E3E31" w:rsidRPr="00F732AB" w:rsidRDefault="003E3E31" w:rsidP="00E51DD4">
            <w:pPr>
              <w:pStyle w:val="Body"/>
              <w:numPr>
                <w:ilvl w:val="0"/>
                <w:numId w:val="55"/>
              </w:numPr>
              <w:ind w:left="0"/>
              <w:jc w:val="both"/>
            </w:pPr>
            <w:r w:rsidRPr="00F732AB">
              <w:t>Harnessing the motivation of public servants to innovate has been overlooked.</w:t>
            </w:r>
          </w:p>
          <w:p w14:paraId="61B19C81" w14:textId="77777777" w:rsidR="003E3E31" w:rsidRPr="00F732AB" w:rsidRDefault="003E3E31" w:rsidP="00E51DD4">
            <w:pPr>
              <w:pStyle w:val="Body"/>
              <w:numPr>
                <w:ilvl w:val="0"/>
                <w:numId w:val="55"/>
              </w:numPr>
              <w:ind w:left="0"/>
              <w:jc w:val="both"/>
            </w:pPr>
            <w:r w:rsidRPr="00F732AB">
              <w:t>There are also some big gaps in our knowledge about what works in particular circumstances.</w:t>
            </w:r>
          </w:p>
        </w:tc>
      </w:tr>
      <w:tr w:rsidR="003E3E31" w:rsidRPr="00F732AB" w14:paraId="5C70A4E1" w14:textId="77777777" w:rsidTr="001525C6">
        <w:tc>
          <w:tcPr>
            <w:tcW w:w="2099" w:type="dxa"/>
          </w:tcPr>
          <w:p w14:paraId="772647B8" w14:textId="77777777" w:rsidR="003E3E31" w:rsidRPr="00F732AB" w:rsidRDefault="003E3E31" w:rsidP="001525C6">
            <w:pPr>
              <w:pStyle w:val="Body"/>
            </w:pPr>
            <w:r w:rsidRPr="00F732AB">
              <w:t>ICMM survey results covering over 800 respondents in 26 organisations.</w:t>
            </w:r>
          </w:p>
        </w:tc>
        <w:tc>
          <w:tcPr>
            <w:tcW w:w="1327" w:type="dxa"/>
          </w:tcPr>
          <w:p w14:paraId="129A683D" w14:textId="77777777" w:rsidR="003E3E31" w:rsidRPr="00F732AB" w:rsidRDefault="003E3E31" w:rsidP="001525C6">
            <w:pPr>
              <w:pStyle w:val="Body"/>
              <w:jc w:val="both"/>
            </w:pPr>
            <w:r w:rsidRPr="00F732AB">
              <w:t>Jan 2014-Nov 2015</w:t>
            </w:r>
          </w:p>
        </w:tc>
        <w:tc>
          <w:tcPr>
            <w:tcW w:w="4870" w:type="dxa"/>
          </w:tcPr>
          <w:p w14:paraId="489DB285" w14:textId="77777777" w:rsidR="003E3E31" w:rsidRPr="00F732AB" w:rsidRDefault="003E3E31" w:rsidP="00E51DD4">
            <w:pPr>
              <w:pStyle w:val="Body"/>
              <w:numPr>
                <w:ilvl w:val="0"/>
                <w:numId w:val="54"/>
              </w:numPr>
              <w:ind w:left="0"/>
              <w:jc w:val="both"/>
            </w:pPr>
            <w:r w:rsidRPr="00F732AB">
              <w:t>Regulations can have a significant impact on innovation; positive or negative.</w:t>
            </w:r>
          </w:p>
          <w:p w14:paraId="64D6614B" w14:textId="77777777" w:rsidR="003E3E31" w:rsidRPr="00F732AB" w:rsidRDefault="003E3E31" w:rsidP="00E51DD4">
            <w:pPr>
              <w:pStyle w:val="Body"/>
              <w:numPr>
                <w:ilvl w:val="0"/>
                <w:numId w:val="54"/>
              </w:numPr>
              <w:ind w:left="0"/>
              <w:jc w:val="both"/>
            </w:pPr>
            <w:r w:rsidRPr="00F732AB">
              <w:t>Government funding attracts further processes which can stifle project outcomes.</w:t>
            </w:r>
          </w:p>
          <w:p w14:paraId="0F5F774E" w14:textId="77777777" w:rsidR="003E3E31" w:rsidRPr="00F732AB" w:rsidRDefault="003E3E31" w:rsidP="00E51DD4">
            <w:pPr>
              <w:pStyle w:val="Body"/>
              <w:numPr>
                <w:ilvl w:val="0"/>
                <w:numId w:val="54"/>
              </w:numPr>
              <w:ind w:left="0"/>
              <w:jc w:val="both"/>
            </w:pPr>
            <w:r w:rsidRPr="00F732AB">
              <w:t>Short term nature of franchises causing short term business planning, therefore functioning RV mechanism is critical.</w:t>
            </w:r>
          </w:p>
        </w:tc>
      </w:tr>
    </w:tbl>
    <w:p w14:paraId="687238C2" w14:textId="77777777" w:rsidR="003E3E31" w:rsidRDefault="003E3E31" w:rsidP="003E3E31">
      <w:pPr>
        <w:pStyle w:val="Body"/>
        <w:ind w:left="284"/>
      </w:pPr>
    </w:p>
    <w:p w14:paraId="00F84F56" w14:textId="77777777" w:rsidR="003E3E31" w:rsidRDefault="003E3E31" w:rsidP="003E3E31">
      <w:pPr>
        <w:pStyle w:val="Body"/>
        <w:rPr>
          <w:b/>
          <w:bCs/>
        </w:rPr>
      </w:pPr>
    </w:p>
    <w:p w14:paraId="51083616" w14:textId="77777777" w:rsidR="003E3E31" w:rsidRDefault="003E3E31" w:rsidP="003E3E31">
      <w:pPr>
        <w:pStyle w:val="Body"/>
        <w:rPr>
          <w:b/>
          <w:bCs/>
        </w:rPr>
      </w:pPr>
    </w:p>
    <w:p w14:paraId="430FCB66" w14:textId="77777777" w:rsidR="003E3E31" w:rsidRDefault="003E3E31" w:rsidP="003E3E31">
      <w:pPr>
        <w:pStyle w:val="Body"/>
        <w:rPr>
          <w:b/>
          <w:bCs/>
        </w:rPr>
      </w:pPr>
    </w:p>
    <w:p w14:paraId="4FFAF274" w14:textId="77777777" w:rsidR="003E3E31" w:rsidRDefault="003E3E31" w:rsidP="003E3E31">
      <w:pPr>
        <w:pStyle w:val="Body"/>
        <w:rPr>
          <w:b/>
          <w:bCs/>
        </w:rPr>
      </w:pPr>
    </w:p>
    <w:p w14:paraId="1F67C9B8" w14:textId="77777777" w:rsidR="00EF675F" w:rsidRDefault="00EF675F" w:rsidP="003E3E31">
      <w:pPr>
        <w:pStyle w:val="Body"/>
        <w:rPr>
          <w:b/>
          <w:bCs/>
        </w:rPr>
      </w:pPr>
    </w:p>
    <w:p w14:paraId="353B6ED7" w14:textId="1E2C2A84" w:rsidR="003E3E31" w:rsidRPr="00F732AB" w:rsidRDefault="003E3E31" w:rsidP="003E3E31">
      <w:pPr>
        <w:pStyle w:val="Body"/>
      </w:pPr>
      <w:r w:rsidRPr="00F732AB">
        <w:rPr>
          <w:b/>
          <w:bCs/>
        </w:rPr>
        <w:lastRenderedPageBreak/>
        <w:t xml:space="preserve">Rail Supply Group </w:t>
      </w:r>
    </w:p>
    <w:p w14:paraId="4417FE6E" w14:textId="77777777" w:rsidR="003E3E31" w:rsidRPr="00F732AB" w:rsidRDefault="003E3E31" w:rsidP="003E3E31">
      <w:pPr>
        <w:pStyle w:val="Body"/>
        <w:jc w:val="both"/>
      </w:pPr>
      <w:r w:rsidRPr="00F732AB">
        <w:t xml:space="preserve">The Rail Supply Group (RSG) was established in partnership with Government (BIS and DFT) with the aim of strengthening the capability and competitiveness of the UK rail supply chain to grow business in the UK and abroad. In January 2015 the RSG published “Fast Track for Growth” which states its vision and highlights the development of a Rail Sector strategy. </w:t>
      </w:r>
    </w:p>
    <w:p w14:paraId="67889102" w14:textId="77777777" w:rsidR="003E3E31" w:rsidRPr="00F732AB" w:rsidRDefault="003E3E31" w:rsidP="003E3E31">
      <w:pPr>
        <w:pStyle w:val="Body"/>
        <w:jc w:val="both"/>
      </w:pPr>
      <w:r w:rsidRPr="00F732AB">
        <w:t xml:space="preserve">To support the development of the strategy, FutureRailway (RSSB) commissioned several projects to provide a supporting evidence base, these include (but not limited to): </w:t>
      </w:r>
    </w:p>
    <w:p w14:paraId="7D2FEBC4" w14:textId="77777777" w:rsidR="003E3E31" w:rsidRPr="00F732AB" w:rsidRDefault="003E3E31" w:rsidP="00E51DD4">
      <w:pPr>
        <w:pStyle w:val="Body"/>
        <w:numPr>
          <w:ilvl w:val="0"/>
          <w:numId w:val="57"/>
        </w:numPr>
        <w:ind w:left="426"/>
      </w:pPr>
      <w:r w:rsidRPr="00F732AB">
        <w:t>Capability Mapping delivered by</w:t>
      </w:r>
      <w:r>
        <w:t xml:space="preserve"> AD Little </w:t>
      </w:r>
      <w:r w:rsidRPr="00F732AB">
        <w:t xml:space="preserve">(http://www.futurerailway.org/innovation/Pages/Strategic-programmes.aspx ) </w:t>
      </w:r>
    </w:p>
    <w:p w14:paraId="3274A994" w14:textId="77777777" w:rsidR="003E3E31" w:rsidRDefault="003E3E31" w:rsidP="00E51DD4">
      <w:pPr>
        <w:pStyle w:val="Body"/>
        <w:numPr>
          <w:ilvl w:val="0"/>
          <w:numId w:val="57"/>
        </w:numPr>
        <w:ind w:left="426"/>
        <w:jc w:val="both"/>
      </w:pPr>
      <w:r w:rsidRPr="00F732AB">
        <w:t xml:space="preserve">SWOT analysis being delivered by AD Little </w:t>
      </w:r>
    </w:p>
    <w:p w14:paraId="409A517B" w14:textId="77777777" w:rsidR="003E3E31" w:rsidRPr="00F732AB" w:rsidRDefault="003E3E31" w:rsidP="00E51DD4">
      <w:pPr>
        <w:pStyle w:val="Body"/>
        <w:numPr>
          <w:ilvl w:val="0"/>
          <w:numId w:val="57"/>
        </w:numPr>
        <w:jc w:val="both"/>
      </w:pPr>
      <w:r>
        <w:t xml:space="preserve">( </w:t>
      </w:r>
      <w:hyperlink r:id="rId19" w:history="1">
        <w:r w:rsidRPr="0055157A">
          <w:rPr>
            <w:rStyle w:val="Hyperlink"/>
          </w:rPr>
          <w:t>https://www.rssb.co.uk/Library/groups-and-committees/2015-12-08-report-rssb-uk-rail-supply-swot-fourth-draft-submitted.pdf</w:t>
        </w:r>
      </w:hyperlink>
      <w:r>
        <w:t xml:space="preserve"> )</w:t>
      </w:r>
    </w:p>
    <w:p w14:paraId="7B34B6CB" w14:textId="77777777" w:rsidR="003E3E31" w:rsidRPr="00F732AB" w:rsidRDefault="003E3E31" w:rsidP="00E51DD4">
      <w:pPr>
        <w:pStyle w:val="Body"/>
        <w:numPr>
          <w:ilvl w:val="0"/>
          <w:numId w:val="57"/>
        </w:numPr>
        <w:ind w:left="426"/>
        <w:jc w:val="both"/>
      </w:pPr>
      <w:r w:rsidRPr="00F732AB">
        <w:t xml:space="preserve">T934: Enabling technical innovation in the GB rail industry: barriers and solutions </w:t>
      </w:r>
    </w:p>
    <w:p w14:paraId="30558527" w14:textId="77777777" w:rsidR="003E3E31" w:rsidRPr="00F732AB" w:rsidRDefault="003E3E31" w:rsidP="003E3E31">
      <w:pPr>
        <w:pStyle w:val="Body"/>
        <w:jc w:val="both"/>
      </w:pPr>
    </w:p>
    <w:p w14:paraId="5BE2094D" w14:textId="77777777" w:rsidR="003E3E31" w:rsidRPr="00F732AB" w:rsidRDefault="003E3E31" w:rsidP="003E3E31">
      <w:pPr>
        <w:pStyle w:val="Body"/>
        <w:jc w:val="both"/>
      </w:pPr>
      <w:r w:rsidRPr="00F732AB">
        <w:t>The UK rail supply chain faces several challenges in realising its full potential. In particular, short-term investment cycles, which are derived from a disaggregated industry structure and regulatory planning processes, can restrict long-term investment in innovation. This is exacerbated by the risk-averse nature of the industry and the lack of incentives to introduce innovation into projects. This is the result of a range of factors, including costs and benefits sitting under different legal entities, approaches based on short-term delivery rather than meeting ambitious outcomes, and a culture that is understandably focused on standards and safety</w:t>
      </w:r>
    </w:p>
    <w:p w14:paraId="098BAA8A" w14:textId="77777777" w:rsidR="003E3E31" w:rsidRPr="00F732AB" w:rsidRDefault="003E3E31" w:rsidP="003E3E31">
      <w:pPr>
        <w:pStyle w:val="Body"/>
        <w:ind w:left="66"/>
        <w:jc w:val="both"/>
      </w:pPr>
      <w:r w:rsidRPr="00F732AB">
        <w:t xml:space="preserve">The Rail Sector strategy is intended to be the foundation for a more effective collaboration between the rail supply chain and Government. The document identifies four key work streams that will lead the delivery of the Rail Sector Strategy. They are; Creating Market Conditions for Growth, Accelerating Uptake of Innovation, Investing in People and Skills, and Growing Exports and Inward Investment. </w:t>
      </w:r>
    </w:p>
    <w:p w14:paraId="4E1A2242" w14:textId="77777777" w:rsidR="003E3E31" w:rsidRDefault="003E3E31" w:rsidP="003E3E31">
      <w:pPr>
        <w:pStyle w:val="Body"/>
        <w:jc w:val="both"/>
      </w:pPr>
    </w:p>
    <w:p w14:paraId="5BA12BAC" w14:textId="77777777" w:rsidR="003E3E31" w:rsidRPr="00F732AB" w:rsidRDefault="003E3E31" w:rsidP="003E3E31">
      <w:pPr>
        <w:pStyle w:val="Body"/>
        <w:jc w:val="both"/>
      </w:pPr>
      <w:r>
        <w:t>In order to a</w:t>
      </w:r>
      <w:r w:rsidRPr="00F732AB">
        <w:t>ccelerat</w:t>
      </w:r>
      <w:r>
        <w:t>e the u</w:t>
      </w:r>
      <w:r w:rsidRPr="00F732AB">
        <w:t>ptake of Innovation</w:t>
      </w:r>
      <w:r>
        <w:t>, the sector strategy outlined a number of commitments, including:</w:t>
      </w:r>
    </w:p>
    <w:p w14:paraId="51153C53" w14:textId="77777777" w:rsidR="003E3E31" w:rsidRDefault="003E3E31" w:rsidP="00E51DD4">
      <w:pPr>
        <w:pStyle w:val="Body"/>
        <w:numPr>
          <w:ilvl w:val="0"/>
          <w:numId w:val="62"/>
        </w:numPr>
        <w:jc w:val="both"/>
      </w:pPr>
      <w:r>
        <w:t>Enabling innovation in the market through an Innovation Leadership Steering Group</w:t>
      </w:r>
    </w:p>
    <w:p w14:paraId="36B82A00" w14:textId="77777777" w:rsidR="003E3E31" w:rsidRDefault="003E3E31" w:rsidP="00E51DD4">
      <w:pPr>
        <w:pStyle w:val="Body"/>
        <w:numPr>
          <w:ilvl w:val="0"/>
          <w:numId w:val="62"/>
        </w:numPr>
        <w:jc w:val="both"/>
      </w:pPr>
      <w:r>
        <w:t>Embedding innovation by championing a code of practice</w:t>
      </w:r>
    </w:p>
    <w:p w14:paraId="5230006A" w14:textId="77777777" w:rsidR="003E3E31" w:rsidRDefault="003E3E31" w:rsidP="00E51DD4">
      <w:pPr>
        <w:pStyle w:val="Body"/>
        <w:numPr>
          <w:ilvl w:val="0"/>
          <w:numId w:val="62"/>
        </w:numPr>
        <w:jc w:val="both"/>
      </w:pPr>
      <w:r>
        <w:t>Supporting collaboration between suppliers by establishing a framework</w:t>
      </w:r>
    </w:p>
    <w:p w14:paraId="168CC81D" w14:textId="77777777" w:rsidR="003E3E31" w:rsidRDefault="003E3E31" w:rsidP="00E51DD4">
      <w:pPr>
        <w:pStyle w:val="Body"/>
        <w:numPr>
          <w:ilvl w:val="0"/>
          <w:numId w:val="62"/>
        </w:numPr>
        <w:jc w:val="both"/>
      </w:pPr>
      <w:r>
        <w:t>Leading innovation in five technology areas through centres of excellence</w:t>
      </w:r>
    </w:p>
    <w:p w14:paraId="31E5BFB3" w14:textId="77777777" w:rsidR="003E3E31" w:rsidRDefault="003E3E31" w:rsidP="00E51DD4">
      <w:pPr>
        <w:pStyle w:val="Body"/>
        <w:numPr>
          <w:ilvl w:val="0"/>
          <w:numId w:val="62"/>
        </w:numPr>
        <w:jc w:val="both"/>
      </w:pPr>
      <w:r>
        <w:lastRenderedPageBreak/>
        <w:t>Developing options to transform UK test facilities</w:t>
      </w:r>
    </w:p>
    <w:p w14:paraId="55F81496" w14:textId="77777777" w:rsidR="003E3E31" w:rsidRDefault="003E3E31" w:rsidP="00E51DD4">
      <w:pPr>
        <w:pStyle w:val="Body"/>
        <w:numPr>
          <w:ilvl w:val="0"/>
          <w:numId w:val="62"/>
        </w:numPr>
        <w:jc w:val="both"/>
      </w:pPr>
      <w:r>
        <w:t>Streamlining product approval processes in line with customer and supplier needs</w:t>
      </w:r>
    </w:p>
    <w:p w14:paraId="293AA12D" w14:textId="77777777" w:rsidR="003E3E31" w:rsidRDefault="003E3E31" w:rsidP="00E51DD4">
      <w:pPr>
        <w:pStyle w:val="Body"/>
        <w:numPr>
          <w:ilvl w:val="0"/>
          <w:numId w:val="62"/>
        </w:numPr>
        <w:jc w:val="both"/>
      </w:pPr>
      <w:r>
        <w:t>Driving continuous improvement through self-assessment</w:t>
      </w:r>
    </w:p>
    <w:p w14:paraId="4945F74A" w14:textId="77777777" w:rsidR="003E3E31" w:rsidRDefault="003E3E31" w:rsidP="003E3E31">
      <w:pPr>
        <w:pStyle w:val="Body"/>
        <w:jc w:val="both"/>
      </w:pPr>
    </w:p>
    <w:p w14:paraId="1C2CB7B6" w14:textId="77777777" w:rsidR="003E3E31" w:rsidRDefault="003E3E31" w:rsidP="003E3E31">
      <w:pPr>
        <w:pStyle w:val="Body"/>
        <w:jc w:val="both"/>
      </w:pPr>
      <w:r w:rsidRPr="00C82C50">
        <w:t>Identifying best practices in how public procurement can support the uptake of innovation in risk averse industries</w:t>
      </w:r>
      <w:r>
        <w:t xml:space="preserve"> will principally support commitment no. 2, ‘Embedding innovation by championing a code of practice’.</w:t>
      </w:r>
    </w:p>
    <w:p w14:paraId="7A90952F" w14:textId="77777777" w:rsidR="003E3E31" w:rsidRDefault="003E3E31" w:rsidP="003E3E31">
      <w:pPr>
        <w:pStyle w:val="Body"/>
        <w:jc w:val="both"/>
      </w:pPr>
    </w:p>
    <w:p w14:paraId="17B824A3" w14:textId="77777777" w:rsidR="003E3E31" w:rsidRDefault="003E3E31" w:rsidP="003E3E31">
      <w:pPr>
        <w:pStyle w:val="Body"/>
        <w:jc w:val="both"/>
      </w:pPr>
      <w:r>
        <w:t>The guidance will establish a common standard for:</w:t>
      </w:r>
    </w:p>
    <w:p w14:paraId="0E623EBC" w14:textId="77777777" w:rsidR="003E3E31" w:rsidRDefault="003E3E31" w:rsidP="00E51DD4">
      <w:pPr>
        <w:pStyle w:val="Body"/>
        <w:numPr>
          <w:ilvl w:val="0"/>
          <w:numId w:val="57"/>
        </w:numPr>
        <w:jc w:val="both"/>
      </w:pPr>
      <w:r>
        <w:t>Scoping and communicating ambitious, outcome-based business challenges to suppliers;</w:t>
      </w:r>
    </w:p>
    <w:p w14:paraId="6A0D6AA4" w14:textId="77777777" w:rsidR="003E3E31" w:rsidRDefault="003E3E31" w:rsidP="00E51DD4">
      <w:pPr>
        <w:pStyle w:val="Body"/>
        <w:numPr>
          <w:ilvl w:val="0"/>
          <w:numId w:val="57"/>
        </w:numPr>
        <w:jc w:val="both"/>
      </w:pPr>
      <w:r>
        <w:t>Promoting clear messages to the market to encourage investment in advance of tendering;</w:t>
      </w:r>
    </w:p>
    <w:p w14:paraId="1FC10633" w14:textId="77777777" w:rsidR="003E3E31" w:rsidRDefault="003E3E31" w:rsidP="00E51DD4">
      <w:pPr>
        <w:pStyle w:val="Body"/>
        <w:numPr>
          <w:ilvl w:val="0"/>
          <w:numId w:val="57"/>
        </w:numPr>
        <w:jc w:val="both"/>
      </w:pPr>
      <w:r>
        <w:t>Assessing innovation including clear award criteria;</w:t>
      </w:r>
    </w:p>
    <w:p w14:paraId="4B17863A" w14:textId="77777777" w:rsidR="003E3E31" w:rsidRDefault="003E3E31" w:rsidP="00E51DD4">
      <w:pPr>
        <w:pStyle w:val="Body"/>
        <w:numPr>
          <w:ilvl w:val="0"/>
          <w:numId w:val="57"/>
        </w:numPr>
        <w:jc w:val="both"/>
      </w:pPr>
      <w:r>
        <w:t>Setting sufficient timelines to develop innovative solutions;</w:t>
      </w:r>
    </w:p>
    <w:p w14:paraId="608545A5" w14:textId="77777777" w:rsidR="003E3E31" w:rsidRDefault="003E3E31" w:rsidP="00E51DD4">
      <w:pPr>
        <w:pStyle w:val="Body"/>
        <w:numPr>
          <w:ilvl w:val="0"/>
          <w:numId w:val="57"/>
        </w:numPr>
        <w:jc w:val="both"/>
      </w:pPr>
      <w:r>
        <w:t>Addressing risk-averse behaviour in project management.</w:t>
      </w:r>
    </w:p>
    <w:p w14:paraId="73CDBE54" w14:textId="77777777" w:rsidR="003E3E31" w:rsidRDefault="003E3E31" w:rsidP="003E3E31">
      <w:pPr>
        <w:pStyle w:val="Body"/>
        <w:ind w:left="284"/>
      </w:pPr>
    </w:p>
    <w:p w14:paraId="370B923B" w14:textId="77777777" w:rsidR="003E3E31" w:rsidRPr="00F51BBB" w:rsidRDefault="003E3E31" w:rsidP="003E3E31">
      <w:pPr>
        <w:pStyle w:val="Body"/>
        <w:ind w:left="284"/>
      </w:pPr>
    </w:p>
    <w:p w14:paraId="51F5A2B2" w14:textId="77777777" w:rsidR="003E3E31" w:rsidRDefault="003E3E31" w:rsidP="003E3E31">
      <w:pPr>
        <w:pStyle w:val="Heading1"/>
      </w:pPr>
      <w:r>
        <w:t>Work package objectives</w:t>
      </w:r>
    </w:p>
    <w:p w14:paraId="0EEB2931" w14:textId="6439C557" w:rsidR="003E3E31" w:rsidRPr="003C370B" w:rsidRDefault="003E3E31" w:rsidP="003E3E31">
      <w:pPr>
        <w:pStyle w:val="BodyIndent1"/>
        <w:jc w:val="both"/>
      </w:pPr>
      <w:r w:rsidRPr="0046203C">
        <w:t xml:space="preserve">The objective of this </w:t>
      </w:r>
      <w:r>
        <w:t>project</w:t>
      </w:r>
      <w:r w:rsidRPr="0046203C">
        <w:t xml:space="preserve"> is to </w:t>
      </w:r>
      <w:r>
        <w:t xml:space="preserve">investigate how government and buyers in the railway sector abroad and in other industries in the UK utilise public procurement as a tool to support the uptake of innovation in a risk averse environment. Furthermore, the project aims at identifying, among these, good practices and assess their replicability in the GB rail sector, by providing a set of recommendations for the Department for Transport and other buyers to support them in implementing them. </w:t>
      </w:r>
    </w:p>
    <w:p w14:paraId="6E97ED6D" w14:textId="77777777" w:rsidR="003E3E31" w:rsidRPr="00B90DA0" w:rsidRDefault="003E3E31" w:rsidP="003E3E31">
      <w:pPr>
        <w:pStyle w:val="Heading1"/>
      </w:pPr>
      <w:r>
        <w:t>Scope</w:t>
      </w:r>
    </w:p>
    <w:tbl>
      <w:tblPr>
        <w:tblStyle w:val="TableGrid"/>
        <w:tblW w:w="0" w:type="auto"/>
        <w:tblInd w:w="227" w:type="dxa"/>
        <w:tblLook w:val="04A0" w:firstRow="1" w:lastRow="0" w:firstColumn="1" w:lastColumn="0" w:noHBand="0" w:noVBand="1"/>
      </w:tblPr>
      <w:tblGrid>
        <w:gridCol w:w="3862"/>
        <w:gridCol w:w="3837"/>
      </w:tblGrid>
      <w:tr w:rsidR="003E3E31" w14:paraId="140D7D49" w14:textId="77777777" w:rsidTr="001525C6">
        <w:tc>
          <w:tcPr>
            <w:tcW w:w="3963" w:type="dxa"/>
          </w:tcPr>
          <w:p w14:paraId="557C6A61" w14:textId="77777777" w:rsidR="003E3E31" w:rsidRPr="007617B6" w:rsidRDefault="003E3E31" w:rsidP="001525C6">
            <w:pPr>
              <w:pStyle w:val="BodyIndent1"/>
              <w:ind w:left="0"/>
              <w:rPr>
                <w:b/>
              </w:rPr>
            </w:pPr>
            <w:r w:rsidRPr="007617B6">
              <w:rPr>
                <w:b/>
              </w:rPr>
              <w:t xml:space="preserve">In scope </w:t>
            </w:r>
          </w:p>
        </w:tc>
        <w:tc>
          <w:tcPr>
            <w:tcW w:w="3963" w:type="dxa"/>
          </w:tcPr>
          <w:p w14:paraId="2109E7C7" w14:textId="77777777" w:rsidR="003E3E31" w:rsidRPr="007617B6" w:rsidRDefault="003E3E31" w:rsidP="001525C6">
            <w:pPr>
              <w:pStyle w:val="BodyIndent1"/>
              <w:ind w:left="0"/>
              <w:rPr>
                <w:b/>
              </w:rPr>
            </w:pPr>
            <w:r w:rsidRPr="007617B6">
              <w:rPr>
                <w:b/>
              </w:rPr>
              <w:t>Out of scope</w:t>
            </w:r>
          </w:p>
        </w:tc>
      </w:tr>
      <w:tr w:rsidR="003E3E31" w14:paraId="57EBDF2B" w14:textId="77777777" w:rsidTr="001525C6">
        <w:tc>
          <w:tcPr>
            <w:tcW w:w="3963" w:type="dxa"/>
          </w:tcPr>
          <w:p w14:paraId="648C11A4" w14:textId="77777777" w:rsidR="003E3E31" w:rsidRDefault="003E3E31" w:rsidP="003E3E31">
            <w:pPr>
              <w:pStyle w:val="Body"/>
              <w:numPr>
                <w:ilvl w:val="0"/>
                <w:numId w:val="41"/>
              </w:numPr>
              <w:ind w:left="227" w:hanging="227"/>
            </w:pPr>
            <w:r>
              <w:t>Analyse how public procurement supports innovation in the rail sector in other countries (specified below)</w:t>
            </w:r>
          </w:p>
          <w:p w14:paraId="6C8D9C4A" w14:textId="77777777" w:rsidR="003E3E31" w:rsidRPr="004E0FFB" w:rsidRDefault="003E3E31" w:rsidP="003E3E31">
            <w:pPr>
              <w:pStyle w:val="Body"/>
              <w:numPr>
                <w:ilvl w:val="0"/>
                <w:numId w:val="41"/>
              </w:numPr>
              <w:ind w:left="227" w:hanging="227"/>
            </w:pPr>
            <w:r>
              <w:t xml:space="preserve">Assess how public procurement supports innovation in the rail sector </w:t>
            </w:r>
            <w:r>
              <w:lastRenderedPageBreak/>
              <w:t>in other industries in the UK (specified below)</w:t>
            </w:r>
          </w:p>
          <w:p w14:paraId="0FB1A950" w14:textId="77777777" w:rsidR="003E3E31" w:rsidRDefault="003E3E31" w:rsidP="003E3E31">
            <w:pPr>
              <w:pStyle w:val="Body"/>
              <w:numPr>
                <w:ilvl w:val="0"/>
                <w:numId w:val="41"/>
              </w:numPr>
              <w:ind w:left="227" w:hanging="227"/>
            </w:pPr>
            <w:r>
              <w:t>Identify and analyse good practices</w:t>
            </w:r>
          </w:p>
          <w:p w14:paraId="2DB9213A" w14:textId="77777777" w:rsidR="003E3E31" w:rsidRPr="004E0FFB" w:rsidRDefault="003E3E31" w:rsidP="003E3E31">
            <w:pPr>
              <w:pStyle w:val="Body"/>
              <w:numPr>
                <w:ilvl w:val="0"/>
                <w:numId w:val="41"/>
              </w:numPr>
              <w:ind w:left="227" w:hanging="227"/>
            </w:pPr>
            <w:r>
              <w:t xml:space="preserve">Draft recommendations on their applicability in the GB rail sector  </w:t>
            </w:r>
          </w:p>
        </w:tc>
        <w:tc>
          <w:tcPr>
            <w:tcW w:w="3963" w:type="dxa"/>
          </w:tcPr>
          <w:p w14:paraId="323C8CA2" w14:textId="77777777" w:rsidR="003E3E31" w:rsidRDefault="003E3E31" w:rsidP="003E3E31">
            <w:pPr>
              <w:pStyle w:val="Body"/>
              <w:numPr>
                <w:ilvl w:val="0"/>
                <w:numId w:val="41"/>
              </w:numPr>
              <w:ind w:left="227" w:hanging="227"/>
            </w:pPr>
            <w:r>
              <w:lastRenderedPageBreak/>
              <w:t>Funding programmes using grants and competitions</w:t>
            </w:r>
          </w:p>
        </w:tc>
      </w:tr>
    </w:tbl>
    <w:p w14:paraId="0EDD56EE" w14:textId="77777777" w:rsidR="003E3E31" w:rsidRDefault="003E3E31" w:rsidP="003E3E31">
      <w:pPr>
        <w:pStyle w:val="BodyIndent1"/>
        <w:ind w:left="0"/>
        <w:rPr>
          <w:i/>
        </w:rPr>
      </w:pPr>
    </w:p>
    <w:p w14:paraId="5C5CA7EC" w14:textId="77777777" w:rsidR="003E3E31" w:rsidRDefault="003E3E31" w:rsidP="003E3E31"/>
    <w:p w14:paraId="69A3032A" w14:textId="77777777" w:rsidR="003E3E31" w:rsidRDefault="003E3E31" w:rsidP="003E3E31">
      <w:pPr>
        <w:pStyle w:val="Heading1"/>
      </w:pPr>
      <w:r>
        <w:t xml:space="preserve">Methodology </w:t>
      </w:r>
    </w:p>
    <w:p w14:paraId="2DBD5AD2"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It is recognised that suppliers may well be better placed to define the approach taken to deliver this work than RSSB, so RSSB does not wish to mandate a given approach. The following approach is therefore only a suggestion and for the suppliers’ consideration.</w:t>
      </w:r>
    </w:p>
    <w:p w14:paraId="5451E7BB" w14:textId="77777777" w:rsidR="003E3E31" w:rsidRPr="003A21C2" w:rsidRDefault="003E3E31" w:rsidP="003E3E31">
      <w:pPr>
        <w:ind w:left="284"/>
        <w:rPr>
          <w:rFonts w:ascii="Calibri" w:hAnsi="Calibri" w:cs="Arial"/>
          <w:lang w:eastAsia="en-GB"/>
        </w:rPr>
      </w:pPr>
    </w:p>
    <w:p w14:paraId="6533C8AC"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WP1: Collating a wide range of best practices from rail and other risk averse industries across countries</w:t>
      </w:r>
    </w:p>
    <w:p w14:paraId="0EA6633A" w14:textId="77777777" w:rsidR="003E3E31" w:rsidRPr="003A21C2" w:rsidRDefault="003E3E31" w:rsidP="003E3E31">
      <w:pPr>
        <w:rPr>
          <w:rFonts w:ascii="Calibri" w:hAnsi="Calibri" w:cs="Arial"/>
          <w:lang w:eastAsia="en-GB"/>
        </w:rPr>
      </w:pPr>
      <w:r w:rsidRPr="003A21C2">
        <w:rPr>
          <w:rFonts w:ascii="Calibri" w:hAnsi="Calibri" w:cs="Arial"/>
          <w:lang w:eastAsia="en-GB"/>
        </w:rPr>
        <w:t>BPs to be collated from a range of industries including (but not limited):</w:t>
      </w:r>
    </w:p>
    <w:tbl>
      <w:tblPr>
        <w:tblW w:w="0" w:type="auto"/>
        <w:tblBorders>
          <w:insideH w:val="single" w:sz="4" w:space="0" w:color="auto"/>
        </w:tblBorders>
        <w:tblLook w:val="04A0" w:firstRow="1" w:lastRow="0" w:firstColumn="1" w:lastColumn="0" w:noHBand="0" w:noVBand="1"/>
      </w:tblPr>
      <w:tblGrid>
        <w:gridCol w:w="3978"/>
        <w:gridCol w:w="3958"/>
      </w:tblGrid>
      <w:tr w:rsidR="003E3E31" w:rsidRPr="003A21C2" w14:paraId="4DC58A0B" w14:textId="77777777" w:rsidTr="001525C6">
        <w:tc>
          <w:tcPr>
            <w:tcW w:w="4621" w:type="dxa"/>
          </w:tcPr>
          <w:p w14:paraId="20395B66"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Rail (from other countries, see below)</w:t>
            </w:r>
          </w:p>
          <w:p w14:paraId="53741BCA"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Water</w:t>
            </w:r>
          </w:p>
          <w:p w14:paraId="285AF604"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Automotive / Highways</w:t>
            </w:r>
          </w:p>
          <w:p w14:paraId="449CC4EE"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Defence</w:t>
            </w:r>
          </w:p>
        </w:tc>
        <w:tc>
          <w:tcPr>
            <w:tcW w:w="4621" w:type="dxa"/>
          </w:tcPr>
          <w:p w14:paraId="4D3BB142"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Aerospace</w:t>
            </w:r>
          </w:p>
          <w:p w14:paraId="060BFFCE"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Healthcare</w:t>
            </w:r>
          </w:p>
          <w:p w14:paraId="1561389D"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Energy</w:t>
            </w:r>
          </w:p>
        </w:tc>
      </w:tr>
    </w:tbl>
    <w:p w14:paraId="2E4DABE0" w14:textId="77777777" w:rsidR="003E3E31" w:rsidRPr="003A21C2" w:rsidRDefault="003E3E31" w:rsidP="003E3E31">
      <w:pPr>
        <w:rPr>
          <w:rFonts w:ascii="Calibri" w:hAnsi="Calibri" w:cs="Arial"/>
          <w:lang w:eastAsia="en-GB"/>
        </w:rPr>
      </w:pPr>
      <w:r w:rsidRPr="003A21C2">
        <w:rPr>
          <w:rFonts w:ascii="Calibri" w:hAnsi="Calibri" w:cs="Arial"/>
          <w:lang w:eastAsia="en-GB"/>
        </w:rPr>
        <w:t>The contractor will identify and collate BPs from the rail sector in the following countries:</w:t>
      </w:r>
    </w:p>
    <w:tbl>
      <w:tblPr>
        <w:tblW w:w="0" w:type="auto"/>
        <w:tblLook w:val="04A0" w:firstRow="1" w:lastRow="0" w:firstColumn="1" w:lastColumn="0" w:noHBand="0" w:noVBand="1"/>
      </w:tblPr>
      <w:tblGrid>
        <w:gridCol w:w="3989"/>
        <w:gridCol w:w="3947"/>
      </w:tblGrid>
      <w:tr w:rsidR="003E3E31" w:rsidRPr="003A21C2" w14:paraId="43D6A7D3" w14:textId="77777777" w:rsidTr="001525C6">
        <w:tc>
          <w:tcPr>
            <w:tcW w:w="4621" w:type="dxa"/>
          </w:tcPr>
          <w:p w14:paraId="74C78F15"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France</w:t>
            </w:r>
          </w:p>
          <w:p w14:paraId="26C9093F"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Germany</w:t>
            </w:r>
          </w:p>
          <w:p w14:paraId="09749007"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Italy</w:t>
            </w:r>
          </w:p>
          <w:p w14:paraId="57C623B9"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Spain</w:t>
            </w:r>
          </w:p>
        </w:tc>
        <w:tc>
          <w:tcPr>
            <w:tcW w:w="4621" w:type="dxa"/>
          </w:tcPr>
          <w:p w14:paraId="67555F79"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Austria</w:t>
            </w:r>
          </w:p>
          <w:p w14:paraId="513C9B0B"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USA</w:t>
            </w:r>
          </w:p>
          <w:p w14:paraId="1D14D907" w14:textId="77777777" w:rsidR="003E3E31" w:rsidRPr="003A21C2" w:rsidRDefault="003E3E31" w:rsidP="00E51DD4">
            <w:pPr>
              <w:numPr>
                <w:ilvl w:val="0"/>
                <w:numId w:val="58"/>
              </w:numPr>
              <w:rPr>
                <w:rFonts w:ascii="Calibri" w:hAnsi="Calibri" w:cs="Arial"/>
                <w:lang w:eastAsia="en-GB"/>
              </w:rPr>
            </w:pPr>
            <w:r w:rsidRPr="003A21C2">
              <w:rPr>
                <w:rFonts w:ascii="Calibri" w:hAnsi="Calibri" w:cs="Arial"/>
                <w:lang w:eastAsia="en-GB"/>
              </w:rPr>
              <w:t>Japan</w:t>
            </w:r>
          </w:p>
        </w:tc>
      </w:tr>
    </w:tbl>
    <w:p w14:paraId="1CF13208" w14:textId="77777777" w:rsidR="003E3E31" w:rsidRPr="003A21C2" w:rsidRDefault="003E3E31" w:rsidP="003E3E31">
      <w:pPr>
        <w:ind w:left="284"/>
        <w:rPr>
          <w:rFonts w:ascii="Calibri" w:hAnsi="Calibri" w:cs="Arial"/>
          <w:lang w:eastAsia="en-GB"/>
        </w:rPr>
      </w:pPr>
    </w:p>
    <w:p w14:paraId="6C19115B"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BPs are expected to cover the full range of aspects that contribute to Innovation Capability at an Industry Level, as detailed in the table below.</w:t>
      </w:r>
    </w:p>
    <w:p w14:paraId="18BBAF98" w14:textId="77777777" w:rsidR="003E3E31" w:rsidRPr="003A21C2" w:rsidRDefault="003E3E31" w:rsidP="003E3E31">
      <w:pPr>
        <w:ind w:left="284"/>
        <w:rPr>
          <w:rFonts w:ascii="Calibri" w:hAnsi="Calibri" w:cs="Arial"/>
          <w:lang w:eastAsia="en-GB"/>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781"/>
      </w:tblGrid>
      <w:tr w:rsidR="003E3E31" w:rsidRPr="003A21C2" w14:paraId="2813768B" w14:textId="77777777" w:rsidTr="001525C6">
        <w:trPr>
          <w:trHeight w:val="300"/>
          <w:jc w:val="center"/>
        </w:trPr>
        <w:tc>
          <w:tcPr>
            <w:tcW w:w="1609" w:type="dxa"/>
            <w:vMerge w:val="restart"/>
            <w:shd w:val="clear" w:color="auto" w:fill="auto"/>
            <w:noWrap/>
            <w:vAlign w:val="center"/>
            <w:hideMark/>
          </w:tcPr>
          <w:p w14:paraId="734C2478"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lastRenderedPageBreak/>
              <w:t>Competitive Environment</w:t>
            </w:r>
          </w:p>
        </w:tc>
        <w:tc>
          <w:tcPr>
            <w:tcW w:w="7781" w:type="dxa"/>
            <w:shd w:val="clear" w:color="auto" w:fill="auto"/>
            <w:noWrap/>
            <w:vAlign w:val="bottom"/>
            <w:hideMark/>
          </w:tcPr>
          <w:p w14:paraId="4B20100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Government regulatory regime</w:t>
            </w:r>
          </w:p>
        </w:tc>
      </w:tr>
      <w:tr w:rsidR="003E3E31" w:rsidRPr="003A21C2" w14:paraId="75D76EC1" w14:textId="77777777" w:rsidTr="001525C6">
        <w:trPr>
          <w:trHeight w:val="300"/>
          <w:jc w:val="center"/>
        </w:trPr>
        <w:tc>
          <w:tcPr>
            <w:tcW w:w="1609" w:type="dxa"/>
            <w:vMerge/>
            <w:shd w:val="clear" w:color="auto" w:fill="auto"/>
            <w:noWrap/>
            <w:vAlign w:val="center"/>
            <w:hideMark/>
          </w:tcPr>
          <w:p w14:paraId="0DB78D76"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5BAAEF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Government funding and support programmes</w:t>
            </w:r>
          </w:p>
        </w:tc>
      </w:tr>
      <w:tr w:rsidR="003E3E31" w:rsidRPr="003A21C2" w14:paraId="51CCD417" w14:textId="77777777" w:rsidTr="001525C6">
        <w:trPr>
          <w:trHeight w:val="300"/>
          <w:jc w:val="center"/>
        </w:trPr>
        <w:tc>
          <w:tcPr>
            <w:tcW w:w="1609" w:type="dxa"/>
            <w:vMerge/>
            <w:shd w:val="clear" w:color="auto" w:fill="auto"/>
            <w:noWrap/>
            <w:vAlign w:val="center"/>
            <w:hideMark/>
          </w:tcPr>
          <w:p w14:paraId="64C0DC52"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5D1198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Recognizing and valuing innovation as an integral part of the tender process for major contracts</w:t>
            </w:r>
          </w:p>
        </w:tc>
      </w:tr>
      <w:tr w:rsidR="003E3E31" w:rsidRPr="003A21C2" w14:paraId="14DAE4DA" w14:textId="77777777" w:rsidTr="001525C6">
        <w:trPr>
          <w:trHeight w:val="300"/>
          <w:jc w:val="center"/>
        </w:trPr>
        <w:tc>
          <w:tcPr>
            <w:tcW w:w="1609" w:type="dxa"/>
            <w:vMerge/>
            <w:shd w:val="clear" w:color="auto" w:fill="auto"/>
            <w:noWrap/>
            <w:vAlign w:val="center"/>
            <w:hideMark/>
          </w:tcPr>
          <w:p w14:paraId="39F148DA"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7884AC8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Contractual mechanisms for major contracts to provide incentives and rewards to innovate during the full life of the contract</w:t>
            </w:r>
          </w:p>
        </w:tc>
      </w:tr>
      <w:tr w:rsidR="003E3E31" w:rsidRPr="003A21C2" w14:paraId="23C4B85B" w14:textId="77777777" w:rsidTr="001525C6">
        <w:trPr>
          <w:trHeight w:val="300"/>
          <w:jc w:val="center"/>
        </w:trPr>
        <w:tc>
          <w:tcPr>
            <w:tcW w:w="1609" w:type="dxa"/>
            <w:vMerge w:val="restart"/>
            <w:shd w:val="clear" w:color="auto" w:fill="auto"/>
            <w:noWrap/>
            <w:vAlign w:val="center"/>
            <w:hideMark/>
          </w:tcPr>
          <w:p w14:paraId="2C8A28C8"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Strategic Alignment</w:t>
            </w:r>
          </w:p>
        </w:tc>
        <w:tc>
          <w:tcPr>
            <w:tcW w:w="7781" w:type="dxa"/>
            <w:shd w:val="clear" w:color="auto" w:fill="auto"/>
            <w:noWrap/>
            <w:vAlign w:val="bottom"/>
            <w:hideMark/>
          </w:tcPr>
          <w:p w14:paraId="4B4B533A"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Clear, common vision for innovation in the industry that connects near-term actions to long-term goals</w:t>
            </w:r>
          </w:p>
        </w:tc>
      </w:tr>
      <w:tr w:rsidR="003E3E31" w:rsidRPr="003A21C2" w14:paraId="5EB0AE96" w14:textId="77777777" w:rsidTr="001525C6">
        <w:trPr>
          <w:trHeight w:val="300"/>
          <w:jc w:val="center"/>
        </w:trPr>
        <w:tc>
          <w:tcPr>
            <w:tcW w:w="1609" w:type="dxa"/>
            <w:vMerge/>
            <w:shd w:val="clear" w:color="auto" w:fill="auto"/>
            <w:noWrap/>
            <w:vAlign w:val="center"/>
            <w:hideMark/>
          </w:tcPr>
          <w:p w14:paraId="4CE13E32"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781BD46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Stability of common vision over time for innovation, with clear parameters in place indicating when/how it might change</w:t>
            </w:r>
          </w:p>
        </w:tc>
      </w:tr>
      <w:tr w:rsidR="003E3E31" w:rsidRPr="003A21C2" w14:paraId="4A281910" w14:textId="77777777" w:rsidTr="001525C6">
        <w:trPr>
          <w:trHeight w:val="300"/>
          <w:jc w:val="center"/>
        </w:trPr>
        <w:tc>
          <w:tcPr>
            <w:tcW w:w="1609" w:type="dxa"/>
            <w:vMerge/>
            <w:shd w:val="clear" w:color="auto" w:fill="auto"/>
            <w:noWrap/>
            <w:vAlign w:val="center"/>
            <w:hideMark/>
          </w:tcPr>
          <w:p w14:paraId="3B26A6C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4D9FF68"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leaders share their technology roadmaps to align investment and obsolescence decisions</w:t>
            </w:r>
          </w:p>
        </w:tc>
      </w:tr>
      <w:tr w:rsidR="003E3E31" w:rsidRPr="003A21C2" w14:paraId="0031C239" w14:textId="77777777" w:rsidTr="001525C6">
        <w:trPr>
          <w:trHeight w:val="300"/>
          <w:jc w:val="center"/>
        </w:trPr>
        <w:tc>
          <w:tcPr>
            <w:tcW w:w="1609" w:type="dxa"/>
            <w:vMerge/>
            <w:shd w:val="clear" w:color="auto" w:fill="auto"/>
            <w:noWrap/>
            <w:vAlign w:val="center"/>
            <w:hideMark/>
          </w:tcPr>
          <w:p w14:paraId="7F56644F"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0532150"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Regulator consultation with industry stakeholders on major cross value chain investment and obsolescence decisions</w:t>
            </w:r>
          </w:p>
        </w:tc>
      </w:tr>
      <w:tr w:rsidR="003E3E31" w:rsidRPr="003A21C2" w14:paraId="35BDF5A1" w14:textId="77777777" w:rsidTr="001525C6">
        <w:trPr>
          <w:trHeight w:val="300"/>
          <w:jc w:val="center"/>
        </w:trPr>
        <w:tc>
          <w:tcPr>
            <w:tcW w:w="1609" w:type="dxa"/>
            <w:vMerge/>
            <w:shd w:val="clear" w:color="auto" w:fill="auto"/>
            <w:noWrap/>
            <w:vAlign w:val="center"/>
            <w:hideMark/>
          </w:tcPr>
          <w:p w14:paraId="0FF4B51D"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9D4DA0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Clear leadership and progress for the innovation agenda in the industry</w:t>
            </w:r>
          </w:p>
        </w:tc>
      </w:tr>
      <w:tr w:rsidR="003E3E31" w:rsidRPr="003A21C2" w14:paraId="54B8F2B4" w14:textId="77777777" w:rsidTr="001525C6">
        <w:trPr>
          <w:trHeight w:val="300"/>
          <w:jc w:val="center"/>
        </w:trPr>
        <w:tc>
          <w:tcPr>
            <w:tcW w:w="1609" w:type="dxa"/>
            <w:vMerge/>
            <w:shd w:val="clear" w:color="auto" w:fill="auto"/>
            <w:noWrap/>
            <w:vAlign w:val="center"/>
            <w:hideMark/>
          </w:tcPr>
          <w:p w14:paraId="5384E36D"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2C15A07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Coherence of industry’s innovation approach coherent with wider national, EU and International business agendas</w:t>
            </w:r>
          </w:p>
        </w:tc>
      </w:tr>
      <w:tr w:rsidR="003E3E31" w:rsidRPr="003A21C2" w14:paraId="47B4F29E" w14:textId="77777777" w:rsidTr="001525C6">
        <w:trPr>
          <w:trHeight w:val="300"/>
          <w:jc w:val="center"/>
        </w:trPr>
        <w:tc>
          <w:tcPr>
            <w:tcW w:w="1609" w:type="dxa"/>
            <w:vMerge w:val="restart"/>
            <w:shd w:val="clear" w:color="auto" w:fill="auto"/>
            <w:noWrap/>
            <w:vAlign w:val="center"/>
            <w:hideMark/>
          </w:tcPr>
          <w:p w14:paraId="5643D38F"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Internal Innovation Activities</w:t>
            </w:r>
          </w:p>
        </w:tc>
        <w:tc>
          <w:tcPr>
            <w:tcW w:w="7781" w:type="dxa"/>
            <w:shd w:val="clear" w:color="auto" w:fill="auto"/>
            <w:noWrap/>
            <w:vAlign w:val="bottom"/>
            <w:hideMark/>
          </w:tcPr>
          <w:p w14:paraId="0317EB92"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suitable technology and safety specifications and standards in place to focus innovation across the value chain</w:t>
            </w:r>
          </w:p>
        </w:tc>
      </w:tr>
      <w:tr w:rsidR="003E3E31" w:rsidRPr="003A21C2" w14:paraId="5C9FD30A" w14:textId="77777777" w:rsidTr="001525C6">
        <w:trPr>
          <w:trHeight w:val="300"/>
          <w:jc w:val="center"/>
        </w:trPr>
        <w:tc>
          <w:tcPr>
            <w:tcW w:w="1609" w:type="dxa"/>
            <w:vMerge/>
            <w:shd w:val="clear" w:color="auto" w:fill="auto"/>
            <w:noWrap/>
            <w:vAlign w:val="center"/>
            <w:hideMark/>
          </w:tcPr>
          <w:p w14:paraId="03CC622F"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2DF53D4"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leading industry organizations to engage stakeholders across the value chain in setting appropriate standards</w:t>
            </w:r>
          </w:p>
        </w:tc>
      </w:tr>
      <w:tr w:rsidR="003E3E31" w:rsidRPr="003A21C2" w14:paraId="13D754A4" w14:textId="77777777" w:rsidTr="001525C6">
        <w:trPr>
          <w:trHeight w:val="300"/>
          <w:jc w:val="center"/>
        </w:trPr>
        <w:tc>
          <w:tcPr>
            <w:tcW w:w="1609" w:type="dxa"/>
            <w:vMerge w:val="restart"/>
            <w:shd w:val="clear" w:color="auto" w:fill="auto"/>
            <w:noWrap/>
            <w:vAlign w:val="center"/>
            <w:hideMark/>
          </w:tcPr>
          <w:p w14:paraId="7A701D77"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External Innovation Activities</w:t>
            </w:r>
          </w:p>
        </w:tc>
        <w:tc>
          <w:tcPr>
            <w:tcW w:w="7781" w:type="dxa"/>
            <w:shd w:val="clear" w:color="auto" w:fill="auto"/>
            <w:noWrap/>
            <w:vAlign w:val="bottom"/>
            <w:hideMark/>
          </w:tcPr>
          <w:p w14:paraId="3A276195"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Industry forums/ interfaces existence/ effectiveness to facilitate the peer to peer exchange of ideas</w:t>
            </w:r>
          </w:p>
        </w:tc>
      </w:tr>
      <w:tr w:rsidR="003E3E31" w:rsidRPr="003A21C2" w14:paraId="7886B604" w14:textId="77777777" w:rsidTr="001525C6">
        <w:trPr>
          <w:trHeight w:val="300"/>
          <w:jc w:val="center"/>
        </w:trPr>
        <w:tc>
          <w:tcPr>
            <w:tcW w:w="1609" w:type="dxa"/>
            <w:vMerge/>
            <w:shd w:val="clear" w:color="auto" w:fill="auto"/>
            <w:noWrap/>
            <w:vAlign w:val="center"/>
            <w:hideMark/>
          </w:tcPr>
          <w:p w14:paraId="46D6E44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D015E2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industry to manage the sharing of data to support cross-enterprise business change efforts</w:t>
            </w:r>
          </w:p>
        </w:tc>
      </w:tr>
      <w:tr w:rsidR="003E3E31" w:rsidRPr="003A21C2" w14:paraId="0F792C4F" w14:textId="77777777" w:rsidTr="001525C6">
        <w:trPr>
          <w:trHeight w:val="300"/>
          <w:jc w:val="center"/>
        </w:trPr>
        <w:tc>
          <w:tcPr>
            <w:tcW w:w="1609" w:type="dxa"/>
            <w:vMerge/>
            <w:shd w:val="clear" w:color="auto" w:fill="auto"/>
            <w:noWrap/>
            <w:vAlign w:val="center"/>
            <w:hideMark/>
          </w:tcPr>
          <w:p w14:paraId="6301B734"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3DE3A8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supports and promotes an open market for ideas to fuel and monetize innovations.</w:t>
            </w:r>
          </w:p>
        </w:tc>
      </w:tr>
      <w:tr w:rsidR="003E3E31" w:rsidRPr="003A21C2" w14:paraId="193DA178" w14:textId="77777777" w:rsidTr="001525C6">
        <w:trPr>
          <w:trHeight w:val="300"/>
          <w:jc w:val="center"/>
        </w:trPr>
        <w:tc>
          <w:tcPr>
            <w:tcW w:w="1609" w:type="dxa"/>
            <w:vMerge/>
            <w:shd w:val="clear" w:color="auto" w:fill="auto"/>
            <w:noWrap/>
            <w:vAlign w:val="center"/>
            <w:hideMark/>
          </w:tcPr>
          <w:p w14:paraId="36A59A8E"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0A271AD9"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Ability to protect IP across the industry</w:t>
            </w:r>
          </w:p>
        </w:tc>
      </w:tr>
      <w:tr w:rsidR="003E3E31" w:rsidRPr="003A21C2" w14:paraId="0F5F4F4B" w14:textId="77777777" w:rsidTr="001525C6">
        <w:trPr>
          <w:trHeight w:val="300"/>
          <w:jc w:val="center"/>
        </w:trPr>
        <w:tc>
          <w:tcPr>
            <w:tcW w:w="1609" w:type="dxa"/>
            <w:vMerge w:val="restart"/>
            <w:shd w:val="clear" w:color="auto" w:fill="auto"/>
            <w:noWrap/>
            <w:vAlign w:val="center"/>
            <w:hideMark/>
          </w:tcPr>
          <w:p w14:paraId="6C6839A1"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Organisation</w:t>
            </w:r>
          </w:p>
        </w:tc>
        <w:tc>
          <w:tcPr>
            <w:tcW w:w="7781" w:type="dxa"/>
            <w:shd w:val="clear" w:color="auto" w:fill="auto"/>
            <w:noWrap/>
            <w:vAlign w:val="bottom"/>
            <w:hideMark/>
          </w:tcPr>
          <w:p w14:paraId="7577C8CD"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Effectiveness of industry leaders to set up and use shared testing facilities</w:t>
            </w:r>
          </w:p>
        </w:tc>
      </w:tr>
      <w:tr w:rsidR="003E3E31" w:rsidRPr="003A21C2" w14:paraId="624601D3" w14:textId="77777777" w:rsidTr="001525C6">
        <w:trPr>
          <w:trHeight w:val="300"/>
          <w:jc w:val="center"/>
        </w:trPr>
        <w:tc>
          <w:tcPr>
            <w:tcW w:w="1609" w:type="dxa"/>
            <w:vMerge/>
            <w:shd w:val="clear" w:color="auto" w:fill="auto"/>
            <w:noWrap/>
            <w:vAlign w:val="center"/>
            <w:hideMark/>
          </w:tcPr>
          <w:p w14:paraId="5671BC99"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645D16F1"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cross-industry organizations facilitate the sharing of key innovation learnings</w:t>
            </w:r>
          </w:p>
        </w:tc>
      </w:tr>
      <w:tr w:rsidR="003E3E31" w:rsidRPr="003A21C2" w14:paraId="7E292836" w14:textId="77777777" w:rsidTr="001525C6">
        <w:trPr>
          <w:trHeight w:val="300"/>
          <w:jc w:val="center"/>
        </w:trPr>
        <w:tc>
          <w:tcPr>
            <w:tcW w:w="1609" w:type="dxa"/>
            <w:vMerge/>
            <w:shd w:val="clear" w:color="auto" w:fill="auto"/>
            <w:noWrap/>
            <w:vAlign w:val="center"/>
            <w:hideMark/>
          </w:tcPr>
          <w:p w14:paraId="32C0F988"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3031B63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a clear decision making process around industry wide innovation initiatives</w:t>
            </w:r>
          </w:p>
        </w:tc>
      </w:tr>
      <w:tr w:rsidR="003E3E31" w:rsidRPr="003A21C2" w14:paraId="1874B886" w14:textId="77777777" w:rsidTr="001525C6">
        <w:trPr>
          <w:trHeight w:val="300"/>
          <w:jc w:val="center"/>
        </w:trPr>
        <w:tc>
          <w:tcPr>
            <w:tcW w:w="1609" w:type="dxa"/>
            <w:vMerge/>
            <w:shd w:val="clear" w:color="auto" w:fill="auto"/>
            <w:noWrap/>
            <w:vAlign w:val="center"/>
            <w:hideMark/>
          </w:tcPr>
          <w:p w14:paraId="0BF88898" w14:textId="77777777" w:rsidR="003E3E31" w:rsidRPr="003A21C2" w:rsidRDefault="003E3E31" w:rsidP="001525C6">
            <w:pPr>
              <w:ind w:left="33"/>
              <w:rPr>
                <w:rFonts w:ascii="Calibri" w:hAnsi="Calibri" w:cs="Arial"/>
                <w:lang w:eastAsia="en-GB"/>
              </w:rPr>
            </w:pPr>
          </w:p>
        </w:tc>
        <w:tc>
          <w:tcPr>
            <w:tcW w:w="7781" w:type="dxa"/>
            <w:shd w:val="clear" w:color="auto" w:fill="auto"/>
            <w:noWrap/>
            <w:vAlign w:val="bottom"/>
            <w:hideMark/>
          </w:tcPr>
          <w:p w14:paraId="589CF520"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the industry to facilitate risk-sharing business models to promote development in risky and costly areas</w:t>
            </w:r>
          </w:p>
        </w:tc>
      </w:tr>
      <w:tr w:rsidR="003E3E31" w:rsidRPr="003A21C2" w14:paraId="556DF4CA" w14:textId="77777777" w:rsidTr="001525C6">
        <w:trPr>
          <w:trHeight w:val="300"/>
          <w:jc w:val="center"/>
        </w:trPr>
        <w:tc>
          <w:tcPr>
            <w:tcW w:w="1609" w:type="dxa"/>
            <w:vMerge w:val="restart"/>
            <w:shd w:val="clear" w:color="auto" w:fill="auto"/>
            <w:noWrap/>
            <w:vAlign w:val="center"/>
            <w:hideMark/>
          </w:tcPr>
          <w:p w14:paraId="50D7B5BC" w14:textId="77777777" w:rsidR="003E3E31" w:rsidRPr="003A21C2" w:rsidRDefault="003E3E31" w:rsidP="001525C6">
            <w:pPr>
              <w:ind w:left="33"/>
              <w:rPr>
                <w:rFonts w:ascii="Calibri" w:hAnsi="Calibri" w:cs="Arial"/>
                <w:lang w:eastAsia="en-GB"/>
              </w:rPr>
            </w:pPr>
            <w:r w:rsidRPr="003A21C2">
              <w:rPr>
                <w:rFonts w:ascii="Calibri" w:hAnsi="Calibri" w:cs="Arial"/>
                <w:lang w:eastAsia="en-GB"/>
              </w:rPr>
              <w:t>Culture</w:t>
            </w:r>
          </w:p>
        </w:tc>
        <w:tc>
          <w:tcPr>
            <w:tcW w:w="7781" w:type="dxa"/>
            <w:shd w:val="clear" w:color="auto" w:fill="auto"/>
            <w:noWrap/>
            <w:vAlign w:val="bottom"/>
            <w:hideMark/>
          </w:tcPr>
          <w:p w14:paraId="7E63CAF4"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industry behaviours across the value chain focusing on end consumer (e.g. travelling passenger/ energy user/ patient/ etc.) experience</w:t>
            </w:r>
          </w:p>
        </w:tc>
      </w:tr>
      <w:tr w:rsidR="003E3E31" w:rsidRPr="003A21C2" w14:paraId="731A48FB" w14:textId="77777777" w:rsidTr="001525C6">
        <w:trPr>
          <w:trHeight w:val="300"/>
          <w:jc w:val="center"/>
        </w:trPr>
        <w:tc>
          <w:tcPr>
            <w:tcW w:w="1609" w:type="dxa"/>
            <w:vMerge/>
            <w:shd w:val="clear" w:color="auto" w:fill="auto"/>
            <w:noWrap/>
            <w:vAlign w:val="bottom"/>
            <w:hideMark/>
          </w:tcPr>
          <w:p w14:paraId="7654D6DA"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2FC3517F"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that industry behaviours actively encourage thoughtful risk and opportunity taking</w:t>
            </w:r>
          </w:p>
        </w:tc>
      </w:tr>
      <w:tr w:rsidR="003E3E31" w:rsidRPr="003A21C2" w14:paraId="6B9EC600" w14:textId="77777777" w:rsidTr="001525C6">
        <w:trPr>
          <w:trHeight w:val="300"/>
          <w:jc w:val="center"/>
        </w:trPr>
        <w:tc>
          <w:tcPr>
            <w:tcW w:w="1609" w:type="dxa"/>
            <w:vMerge/>
            <w:shd w:val="clear" w:color="auto" w:fill="auto"/>
            <w:noWrap/>
            <w:vAlign w:val="bottom"/>
            <w:hideMark/>
          </w:tcPr>
          <w:p w14:paraId="526EA8D6"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7A500A0E" w14:textId="77777777" w:rsidR="003E3E31" w:rsidRPr="003A21C2" w:rsidRDefault="003E3E31" w:rsidP="001525C6">
            <w:pPr>
              <w:jc w:val="both"/>
              <w:rPr>
                <w:rFonts w:ascii="Calibri" w:hAnsi="Calibri" w:cs="Arial"/>
                <w:lang w:eastAsia="en-GB"/>
              </w:rPr>
            </w:pPr>
            <w:r w:rsidRPr="003A21C2">
              <w:rPr>
                <w:rFonts w:ascii="Calibri" w:hAnsi="Calibri" w:cs="Arial"/>
                <w:lang w:eastAsia="en-GB"/>
              </w:rPr>
              <w:t>Extent of industry networking and collaboration behaviours accelerating and sustaining two way learning</w:t>
            </w:r>
          </w:p>
        </w:tc>
      </w:tr>
      <w:tr w:rsidR="003E3E31" w:rsidRPr="003A21C2" w14:paraId="7CC734B1" w14:textId="77777777" w:rsidTr="001525C6">
        <w:trPr>
          <w:trHeight w:val="300"/>
          <w:jc w:val="center"/>
        </w:trPr>
        <w:tc>
          <w:tcPr>
            <w:tcW w:w="1609" w:type="dxa"/>
            <w:vMerge/>
            <w:shd w:val="clear" w:color="auto" w:fill="auto"/>
            <w:noWrap/>
            <w:vAlign w:val="bottom"/>
            <w:hideMark/>
          </w:tcPr>
          <w:p w14:paraId="451EE536" w14:textId="77777777" w:rsidR="003E3E31" w:rsidRPr="003A21C2" w:rsidRDefault="003E3E31" w:rsidP="001525C6">
            <w:pPr>
              <w:ind w:left="284"/>
              <w:rPr>
                <w:rFonts w:ascii="Calibri" w:hAnsi="Calibri" w:cs="Arial"/>
                <w:lang w:eastAsia="en-GB"/>
              </w:rPr>
            </w:pPr>
          </w:p>
        </w:tc>
        <w:tc>
          <w:tcPr>
            <w:tcW w:w="7781" w:type="dxa"/>
            <w:shd w:val="clear" w:color="auto" w:fill="auto"/>
            <w:noWrap/>
            <w:vAlign w:val="bottom"/>
            <w:hideMark/>
          </w:tcPr>
          <w:p w14:paraId="4D4C2228" w14:textId="77777777" w:rsidR="003E3E31" w:rsidRPr="003A21C2" w:rsidRDefault="003E3E31" w:rsidP="001525C6">
            <w:pPr>
              <w:rPr>
                <w:rFonts w:ascii="Calibri" w:hAnsi="Calibri" w:cs="Arial"/>
                <w:lang w:eastAsia="en-GB"/>
              </w:rPr>
            </w:pPr>
            <w:r w:rsidRPr="003A21C2">
              <w:rPr>
                <w:rFonts w:ascii="Calibri" w:hAnsi="Calibri" w:cs="Arial"/>
                <w:lang w:eastAsia="en-GB"/>
              </w:rPr>
              <w:t>Effectiveness of tracking innovation capabilities and behaviours at industry level</w:t>
            </w:r>
          </w:p>
        </w:tc>
      </w:tr>
    </w:tbl>
    <w:p w14:paraId="013D542E" w14:textId="77777777" w:rsidR="003E3E31" w:rsidRPr="003A21C2" w:rsidRDefault="003E3E31" w:rsidP="003E3E31">
      <w:pPr>
        <w:ind w:left="284"/>
        <w:rPr>
          <w:rFonts w:ascii="Calibri" w:hAnsi="Calibri" w:cs="Arial"/>
          <w:lang w:eastAsia="en-GB"/>
        </w:rPr>
      </w:pPr>
    </w:p>
    <w:p w14:paraId="28D30F27"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B</w:t>
      </w:r>
      <w:r>
        <w:rPr>
          <w:rFonts w:ascii="Calibri" w:hAnsi="Calibri" w:cs="Arial"/>
          <w:lang w:eastAsia="en-GB"/>
        </w:rPr>
        <w:t>est practice</w:t>
      </w:r>
      <w:r w:rsidRPr="003A21C2">
        <w:rPr>
          <w:rFonts w:ascii="Calibri" w:hAnsi="Calibri" w:cs="Arial"/>
          <w:lang w:eastAsia="en-GB"/>
        </w:rPr>
        <w:t>s will be collated through a two-stage approach:</w:t>
      </w:r>
    </w:p>
    <w:p w14:paraId="43F9059D" w14:textId="77777777" w:rsidR="003E3E31" w:rsidRPr="003A21C2" w:rsidRDefault="003E3E31" w:rsidP="00E51DD4">
      <w:pPr>
        <w:numPr>
          <w:ilvl w:val="0"/>
          <w:numId w:val="59"/>
        </w:numPr>
        <w:jc w:val="both"/>
        <w:rPr>
          <w:rFonts w:ascii="Calibri" w:hAnsi="Calibri" w:cs="Arial"/>
          <w:lang w:eastAsia="en-GB"/>
        </w:rPr>
      </w:pPr>
      <w:r w:rsidRPr="003A21C2">
        <w:rPr>
          <w:rFonts w:ascii="Calibri" w:hAnsi="Calibri" w:cs="Arial"/>
          <w:lang w:eastAsia="en-GB"/>
        </w:rPr>
        <w:t>Literature review (Industrial Strategies, Industry Reports, etc.) to identify the range of BPs and key target areas for intervention.</w:t>
      </w:r>
      <w:r>
        <w:rPr>
          <w:rFonts w:ascii="Calibri" w:hAnsi="Calibri" w:cs="Arial"/>
          <w:lang w:eastAsia="en-GB"/>
        </w:rPr>
        <w:t xml:space="preserve"> As part of this, the contractor will take into consideration also the work already performed in the context of RSSB’s report Innovation in risk averse industries</w:t>
      </w:r>
      <w:r>
        <w:rPr>
          <w:rStyle w:val="FootnoteReference"/>
          <w:rFonts w:ascii="Calibri" w:hAnsi="Calibri" w:cs="Arial"/>
          <w:lang w:eastAsia="en-GB"/>
        </w:rPr>
        <w:footnoteReference w:id="1"/>
      </w:r>
      <w:r>
        <w:rPr>
          <w:rFonts w:ascii="Calibri" w:hAnsi="Calibri" w:cs="Arial"/>
          <w:lang w:eastAsia="en-GB"/>
        </w:rPr>
        <w:t>.</w:t>
      </w:r>
    </w:p>
    <w:p w14:paraId="43593116" w14:textId="77777777" w:rsidR="003E3E31" w:rsidRPr="003A21C2" w:rsidRDefault="003E3E31" w:rsidP="00E51DD4">
      <w:pPr>
        <w:numPr>
          <w:ilvl w:val="0"/>
          <w:numId w:val="59"/>
        </w:numPr>
        <w:jc w:val="both"/>
        <w:rPr>
          <w:rFonts w:ascii="Calibri" w:hAnsi="Calibri" w:cs="Arial"/>
          <w:lang w:eastAsia="en-GB"/>
        </w:rPr>
      </w:pPr>
      <w:r w:rsidRPr="003A21C2">
        <w:rPr>
          <w:rFonts w:ascii="Calibri" w:hAnsi="Calibri" w:cs="Arial"/>
          <w:lang w:eastAsia="en-GB"/>
        </w:rPr>
        <w:t xml:space="preserve">Interviews with selected representatives from other industries and countries to explore insights gained during the literature review and highlight new areas for consideration. The contractor will carry out at least </w:t>
      </w:r>
      <w:r>
        <w:rPr>
          <w:rFonts w:ascii="Calibri" w:hAnsi="Calibri" w:cs="Arial"/>
          <w:lang w:eastAsia="en-GB"/>
        </w:rPr>
        <w:t>65</w:t>
      </w:r>
      <w:r w:rsidRPr="003A21C2">
        <w:rPr>
          <w:rFonts w:ascii="Calibri" w:hAnsi="Calibri" w:cs="Arial"/>
          <w:lang w:eastAsia="en-GB"/>
        </w:rPr>
        <w:t xml:space="preserve"> interviews, as follows:</w:t>
      </w:r>
    </w:p>
    <w:p w14:paraId="4FBD0171" w14:textId="77777777" w:rsidR="003E3E31" w:rsidRPr="003A21C2" w:rsidRDefault="003E3E31" w:rsidP="00E51DD4">
      <w:pPr>
        <w:numPr>
          <w:ilvl w:val="1"/>
          <w:numId w:val="59"/>
        </w:numPr>
        <w:jc w:val="both"/>
        <w:rPr>
          <w:rFonts w:ascii="Calibri" w:hAnsi="Calibri" w:cs="Arial"/>
          <w:lang w:eastAsia="en-GB"/>
        </w:rPr>
      </w:pPr>
      <w:r w:rsidRPr="003A21C2">
        <w:rPr>
          <w:rFonts w:ascii="Calibri" w:hAnsi="Calibri" w:cs="Arial"/>
          <w:lang w:eastAsia="en-GB"/>
        </w:rPr>
        <w:t>1 interview with representatives from the relevant government departments managing procurement in the other sectors identified above;</w:t>
      </w:r>
    </w:p>
    <w:p w14:paraId="20ED2DD6" w14:textId="77777777" w:rsidR="003E3E31" w:rsidRPr="003A21C2" w:rsidRDefault="003E3E31" w:rsidP="00E51DD4">
      <w:pPr>
        <w:numPr>
          <w:ilvl w:val="1"/>
          <w:numId w:val="59"/>
        </w:numPr>
        <w:jc w:val="both"/>
        <w:rPr>
          <w:rFonts w:ascii="Calibri" w:hAnsi="Calibri" w:cs="Arial"/>
          <w:lang w:eastAsia="en-GB"/>
        </w:rPr>
      </w:pPr>
      <w:r>
        <w:rPr>
          <w:rFonts w:ascii="Calibri" w:hAnsi="Calibri" w:cs="Arial"/>
          <w:lang w:eastAsia="en-GB"/>
        </w:rPr>
        <w:t>4</w:t>
      </w:r>
      <w:r w:rsidRPr="003A21C2">
        <w:rPr>
          <w:rFonts w:ascii="Calibri" w:hAnsi="Calibri" w:cs="Arial"/>
          <w:lang w:eastAsia="en-GB"/>
        </w:rPr>
        <w:t xml:space="preserve"> telephone interviews with businesses in each of the sectors identified above;</w:t>
      </w:r>
    </w:p>
    <w:p w14:paraId="46041FCB" w14:textId="77777777" w:rsidR="003E3E31" w:rsidRPr="003A21C2" w:rsidRDefault="003E3E31" w:rsidP="00E51DD4">
      <w:pPr>
        <w:numPr>
          <w:ilvl w:val="1"/>
          <w:numId w:val="59"/>
        </w:numPr>
        <w:jc w:val="both"/>
        <w:rPr>
          <w:rFonts w:ascii="Calibri" w:hAnsi="Calibri" w:cs="Arial"/>
          <w:lang w:eastAsia="en-GB"/>
        </w:rPr>
      </w:pPr>
      <w:r w:rsidRPr="003A21C2">
        <w:rPr>
          <w:rFonts w:ascii="Calibri" w:hAnsi="Calibri" w:cs="Arial"/>
          <w:lang w:eastAsia="en-GB"/>
        </w:rPr>
        <w:t>1 telephone interview with representatives from the relevant government departments managing procurement in rail in the countries identified;</w:t>
      </w:r>
    </w:p>
    <w:p w14:paraId="2744794D" w14:textId="77777777" w:rsidR="003E3E31" w:rsidRPr="003A21C2" w:rsidRDefault="003E3E31" w:rsidP="00E51DD4">
      <w:pPr>
        <w:numPr>
          <w:ilvl w:val="1"/>
          <w:numId w:val="59"/>
        </w:numPr>
        <w:jc w:val="both"/>
        <w:rPr>
          <w:rFonts w:ascii="Calibri" w:hAnsi="Calibri" w:cs="Arial"/>
          <w:lang w:eastAsia="en-GB"/>
        </w:rPr>
      </w:pPr>
      <w:r>
        <w:rPr>
          <w:rFonts w:ascii="Calibri" w:hAnsi="Calibri" w:cs="Arial"/>
          <w:lang w:eastAsia="en-GB"/>
        </w:rPr>
        <w:t>4</w:t>
      </w:r>
      <w:r w:rsidRPr="003A21C2">
        <w:rPr>
          <w:rFonts w:ascii="Calibri" w:hAnsi="Calibri" w:cs="Arial"/>
          <w:lang w:eastAsia="en-GB"/>
        </w:rPr>
        <w:t xml:space="preserve"> telephone interviews with businesses in the rail industry in each of the countries identified above. </w:t>
      </w:r>
    </w:p>
    <w:p w14:paraId="08EE4E8D" w14:textId="77777777" w:rsidR="003E3E31" w:rsidRPr="003A21C2" w:rsidRDefault="003E3E31" w:rsidP="003E3E31">
      <w:pPr>
        <w:ind w:left="284"/>
        <w:rPr>
          <w:rFonts w:ascii="Calibri" w:hAnsi="Calibri" w:cs="Arial"/>
          <w:lang w:eastAsia="en-GB"/>
        </w:rPr>
      </w:pPr>
    </w:p>
    <w:p w14:paraId="394826F4"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WP2: Assess applicability of best practices to UK rail</w:t>
      </w:r>
    </w:p>
    <w:p w14:paraId="200B2D2B" w14:textId="77777777" w:rsidR="003E3E31" w:rsidRDefault="003E3E31" w:rsidP="003E3E31">
      <w:pPr>
        <w:jc w:val="both"/>
        <w:rPr>
          <w:rFonts w:ascii="Calibri" w:hAnsi="Calibri" w:cs="Arial"/>
          <w:lang w:eastAsia="en-GB"/>
        </w:rPr>
      </w:pPr>
      <w:r w:rsidRPr="003A21C2">
        <w:rPr>
          <w:rFonts w:ascii="Calibri" w:hAnsi="Calibri" w:cs="Arial"/>
          <w:lang w:eastAsia="en-GB"/>
        </w:rPr>
        <w:t xml:space="preserve">In order to ensure effective best practice (BP) transfer, it essential that suitable BPs are identified which take into account the context of both originator and target industries/ </w:t>
      </w:r>
      <w:r w:rsidRPr="003A21C2">
        <w:rPr>
          <w:rFonts w:ascii="Calibri" w:hAnsi="Calibri" w:cs="Arial"/>
          <w:lang w:eastAsia="en-GB"/>
        </w:rPr>
        <w:lastRenderedPageBreak/>
        <w:t>organisations. In order to achieve this, we require an understanding of the complex set of interacting activities which are occurring within the originator and target industry.</w:t>
      </w:r>
      <w:r>
        <w:rPr>
          <w:rFonts w:ascii="Calibri" w:hAnsi="Calibri" w:cs="Arial"/>
          <w:lang w:eastAsia="en-GB"/>
        </w:rPr>
        <w:t xml:space="preserve"> </w:t>
      </w:r>
    </w:p>
    <w:p w14:paraId="67D08BE2" w14:textId="77777777" w:rsidR="003E3E31" w:rsidRDefault="003E3E31" w:rsidP="003E3E31">
      <w:pPr>
        <w:jc w:val="both"/>
        <w:rPr>
          <w:rFonts w:ascii="Calibri" w:hAnsi="Calibri" w:cs="Arial"/>
          <w:lang w:eastAsia="en-GB"/>
        </w:rPr>
      </w:pPr>
      <w:r>
        <w:rPr>
          <w:rFonts w:ascii="Calibri" w:hAnsi="Calibri" w:cs="Arial"/>
          <w:lang w:eastAsia="en-GB"/>
        </w:rPr>
        <w:t>The contractor will provide a set of policy recommendations on how to transfer the identified best practices into the UK system. For each best practice the contractor will provide:</w:t>
      </w:r>
    </w:p>
    <w:p w14:paraId="46933EF5"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The rationale behind its selection, based on the evidence collected;</w:t>
      </w:r>
    </w:p>
    <w:p w14:paraId="19E31F63"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 description of the key elements of the process identified;</w:t>
      </w:r>
    </w:p>
    <w:p w14:paraId="3937DF66"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 xml:space="preserve">A comparison with UK relevant practices; </w:t>
      </w:r>
    </w:p>
    <w:p w14:paraId="2F821C01"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An analysis of the risks and challenges associated with the identified practices;</w:t>
      </w:r>
    </w:p>
    <w:p w14:paraId="2D7924F0" w14:textId="77777777" w:rsidR="003E3E31" w:rsidRPr="001D7850" w:rsidRDefault="003E3E31" w:rsidP="00E51DD4">
      <w:pPr>
        <w:pStyle w:val="ListParagraph"/>
        <w:numPr>
          <w:ilvl w:val="0"/>
          <w:numId w:val="61"/>
        </w:numPr>
        <w:spacing w:after="160" w:line="259" w:lineRule="auto"/>
        <w:ind w:left="714" w:hanging="357"/>
        <w:contextualSpacing w:val="0"/>
        <w:jc w:val="both"/>
        <w:rPr>
          <w:rFonts w:ascii="Calibri" w:hAnsi="Calibri"/>
          <w:sz w:val="22"/>
          <w:szCs w:val="22"/>
        </w:rPr>
      </w:pPr>
      <w:r w:rsidRPr="001D7850">
        <w:rPr>
          <w:rFonts w:ascii="Calibri" w:hAnsi="Calibri"/>
          <w:sz w:val="22"/>
          <w:szCs w:val="22"/>
        </w:rPr>
        <w:t>A set of recommendations for their applicability in the UK system.</w:t>
      </w:r>
    </w:p>
    <w:p w14:paraId="1B8AC51C" w14:textId="77777777" w:rsidR="003E3E31" w:rsidRPr="001D7850" w:rsidRDefault="003E3E31" w:rsidP="003E3E31">
      <w:pPr>
        <w:ind w:left="284"/>
        <w:jc w:val="both"/>
        <w:rPr>
          <w:rFonts w:ascii="Calibri" w:hAnsi="Calibri" w:cs="Arial"/>
          <w:b/>
          <w:lang w:eastAsia="en-GB"/>
        </w:rPr>
      </w:pPr>
    </w:p>
    <w:p w14:paraId="35B8864F" w14:textId="77777777" w:rsidR="003E3E31" w:rsidRDefault="003E3E31" w:rsidP="003E3E31">
      <w:pPr>
        <w:jc w:val="both"/>
        <w:rPr>
          <w:rFonts w:ascii="Calibri" w:hAnsi="Calibri" w:cs="Arial"/>
          <w:b/>
          <w:lang w:eastAsia="en-GB"/>
        </w:rPr>
      </w:pPr>
    </w:p>
    <w:p w14:paraId="030554F4" w14:textId="77777777" w:rsidR="003E3E31" w:rsidRPr="003A21C2" w:rsidRDefault="003E3E31" w:rsidP="003E3E31">
      <w:pPr>
        <w:jc w:val="both"/>
        <w:rPr>
          <w:rFonts w:ascii="Calibri" w:hAnsi="Calibri" w:cs="Arial"/>
          <w:b/>
          <w:lang w:eastAsia="en-GB"/>
        </w:rPr>
      </w:pPr>
      <w:r w:rsidRPr="003A21C2">
        <w:rPr>
          <w:rFonts w:ascii="Calibri" w:hAnsi="Calibri" w:cs="Arial"/>
          <w:b/>
          <w:lang w:eastAsia="en-GB"/>
        </w:rPr>
        <w:t>WP3: Draw out pertinent considerations</w:t>
      </w:r>
    </w:p>
    <w:p w14:paraId="7E98B65B" w14:textId="77777777" w:rsidR="003E3E31" w:rsidRPr="003A21C2" w:rsidRDefault="003E3E31" w:rsidP="003E3E31">
      <w:pPr>
        <w:jc w:val="both"/>
        <w:rPr>
          <w:rFonts w:ascii="Calibri" w:hAnsi="Calibri" w:cs="Arial"/>
          <w:lang w:eastAsia="en-GB"/>
        </w:rPr>
      </w:pPr>
      <w:r w:rsidRPr="003A21C2">
        <w:rPr>
          <w:rFonts w:ascii="Calibri" w:hAnsi="Calibri" w:cs="Arial"/>
          <w:lang w:eastAsia="en-GB"/>
        </w:rPr>
        <w:t>Develop a set of pragmatic principles that if adopted and implemented by industry could enable innovation from the client perspective. This should include enabling innovation through the asset management life cycle:</w:t>
      </w:r>
    </w:p>
    <w:p w14:paraId="4398B739" w14:textId="77777777" w:rsidR="003E3E31" w:rsidRPr="00BE36BC" w:rsidRDefault="003E3E31" w:rsidP="00E51DD4">
      <w:pPr>
        <w:numPr>
          <w:ilvl w:val="0"/>
          <w:numId w:val="60"/>
        </w:numPr>
        <w:ind w:left="567"/>
        <w:rPr>
          <w:rFonts w:ascii="Calibri" w:hAnsi="Calibri" w:cs="Arial"/>
          <w:lang w:eastAsia="en-GB"/>
        </w:rPr>
      </w:pPr>
      <w:r w:rsidRPr="003A21C2">
        <w:rPr>
          <w:rFonts w:ascii="Calibri" w:hAnsi="Calibri" w:cs="Arial"/>
          <w:lang w:eastAsia="en-GB"/>
        </w:rPr>
        <w:t>Procurement</w:t>
      </w:r>
      <w:r>
        <w:rPr>
          <w:rFonts w:ascii="Calibri" w:hAnsi="Calibri" w:cs="Arial"/>
          <w:lang w:eastAsia="en-GB"/>
        </w:rPr>
        <w:t>: what tools do public buyers have to support the uptake of innovation? How can they improve the innovation environment through procurement? What measures can stimulate innovation in the private sector?</w:t>
      </w:r>
    </w:p>
    <w:p w14:paraId="54B9E158"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Risk management</w:t>
      </w:r>
      <w:r>
        <w:rPr>
          <w:rFonts w:ascii="Calibri" w:hAnsi="Calibri" w:cs="Arial"/>
          <w:lang w:eastAsia="en-GB"/>
        </w:rPr>
        <w:t>: what are the criteria to assess the risk of buying innovation? What are the risk in supporting innovation through public procurement? What principles can be applied to model risk and devise mitigation measures</w:t>
      </w:r>
    </w:p>
    <w:p w14:paraId="7A06CC6D"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Project development and management</w:t>
      </w:r>
      <w:r>
        <w:rPr>
          <w:rFonts w:ascii="Calibri" w:hAnsi="Calibri" w:cs="Arial"/>
          <w:lang w:eastAsia="en-GB"/>
        </w:rPr>
        <w:t xml:space="preserve">: what are the elements to take into consideration when starting a purchasing process? </w:t>
      </w:r>
    </w:p>
    <w:p w14:paraId="71DD5B2B"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In life monitoring</w:t>
      </w:r>
      <w:r>
        <w:rPr>
          <w:rFonts w:ascii="Calibri" w:hAnsi="Calibri" w:cs="Arial"/>
          <w:lang w:eastAsia="en-GB"/>
        </w:rPr>
        <w:t xml:space="preserve"> </w:t>
      </w:r>
      <w:r w:rsidRPr="003A21C2">
        <w:rPr>
          <w:rFonts w:ascii="Calibri" w:hAnsi="Calibri" w:cs="Arial"/>
          <w:lang w:eastAsia="en-GB"/>
        </w:rPr>
        <w:t>/ review</w:t>
      </w:r>
      <w:r>
        <w:rPr>
          <w:rFonts w:ascii="Calibri" w:hAnsi="Calibri" w:cs="Arial"/>
          <w:lang w:eastAsia="en-GB"/>
        </w:rPr>
        <w:t>: what are the elements to evaluate to understand how effective is public spending being at supporting innovation?</w:t>
      </w:r>
    </w:p>
    <w:p w14:paraId="53FF7E46" w14:textId="77777777" w:rsidR="003E3E31" w:rsidRPr="003A21C2" w:rsidRDefault="003E3E31" w:rsidP="00E51DD4">
      <w:pPr>
        <w:numPr>
          <w:ilvl w:val="0"/>
          <w:numId w:val="60"/>
        </w:numPr>
        <w:ind w:left="567"/>
        <w:rPr>
          <w:rFonts w:ascii="Calibri" w:hAnsi="Calibri" w:cs="Arial"/>
          <w:lang w:eastAsia="en-GB"/>
        </w:rPr>
      </w:pPr>
      <w:r w:rsidRPr="003A21C2">
        <w:rPr>
          <w:rFonts w:ascii="Calibri" w:hAnsi="Calibri" w:cs="Arial"/>
          <w:lang w:eastAsia="en-GB"/>
        </w:rPr>
        <w:t xml:space="preserve">Feedback loops which inform decisions on </w:t>
      </w:r>
      <w:r>
        <w:rPr>
          <w:rFonts w:ascii="Calibri" w:hAnsi="Calibri" w:cs="Arial"/>
          <w:lang w:eastAsia="en-GB"/>
        </w:rPr>
        <w:t xml:space="preserve">subsequent projects: how long is a project monitored after its official closure? What data is assessed? </w:t>
      </w:r>
    </w:p>
    <w:p w14:paraId="0B9C34CD" w14:textId="77777777" w:rsidR="003E3E31" w:rsidRDefault="003E3E31" w:rsidP="003E3E31">
      <w:pPr>
        <w:ind w:left="284"/>
        <w:rPr>
          <w:rFonts w:ascii="Calibri" w:hAnsi="Calibri" w:cs="Arial"/>
          <w:lang w:eastAsia="en-GB"/>
        </w:rPr>
      </w:pPr>
    </w:p>
    <w:p w14:paraId="02A24922" w14:textId="77777777" w:rsidR="003E3E31" w:rsidRDefault="003E3E31" w:rsidP="003E3E31">
      <w:pPr>
        <w:ind w:left="284"/>
        <w:rPr>
          <w:rFonts w:ascii="Calibri" w:hAnsi="Calibri" w:cs="Arial"/>
          <w:lang w:eastAsia="en-GB"/>
        </w:rPr>
      </w:pPr>
    </w:p>
    <w:p w14:paraId="26DC5AB8" w14:textId="77777777" w:rsidR="003E3E31" w:rsidRDefault="003E3E31" w:rsidP="003E3E31">
      <w:pPr>
        <w:pStyle w:val="Heading1"/>
      </w:pPr>
      <w:r>
        <w:t>Deliverables</w:t>
      </w:r>
    </w:p>
    <w:tbl>
      <w:tblPr>
        <w:tblW w:w="10314" w:type="dxa"/>
        <w:tblLayout w:type="fixed"/>
        <w:tblLook w:val="00A0" w:firstRow="1" w:lastRow="0" w:firstColumn="1" w:lastColumn="0" w:noHBand="0" w:noVBand="0"/>
      </w:tblPr>
      <w:tblGrid>
        <w:gridCol w:w="250"/>
        <w:gridCol w:w="10064"/>
      </w:tblGrid>
      <w:tr w:rsidR="003E3E31" w14:paraId="1B5D2761" w14:textId="77777777" w:rsidTr="001525C6">
        <w:tc>
          <w:tcPr>
            <w:tcW w:w="250" w:type="dxa"/>
          </w:tcPr>
          <w:p w14:paraId="6E91159E"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0C97A0EC" w14:textId="77777777" w:rsidTr="001525C6">
              <w:trPr>
                <w:cantSplit/>
              </w:trPr>
              <w:tc>
                <w:tcPr>
                  <w:tcW w:w="5307" w:type="dxa"/>
                  <w:shd w:val="clear" w:color="auto" w:fill="99CC00"/>
                </w:tcPr>
                <w:p w14:paraId="4EF737E6" w14:textId="77777777" w:rsidR="003E3E31" w:rsidRDefault="003E3E31" w:rsidP="001525C6">
                  <w:pPr>
                    <w:pStyle w:val="BodyIndent1"/>
                    <w:rPr>
                      <w:b/>
                    </w:rPr>
                  </w:pPr>
                  <w:r>
                    <w:rPr>
                      <w:b/>
                    </w:rPr>
                    <w:t>Deliverable Name</w:t>
                  </w:r>
                </w:p>
              </w:tc>
              <w:tc>
                <w:tcPr>
                  <w:tcW w:w="2694" w:type="dxa"/>
                  <w:shd w:val="clear" w:color="auto" w:fill="99CC00"/>
                </w:tcPr>
                <w:p w14:paraId="7D2842CD" w14:textId="77777777" w:rsidR="003E3E31" w:rsidRDefault="003E3E31" w:rsidP="001525C6">
                  <w:pPr>
                    <w:pStyle w:val="BodyIndent1"/>
                    <w:rPr>
                      <w:b/>
                    </w:rPr>
                  </w:pPr>
                  <w:r>
                    <w:rPr>
                      <w:b/>
                    </w:rPr>
                    <w:t>Type</w:t>
                  </w:r>
                </w:p>
              </w:tc>
            </w:tr>
            <w:tr w:rsidR="003E3E31" w14:paraId="483874B4" w14:textId="77777777" w:rsidTr="001525C6">
              <w:trPr>
                <w:cantSplit/>
                <w:tblHeader/>
              </w:trPr>
              <w:tc>
                <w:tcPr>
                  <w:tcW w:w="5307" w:type="dxa"/>
                  <w:shd w:val="clear" w:color="auto" w:fill="FFFFFF"/>
                </w:tcPr>
                <w:p w14:paraId="30052752" w14:textId="77777777" w:rsidR="003E3E31" w:rsidRDefault="003E3E31" w:rsidP="001525C6">
                  <w:pPr>
                    <w:pStyle w:val="BodyIndent1"/>
                  </w:pPr>
                  <w:r>
                    <w:t>Comprehensive literature review</w:t>
                  </w:r>
                </w:p>
              </w:tc>
              <w:tc>
                <w:tcPr>
                  <w:tcW w:w="2694" w:type="dxa"/>
                  <w:shd w:val="clear" w:color="auto" w:fill="FFFFFF"/>
                </w:tcPr>
                <w:p w14:paraId="50C2475C" w14:textId="77777777" w:rsidR="003E3E31" w:rsidRDefault="003E3E31" w:rsidP="001525C6">
                  <w:pPr>
                    <w:pStyle w:val="BodyIndent1"/>
                  </w:pPr>
                  <w:r>
                    <w:t>Report</w:t>
                  </w:r>
                </w:p>
              </w:tc>
            </w:tr>
            <w:tr w:rsidR="003E3E31" w14:paraId="522F2913" w14:textId="77777777" w:rsidTr="001525C6">
              <w:trPr>
                <w:cantSplit/>
                <w:tblHeader/>
              </w:trPr>
              <w:tc>
                <w:tcPr>
                  <w:tcW w:w="8001" w:type="dxa"/>
                  <w:gridSpan w:val="2"/>
                  <w:shd w:val="clear" w:color="auto" w:fill="FFFFFF"/>
                </w:tcPr>
                <w:p w14:paraId="38E206E4" w14:textId="77777777" w:rsidR="003E3E31" w:rsidRDefault="003E3E31" w:rsidP="001525C6">
                  <w:pPr>
                    <w:pStyle w:val="BodyIndent1"/>
                    <w:rPr>
                      <w:b/>
                    </w:rPr>
                  </w:pPr>
                  <w:r>
                    <w:t>Description</w:t>
                  </w:r>
                </w:p>
              </w:tc>
            </w:tr>
            <w:tr w:rsidR="003E3E31" w14:paraId="18B6A9F2" w14:textId="77777777" w:rsidTr="001525C6">
              <w:trPr>
                <w:cantSplit/>
                <w:tblHeader/>
              </w:trPr>
              <w:tc>
                <w:tcPr>
                  <w:tcW w:w="8001" w:type="dxa"/>
                  <w:gridSpan w:val="2"/>
                  <w:shd w:val="clear" w:color="auto" w:fill="FFFFFF"/>
                </w:tcPr>
                <w:p w14:paraId="7647AC58" w14:textId="77777777" w:rsidR="003E3E31" w:rsidRDefault="003E3E31" w:rsidP="001525C6">
                  <w:pPr>
                    <w:pStyle w:val="BodyIndent1"/>
                    <w:rPr>
                      <w:b/>
                    </w:rPr>
                  </w:pPr>
                  <w:r>
                    <w:rPr>
                      <w:b/>
                    </w:rPr>
                    <w:t>This will include the collection and analysis of the current literature on the subject matter.</w:t>
                  </w:r>
                </w:p>
                <w:p w14:paraId="36ABA222" w14:textId="77777777" w:rsidR="003E3E31" w:rsidRDefault="003E3E31" w:rsidP="001525C6">
                  <w:pPr>
                    <w:pStyle w:val="BodyIndent1"/>
                    <w:rPr>
                      <w:b/>
                    </w:rPr>
                  </w:pPr>
                  <w:r>
                    <w:rPr>
                      <w:b/>
                    </w:rPr>
                    <w:t>Implementation Action Needed</w:t>
                  </w:r>
                  <w:r w:rsidRPr="00C07C26">
                    <w:t xml:space="preserve">: </w:t>
                  </w:r>
                  <w:r>
                    <w:t>N/A</w:t>
                  </w:r>
                </w:p>
                <w:p w14:paraId="7177B70F" w14:textId="77777777" w:rsidR="003E3E31" w:rsidRPr="00C07C26" w:rsidRDefault="003E3E31" w:rsidP="001525C6">
                  <w:pPr>
                    <w:pStyle w:val="BodyIndent1"/>
                  </w:pPr>
                  <w:r w:rsidRPr="00C07C26">
                    <w:rPr>
                      <w:b/>
                    </w:rPr>
                    <w:t>Publication Stream</w:t>
                  </w:r>
                  <w:r>
                    <w:t xml:space="preserve">: All SPARK users and web </w:t>
                  </w:r>
                </w:p>
              </w:tc>
            </w:tr>
          </w:tbl>
          <w:p w14:paraId="32A2672E" w14:textId="77777777" w:rsidR="003E3E31" w:rsidRDefault="003E3E31" w:rsidP="001525C6">
            <w:pPr>
              <w:pStyle w:val="BodyIndent1"/>
            </w:pPr>
          </w:p>
        </w:tc>
      </w:tr>
    </w:tbl>
    <w:p w14:paraId="5FBC7BA5" w14:textId="77777777" w:rsidR="003E3E31" w:rsidRPr="00C07C26" w:rsidRDefault="003E3E31" w:rsidP="003E3E31">
      <w:pPr>
        <w:ind w:left="644"/>
        <w:rPr>
          <w:rFonts w:ascii="Calibri" w:hAnsi="Calibri" w:cs="Arial"/>
          <w:lang w:eastAsia="en-GB"/>
        </w:rPr>
      </w:pPr>
    </w:p>
    <w:p w14:paraId="5CE046C0" w14:textId="77777777" w:rsidR="003E3E31" w:rsidRPr="00C07C26" w:rsidRDefault="003E3E31" w:rsidP="003E3E31">
      <w:pPr>
        <w:pStyle w:val="Body"/>
      </w:pPr>
    </w:p>
    <w:tbl>
      <w:tblPr>
        <w:tblW w:w="10314" w:type="dxa"/>
        <w:tblLayout w:type="fixed"/>
        <w:tblLook w:val="00A0" w:firstRow="1" w:lastRow="0" w:firstColumn="1" w:lastColumn="0" w:noHBand="0" w:noVBand="0"/>
      </w:tblPr>
      <w:tblGrid>
        <w:gridCol w:w="250"/>
        <w:gridCol w:w="10064"/>
      </w:tblGrid>
      <w:tr w:rsidR="003E3E31" w14:paraId="59845201" w14:textId="77777777" w:rsidTr="001525C6">
        <w:tc>
          <w:tcPr>
            <w:tcW w:w="250" w:type="dxa"/>
          </w:tcPr>
          <w:p w14:paraId="23071D7A"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0A95E28A" w14:textId="77777777" w:rsidTr="001525C6">
              <w:trPr>
                <w:cantSplit/>
              </w:trPr>
              <w:tc>
                <w:tcPr>
                  <w:tcW w:w="5307" w:type="dxa"/>
                  <w:shd w:val="clear" w:color="auto" w:fill="99CC00"/>
                </w:tcPr>
                <w:p w14:paraId="6302901C" w14:textId="77777777" w:rsidR="003E3E31" w:rsidRDefault="003E3E31" w:rsidP="001525C6">
                  <w:pPr>
                    <w:pStyle w:val="BodyIndent1"/>
                    <w:rPr>
                      <w:b/>
                    </w:rPr>
                  </w:pPr>
                  <w:r>
                    <w:rPr>
                      <w:b/>
                    </w:rPr>
                    <w:t>Deliverable Name</w:t>
                  </w:r>
                </w:p>
              </w:tc>
              <w:tc>
                <w:tcPr>
                  <w:tcW w:w="2694" w:type="dxa"/>
                  <w:shd w:val="clear" w:color="auto" w:fill="99CC00"/>
                </w:tcPr>
                <w:p w14:paraId="745F6440" w14:textId="77777777" w:rsidR="003E3E31" w:rsidRDefault="003E3E31" w:rsidP="001525C6">
                  <w:pPr>
                    <w:pStyle w:val="BodyIndent1"/>
                    <w:rPr>
                      <w:b/>
                    </w:rPr>
                  </w:pPr>
                  <w:r>
                    <w:rPr>
                      <w:b/>
                    </w:rPr>
                    <w:t>Type</w:t>
                  </w:r>
                </w:p>
              </w:tc>
            </w:tr>
            <w:tr w:rsidR="003E3E31" w14:paraId="23302CBD" w14:textId="77777777" w:rsidTr="001525C6">
              <w:trPr>
                <w:cantSplit/>
                <w:tblHeader/>
              </w:trPr>
              <w:tc>
                <w:tcPr>
                  <w:tcW w:w="5307" w:type="dxa"/>
                  <w:shd w:val="clear" w:color="auto" w:fill="FFFFFF"/>
                </w:tcPr>
                <w:p w14:paraId="33208234" w14:textId="77777777" w:rsidR="003E3E31" w:rsidRDefault="003E3E31" w:rsidP="001525C6">
                  <w:pPr>
                    <w:pStyle w:val="BodyIndent1"/>
                  </w:pPr>
                  <w:r>
                    <w:t xml:space="preserve">Source data </w:t>
                  </w:r>
                </w:p>
              </w:tc>
              <w:tc>
                <w:tcPr>
                  <w:tcW w:w="2694" w:type="dxa"/>
                  <w:shd w:val="clear" w:color="auto" w:fill="FFFFFF"/>
                </w:tcPr>
                <w:p w14:paraId="012FD5F8" w14:textId="77777777" w:rsidR="003E3E31" w:rsidRDefault="003E3E31" w:rsidP="001525C6">
                  <w:pPr>
                    <w:pStyle w:val="BodyIndent1"/>
                  </w:pPr>
                  <w:r>
                    <w:t>Database</w:t>
                  </w:r>
                </w:p>
              </w:tc>
            </w:tr>
            <w:tr w:rsidR="003E3E31" w14:paraId="185F1108" w14:textId="77777777" w:rsidTr="001525C6">
              <w:trPr>
                <w:cantSplit/>
                <w:tblHeader/>
              </w:trPr>
              <w:tc>
                <w:tcPr>
                  <w:tcW w:w="8001" w:type="dxa"/>
                  <w:gridSpan w:val="2"/>
                  <w:shd w:val="clear" w:color="auto" w:fill="FFFFFF"/>
                </w:tcPr>
                <w:p w14:paraId="0A31177F" w14:textId="77777777" w:rsidR="003E3E31" w:rsidRDefault="003E3E31" w:rsidP="001525C6">
                  <w:pPr>
                    <w:pStyle w:val="BodyIndent1"/>
                    <w:rPr>
                      <w:b/>
                    </w:rPr>
                  </w:pPr>
                  <w:r>
                    <w:t>Description</w:t>
                  </w:r>
                </w:p>
              </w:tc>
            </w:tr>
            <w:tr w:rsidR="003E3E31" w14:paraId="346042E2" w14:textId="77777777" w:rsidTr="001525C6">
              <w:trPr>
                <w:cantSplit/>
                <w:tblHeader/>
              </w:trPr>
              <w:tc>
                <w:tcPr>
                  <w:tcW w:w="8001" w:type="dxa"/>
                  <w:gridSpan w:val="2"/>
                  <w:shd w:val="clear" w:color="auto" w:fill="FFFFFF"/>
                </w:tcPr>
                <w:p w14:paraId="121D3058" w14:textId="77777777" w:rsidR="003E3E31" w:rsidRDefault="003E3E31" w:rsidP="001525C6">
                  <w:pPr>
                    <w:pStyle w:val="BodyIndent1"/>
                    <w:rPr>
                      <w:b/>
                    </w:rPr>
                  </w:pPr>
                  <w:r>
                    <w:rPr>
                      <w:b/>
                    </w:rPr>
                    <w:t>This report will capture the write-ups of the interview performed used to conduct the analysis</w:t>
                  </w:r>
                </w:p>
                <w:p w14:paraId="04D4664B" w14:textId="77777777" w:rsidR="003E3E31" w:rsidRDefault="003E3E31" w:rsidP="001525C6">
                  <w:pPr>
                    <w:pStyle w:val="BodyIndent1"/>
                    <w:rPr>
                      <w:b/>
                    </w:rPr>
                  </w:pPr>
                  <w:r>
                    <w:rPr>
                      <w:b/>
                    </w:rPr>
                    <w:t>Implementation Action Needed</w:t>
                  </w:r>
                  <w:r>
                    <w:t>: N/A</w:t>
                  </w:r>
                </w:p>
                <w:p w14:paraId="6364FD8F" w14:textId="77777777" w:rsidR="003E3E31" w:rsidRDefault="003E3E31" w:rsidP="001525C6">
                  <w:pPr>
                    <w:pStyle w:val="BodyIndent1"/>
                    <w:rPr>
                      <w:b/>
                    </w:rPr>
                  </w:pPr>
                  <w:r w:rsidRPr="00C07C26">
                    <w:rPr>
                      <w:b/>
                    </w:rPr>
                    <w:t>Publication Stream</w:t>
                  </w:r>
                  <w:r>
                    <w:t>: confidential</w:t>
                  </w:r>
                </w:p>
              </w:tc>
            </w:tr>
          </w:tbl>
          <w:p w14:paraId="6BF2B7DC" w14:textId="77777777" w:rsidR="003E3E31" w:rsidRDefault="003E3E31" w:rsidP="001525C6">
            <w:pPr>
              <w:pStyle w:val="BodyIndent1"/>
            </w:pPr>
          </w:p>
        </w:tc>
      </w:tr>
    </w:tbl>
    <w:p w14:paraId="444ADD89" w14:textId="77777777" w:rsidR="003E3E31" w:rsidRDefault="003E3E31" w:rsidP="003E3E31">
      <w:pPr>
        <w:ind w:left="644"/>
        <w:rPr>
          <w:rFonts w:ascii="Calibri" w:hAnsi="Calibri" w:cs="Arial"/>
          <w:lang w:eastAsia="en-GB"/>
        </w:rPr>
      </w:pPr>
    </w:p>
    <w:p w14:paraId="07219D33" w14:textId="77777777" w:rsidR="003E3E31" w:rsidRPr="00C07C26" w:rsidRDefault="003E3E31" w:rsidP="003E3E31">
      <w:pPr>
        <w:pStyle w:val="Body"/>
      </w:pPr>
    </w:p>
    <w:tbl>
      <w:tblPr>
        <w:tblW w:w="10314" w:type="dxa"/>
        <w:tblLayout w:type="fixed"/>
        <w:tblLook w:val="00A0" w:firstRow="1" w:lastRow="0" w:firstColumn="1" w:lastColumn="0" w:noHBand="0" w:noVBand="0"/>
      </w:tblPr>
      <w:tblGrid>
        <w:gridCol w:w="250"/>
        <w:gridCol w:w="10064"/>
      </w:tblGrid>
      <w:tr w:rsidR="003E3E31" w14:paraId="594C8A87" w14:textId="77777777" w:rsidTr="001525C6">
        <w:tc>
          <w:tcPr>
            <w:tcW w:w="250" w:type="dxa"/>
          </w:tcPr>
          <w:p w14:paraId="2F986B7F"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1D7EC502" w14:textId="77777777" w:rsidTr="001525C6">
              <w:trPr>
                <w:cantSplit/>
              </w:trPr>
              <w:tc>
                <w:tcPr>
                  <w:tcW w:w="5307" w:type="dxa"/>
                  <w:shd w:val="clear" w:color="auto" w:fill="99CC00"/>
                </w:tcPr>
                <w:p w14:paraId="0560A2EF" w14:textId="77777777" w:rsidR="003E3E31" w:rsidRDefault="003E3E31" w:rsidP="001525C6">
                  <w:pPr>
                    <w:pStyle w:val="BodyIndent1"/>
                    <w:rPr>
                      <w:b/>
                    </w:rPr>
                  </w:pPr>
                  <w:r>
                    <w:rPr>
                      <w:b/>
                    </w:rPr>
                    <w:t>Deliverable Name</w:t>
                  </w:r>
                </w:p>
              </w:tc>
              <w:tc>
                <w:tcPr>
                  <w:tcW w:w="2694" w:type="dxa"/>
                  <w:shd w:val="clear" w:color="auto" w:fill="99CC00"/>
                </w:tcPr>
                <w:p w14:paraId="67575C5A" w14:textId="77777777" w:rsidR="003E3E31" w:rsidRDefault="003E3E31" w:rsidP="001525C6">
                  <w:pPr>
                    <w:pStyle w:val="BodyIndent1"/>
                    <w:rPr>
                      <w:b/>
                    </w:rPr>
                  </w:pPr>
                  <w:r>
                    <w:rPr>
                      <w:b/>
                    </w:rPr>
                    <w:t>Type</w:t>
                  </w:r>
                </w:p>
              </w:tc>
            </w:tr>
            <w:tr w:rsidR="003E3E31" w14:paraId="216366F8" w14:textId="77777777" w:rsidTr="001525C6">
              <w:trPr>
                <w:cantSplit/>
                <w:tblHeader/>
              </w:trPr>
              <w:tc>
                <w:tcPr>
                  <w:tcW w:w="5307" w:type="dxa"/>
                  <w:shd w:val="clear" w:color="auto" w:fill="FFFFFF"/>
                </w:tcPr>
                <w:p w14:paraId="2358AF2D" w14:textId="77777777" w:rsidR="003E3E31" w:rsidRDefault="003E3E31" w:rsidP="001525C6">
                  <w:pPr>
                    <w:pStyle w:val="BodyIndent1"/>
                  </w:pPr>
                  <w:r>
                    <w:t xml:space="preserve">Identification of best practices  </w:t>
                  </w:r>
                </w:p>
              </w:tc>
              <w:tc>
                <w:tcPr>
                  <w:tcW w:w="2694" w:type="dxa"/>
                  <w:shd w:val="clear" w:color="auto" w:fill="FFFFFF"/>
                </w:tcPr>
                <w:p w14:paraId="1C4515D6" w14:textId="77777777" w:rsidR="003E3E31" w:rsidRDefault="003E3E31" w:rsidP="001525C6">
                  <w:pPr>
                    <w:pStyle w:val="BodyIndent1"/>
                  </w:pPr>
                  <w:r>
                    <w:t>Report</w:t>
                  </w:r>
                </w:p>
              </w:tc>
            </w:tr>
            <w:tr w:rsidR="003E3E31" w14:paraId="19DF49C0" w14:textId="77777777" w:rsidTr="001525C6">
              <w:trPr>
                <w:cantSplit/>
                <w:tblHeader/>
              </w:trPr>
              <w:tc>
                <w:tcPr>
                  <w:tcW w:w="8001" w:type="dxa"/>
                  <w:gridSpan w:val="2"/>
                  <w:shd w:val="clear" w:color="auto" w:fill="FFFFFF"/>
                </w:tcPr>
                <w:p w14:paraId="7D7202B8" w14:textId="77777777" w:rsidR="003E3E31" w:rsidRDefault="003E3E31" w:rsidP="001525C6">
                  <w:pPr>
                    <w:pStyle w:val="BodyIndent1"/>
                    <w:rPr>
                      <w:b/>
                    </w:rPr>
                  </w:pPr>
                  <w:r>
                    <w:t>Description</w:t>
                  </w:r>
                </w:p>
              </w:tc>
            </w:tr>
            <w:tr w:rsidR="003E3E31" w14:paraId="3EC95576" w14:textId="77777777" w:rsidTr="001525C6">
              <w:trPr>
                <w:cantSplit/>
                <w:tblHeader/>
              </w:trPr>
              <w:tc>
                <w:tcPr>
                  <w:tcW w:w="8001" w:type="dxa"/>
                  <w:gridSpan w:val="2"/>
                  <w:shd w:val="clear" w:color="auto" w:fill="FFFFFF"/>
                </w:tcPr>
                <w:p w14:paraId="261D1CCC" w14:textId="77777777" w:rsidR="003E3E31" w:rsidRDefault="003E3E31" w:rsidP="001525C6">
                  <w:pPr>
                    <w:pStyle w:val="BodyIndent1"/>
                    <w:rPr>
                      <w:b/>
                    </w:rPr>
                  </w:pPr>
                  <w:r>
                    <w:rPr>
                      <w:b/>
                    </w:rPr>
                    <w:t>Report summarizing the best practices identified and their applicability in the UK</w:t>
                  </w:r>
                </w:p>
                <w:p w14:paraId="45E693FA" w14:textId="77777777" w:rsidR="003E3E31" w:rsidRDefault="003E3E31" w:rsidP="001525C6">
                  <w:pPr>
                    <w:pStyle w:val="BodyIndent1"/>
                    <w:rPr>
                      <w:b/>
                    </w:rPr>
                  </w:pPr>
                  <w:r>
                    <w:rPr>
                      <w:b/>
                    </w:rPr>
                    <w:t>Implementation Action Needed</w:t>
                  </w:r>
                  <w:r>
                    <w:t>: N/A</w:t>
                  </w:r>
                </w:p>
                <w:p w14:paraId="39C7BDCE" w14:textId="77777777" w:rsidR="003E3E31" w:rsidRDefault="003E3E31" w:rsidP="001525C6">
                  <w:pPr>
                    <w:pStyle w:val="BodyIndent1"/>
                    <w:rPr>
                      <w:b/>
                    </w:rPr>
                  </w:pPr>
                  <w:r w:rsidRPr="00C07C26">
                    <w:rPr>
                      <w:b/>
                    </w:rPr>
                    <w:t>Publication Stream</w:t>
                  </w:r>
                  <w:r>
                    <w:t>: confidential</w:t>
                  </w:r>
                </w:p>
              </w:tc>
            </w:tr>
          </w:tbl>
          <w:p w14:paraId="4CE07099" w14:textId="77777777" w:rsidR="003E3E31" w:rsidRDefault="003E3E31" w:rsidP="001525C6">
            <w:pPr>
              <w:pStyle w:val="BodyIndent1"/>
            </w:pPr>
          </w:p>
        </w:tc>
      </w:tr>
    </w:tbl>
    <w:p w14:paraId="686B3AED" w14:textId="77777777" w:rsidR="003E3E31" w:rsidRPr="00C07C26" w:rsidRDefault="003E3E31" w:rsidP="003E3E31">
      <w:pPr>
        <w:ind w:left="644"/>
        <w:rPr>
          <w:rFonts w:ascii="Calibri" w:hAnsi="Calibri" w:cs="Arial"/>
          <w:lang w:eastAsia="en-GB"/>
        </w:rPr>
      </w:pPr>
    </w:p>
    <w:p w14:paraId="74C086C9" w14:textId="77777777" w:rsidR="003E3E31" w:rsidRDefault="003E3E31" w:rsidP="003E3E31">
      <w:pPr>
        <w:ind w:left="644"/>
        <w:rPr>
          <w:rFonts w:ascii="Calibri" w:hAnsi="Calibri" w:cs="Arial"/>
          <w:lang w:eastAsia="en-GB"/>
        </w:rPr>
      </w:pPr>
    </w:p>
    <w:tbl>
      <w:tblPr>
        <w:tblW w:w="10314" w:type="dxa"/>
        <w:tblLayout w:type="fixed"/>
        <w:tblLook w:val="00A0" w:firstRow="1" w:lastRow="0" w:firstColumn="1" w:lastColumn="0" w:noHBand="0" w:noVBand="0"/>
      </w:tblPr>
      <w:tblGrid>
        <w:gridCol w:w="250"/>
        <w:gridCol w:w="10064"/>
      </w:tblGrid>
      <w:tr w:rsidR="003E3E31" w14:paraId="344F7B3D" w14:textId="77777777" w:rsidTr="001525C6">
        <w:tc>
          <w:tcPr>
            <w:tcW w:w="250" w:type="dxa"/>
          </w:tcPr>
          <w:p w14:paraId="18FFD46B" w14:textId="77777777" w:rsidR="003E3E31" w:rsidRDefault="003E3E31" w:rsidP="001525C6">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3E3E31" w14:paraId="28604312" w14:textId="77777777" w:rsidTr="001525C6">
              <w:trPr>
                <w:cantSplit/>
              </w:trPr>
              <w:tc>
                <w:tcPr>
                  <w:tcW w:w="5307" w:type="dxa"/>
                  <w:shd w:val="clear" w:color="auto" w:fill="99CC00"/>
                </w:tcPr>
                <w:p w14:paraId="2984C90A" w14:textId="77777777" w:rsidR="003E3E31" w:rsidRDefault="003E3E31" w:rsidP="001525C6">
                  <w:pPr>
                    <w:pStyle w:val="BodyIndent1"/>
                    <w:rPr>
                      <w:b/>
                    </w:rPr>
                  </w:pPr>
                  <w:r>
                    <w:rPr>
                      <w:b/>
                    </w:rPr>
                    <w:t>Deliverable Name</w:t>
                  </w:r>
                </w:p>
              </w:tc>
              <w:tc>
                <w:tcPr>
                  <w:tcW w:w="2694" w:type="dxa"/>
                  <w:shd w:val="clear" w:color="auto" w:fill="99CC00"/>
                </w:tcPr>
                <w:p w14:paraId="66215900" w14:textId="77777777" w:rsidR="003E3E31" w:rsidRDefault="003E3E31" w:rsidP="001525C6">
                  <w:pPr>
                    <w:pStyle w:val="BodyIndent1"/>
                    <w:rPr>
                      <w:b/>
                    </w:rPr>
                  </w:pPr>
                  <w:r>
                    <w:rPr>
                      <w:b/>
                    </w:rPr>
                    <w:t>Type</w:t>
                  </w:r>
                </w:p>
              </w:tc>
            </w:tr>
            <w:tr w:rsidR="003E3E31" w14:paraId="6E57B48B" w14:textId="77777777" w:rsidTr="001525C6">
              <w:trPr>
                <w:cantSplit/>
                <w:tblHeader/>
              </w:trPr>
              <w:tc>
                <w:tcPr>
                  <w:tcW w:w="5307" w:type="dxa"/>
                  <w:shd w:val="clear" w:color="auto" w:fill="FFFFFF"/>
                </w:tcPr>
                <w:p w14:paraId="0FF9DCDD" w14:textId="77777777" w:rsidR="003E3E31" w:rsidRPr="00ED15F0" w:rsidRDefault="003E3E31" w:rsidP="001525C6">
                  <w:pPr>
                    <w:pStyle w:val="BodyIndent1"/>
                  </w:pPr>
                  <w:r>
                    <w:t>Final report and recommendations</w:t>
                  </w:r>
                  <w:r w:rsidRPr="00ED15F0">
                    <w:t xml:space="preserve"> </w:t>
                  </w:r>
                </w:p>
              </w:tc>
              <w:tc>
                <w:tcPr>
                  <w:tcW w:w="2694" w:type="dxa"/>
                  <w:shd w:val="clear" w:color="auto" w:fill="FFFFFF"/>
                </w:tcPr>
                <w:p w14:paraId="7F9ABD28" w14:textId="77777777" w:rsidR="003E3E31" w:rsidRPr="00ED15F0" w:rsidRDefault="003E3E31" w:rsidP="001525C6">
                  <w:pPr>
                    <w:pStyle w:val="BodyIndent1"/>
                  </w:pPr>
                  <w:r>
                    <w:t>Report</w:t>
                  </w:r>
                </w:p>
              </w:tc>
            </w:tr>
            <w:tr w:rsidR="003E3E31" w14:paraId="29CF869B" w14:textId="77777777" w:rsidTr="001525C6">
              <w:trPr>
                <w:cantSplit/>
                <w:tblHeader/>
              </w:trPr>
              <w:tc>
                <w:tcPr>
                  <w:tcW w:w="8001" w:type="dxa"/>
                  <w:gridSpan w:val="2"/>
                  <w:shd w:val="clear" w:color="auto" w:fill="FFFFFF"/>
                </w:tcPr>
                <w:p w14:paraId="35B63301" w14:textId="77777777" w:rsidR="003E3E31" w:rsidRPr="00ED15F0" w:rsidRDefault="003E3E31" w:rsidP="001525C6">
                  <w:pPr>
                    <w:pStyle w:val="BodyIndent1"/>
                    <w:rPr>
                      <w:b/>
                    </w:rPr>
                  </w:pPr>
                  <w:r w:rsidRPr="00ED15F0">
                    <w:t>Description</w:t>
                  </w:r>
                </w:p>
              </w:tc>
            </w:tr>
            <w:tr w:rsidR="003E3E31" w14:paraId="6DA0E132" w14:textId="77777777" w:rsidTr="001525C6">
              <w:trPr>
                <w:cantSplit/>
                <w:tblHeader/>
              </w:trPr>
              <w:tc>
                <w:tcPr>
                  <w:tcW w:w="8001" w:type="dxa"/>
                  <w:gridSpan w:val="2"/>
                  <w:shd w:val="clear" w:color="auto" w:fill="FFFFFF"/>
                </w:tcPr>
                <w:p w14:paraId="196BA89A" w14:textId="77777777" w:rsidR="003E3E31" w:rsidRPr="00ED15F0" w:rsidRDefault="003E3E31" w:rsidP="001525C6">
                  <w:pPr>
                    <w:pStyle w:val="BodyIndent1"/>
                    <w:rPr>
                      <w:b/>
                    </w:rPr>
                  </w:pPr>
                  <w:r>
                    <w:rPr>
                      <w:b/>
                    </w:rPr>
                    <w:lastRenderedPageBreak/>
                    <w:t>Report outlining the identified best practices, their applicability and the relevant recommendations for the Department for Transport and buyers</w:t>
                  </w:r>
                </w:p>
                <w:p w14:paraId="522FC993" w14:textId="77777777" w:rsidR="003E3E31" w:rsidRPr="00ED15F0" w:rsidRDefault="003E3E31" w:rsidP="001525C6">
                  <w:pPr>
                    <w:pStyle w:val="BodyIndent1"/>
                    <w:rPr>
                      <w:b/>
                    </w:rPr>
                  </w:pPr>
                  <w:r w:rsidRPr="00ED15F0">
                    <w:rPr>
                      <w:b/>
                    </w:rPr>
                    <w:t>Implementation Action Needed</w:t>
                  </w:r>
                  <w:r w:rsidRPr="00ED15F0">
                    <w:t>: N/A</w:t>
                  </w:r>
                </w:p>
                <w:p w14:paraId="0E54FDFF" w14:textId="77777777" w:rsidR="003E3E31" w:rsidRPr="00ED15F0" w:rsidRDefault="003E3E31" w:rsidP="001525C6">
                  <w:pPr>
                    <w:pStyle w:val="BodyIndent1"/>
                    <w:rPr>
                      <w:b/>
                    </w:rPr>
                  </w:pPr>
                  <w:r w:rsidRPr="00ED15F0">
                    <w:rPr>
                      <w:b/>
                    </w:rPr>
                    <w:t>Publication Stream</w:t>
                  </w:r>
                  <w:r w:rsidRPr="00ED15F0">
                    <w:t>: All SPARK users and web</w:t>
                  </w:r>
                </w:p>
              </w:tc>
            </w:tr>
          </w:tbl>
          <w:p w14:paraId="4FEC38E5" w14:textId="77777777" w:rsidR="003E3E31" w:rsidRDefault="003E3E31" w:rsidP="001525C6">
            <w:pPr>
              <w:pStyle w:val="BodyIndent1"/>
            </w:pPr>
          </w:p>
        </w:tc>
      </w:tr>
    </w:tbl>
    <w:p w14:paraId="6837A907" w14:textId="77777777" w:rsidR="003E3E31" w:rsidRPr="00C07C26" w:rsidRDefault="003E3E31" w:rsidP="003E3E31">
      <w:pPr>
        <w:ind w:left="644"/>
        <w:rPr>
          <w:rFonts w:ascii="Calibri" w:hAnsi="Calibri" w:cs="Arial"/>
          <w:lang w:eastAsia="en-GB"/>
        </w:rPr>
      </w:pPr>
    </w:p>
    <w:p w14:paraId="3A5C5187" w14:textId="77777777" w:rsidR="003E3E31" w:rsidRPr="00C07C26" w:rsidRDefault="003E3E31" w:rsidP="003E3E31">
      <w:pPr>
        <w:pStyle w:val="Body"/>
      </w:pPr>
    </w:p>
    <w:p w14:paraId="02B075AC" w14:textId="77777777" w:rsidR="003E3E31" w:rsidRDefault="003E3E31" w:rsidP="003E3E31">
      <w:pPr>
        <w:pStyle w:val="Heading1"/>
      </w:pPr>
      <w:r>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3E3E31" w14:paraId="7EF99D5A" w14:textId="77777777" w:rsidTr="001525C6">
        <w:tc>
          <w:tcPr>
            <w:tcW w:w="1816" w:type="dxa"/>
            <w:vAlign w:val="center"/>
          </w:tcPr>
          <w:p w14:paraId="469F01DA" w14:textId="77777777" w:rsidR="003E3E31" w:rsidRPr="00325F01" w:rsidRDefault="003E3E31" w:rsidP="001525C6">
            <w:pPr>
              <w:pStyle w:val="Body"/>
              <w:rPr>
                <w:rFonts w:asciiTheme="minorHAnsi" w:hAnsiTheme="minorHAnsi"/>
              </w:rPr>
            </w:pPr>
          </w:p>
        </w:tc>
        <w:tc>
          <w:tcPr>
            <w:tcW w:w="3849" w:type="dxa"/>
            <w:vAlign w:val="center"/>
          </w:tcPr>
          <w:p w14:paraId="5D16F524" w14:textId="77777777" w:rsidR="003E3E31" w:rsidRPr="00325F01" w:rsidRDefault="003E3E31" w:rsidP="001525C6">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54C75AF7" w14:textId="77777777" w:rsidR="003E3E31" w:rsidRPr="00325F01" w:rsidRDefault="003E3E31" w:rsidP="001525C6">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3E3E31" w14:paraId="6729D9D2" w14:textId="77777777" w:rsidTr="001525C6">
        <w:tc>
          <w:tcPr>
            <w:tcW w:w="1816" w:type="dxa"/>
            <w:vAlign w:val="center"/>
          </w:tcPr>
          <w:p w14:paraId="49168DEA" w14:textId="77777777" w:rsidR="003E3E31" w:rsidRDefault="003E3E31" w:rsidP="001525C6">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014F2C8B" w14:textId="77777777" w:rsidR="003E3E31" w:rsidRPr="006B076F" w:rsidRDefault="003E3E31" w:rsidP="001525C6">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556C7E80" w14:textId="77777777" w:rsidR="003E3E31" w:rsidRDefault="003E3E31" w:rsidP="001525C6">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3E3DE292" w14:textId="77777777" w:rsidR="003E3E31" w:rsidRPr="00325F01" w:rsidRDefault="003E3E31" w:rsidP="001525C6">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3E3E31" w14:paraId="13B68522" w14:textId="77777777" w:rsidTr="001525C6">
        <w:tc>
          <w:tcPr>
            <w:tcW w:w="1816" w:type="dxa"/>
            <w:vAlign w:val="center"/>
          </w:tcPr>
          <w:p w14:paraId="4B9644E0" w14:textId="77777777" w:rsidR="003E3E31" w:rsidRPr="00420F8C" w:rsidRDefault="003E3E31" w:rsidP="001525C6">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5EDD1B51" w14:textId="77777777" w:rsidR="003E3E31" w:rsidRPr="00420F8C" w:rsidRDefault="003E3E31" w:rsidP="001525C6">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636DD960" w14:textId="77777777" w:rsidR="003E3E31" w:rsidRPr="00420F8C" w:rsidRDefault="003E3E31" w:rsidP="001525C6">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083927BF" w14:textId="77777777" w:rsidR="003E3E31" w:rsidRPr="00325F01" w:rsidRDefault="003E3E31" w:rsidP="001525C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E3E31" w14:paraId="0A0695EB" w14:textId="77777777" w:rsidTr="001525C6">
        <w:tc>
          <w:tcPr>
            <w:tcW w:w="1816" w:type="dxa"/>
            <w:vAlign w:val="center"/>
          </w:tcPr>
          <w:p w14:paraId="5C1E2C69"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0C9AA7CB"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2423BC96" w14:textId="77777777" w:rsidR="003E3E31" w:rsidRPr="00325F01" w:rsidRDefault="003E3E31" w:rsidP="001525C6">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3E3E31" w14:paraId="427C8734" w14:textId="77777777" w:rsidTr="001525C6">
        <w:tc>
          <w:tcPr>
            <w:tcW w:w="1816" w:type="dxa"/>
            <w:vAlign w:val="center"/>
          </w:tcPr>
          <w:p w14:paraId="39B22087"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0196B1D0" w14:textId="77777777" w:rsidR="003E3E31" w:rsidRPr="00420F8C" w:rsidRDefault="003E3E31" w:rsidP="001525C6">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0D303914"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t xml:space="preserve">As such, it helps formulate specifications, assesses tenders, reviews </w:t>
            </w:r>
            <w:r w:rsidRPr="00420F8C">
              <w:rPr>
                <w:rFonts w:asciiTheme="minorHAnsi" w:hAnsiTheme="minorHAnsi" w:cs="Arial"/>
                <w:color w:val="000000" w:themeColor="dark1"/>
                <w:kern w:val="28"/>
              </w:rPr>
              <w:lastRenderedPageBreak/>
              <w:t>draft and final outputs and other relevant tasks.</w:t>
            </w:r>
          </w:p>
        </w:tc>
        <w:tc>
          <w:tcPr>
            <w:tcW w:w="2694" w:type="dxa"/>
          </w:tcPr>
          <w:p w14:paraId="0E0A76CE" w14:textId="77777777" w:rsidR="003E3E31" w:rsidRPr="00420F8C" w:rsidRDefault="003E3E31" w:rsidP="001525C6">
            <w:pPr>
              <w:rPr>
                <w:rFonts w:asciiTheme="minorHAnsi" w:hAnsiTheme="minorHAnsi" w:cs="Arial"/>
                <w:lang w:eastAsia="en-GB"/>
              </w:rPr>
            </w:pPr>
            <w:r w:rsidRPr="00420F8C">
              <w:rPr>
                <w:rFonts w:asciiTheme="minorHAnsi" w:hAnsiTheme="minorHAnsi" w:cs="Arial"/>
                <w:color w:val="000000" w:themeColor="dark1"/>
                <w:kern w:val="28"/>
              </w:rPr>
              <w:lastRenderedPageBreak/>
              <w:t xml:space="preserve">Formally accepts deliverables </w:t>
            </w:r>
          </w:p>
        </w:tc>
      </w:tr>
    </w:tbl>
    <w:p w14:paraId="3E5BA73A" w14:textId="77777777" w:rsidR="003E3E31" w:rsidRDefault="003E3E31" w:rsidP="003E3E31">
      <w:pPr>
        <w:rPr>
          <w:rFonts w:ascii="Calibri" w:hAnsi="Calibri" w:cs="Arial"/>
          <w:lang w:eastAsia="en-GB"/>
        </w:rPr>
      </w:pPr>
    </w:p>
    <w:p w14:paraId="5D2B293F" w14:textId="77777777" w:rsidR="003E3E31" w:rsidRDefault="003E3E31" w:rsidP="003E3E31">
      <w:pPr>
        <w:rPr>
          <w:rFonts w:ascii="Calibri" w:hAnsi="Calibri" w:cs="Arial"/>
          <w:lang w:eastAsia="en-GB"/>
        </w:rPr>
      </w:pPr>
    </w:p>
    <w:p w14:paraId="5BDA332C" w14:textId="77777777" w:rsidR="003E3E31" w:rsidRDefault="003E3E31" w:rsidP="003E3E31">
      <w:pPr>
        <w:pStyle w:val="Heading1"/>
      </w:pPr>
      <w:r>
        <w:t>Budget, timescales and dependencies</w:t>
      </w:r>
    </w:p>
    <w:p w14:paraId="5CE9FE4B" w14:textId="77777777" w:rsidR="003E3E31" w:rsidRDefault="003E3E31" w:rsidP="003E3E31">
      <w:pPr>
        <w:rPr>
          <w:rFonts w:ascii="Calibri" w:hAnsi="Calibri" w:cs="Arial"/>
          <w:lang w:eastAsia="en-GB"/>
        </w:rPr>
      </w:pPr>
      <w:r>
        <w:rPr>
          <w:rFonts w:ascii="Calibri" w:hAnsi="Calibri" w:cs="Arial"/>
          <w:lang w:eastAsia="en-GB"/>
        </w:rPr>
        <w:t xml:space="preserve">The budget for this work is up </w:t>
      </w:r>
      <w:r w:rsidRPr="00061503">
        <w:rPr>
          <w:rFonts w:ascii="Calibri" w:hAnsi="Calibri" w:cs="Arial"/>
          <w:lang w:eastAsia="en-GB"/>
        </w:rPr>
        <w:t>to £</w:t>
      </w:r>
      <w:r>
        <w:rPr>
          <w:rFonts w:ascii="Calibri" w:hAnsi="Calibri" w:cs="Arial"/>
          <w:lang w:eastAsia="en-GB"/>
        </w:rPr>
        <w:t>100</w:t>
      </w:r>
      <w:r w:rsidRPr="00061503">
        <w:rPr>
          <w:rFonts w:ascii="Calibri" w:hAnsi="Calibri" w:cs="Arial"/>
          <w:lang w:eastAsia="en-GB"/>
        </w:rPr>
        <w:t>,000. Any bid</w:t>
      </w:r>
      <w:r>
        <w:rPr>
          <w:rFonts w:ascii="Calibri" w:hAnsi="Calibri" w:cs="Arial"/>
          <w:lang w:eastAsia="en-GB"/>
        </w:rPr>
        <w:t xml:space="preserve"> above this value will need to provide detailed explanation on why the supplier doesn’t feel that the budget is adequate and in such case, we strongly encourage suppliers to provide costed options for RSSB to consider. </w:t>
      </w:r>
    </w:p>
    <w:p w14:paraId="17CD5EE3" w14:textId="77777777" w:rsidR="003E3E31" w:rsidRPr="00FB79FB" w:rsidRDefault="003E3E31" w:rsidP="003E3E31">
      <w:pPr>
        <w:rPr>
          <w:rFonts w:ascii="Calibri" w:hAnsi="Calibri" w:cs="Arial"/>
          <w:lang w:eastAsia="en-GB"/>
        </w:rPr>
      </w:pPr>
    </w:p>
    <w:p w14:paraId="3CBDE390" w14:textId="77777777" w:rsidR="003E3E31" w:rsidRDefault="003E3E31" w:rsidP="003E3E31">
      <w:pPr>
        <w:rPr>
          <w:rFonts w:ascii="Calibri" w:hAnsi="Calibri" w:cs="Arial"/>
          <w:lang w:eastAsia="en-GB"/>
        </w:rPr>
      </w:pPr>
      <w:r>
        <w:rPr>
          <w:rFonts w:ascii="Calibri" w:hAnsi="Calibri" w:cs="Arial"/>
          <w:lang w:eastAsia="en-GB"/>
        </w:rPr>
        <w:t>Collaboration between different companies is encouraged and proposals can be submitted by individual suppliers or consortiums.</w:t>
      </w:r>
    </w:p>
    <w:p w14:paraId="5BCFCE86" w14:textId="77777777" w:rsidR="003E3E31" w:rsidRPr="0072045A" w:rsidRDefault="003E3E31" w:rsidP="003E3E31">
      <w:pPr>
        <w:rPr>
          <w:rFonts w:asciiTheme="minorHAnsi" w:hAnsiTheme="minorHAnsi" w:cs="Arial"/>
          <w:lang w:eastAsia="en-GB"/>
        </w:rPr>
      </w:pPr>
    </w:p>
    <w:p w14:paraId="1AF833A4" w14:textId="77777777" w:rsidR="00345FD3" w:rsidRPr="0072045A" w:rsidRDefault="00345FD3" w:rsidP="00345FD3">
      <w:pPr>
        <w:rPr>
          <w:rFonts w:asciiTheme="minorHAnsi" w:hAnsiTheme="minorHAnsi" w:cs="Calibri"/>
          <w:lang w:eastAsia="en-GB"/>
        </w:rPr>
      </w:pPr>
      <w:r w:rsidRPr="0072045A">
        <w:rPr>
          <w:rFonts w:asciiTheme="minorHAnsi" w:hAnsiTheme="minorHAnsi"/>
          <w:lang w:eastAsia="en-GB"/>
        </w:rPr>
        <w:t xml:space="preserve">The work is expected to start in January 2018 and be completed by June 2018. These are indicative dates and RSSB is prepared to consider bids that vary from these expectations if they have a robust and realistic project plan, and an explanation of changes to the proposed start and end dates.   </w:t>
      </w:r>
    </w:p>
    <w:p w14:paraId="0C455885" w14:textId="77777777" w:rsidR="003E3E31" w:rsidRPr="00206FB1" w:rsidRDefault="003E3E31" w:rsidP="003E3E31">
      <w:pPr>
        <w:rPr>
          <w:rFonts w:ascii="Calibri" w:hAnsi="Calibri" w:cs="Arial"/>
          <w:lang w:eastAsia="en-GB"/>
        </w:rPr>
      </w:pPr>
    </w:p>
    <w:p w14:paraId="5B619020" w14:textId="77777777" w:rsidR="003E3E31" w:rsidRDefault="003E3E31" w:rsidP="003E3E31">
      <w:pPr>
        <w:rPr>
          <w:rFonts w:ascii="Calibri" w:hAnsi="Calibri" w:cs="Arial"/>
          <w:lang w:eastAsia="en-GB"/>
        </w:rPr>
      </w:pPr>
      <w:r>
        <w:rPr>
          <w:rFonts w:ascii="Calibri" w:hAnsi="Calibri" w:cs="Arial"/>
          <w:lang w:eastAsia="en-GB"/>
        </w:rPr>
        <w:t xml:space="preserve">The following </w:t>
      </w:r>
      <w:r w:rsidRPr="00E51749">
        <w:rPr>
          <w:rFonts w:ascii="Calibri" w:hAnsi="Calibri" w:cs="Arial"/>
          <w:lang w:eastAsia="en-GB"/>
        </w:rPr>
        <w:t xml:space="preserve">dependencies </w:t>
      </w:r>
      <w:r>
        <w:rPr>
          <w:rFonts w:ascii="Calibri" w:hAnsi="Calibri" w:cs="Arial"/>
          <w:lang w:eastAsia="en-GB"/>
        </w:rPr>
        <w:t>have been recognised:</w:t>
      </w:r>
    </w:p>
    <w:p w14:paraId="48E3031A" w14:textId="77777777" w:rsidR="003E3E31" w:rsidRDefault="003E3E31" w:rsidP="00E51DD4">
      <w:pPr>
        <w:pStyle w:val="ListParagraph"/>
        <w:numPr>
          <w:ilvl w:val="0"/>
          <w:numId w:val="53"/>
        </w:numPr>
        <w:rPr>
          <w:rFonts w:ascii="Calibri" w:hAnsi="Calibri"/>
          <w:sz w:val="22"/>
          <w:szCs w:val="22"/>
        </w:rPr>
      </w:pPr>
      <w:r w:rsidRPr="004529C6">
        <w:rPr>
          <w:rFonts w:ascii="Calibri" w:hAnsi="Calibri"/>
          <w:sz w:val="22"/>
          <w:szCs w:val="22"/>
        </w:rPr>
        <w:t>The development of this research will use</w:t>
      </w:r>
      <w:r>
        <w:rPr>
          <w:rFonts w:ascii="Calibri" w:hAnsi="Calibri"/>
          <w:sz w:val="22"/>
          <w:szCs w:val="22"/>
        </w:rPr>
        <w:t>, among the others,</w:t>
      </w:r>
      <w:r w:rsidRPr="004529C6">
        <w:rPr>
          <w:rFonts w:ascii="Calibri" w:hAnsi="Calibri"/>
          <w:sz w:val="22"/>
          <w:szCs w:val="22"/>
        </w:rPr>
        <w:t xml:space="preserve"> the outputs from project </w:t>
      </w:r>
      <w:r>
        <w:rPr>
          <w:rFonts w:ascii="Calibri" w:hAnsi="Calibri"/>
          <w:sz w:val="22"/>
          <w:szCs w:val="22"/>
        </w:rPr>
        <w:t>S265</w:t>
      </w:r>
      <w:r w:rsidRPr="004529C6">
        <w:rPr>
          <w:rFonts w:ascii="Calibri" w:hAnsi="Calibri"/>
          <w:sz w:val="22"/>
          <w:szCs w:val="22"/>
        </w:rPr>
        <w:t xml:space="preserve"> - ‘</w:t>
      </w:r>
      <w:r>
        <w:rPr>
          <w:rFonts w:ascii="Calibri" w:hAnsi="Calibri"/>
          <w:sz w:val="22"/>
          <w:szCs w:val="22"/>
        </w:rPr>
        <w:t>Innovation in Risk Averse Industries</w:t>
      </w:r>
      <w:r w:rsidRPr="004529C6">
        <w:rPr>
          <w:rFonts w:ascii="Calibri" w:hAnsi="Calibri"/>
          <w:sz w:val="22"/>
          <w:szCs w:val="22"/>
        </w:rPr>
        <w:t>’.</w:t>
      </w:r>
    </w:p>
    <w:p w14:paraId="47FAD05D" w14:textId="77777777" w:rsidR="003E3E31" w:rsidRDefault="003E3E31" w:rsidP="003E3E31">
      <w:pPr>
        <w:ind w:left="360"/>
        <w:rPr>
          <w:rFonts w:ascii="Calibri" w:hAnsi="Calibri"/>
        </w:rPr>
      </w:pPr>
    </w:p>
    <w:p w14:paraId="7C186A68" w14:textId="77777777" w:rsidR="003E3E31" w:rsidRPr="007105C0" w:rsidRDefault="003E3E31" w:rsidP="003E3E31">
      <w:pPr>
        <w:ind w:left="360"/>
        <w:rPr>
          <w:rFonts w:ascii="Calibri" w:hAnsi="Calibri"/>
        </w:rPr>
      </w:pPr>
    </w:p>
    <w:p w14:paraId="4FB703D4" w14:textId="77777777" w:rsidR="003E3E31" w:rsidRPr="00325F01" w:rsidRDefault="003E3E31" w:rsidP="003E3E31">
      <w:pPr>
        <w:pStyle w:val="ListParagraph"/>
        <w:rPr>
          <w:rFonts w:ascii="Calibri" w:hAnsi="Calibri"/>
          <w:sz w:val="22"/>
          <w:szCs w:val="22"/>
        </w:rPr>
      </w:pPr>
    </w:p>
    <w:p w14:paraId="3B1AB328" w14:textId="77777777" w:rsidR="003E3E31" w:rsidRDefault="003E3E31" w:rsidP="003E3E31">
      <w:pPr>
        <w:pStyle w:val="Heading1"/>
      </w:pPr>
      <w:r>
        <w:t>Critical success factors and risk management</w:t>
      </w:r>
    </w:p>
    <w:p w14:paraId="0A57E8E4" w14:textId="77777777" w:rsidR="003E3E31" w:rsidRPr="002F6AA9" w:rsidRDefault="003E3E31" w:rsidP="003E3E31">
      <w:pPr>
        <w:rPr>
          <w:rFonts w:ascii="Calibri" w:hAnsi="Calibri" w:cs="Arial"/>
          <w:lang w:eastAsia="en-GB"/>
        </w:rPr>
      </w:pPr>
      <w:r w:rsidRPr="002F6AA9">
        <w:rPr>
          <w:rFonts w:ascii="Calibri" w:hAnsi="Calibri" w:cs="Arial"/>
          <w:lang w:eastAsia="en-GB"/>
        </w:rPr>
        <w:t>Critical Success Factors include:</w:t>
      </w:r>
    </w:p>
    <w:p w14:paraId="698E20C2" w14:textId="77777777" w:rsidR="003E3E31" w:rsidRPr="00200897" w:rsidRDefault="003E3E31" w:rsidP="00E51DD4">
      <w:pPr>
        <w:pStyle w:val="ListParagraph"/>
        <w:numPr>
          <w:ilvl w:val="0"/>
          <w:numId w:val="53"/>
        </w:numPr>
        <w:rPr>
          <w:rFonts w:ascii="Times New Roman" w:hAnsi="Times New Roman"/>
          <w:sz w:val="16"/>
          <w:szCs w:val="16"/>
        </w:rPr>
      </w:pPr>
      <w:r>
        <w:rPr>
          <w:rFonts w:ascii="Calibri" w:hAnsi="Calibri"/>
          <w:sz w:val="22"/>
          <w:szCs w:val="22"/>
        </w:rPr>
        <w:t>Experienced project team with clear understanding of the subject matter.</w:t>
      </w:r>
    </w:p>
    <w:p w14:paraId="0C8B9995" w14:textId="77777777" w:rsidR="003E3E31" w:rsidRPr="002F6AA9" w:rsidRDefault="003E3E31" w:rsidP="00E51DD4">
      <w:pPr>
        <w:pStyle w:val="ListParagraph"/>
        <w:numPr>
          <w:ilvl w:val="0"/>
          <w:numId w:val="53"/>
        </w:numPr>
        <w:rPr>
          <w:rFonts w:ascii="Times New Roman" w:hAnsi="Times New Roman"/>
          <w:sz w:val="16"/>
          <w:szCs w:val="16"/>
        </w:rPr>
      </w:pPr>
      <w:r>
        <w:rPr>
          <w:rFonts w:ascii="Calibri" w:hAnsi="Calibri"/>
          <w:sz w:val="22"/>
          <w:szCs w:val="22"/>
        </w:rPr>
        <w:t>Clear methodology.</w:t>
      </w:r>
    </w:p>
    <w:p w14:paraId="628F9A35" w14:textId="77777777" w:rsidR="003E3E31" w:rsidRPr="002F6AA9" w:rsidRDefault="003E3E31" w:rsidP="00E51DD4">
      <w:pPr>
        <w:pStyle w:val="ListParagraph"/>
        <w:numPr>
          <w:ilvl w:val="0"/>
          <w:numId w:val="53"/>
        </w:numPr>
        <w:rPr>
          <w:rFonts w:ascii="Times New Roman" w:hAnsi="Times New Roman"/>
          <w:sz w:val="16"/>
          <w:szCs w:val="16"/>
        </w:rPr>
      </w:pPr>
      <w:r w:rsidRPr="002F6AA9">
        <w:rPr>
          <w:rFonts w:ascii="Calibri" w:hAnsi="Calibri"/>
          <w:sz w:val="22"/>
          <w:szCs w:val="22"/>
        </w:rPr>
        <w:t>Clearly defined goals.</w:t>
      </w:r>
      <w:r>
        <w:rPr>
          <w:rFonts w:ascii="Calibri" w:hAnsi="Calibri"/>
          <w:sz w:val="22"/>
          <w:szCs w:val="22"/>
        </w:rPr>
        <w:t xml:space="preserve"> </w:t>
      </w:r>
    </w:p>
    <w:p w14:paraId="3A1BBC1F" w14:textId="77777777" w:rsidR="003E3E31" w:rsidRDefault="003E3E31" w:rsidP="003E3E31">
      <w:pPr>
        <w:rPr>
          <w:rFonts w:ascii="Times New Roman" w:hAnsi="Times New Roman"/>
          <w:sz w:val="16"/>
          <w:szCs w:val="16"/>
        </w:rPr>
      </w:pPr>
    </w:p>
    <w:p w14:paraId="550CB512" w14:textId="77777777" w:rsidR="003E3E31" w:rsidRDefault="003E3E31" w:rsidP="003E3E31">
      <w:pPr>
        <w:rPr>
          <w:rFonts w:ascii="Times New Roman" w:hAnsi="Times New Roman"/>
          <w:sz w:val="16"/>
          <w:szCs w:val="16"/>
        </w:rPr>
      </w:pPr>
    </w:p>
    <w:p w14:paraId="638B5C23" w14:textId="77777777" w:rsidR="003E3E31" w:rsidRPr="002F6AA9" w:rsidRDefault="003E3E31" w:rsidP="003E3E31">
      <w:pPr>
        <w:rPr>
          <w:rFonts w:ascii="Calibri" w:hAnsi="Calibri" w:cs="Arial"/>
          <w:lang w:eastAsia="en-GB"/>
        </w:rPr>
      </w:pPr>
      <w:r>
        <w:rPr>
          <w:rFonts w:ascii="Calibri" w:hAnsi="Calibri" w:cs="Arial"/>
          <w:lang w:eastAsia="en-GB"/>
        </w:rPr>
        <w:t xml:space="preserve">The following risks have been identified: </w:t>
      </w:r>
    </w:p>
    <w:p w14:paraId="745A9A6E" w14:textId="77777777" w:rsidR="003E3E31" w:rsidRPr="005B3DDE" w:rsidRDefault="003E3E31" w:rsidP="00E51DD4">
      <w:pPr>
        <w:pStyle w:val="ListParagraph"/>
        <w:numPr>
          <w:ilvl w:val="0"/>
          <w:numId w:val="53"/>
        </w:numPr>
        <w:rPr>
          <w:rFonts w:ascii="Calibri" w:hAnsi="Calibri"/>
          <w:sz w:val="22"/>
          <w:szCs w:val="22"/>
        </w:rPr>
      </w:pPr>
      <w:r>
        <w:rPr>
          <w:rFonts w:ascii="Calibri" w:hAnsi="Calibri"/>
          <w:sz w:val="22"/>
          <w:szCs w:val="22"/>
        </w:rPr>
        <w:lastRenderedPageBreak/>
        <w:t>Low response rate for the interviews.</w:t>
      </w:r>
    </w:p>
    <w:p w14:paraId="52E3677E" w14:textId="77777777" w:rsidR="003E3E31" w:rsidRPr="005B3DDE" w:rsidRDefault="003E3E31" w:rsidP="00E51DD4">
      <w:pPr>
        <w:pStyle w:val="ListParagraph"/>
        <w:numPr>
          <w:ilvl w:val="0"/>
          <w:numId w:val="53"/>
        </w:numPr>
        <w:rPr>
          <w:rFonts w:ascii="Calibri" w:hAnsi="Calibri"/>
          <w:sz w:val="22"/>
          <w:szCs w:val="22"/>
        </w:rPr>
      </w:pPr>
      <w:r>
        <w:rPr>
          <w:rFonts w:ascii="Calibri" w:hAnsi="Calibri"/>
          <w:sz w:val="22"/>
          <w:szCs w:val="22"/>
        </w:rPr>
        <w:t>Access to relevant data. In the event of data not being available as needed, a way forward will need to be discussed and agreed with the steering group.</w:t>
      </w:r>
    </w:p>
    <w:p w14:paraId="33FFFD0B" w14:textId="77777777" w:rsidR="003E3E31" w:rsidRDefault="003E3E31" w:rsidP="003E3E31">
      <w:pPr>
        <w:rPr>
          <w:rFonts w:asciiTheme="minorHAnsi" w:hAnsiTheme="minorHAnsi"/>
          <w:b/>
        </w:rPr>
      </w:pPr>
    </w:p>
    <w:p w14:paraId="076447AC" w14:textId="77777777" w:rsidR="003E3E31" w:rsidRDefault="003E3E31" w:rsidP="00E52B87">
      <w:pPr>
        <w:jc w:val="center"/>
        <w:rPr>
          <w:rFonts w:asciiTheme="minorHAnsi" w:hAnsiTheme="minorHAnsi"/>
          <w:b/>
        </w:rPr>
      </w:pPr>
    </w:p>
    <w:p w14:paraId="0F43F756" w14:textId="77777777" w:rsidR="003E3E31" w:rsidRDefault="003E3E31" w:rsidP="00E52B87">
      <w:pPr>
        <w:jc w:val="center"/>
        <w:rPr>
          <w:rFonts w:asciiTheme="minorHAnsi" w:hAnsiTheme="minorHAnsi"/>
          <w:b/>
        </w:rPr>
      </w:pPr>
    </w:p>
    <w:p w14:paraId="4F615E0D" w14:textId="77777777" w:rsidR="003E3E31" w:rsidRDefault="003E3E31" w:rsidP="00E52B87">
      <w:pPr>
        <w:jc w:val="center"/>
        <w:rPr>
          <w:rFonts w:asciiTheme="minorHAnsi" w:hAnsiTheme="minorHAnsi"/>
          <w:b/>
        </w:rPr>
      </w:pPr>
    </w:p>
    <w:p w14:paraId="6AEE62C3" w14:textId="77777777" w:rsidR="003E3E31" w:rsidRDefault="003E3E31" w:rsidP="00E52B87">
      <w:pPr>
        <w:jc w:val="center"/>
        <w:rPr>
          <w:rFonts w:asciiTheme="minorHAnsi" w:hAnsiTheme="minorHAnsi"/>
          <w:b/>
        </w:rPr>
      </w:pPr>
    </w:p>
    <w:p w14:paraId="471F955E" w14:textId="77777777" w:rsidR="003E3E31" w:rsidRDefault="003E3E31" w:rsidP="00E52B87">
      <w:pPr>
        <w:jc w:val="center"/>
        <w:rPr>
          <w:rFonts w:asciiTheme="minorHAnsi" w:hAnsiTheme="minorHAnsi"/>
          <w:b/>
        </w:rPr>
      </w:pPr>
    </w:p>
    <w:p w14:paraId="107BBC77" w14:textId="77777777" w:rsidR="003E3E31" w:rsidRDefault="003E3E31" w:rsidP="00E52B87">
      <w:pPr>
        <w:jc w:val="center"/>
        <w:rPr>
          <w:rFonts w:asciiTheme="minorHAnsi" w:hAnsiTheme="minorHAnsi"/>
          <w:b/>
        </w:rPr>
      </w:pPr>
    </w:p>
    <w:p w14:paraId="0C6A4C12" w14:textId="77777777" w:rsidR="003E3E31" w:rsidRDefault="003E3E31" w:rsidP="00E52B87">
      <w:pPr>
        <w:jc w:val="center"/>
        <w:rPr>
          <w:rFonts w:asciiTheme="minorHAnsi" w:hAnsiTheme="minorHAnsi"/>
          <w:b/>
        </w:rPr>
      </w:pPr>
    </w:p>
    <w:p w14:paraId="32FBC05F" w14:textId="77777777" w:rsidR="003E3E31" w:rsidRDefault="003E3E31" w:rsidP="00E52B87">
      <w:pPr>
        <w:jc w:val="center"/>
        <w:rPr>
          <w:rFonts w:asciiTheme="minorHAnsi" w:hAnsiTheme="minorHAnsi"/>
          <w:b/>
        </w:rPr>
      </w:pPr>
    </w:p>
    <w:p w14:paraId="11368651" w14:textId="77777777" w:rsidR="003E3E31" w:rsidRDefault="003E3E31" w:rsidP="00E52B87">
      <w:pPr>
        <w:jc w:val="center"/>
        <w:rPr>
          <w:rFonts w:asciiTheme="minorHAnsi" w:hAnsiTheme="minorHAnsi"/>
          <w:b/>
        </w:rPr>
      </w:pPr>
    </w:p>
    <w:p w14:paraId="68514372" w14:textId="77777777" w:rsidR="003E3E31" w:rsidRDefault="003E3E31" w:rsidP="00E52B87">
      <w:pPr>
        <w:jc w:val="center"/>
        <w:rPr>
          <w:rFonts w:asciiTheme="minorHAnsi" w:hAnsiTheme="minorHAnsi"/>
          <w:b/>
        </w:rPr>
      </w:pPr>
    </w:p>
    <w:p w14:paraId="3CE65992" w14:textId="77777777" w:rsidR="003E3E31" w:rsidRDefault="003E3E31" w:rsidP="00E52B87">
      <w:pPr>
        <w:jc w:val="center"/>
        <w:rPr>
          <w:rFonts w:asciiTheme="minorHAnsi" w:hAnsiTheme="minorHAnsi"/>
          <w:b/>
        </w:rPr>
      </w:pPr>
    </w:p>
    <w:p w14:paraId="422D9DD6" w14:textId="77777777" w:rsidR="003E3E31" w:rsidRDefault="003E3E31" w:rsidP="00E52B87">
      <w:pPr>
        <w:jc w:val="center"/>
        <w:rPr>
          <w:rFonts w:asciiTheme="minorHAnsi" w:hAnsiTheme="minorHAnsi"/>
          <w:b/>
        </w:rPr>
      </w:pPr>
    </w:p>
    <w:p w14:paraId="5C634EB9" w14:textId="77777777" w:rsidR="003E3E31" w:rsidRDefault="003E3E31" w:rsidP="00E52B87">
      <w:pPr>
        <w:jc w:val="center"/>
        <w:rPr>
          <w:rFonts w:asciiTheme="minorHAnsi" w:hAnsiTheme="minorHAnsi"/>
          <w:b/>
        </w:rPr>
      </w:pPr>
    </w:p>
    <w:p w14:paraId="442E750A" w14:textId="77777777" w:rsidR="003E3E31" w:rsidRDefault="003E3E31" w:rsidP="00E52B87">
      <w:pPr>
        <w:jc w:val="center"/>
        <w:rPr>
          <w:rFonts w:asciiTheme="minorHAnsi" w:hAnsiTheme="minorHAnsi"/>
          <w:b/>
        </w:rPr>
      </w:pPr>
    </w:p>
    <w:p w14:paraId="2AE7E9C2" w14:textId="77777777" w:rsidR="003E3E31" w:rsidRDefault="003E3E31" w:rsidP="00E52B87">
      <w:pPr>
        <w:jc w:val="center"/>
        <w:rPr>
          <w:rFonts w:asciiTheme="minorHAnsi" w:hAnsiTheme="minorHAnsi"/>
          <w:b/>
        </w:rPr>
      </w:pPr>
    </w:p>
    <w:p w14:paraId="2932F1A3" w14:textId="77777777" w:rsidR="003E3E31" w:rsidRDefault="003E3E31" w:rsidP="003E3E31">
      <w:pPr>
        <w:rPr>
          <w:rFonts w:asciiTheme="minorHAnsi" w:hAnsiTheme="minorHAnsi"/>
          <w:b/>
        </w:rPr>
      </w:pPr>
    </w:p>
    <w:p w14:paraId="706CDEB6" w14:textId="02419662" w:rsidR="00E52B87" w:rsidRPr="008A1B60" w:rsidRDefault="00E52B87" w:rsidP="00E52B87">
      <w:pPr>
        <w:jc w:val="center"/>
        <w:rPr>
          <w:rFonts w:asciiTheme="minorHAnsi" w:hAnsiTheme="minorHAnsi"/>
          <w:b/>
        </w:rPr>
      </w:pPr>
      <w:r w:rsidRPr="008A1B60">
        <w:rPr>
          <w:rFonts w:asciiTheme="minorHAnsi" w:hAnsiTheme="minorHAnsi"/>
          <w:b/>
        </w:rPr>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lastRenderedPageBreak/>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0603CB">
        <w:rPr>
          <w:rFonts w:asciiTheme="minorHAnsi" w:hAnsiTheme="minorHAnsi" w:cs="Arial"/>
          <w:b/>
          <w:bCs/>
          <w:sz w:val="22"/>
          <w:szCs w:val="22"/>
        </w:rPr>
      </w:r>
      <w:r w:rsidR="000603CB">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0603CB"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5621D" w14:textId="77777777" w:rsidR="00E51DD4" w:rsidRDefault="00E51DD4" w:rsidP="0003785D">
      <w:r>
        <w:separator/>
      </w:r>
    </w:p>
  </w:endnote>
  <w:endnote w:type="continuationSeparator" w:id="0">
    <w:p w14:paraId="1E937D18" w14:textId="77777777" w:rsidR="00E51DD4" w:rsidRDefault="00E51DD4"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18A8ED7F" w:rsidR="007014DB" w:rsidRDefault="00701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3CB">
      <w:rPr>
        <w:rStyle w:val="PageNumber"/>
        <w:noProof/>
      </w:rPr>
      <w:t>4</w:t>
    </w:r>
    <w:r>
      <w:rPr>
        <w:rStyle w:val="PageNumber"/>
      </w:rPr>
      <w:fldChar w:fldCharType="end"/>
    </w:r>
  </w:p>
  <w:p w14:paraId="2A2B9D60" w14:textId="77777777" w:rsidR="007014DB" w:rsidRDefault="0070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59EFEFBA" w:rsidR="007014DB" w:rsidRPr="00F735CB" w:rsidRDefault="007014DB"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603CB">
      <w:rPr>
        <w:caps/>
        <w:noProof/>
        <w:color w:val="5B9BD5" w:themeColor="accent1"/>
      </w:rPr>
      <w:t>21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7014DB" w:rsidRDefault="007014D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7014DB" w:rsidRDefault="00701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199042ED" w:rsidR="007014DB" w:rsidRDefault="007014DB" w:rsidP="00674166">
    <w:pPr>
      <w:pStyle w:val="FooterLeft"/>
    </w:pPr>
    <w:r>
      <w:fldChar w:fldCharType="begin"/>
    </w:r>
    <w:r>
      <w:instrText xml:space="preserve"> PAGE   \* MERGEFORMAT </w:instrText>
    </w:r>
    <w:r>
      <w:fldChar w:fldCharType="separate"/>
    </w:r>
    <w:r w:rsidR="000603CB">
      <w:rPr>
        <w:noProof/>
      </w:rPr>
      <w:t>36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50D03A50" w:rsidR="007014DB" w:rsidRDefault="007014DB" w:rsidP="00674166">
    <w:pPr>
      <w:pStyle w:val="FooterRight"/>
    </w:pPr>
    <w:r>
      <w:fldChar w:fldCharType="begin"/>
    </w:r>
    <w:r>
      <w:instrText xml:space="preserve"> PAGE   \* MERGEFORMAT </w:instrText>
    </w:r>
    <w:r>
      <w:fldChar w:fldCharType="separate"/>
    </w:r>
    <w:r w:rsidR="000603CB">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D33F" w14:textId="77777777" w:rsidR="00E51DD4" w:rsidRDefault="00E51DD4" w:rsidP="0003785D">
      <w:r>
        <w:separator/>
      </w:r>
    </w:p>
  </w:footnote>
  <w:footnote w:type="continuationSeparator" w:id="0">
    <w:p w14:paraId="14B9129F" w14:textId="77777777" w:rsidR="00E51DD4" w:rsidRDefault="00E51DD4" w:rsidP="0003785D">
      <w:r>
        <w:continuationSeparator/>
      </w:r>
    </w:p>
  </w:footnote>
  <w:footnote w:id="1">
    <w:p w14:paraId="79063E96" w14:textId="77777777" w:rsidR="003E3E31" w:rsidRDefault="003E3E31" w:rsidP="003E3E31">
      <w:pPr>
        <w:pStyle w:val="FootnoteText"/>
      </w:pPr>
      <w:r>
        <w:rPr>
          <w:rStyle w:val="FootnoteReference"/>
        </w:rPr>
        <w:footnoteRef/>
      </w:r>
      <w:r>
        <w:t xml:space="preserve"> </w:t>
      </w:r>
      <w:hyperlink r:id="rId1" w:history="1">
        <w:r w:rsidRPr="00A256F3">
          <w:rPr>
            <w:rStyle w:val="Hyperlink"/>
          </w:rPr>
          <w:t>RSSB, Innovation in Risk Averse Industries, 2016</w:t>
        </w:r>
      </w:hyperlink>
    </w:p>
  </w:footnote>
  <w:footnote w:id="2">
    <w:p w14:paraId="383B7734" w14:textId="77777777" w:rsidR="007014DB" w:rsidRPr="00B13B50" w:rsidRDefault="007014DB"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7014DB" w:rsidRDefault="007014DB">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7014DB" w:rsidRDefault="007014D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7014DB" w:rsidRDefault="007014DB"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7014DB" w:rsidRPr="0003785D" w:rsidRDefault="007014DB"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C530054"/>
    <w:multiLevelType w:val="hybridMultilevel"/>
    <w:tmpl w:val="6E5C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66AD3"/>
    <w:multiLevelType w:val="hybridMultilevel"/>
    <w:tmpl w:val="8C8430F2"/>
    <w:lvl w:ilvl="0" w:tplc="572490EE">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50C6908"/>
    <w:multiLevelType w:val="hybridMultilevel"/>
    <w:tmpl w:val="281887D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5863B52"/>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A16421A"/>
    <w:multiLevelType w:val="hybridMultilevel"/>
    <w:tmpl w:val="64E64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3C3F0E"/>
    <w:multiLevelType w:val="hybridMultilevel"/>
    <w:tmpl w:val="73F2A0DA"/>
    <w:lvl w:ilvl="0" w:tplc="62888908">
      <w:start w:val="1"/>
      <w:numFmt w:val="bullet"/>
      <w:lvlText w:val=""/>
      <w:lvlJc w:val="left"/>
      <w:pPr>
        <w:ind w:left="1174" w:hanging="360"/>
      </w:pPr>
      <w:rPr>
        <w:rFonts w:ascii="Symbol" w:hAnsi="Symbol" w:hint="default"/>
        <w:color w:val="auto"/>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2"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2F648CE"/>
    <w:multiLevelType w:val="hybridMultilevel"/>
    <w:tmpl w:val="8B14E59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C171A4"/>
    <w:multiLevelType w:val="hybridMultilevel"/>
    <w:tmpl w:val="056C6BFC"/>
    <w:lvl w:ilvl="0" w:tplc="E454E6B0">
      <w:start w:val="1"/>
      <w:numFmt w:val="bullet"/>
      <w:lvlText w:val="•"/>
      <w:lvlJc w:val="left"/>
      <w:pPr>
        <w:ind w:left="720" w:hanging="360"/>
      </w:pPr>
      <w:rPr>
        <w:rFonts w:ascii="Calibri" w:hAnsi="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9E59FB"/>
    <w:multiLevelType w:val="hybridMultilevel"/>
    <w:tmpl w:val="82DE2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1" w15:restartNumberingAfterBreak="0">
    <w:nsid w:val="49516B7B"/>
    <w:multiLevelType w:val="hybridMultilevel"/>
    <w:tmpl w:val="3AEE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C251A4"/>
    <w:multiLevelType w:val="hybridMultilevel"/>
    <w:tmpl w:val="CD96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D554D6"/>
    <w:multiLevelType w:val="hybridMultilevel"/>
    <w:tmpl w:val="94D05EC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B97CF6"/>
    <w:multiLevelType w:val="hybridMultilevel"/>
    <w:tmpl w:val="6FE28B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45094F"/>
    <w:multiLevelType w:val="hybridMultilevel"/>
    <w:tmpl w:val="9A6813C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8502DA0"/>
    <w:multiLevelType w:val="hybridMultilevel"/>
    <w:tmpl w:val="1B2E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9740FC2"/>
    <w:multiLevelType w:val="hybridMultilevel"/>
    <w:tmpl w:val="58B69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3F1A7C"/>
    <w:multiLevelType w:val="hybridMultilevel"/>
    <w:tmpl w:val="7E2C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2A05D9"/>
    <w:multiLevelType w:val="hybridMultilevel"/>
    <w:tmpl w:val="127EBD86"/>
    <w:lvl w:ilvl="0" w:tplc="51605B04">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1"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3"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51E78"/>
    <w:multiLevelType w:val="hybridMultilevel"/>
    <w:tmpl w:val="D2F0D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B7B13"/>
    <w:multiLevelType w:val="hybridMultilevel"/>
    <w:tmpl w:val="3470071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8"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0"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3"/>
  </w:num>
  <w:num w:numId="3">
    <w:abstractNumId w:val="14"/>
  </w:num>
  <w:num w:numId="4">
    <w:abstractNumId w:val="29"/>
  </w:num>
  <w:num w:numId="5">
    <w:abstractNumId w:val="51"/>
  </w:num>
  <w:num w:numId="6">
    <w:abstractNumId w:val="0"/>
  </w:num>
  <w:num w:numId="7">
    <w:abstractNumId w:val="57"/>
  </w:num>
  <w:num w:numId="8">
    <w:abstractNumId w:val="50"/>
  </w:num>
  <w:num w:numId="9">
    <w:abstractNumId w:val="1"/>
  </w:num>
  <w:num w:numId="10">
    <w:abstractNumId w:val="30"/>
  </w:num>
  <w:num w:numId="11">
    <w:abstractNumId w:val="59"/>
  </w:num>
  <w:num w:numId="12">
    <w:abstractNumId w:val="3"/>
  </w:num>
  <w:num w:numId="13">
    <w:abstractNumId w:val="58"/>
  </w:num>
  <w:num w:numId="14">
    <w:abstractNumId w:val="37"/>
  </w:num>
  <w:num w:numId="15">
    <w:abstractNumId w:val="34"/>
  </w:num>
  <w:num w:numId="16">
    <w:abstractNumId w:val="6"/>
  </w:num>
  <w:num w:numId="17">
    <w:abstractNumId w:val="7"/>
  </w:num>
  <w:num w:numId="18">
    <w:abstractNumId w:val="48"/>
  </w:num>
  <w:num w:numId="19">
    <w:abstractNumId w:val="10"/>
  </w:num>
  <w:num w:numId="20">
    <w:abstractNumId w:val="25"/>
  </w:num>
  <w:num w:numId="21">
    <w:abstractNumId w:val="26"/>
  </w:num>
  <w:num w:numId="22">
    <w:abstractNumId w:val="35"/>
  </w:num>
  <w:num w:numId="23">
    <w:abstractNumId w:val="4"/>
  </w:num>
  <w:num w:numId="24">
    <w:abstractNumId w:val="60"/>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55"/>
  </w:num>
  <w:num w:numId="34">
    <w:abstractNumId w:val="5"/>
  </w:num>
  <w:num w:numId="35">
    <w:abstractNumId w:val="46"/>
  </w:num>
  <w:num w:numId="36">
    <w:abstractNumId w:val="17"/>
  </w:num>
  <w:num w:numId="37">
    <w:abstractNumId w:val="9"/>
  </w:num>
  <w:num w:numId="38">
    <w:abstractNumId w:val="53"/>
  </w:num>
  <w:num w:numId="39">
    <w:abstractNumId w:val="16"/>
  </w:num>
  <w:num w:numId="40">
    <w:abstractNumId w:val="52"/>
  </w:num>
  <w:num w:numId="41">
    <w:abstractNumId w:val="36"/>
  </w:num>
  <w:num w:numId="42">
    <w:abstractNumId w:val="13"/>
  </w:num>
  <w:num w:numId="43">
    <w:abstractNumId w:val="21"/>
  </w:num>
  <w:num w:numId="44">
    <w:abstractNumId w:val="20"/>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8"/>
  </w:num>
  <w:num w:numId="48">
    <w:abstractNumId w:val="40"/>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22"/>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8"/>
  </w:num>
  <w:num w:numId="55">
    <w:abstractNumId w:val="42"/>
  </w:num>
  <w:num w:numId="56">
    <w:abstractNumId w:val="31"/>
  </w:num>
  <w:num w:numId="57">
    <w:abstractNumId w:val="11"/>
  </w:num>
  <w:num w:numId="58">
    <w:abstractNumId w:val="32"/>
  </w:num>
  <w:num w:numId="59">
    <w:abstractNumId w:val="39"/>
  </w:num>
  <w:num w:numId="60">
    <w:abstractNumId w:val="56"/>
  </w:num>
  <w:num w:numId="61">
    <w:abstractNumId w:val="43"/>
  </w:num>
  <w:num w:numId="62">
    <w:abstractNumId w:val="54"/>
  </w:num>
  <w:num w:numId="63">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87"/>
    <w:rsid w:val="000140D4"/>
    <w:rsid w:val="00015775"/>
    <w:rsid w:val="0003785D"/>
    <w:rsid w:val="000472B8"/>
    <w:rsid w:val="0005275F"/>
    <w:rsid w:val="000603CB"/>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45FD3"/>
    <w:rsid w:val="00351003"/>
    <w:rsid w:val="00396EDA"/>
    <w:rsid w:val="00397F46"/>
    <w:rsid w:val="003A7C7B"/>
    <w:rsid w:val="003E0CE2"/>
    <w:rsid w:val="003E3E31"/>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748B3"/>
    <w:rsid w:val="005830C1"/>
    <w:rsid w:val="005C1DDB"/>
    <w:rsid w:val="005E0FA3"/>
    <w:rsid w:val="005F1D65"/>
    <w:rsid w:val="006064D2"/>
    <w:rsid w:val="00620FA0"/>
    <w:rsid w:val="0062110D"/>
    <w:rsid w:val="00674166"/>
    <w:rsid w:val="006C73E8"/>
    <w:rsid w:val="006D1C93"/>
    <w:rsid w:val="006E2708"/>
    <w:rsid w:val="007014DB"/>
    <w:rsid w:val="00705233"/>
    <w:rsid w:val="007135E2"/>
    <w:rsid w:val="0072045A"/>
    <w:rsid w:val="00721EA4"/>
    <w:rsid w:val="00722CCB"/>
    <w:rsid w:val="0072579B"/>
    <w:rsid w:val="0072709F"/>
    <w:rsid w:val="007B3B84"/>
    <w:rsid w:val="007C61C6"/>
    <w:rsid w:val="00801CC8"/>
    <w:rsid w:val="008234CC"/>
    <w:rsid w:val="00823AFA"/>
    <w:rsid w:val="00833C7A"/>
    <w:rsid w:val="00846110"/>
    <w:rsid w:val="00856404"/>
    <w:rsid w:val="00857AA1"/>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25135"/>
    <w:rsid w:val="00B34E30"/>
    <w:rsid w:val="00B928F8"/>
    <w:rsid w:val="00B9637C"/>
    <w:rsid w:val="00BA0F7B"/>
    <w:rsid w:val="00BB37E9"/>
    <w:rsid w:val="00BC31A4"/>
    <w:rsid w:val="00BC4A28"/>
    <w:rsid w:val="00BE38C8"/>
    <w:rsid w:val="00C15913"/>
    <w:rsid w:val="00C411AA"/>
    <w:rsid w:val="00C574D8"/>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1DD4"/>
    <w:rsid w:val="00E52B87"/>
    <w:rsid w:val="00E615FD"/>
    <w:rsid w:val="00E62A97"/>
    <w:rsid w:val="00E63F40"/>
    <w:rsid w:val="00E771A4"/>
    <w:rsid w:val="00E958C1"/>
    <w:rsid w:val="00EC2C5A"/>
    <w:rsid w:val="00EF675F"/>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077243595">
      <w:bodyDiv w:val="1"/>
      <w:marLeft w:val="0"/>
      <w:marRight w:val="0"/>
      <w:marTop w:val="0"/>
      <w:marBottom w:val="0"/>
      <w:divBdr>
        <w:top w:val="none" w:sz="0" w:space="0" w:color="auto"/>
        <w:left w:val="none" w:sz="0" w:space="0" w:color="auto"/>
        <w:bottom w:val="none" w:sz="0" w:space="0" w:color="auto"/>
        <w:right w:val="none" w:sz="0" w:space="0" w:color="auto"/>
      </w:divBdr>
    </w:div>
    <w:div w:id="10829867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33384150">
      <w:bodyDiv w:val="1"/>
      <w:marLeft w:val="0"/>
      <w:marRight w:val="0"/>
      <w:marTop w:val="0"/>
      <w:marBottom w:val="0"/>
      <w:divBdr>
        <w:top w:val="none" w:sz="0" w:space="0" w:color="auto"/>
        <w:left w:val="none" w:sz="0" w:space="0" w:color="auto"/>
        <w:bottom w:val="none" w:sz="0" w:space="0" w:color="auto"/>
        <w:right w:val="none" w:sz="0" w:space="0" w:color="auto"/>
      </w:divBdr>
    </w:div>
    <w:div w:id="1887520761">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ssb.co.uk/Library/groups-and-committees/2015-12-08-report-rssb-uk-rail-supply-swot-fourth-draft-submitte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www.sparkrail.org/Lists/Records/DispForm.aspx?ID=2433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de2167-70f8-47e2-931a-184d91a66223"/>
    <ds:schemaRef ds:uri="http://www.w3.org/XML/1998/namespace"/>
    <ds:schemaRef ds:uri="http://purl.org/dc/dcmitype/"/>
  </ds:schemaRefs>
</ds:datastoreItem>
</file>

<file path=customXml/itemProps4.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39879-B3B3-4116-A262-23A524A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37</Pages>
  <Words>8029</Words>
  <Characters>45766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2</cp:revision>
  <dcterms:created xsi:type="dcterms:W3CDTF">2017-12-22T09:49:00Z</dcterms:created>
  <dcterms:modified xsi:type="dcterms:W3CDTF">2017-12-22T09:49:00Z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