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353" w:rsidRDefault="000971EB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</w:rPr>
        <w:t>Southerns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Broadstock</w:t>
      </w:r>
      <w:proofErr w:type="spellEnd"/>
      <w:r>
        <w:rPr>
          <w:rFonts w:ascii="Arial" w:eastAsia="Arial" w:hAnsi="Arial" w:cs="Arial"/>
        </w:rPr>
        <w:t xml:space="preserve"> Office Furniture Limited</w:t>
      </w:r>
      <w:r>
        <w:rPr>
          <w:rFonts w:ascii="Arial" w:eastAsia="Arial" w:hAnsi="Arial" w:cs="Arial"/>
        </w:rPr>
        <w:br/>
        <w:t>Lyme Green Business Park, Brunel Road, Macclesfield, SK11 0TA</w:t>
      </w:r>
    </w:p>
    <w:p w:rsidR="001B7353" w:rsidRDefault="001B7353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1B7353" w:rsidRDefault="001B7353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1B7353" w:rsidRDefault="001B7353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636635" w:rsidRDefault="000971EB" w:rsidP="00636635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  <w:shd w:val="clear" w:color="auto" w:fill="A4C2F4"/>
        </w:rPr>
      </w:pPr>
      <w:r>
        <w:rPr>
          <w:rFonts w:ascii="Arial" w:eastAsia="Arial" w:hAnsi="Arial" w:cs="Arial"/>
        </w:rPr>
        <w:t xml:space="preserve">Attn:  </w:t>
      </w:r>
      <w:bookmarkStart w:id="1" w:name="bookmark=kix.pxfd90shfi6l" w:colFirst="0" w:colLast="0"/>
      <w:bookmarkStart w:id="2" w:name="bookmark=kix.6y8ycd1lkydz" w:colFirst="0" w:colLast="0"/>
      <w:bookmarkEnd w:id="1"/>
      <w:bookmarkEnd w:id="2"/>
      <w:r w:rsidR="00636635">
        <w:rPr>
          <w:rFonts w:ascii="Arial" w:hAnsi="Arial" w:cs="Arial"/>
          <w:color w:val="000000"/>
          <w:shd w:val="clear" w:color="auto" w:fill="FFFF00"/>
        </w:rPr>
        <w:t>Redacted – FOI Section 40 Personal Information</w:t>
      </w:r>
    </w:p>
    <w:p w:rsidR="00636635" w:rsidRDefault="00636635" w:rsidP="0063663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1B7353" w:rsidRDefault="00636635" w:rsidP="0063663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0971EB">
        <w:rPr>
          <w:rFonts w:ascii="Arial" w:eastAsia="Arial" w:hAnsi="Arial" w:cs="Arial"/>
        </w:rPr>
        <w:t>Date: Friday 22nd July 2022</w:t>
      </w:r>
    </w:p>
    <w:p w:rsidR="001B7353" w:rsidRDefault="000971EB">
      <w:pPr>
        <w:spacing w:after="120"/>
        <w:ind w:left="5760" w:right="3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ontract reference: CCFR22A02</w:t>
      </w:r>
    </w:p>
    <w:p w:rsidR="001B7353" w:rsidRDefault="001B7353">
      <w:pPr>
        <w:spacing w:after="120"/>
        <w:jc w:val="both"/>
        <w:rPr>
          <w:rFonts w:ascii="Arial" w:eastAsia="Arial" w:hAnsi="Arial" w:cs="Arial"/>
        </w:rPr>
      </w:pPr>
    </w:p>
    <w:p w:rsidR="001B7353" w:rsidRDefault="000971EB">
      <w:pPr>
        <w:spacing w:after="120"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>Dear Mark,</w:t>
      </w:r>
    </w:p>
    <w:p w:rsidR="001B7353" w:rsidRDefault="001B73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1B7353" w:rsidRDefault="000971EB">
      <w:pPr>
        <w:spacing w:after="120"/>
        <w:jc w:val="both"/>
        <w:rPr>
          <w:rFonts w:ascii="Arial" w:eastAsia="Arial" w:hAnsi="Arial" w:cs="Arial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  <w:b/>
          <w:u w:val="single"/>
        </w:rPr>
        <w:t>Contract for the Provision of GPA Short Term Furniture Requirement</w:t>
      </w:r>
    </w:p>
    <w:p w:rsidR="001B7353" w:rsidRDefault="001B73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1B7353" w:rsidRDefault="000971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Further to your submission </w:t>
      </w:r>
      <w:r>
        <w:rPr>
          <w:rFonts w:ascii="Arial" w:eastAsia="Arial" w:hAnsi="Arial" w:cs="Arial"/>
        </w:rPr>
        <w:t>of a bid for the above Procurement, on behalf of The Government Property Agency (the “Authority”), I am p</w:t>
      </w:r>
      <w:r>
        <w:rPr>
          <w:rFonts w:ascii="Arial" w:eastAsia="Arial" w:hAnsi="Arial" w:cs="Arial"/>
          <w:color w:val="000000"/>
        </w:rPr>
        <w:t xml:space="preserve">leased to inform you that you ranked </w:t>
      </w:r>
      <w:r>
        <w:rPr>
          <w:rFonts w:ascii="Arial" w:eastAsia="Arial" w:hAnsi="Arial" w:cs="Arial"/>
        </w:rPr>
        <w:t xml:space="preserve">third (3rd) </w:t>
      </w:r>
      <w:r>
        <w:rPr>
          <w:rFonts w:ascii="Arial" w:eastAsia="Arial" w:hAnsi="Arial" w:cs="Arial"/>
          <w:color w:val="000000"/>
        </w:rPr>
        <w:t xml:space="preserve">in our evaluation and therefore we would like to award the contract to you. </w:t>
      </w:r>
    </w:p>
    <w:p w:rsidR="001B7353" w:rsidRDefault="001B7353">
      <w:pPr>
        <w:spacing w:after="0" w:line="240" w:lineRule="auto"/>
        <w:jc w:val="both"/>
        <w:rPr>
          <w:rFonts w:ascii="Arial" w:eastAsia="Arial" w:hAnsi="Arial" w:cs="Arial"/>
        </w:rPr>
      </w:pPr>
    </w:p>
    <w:p w:rsidR="001B7353" w:rsidRDefault="000971E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:rsidR="001B7353" w:rsidRDefault="001B7353">
      <w:pPr>
        <w:spacing w:after="0" w:line="240" w:lineRule="auto"/>
        <w:jc w:val="both"/>
        <w:rPr>
          <w:rFonts w:ascii="Arial" w:eastAsia="Arial" w:hAnsi="Arial" w:cs="Arial"/>
        </w:rPr>
      </w:pPr>
    </w:p>
    <w:p w:rsidR="001B7353" w:rsidRDefault="000971E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Details of the successful suppliers awarded the contract for the Taxi Rank (rotating supplier</w:t>
      </w:r>
    </w:p>
    <w:p w:rsidR="001B7353" w:rsidRDefault="000971E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operating mode</w:t>
      </w:r>
      <w:r>
        <w:rPr>
          <w:rFonts w:ascii="Arial" w:eastAsia="Arial" w:hAnsi="Arial" w:cs="Arial"/>
        </w:rPr>
        <w:t>l), including your position in the Taxi Rank, is set out in Annex 1 of this letter.</w:t>
      </w:r>
    </w:p>
    <w:p w:rsidR="001B7353" w:rsidRDefault="001B7353">
      <w:pPr>
        <w:spacing w:after="0" w:line="240" w:lineRule="auto"/>
        <w:jc w:val="both"/>
        <w:rPr>
          <w:rFonts w:ascii="Arial" w:eastAsia="Arial" w:hAnsi="Arial" w:cs="Arial"/>
        </w:rPr>
      </w:pPr>
    </w:p>
    <w:p w:rsidR="001B7353" w:rsidRDefault="000971E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on the 27th day of July 2022 and the Expiry Date will be 26th day of July 2023. The Contracting Authority reserves the option to exten</w:t>
      </w:r>
      <w:r>
        <w:rPr>
          <w:rFonts w:ascii="Arial" w:eastAsia="Arial" w:hAnsi="Arial" w:cs="Arial"/>
        </w:rPr>
        <w:t>d the call-off contract by 2 periods of 12 months. The maximum contract value shall be £2,666,666.66 excluding VAT including all extension options.</w:t>
      </w:r>
    </w:p>
    <w:p w:rsidR="001B7353" w:rsidRDefault="001B7353">
      <w:pPr>
        <w:spacing w:after="0" w:line="240" w:lineRule="auto"/>
        <w:jc w:val="both"/>
        <w:rPr>
          <w:rFonts w:ascii="Arial" w:eastAsia="Arial" w:hAnsi="Arial" w:cs="Arial"/>
        </w:rPr>
      </w:pPr>
    </w:p>
    <w:p w:rsidR="001B7353" w:rsidRDefault="000971E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activity was a Call Off under Commercial Agreement RM6119, Furniture &amp; Associated Services</w:t>
      </w:r>
      <w:r>
        <w:rPr>
          <w:rFonts w:ascii="Arial" w:eastAsia="Arial" w:hAnsi="Arial" w:cs="Arial"/>
        </w:rPr>
        <w:t xml:space="preserve">, Lot 8 Hubs Furniture and the Commercial Agreement Terms and Conditions shall apply. A copy of the contract is provided with this Award Letter and includes those terms and conditions. </w:t>
      </w:r>
    </w:p>
    <w:p w:rsidR="001B7353" w:rsidRDefault="001B7353">
      <w:pPr>
        <w:spacing w:after="0" w:line="240" w:lineRule="auto"/>
        <w:jc w:val="both"/>
        <w:rPr>
          <w:rFonts w:ascii="Arial" w:eastAsia="Arial" w:hAnsi="Arial" w:cs="Arial"/>
        </w:rPr>
      </w:pPr>
    </w:p>
    <w:p w:rsidR="001B7353" w:rsidRDefault="000971E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Order Form (Attachment 5) and forward to the</w:t>
      </w:r>
      <w:r>
        <w:rPr>
          <w:rFonts w:ascii="Arial" w:eastAsia="Arial" w:hAnsi="Arial" w:cs="Arial"/>
        </w:rPr>
        <w:t xml:space="preserve"> Procurement Lead electronically via the e-Sourcing Suites’ messaging service by 15:00 Tuesday 26th July 2022. You are reminded that no engagement with the Contracting Authority is permitted until a copy of the signed contract is received.</w:t>
      </w:r>
    </w:p>
    <w:p w:rsidR="001B7353" w:rsidRDefault="001B7353">
      <w:pPr>
        <w:rPr>
          <w:rFonts w:ascii="Arial" w:eastAsia="Arial" w:hAnsi="Arial" w:cs="Arial"/>
        </w:rPr>
      </w:pPr>
    </w:p>
    <w:p w:rsidR="001B7353" w:rsidRDefault="000971E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copy signed o</w:t>
      </w:r>
      <w:r>
        <w:rPr>
          <w:rFonts w:ascii="Arial" w:eastAsia="Arial" w:hAnsi="Arial" w:cs="Arial"/>
        </w:rPr>
        <w:t xml:space="preserve">n behalf of the Contracting Authority will be returned for your records. </w:t>
      </w:r>
    </w:p>
    <w:p w:rsidR="001B7353" w:rsidRDefault="001B73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1B7353" w:rsidRDefault="000971EB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Should you have any queries regarding this or any other matter please do not hesitate to contact me.</w:t>
      </w:r>
    </w:p>
    <w:p w:rsidR="001B7353" w:rsidRDefault="001B7353">
      <w:pPr>
        <w:spacing w:after="0" w:line="240" w:lineRule="auto"/>
        <w:jc w:val="both"/>
        <w:rPr>
          <w:rFonts w:ascii="Arial" w:eastAsia="Arial" w:hAnsi="Arial" w:cs="Arial"/>
        </w:rPr>
      </w:pPr>
    </w:p>
    <w:p w:rsidR="001B7353" w:rsidRDefault="000971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Yours faithfully,</w:t>
      </w:r>
    </w:p>
    <w:p w:rsidR="00636635" w:rsidRDefault="00636635" w:rsidP="00636635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  <w:shd w:val="clear" w:color="auto" w:fill="A4C2F4"/>
        </w:rPr>
      </w:pPr>
      <w:r>
        <w:rPr>
          <w:rFonts w:ascii="Arial" w:hAnsi="Arial" w:cs="Arial"/>
          <w:color w:val="000000"/>
          <w:shd w:val="clear" w:color="auto" w:fill="FFFF00"/>
        </w:rPr>
        <w:t>Redacted – FOI Section 40 Personal Information</w:t>
      </w:r>
    </w:p>
    <w:tbl>
      <w:tblPr>
        <w:tblStyle w:val="a3"/>
        <w:tblW w:w="87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1B7353">
        <w:trPr>
          <w:cantSplit/>
        </w:trPr>
        <w:tc>
          <w:tcPr>
            <w:tcW w:w="8748" w:type="dxa"/>
            <w:gridSpan w:val="2"/>
          </w:tcPr>
          <w:p w:rsidR="001B7353" w:rsidRDefault="001B7353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bookmarkStart w:id="4" w:name="_GoBack"/>
            <w:bookmarkEnd w:id="4"/>
          </w:p>
        </w:tc>
      </w:tr>
      <w:tr w:rsidR="001B7353">
        <w:tc>
          <w:tcPr>
            <w:tcW w:w="5812" w:type="dxa"/>
          </w:tcPr>
          <w:p w:rsidR="001B7353" w:rsidRDefault="001B7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4"/>
              <w:tblW w:w="8745" w:type="dxa"/>
              <w:tblInd w:w="108" w:type="dxa"/>
              <w:tblLayout w:type="fixed"/>
              <w:tblLook w:val="0400" w:firstRow="0" w:lastRow="0" w:firstColumn="0" w:lastColumn="0" w:noHBand="0" w:noVBand="1"/>
            </w:tblPr>
            <w:tblGrid>
              <w:gridCol w:w="5810"/>
              <w:gridCol w:w="2935"/>
            </w:tblGrid>
            <w:tr w:rsidR="001B7353">
              <w:tc>
                <w:tcPr>
                  <w:tcW w:w="5810" w:type="dxa"/>
                </w:tcPr>
                <w:p w:rsidR="001B7353" w:rsidRDefault="000971EB">
                  <w:pPr>
                    <w:spacing w:after="120"/>
                    <w:ind w:right="3"/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Annex 1: Taxi Rank (rotating supplier operating model)</w:t>
                  </w:r>
                </w:p>
                <w:p w:rsidR="001B7353" w:rsidRDefault="001B7353">
                  <w:pPr>
                    <w:spacing w:after="120"/>
                    <w:ind w:right="3"/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  <w:tbl>
                  <w:tblPr>
                    <w:tblStyle w:val="a5"/>
                    <w:tblW w:w="557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114"/>
                    <w:gridCol w:w="1114"/>
                    <w:gridCol w:w="1114"/>
                    <w:gridCol w:w="1115"/>
                    <w:gridCol w:w="1115"/>
                  </w:tblGrid>
                  <w:tr w:rsidR="001B7353"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Supplier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Weighted Technical Score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Weighted Commercial Score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Total Weighted Score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Rank (Taxi Rank Position)</w:t>
                        </w:r>
                      </w:p>
                    </w:tc>
                  </w:tr>
                  <w:tr w:rsidR="001B7353"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Senator International Limited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66.43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28.251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94.681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1B7353"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Wagstaff Bros Limited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t>53.17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t>27.402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t>80.567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 w:rsidR="001B7353"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Southerns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Broadstock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 Office Furniture Limited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t>53.38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t>25.932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t>79.307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B7353" w:rsidRDefault="000971EB">
                        <w:pPr>
                          <w:spacing w:after="120"/>
                          <w:ind w:right="3"/>
                          <w:jc w:val="both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</w:tbl>
                <w:p w:rsidR="001B7353" w:rsidRDefault="001B7353">
                  <w:pPr>
                    <w:spacing w:after="120"/>
                    <w:ind w:right="3"/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2935" w:type="dxa"/>
                </w:tcPr>
                <w:p w:rsidR="001B7353" w:rsidRDefault="001B7353">
                  <w:pPr>
                    <w:spacing w:after="120"/>
                    <w:ind w:right="3"/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:rsidR="001B7353" w:rsidRDefault="001B7353">
            <w:pPr>
              <w:shd w:val="clear" w:color="auto" w:fill="FFFFFF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:rsidR="001B7353" w:rsidRDefault="001B7353">
            <w:pPr>
              <w:spacing w:after="120"/>
              <w:ind w:right="3"/>
              <w:rPr>
                <w:rFonts w:ascii="Arial" w:eastAsia="Arial" w:hAnsi="Arial" w:cs="Arial"/>
              </w:rPr>
            </w:pPr>
            <w:bookmarkStart w:id="5" w:name="_heading=h.30j0zll" w:colFirst="0" w:colLast="0"/>
            <w:bookmarkEnd w:id="5"/>
          </w:p>
        </w:tc>
      </w:tr>
      <w:tr w:rsidR="001B7353">
        <w:tc>
          <w:tcPr>
            <w:tcW w:w="5812" w:type="dxa"/>
          </w:tcPr>
          <w:p w:rsidR="001B7353" w:rsidRDefault="001B7353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:rsidR="001B7353" w:rsidRDefault="001B7353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1B7353">
        <w:tc>
          <w:tcPr>
            <w:tcW w:w="5812" w:type="dxa"/>
          </w:tcPr>
          <w:p w:rsidR="001B7353" w:rsidRDefault="001B7353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:rsidR="001B7353" w:rsidRDefault="001B7353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1B7353" w:rsidRDefault="001B7353"/>
    <w:sectPr w:rsidR="001B735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1EB" w:rsidRDefault="000971EB">
      <w:pPr>
        <w:spacing w:after="0" w:line="240" w:lineRule="auto"/>
      </w:pPr>
      <w:r>
        <w:separator/>
      </w:r>
    </w:p>
  </w:endnote>
  <w:endnote w:type="continuationSeparator" w:id="0">
    <w:p w:rsidR="000971EB" w:rsidRDefault="0009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353" w:rsidRDefault="000971E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1B7353" w:rsidRDefault="000971E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</w:t>
    </w:r>
    <w:r>
      <w:rPr>
        <w:rFonts w:ascii="Arial" w:eastAsia="Arial" w:hAnsi="Arial" w:cs="Arial"/>
        <w:sz w:val="20"/>
        <w:szCs w:val="20"/>
      </w:rPr>
      <w:t xml:space="preserve"> 22/07/2022</w:t>
    </w:r>
  </w:p>
  <w:p w:rsidR="001B7353" w:rsidRDefault="000971E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1B7353" w:rsidRDefault="001B7353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1B7353" w:rsidRDefault="000971EB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636635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3663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1B7353" w:rsidRDefault="001B73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1EB" w:rsidRDefault="000971EB">
      <w:pPr>
        <w:spacing w:after="0" w:line="240" w:lineRule="auto"/>
      </w:pPr>
      <w:r>
        <w:separator/>
      </w:r>
    </w:p>
  </w:footnote>
  <w:footnote w:type="continuationSeparator" w:id="0">
    <w:p w:rsidR="000971EB" w:rsidRDefault="00097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353" w:rsidRDefault="001B735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11057" w:type="dxa"/>
      <w:tblInd w:w="-11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1B7353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1B7353" w:rsidRDefault="000971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1B7353">
      <w:trPr>
        <w:trHeight w:val="1300"/>
      </w:trPr>
      <w:tc>
        <w:tcPr>
          <w:tcW w:w="2723" w:type="dxa"/>
        </w:tcPr>
        <w:p w:rsidR="001B7353" w:rsidRDefault="000971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8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1B7353" w:rsidRDefault="001B73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1B7353" w:rsidRDefault="001B73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B7353" w:rsidRDefault="000971EB">
          <w:pPr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1B7353" w:rsidRDefault="000971EB">
          <w:pPr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1B7353" w:rsidRDefault="000971EB">
          <w:pPr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1B7353" w:rsidRDefault="001B73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B7353" w:rsidRDefault="000971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1B7353" w:rsidRDefault="000971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1B7353" w:rsidRDefault="001B73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1B7353" w:rsidRDefault="000971EB">
          <w:pPr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1B7353" w:rsidRDefault="001B73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53"/>
    <w:rsid w:val="000971EB"/>
    <w:rsid w:val="001B7353"/>
    <w:rsid w:val="0063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D09F"/>
  <w15:docId w15:val="{B61FB1AD-BB93-46A1-8A1C-460702D0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C167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mhE88QAfRlGutnSyaLxmt4T1aQ==">AMUW2mU4NB5fxHEak72IdknZoZzkoIpMQndcE1MbDVMMOdeglMuk/iwJAatDrgyeiGbVnfcsRebX3L0mro7tLZXlemYF6oC5cGp2WBDn2XEZI3gMvT0pQv/1CjwYmDAJbv6lSDbnYqSdWlirNr5PoTdpROQfqZE6RPpTCY0rh0+E5f9Wd8Znq5pgDvpNPF0ZVWN3pYARJBrg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Nicole Hester</cp:lastModifiedBy>
  <cp:revision>2</cp:revision>
  <dcterms:created xsi:type="dcterms:W3CDTF">2021-12-14T14:38:00Z</dcterms:created>
  <dcterms:modified xsi:type="dcterms:W3CDTF">2022-07-25T10:46:00Z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