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616" w:tblpY="1"/>
        <w:tblOverlap w:val="never"/>
        <w:tblW w:w="478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4"/>
        <w:gridCol w:w="2325"/>
        <w:gridCol w:w="236"/>
        <w:gridCol w:w="6147"/>
        <w:gridCol w:w="244"/>
        <w:gridCol w:w="2129"/>
        <w:gridCol w:w="1793"/>
        <w:gridCol w:w="252"/>
        <w:gridCol w:w="4731"/>
      </w:tblGrid>
      <w:tr w:rsidR="00D23EBF" w:rsidRPr="003B6002" w14:paraId="0FA0BBC7" w14:textId="77777777" w:rsidTr="00D23EBF">
        <w:trPr>
          <w:trHeight w:val="126"/>
        </w:trPr>
        <w:tc>
          <w:tcPr>
            <w:tcW w:w="5000" w:type="pct"/>
            <w:gridSpan w:val="9"/>
            <w:shd w:val="clear" w:color="auto" w:fill="808080" w:themeFill="background1" w:themeFillShade="80"/>
          </w:tcPr>
          <w:p w14:paraId="513C4144" w14:textId="77777777" w:rsidR="00D23EBF" w:rsidRPr="003B6002" w:rsidRDefault="00D23EBF" w:rsidP="00654091">
            <w:pPr>
              <w:rPr>
                <w:sz w:val="16"/>
                <w:szCs w:val="16"/>
              </w:rPr>
            </w:pPr>
          </w:p>
        </w:tc>
      </w:tr>
      <w:tr w:rsidR="00D23EBF" w:rsidRPr="00B46189" w14:paraId="3CA2667D" w14:textId="77777777" w:rsidTr="00D23EBF">
        <w:trPr>
          <w:trHeight w:val="433"/>
        </w:trPr>
        <w:tc>
          <w:tcPr>
            <w:tcW w:w="5000" w:type="pct"/>
            <w:gridSpan w:val="9"/>
            <w:vAlign w:val="center"/>
          </w:tcPr>
          <w:p w14:paraId="24506E41" w14:textId="65E88EA9" w:rsidR="00D23EBF" w:rsidRPr="00B46189" w:rsidRDefault="00D23EBF" w:rsidP="00654091">
            <w:pPr>
              <w:pStyle w:val="DeptBullets"/>
              <w:numPr>
                <w:ilvl w:val="0"/>
                <w:numId w:val="0"/>
              </w:numPr>
              <w:tabs>
                <w:tab w:val="left" w:pos="720"/>
              </w:tabs>
              <w:spacing w:after="0"/>
              <w:textAlignment w:val="auto"/>
              <w:rPr>
                <w:sz w:val="22"/>
                <w:szCs w:val="22"/>
              </w:rPr>
            </w:pPr>
            <w:r w:rsidRPr="00B46189">
              <w:rPr>
                <w:b/>
                <w:sz w:val="22"/>
                <w:szCs w:val="22"/>
              </w:rPr>
              <w:t xml:space="preserve">Project Aim and Definition: </w:t>
            </w:r>
            <w:r w:rsidRPr="00B46189">
              <w:rPr>
                <w:sz w:val="22"/>
                <w:szCs w:val="22"/>
              </w:rPr>
              <w:t xml:space="preserve"> </w:t>
            </w:r>
            <w:r w:rsidR="005060AF">
              <w:rPr>
                <w:sz w:val="22"/>
                <w:szCs w:val="22"/>
              </w:rPr>
              <w:t>Deliver a Talent Management</w:t>
            </w:r>
            <w:r w:rsidR="00BE07F5">
              <w:rPr>
                <w:sz w:val="22"/>
                <w:szCs w:val="22"/>
              </w:rPr>
              <w:t xml:space="preserve"> Programme to </w:t>
            </w:r>
            <w:r w:rsidR="000A20DC">
              <w:rPr>
                <w:sz w:val="22"/>
                <w:szCs w:val="22"/>
              </w:rPr>
              <w:t>those staff with the highest potential</w:t>
            </w:r>
            <w:r w:rsidR="00C35F2E">
              <w:rPr>
                <w:sz w:val="22"/>
                <w:szCs w:val="22"/>
              </w:rPr>
              <w:t xml:space="preserve"> in the EFA, in order to develop, retain and support them in achieving promotion.</w:t>
            </w:r>
          </w:p>
        </w:tc>
      </w:tr>
      <w:tr w:rsidR="00D23EBF" w:rsidRPr="003B6002" w14:paraId="5775B56D" w14:textId="77777777" w:rsidTr="00D23EBF">
        <w:trPr>
          <w:trHeight w:val="108"/>
        </w:trPr>
        <w:tc>
          <w:tcPr>
            <w:tcW w:w="538" w:type="pct"/>
            <w:shd w:val="clear" w:color="auto" w:fill="808080" w:themeFill="background1" w:themeFillShade="80"/>
          </w:tcPr>
          <w:p w14:paraId="3D42B010" w14:textId="77777777" w:rsidR="00D23EBF" w:rsidRPr="003B6002" w:rsidRDefault="00D23EBF" w:rsidP="00654091">
            <w:pPr>
              <w:jc w:val="right"/>
              <w:rPr>
                <w:sz w:val="16"/>
                <w:szCs w:val="16"/>
              </w:rPr>
            </w:pPr>
          </w:p>
        </w:tc>
        <w:tc>
          <w:tcPr>
            <w:tcW w:w="4462" w:type="pct"/>
            <w:gridSpan w:val="8"/>
            <w:shd w:val="clear" w:color="auto" w:fill="808080" w:themeFill="background1" w:themeFillShade="80"/>
          </w:tcPr>
          <w:p w14:paraId="426929CF" w14:textId="77777777" w:rsidR="00D23EBF" w:rsidRPr="003B6002" w:rsidRDefault="00D23EBF" w:rsidP="00654091">
            <w:pPr>
              <w:rPr>
                <w:sz w:val="16"/>
                <w:szCs w:val="16"/>
              </w:rPr>
            </w:pPr>
          </w:p>
        </w:tc>
      </w:tr>
      <w:tr w:rsidR="00D23EBF" w:rsidRPr="00B46189" w14:paraId="0AD8EFC4" w14:textId="77777777" w:rsidTr="00D23EBF">
        <w:trPr>
          <w:trHeight w:val="478"/>
        </w:trPr>
        <w:tc>
          <w:tcPr>
            <w:tcW w:w="2714" w:type="pct"/>
            <w:gridSpan w:val="4"/>
            <w:vMerge w:val="restart"/>
          </w:tcPr>
          <w:p w14:paraId="59BDFE86" w14:textId="77777777" w:rsidR="00D23EBF" w:rsidRPr="006D3C27" w:rsidRDefault="00D23EBF" w:rsidP="00654091">
            <w:pPr>
              <w:spacing w:before="120" w:after="120"/>
              <w:rPr>
                <w:b/>
                <w:szCs w:val="22"/>
              </w:rPr>
            </w:pPr>
            <w:r w:rsidRPr="006D3C27">
              <w:rPr>
                <w:b/>
                <w:szCs w:val="22"/>
              </w:rPr>
              <w:t>Objectives:</w:t>
            </w:r>
          </w:p>
          <w:p w14:paraId="68DA320B" w14:textId="25E39405" w:rsidR="00D23EBF" w:rsidRPr="006D3C27" w:rsidRDefault="00C35F2E" w:rsidP="00AF02F0">
            <w:pPr>
              <w:pStyle w:val="ListParagraph"/>
              <w:numPr>
                <w:ilvl w:val="0"/>
                <w:numId w:val="6"/>
              </w:numPr>
              <w:spacing w:line="240" w:lineRule="auto"/>
            </w:pPr>
            <w:r w:rsidRPr="006D3C27">
              <w:t>Establish and d</w:t>
            </w:r>
            <w:r w:rsidR="005060AF" w:rsidRPr="006D3C27">
              <w:t>eliver a talent management</w:t>
            </w:r>
            <w:r w:rsidR="000A20DC" w:rsidRPr="006D3C27">
              <w:t xml:space="preserve"> programme for staff</w:t>
            </w:r>
            <w:r w:rsidR="00D23EBF" w:rsidRPr="006D3C27">
              <w:t xml:space="preserve"> in the EFA</w:t>
            </w:r>
            <w:r w:rsidR="000A20DC" w:rsidRPr="006D3C27">
              <w:t xml:space="preserve"> identified as </w:t>
            </w:r>
            <w:r w:rsidR="000A20DC" w:rsidRPr="006D3C27">
              <w:rPr>
                <w:lang w:val="en"/>
              </w:rPr>
              <w:t xml:space="preserve">those individuals who can make a difference to </w:t>
            </w:r>
            <w:proofErr w:type="spellStart"/>
            <w:r w:rsidR="000A20DC" w:rsidRPr="006D3C27">
              <w:rPr>
                <w:lang w:val="en"/>
              </w:rPr>
              <w:t>organisational</w:t>
            </w:r>
            <w:proofErr w:type="spellEnd"/>
            <w:r w:rsidR="000A20DC" w:rsidRPr="006D3C27">
              <w:rPr>
                <w:lang w:val="en"/>
              </w:rPr>
              <w:t xml:space="preserve"> performance</w:t>
            </w:r>
            <w:r w:rsidRPr="006D3C27">
              <w:rPr>
                <w:lang w:val="en"/>
              </w:rPr>
              <w:t xml:space="preserve"> </w:t>
            </w:r>
            <w:r w:rsidR="009B7EF2" w:rsidRPr="006D3C27">
              <w:rPr>
                <w:lang w:val="en"/>
              </w:rPr>
              <w:t>in the future</w:t>
            </w:r>
            <w:r w:rsidR="000A20DC" w:rsidRPr="006D3C27">
              <w:rPr>
                <w:lang w:val="en"/>
              </w:rPr>
              <w:t>, by demonstrating the highest levels of potential</w:t>
            </w:r>
            <w:r w:rsidR="0077584E" w:rsidRPr="006D3C27">
              <w:t xml:space="preserve">, starting with G6 and G7 staff </w:t>
            </w:r>
            <w:r w:rsidR="000A586E" w:rsidRPr="006D3C27">
              <w:t>(Phase 1).</w:t>
            </w:r>
          </w:p>
          <w:p w14:paraId="258A2007" w14:textId="0415C729" w:rsidR="00AE7728" w:rsidRPr="006D3C27" w:rsidRDefault="0065569F" w:rsidP="00AF02F0">
            <w:pPr>
              <w:pStyle w:val="ListParagraph"/>
              <w:numPr>
                <w:ilvl w:val="0"/>
                <w:numId w:val="6"/>
              </w:numPr>
              <w:spacing w:line="240" w:lineRule="auto"/>
            </w:pPr>
            <w:r w:rsidRPr="006D3C27">
              <w:t>Dev</w:t>
            </w:r>
            <w:r w:rsidR="005060AF" w:rsidRPr="006D3C27">
              <w:t>elop a costed offer</w:t>
            </w:r>
            <w:r w:rsidRPr="006D3C27">
              <w:t xml:space="preserve"> for all </w:t>
            </w:r>
            <w:r w:rsidR="005060AF" w:rsidRPr="006D3C27">
              <w:t xml:space="preserve">G6 and G7 </w:t>
            </w:r>
            <w:r w:rsidRPr="006D3C27">
              <w:t>staff</w:t>
            </w:r>
            <w:r w:rsidR="005060AF" w:rsidRPr="006D3C27">
              <w:t xml:space="preserve"> in the EFA assesse</w:t>
            </w:r>
            <w:r w:rsidR="00AE7728" w:rsidRPr="006D3C27">
              <w:t>d as high-potential individuals, using the performance management talent grid for identification.</w:t>
            </w:r>
          </w:p>
          <w:p w14:paraId="528610B6" w14:textId="40ED96D4" w:rsidR="00AE7728" w:rsidRPr="006D3C27" w:rsidRDefault="00AE7728" w:rsidP="00AF02F0">
            <w:pPr>
              <w:pStyle w:val="ListParagraph"/>
              <w:numPr>
                <w:ilvl w:val="0"/>
                <w:numId w:val="6"/>
              </w:numPr>
              <w:spacing w:line="240" w:lineRule="auto"/>
            </w:pPr>
            <w:r w:rsidRPr="006D3C27">
              <w:t xml:space="preserve">The talent management programme will aim to </w:t>
            </w:r>
            <w:r w:rsidRPr="006D3C27">
              <w:rPr>
                <w:lang w:val="en"/>
              </w:rPr>
              <w:t xml:space="preserve">identify, develop, retain and </w:t>
            </w:r>
            <w:r w:rsidR="009B7EF2" w:rsidRPr="006D3C27">
              <w:rPr>
                <w:lang w:val="en"/>
              </w:rPr>
              <w:t>encourage/support promotion of</w:t>
            </w:r>
            <w:r w:rsidRPr="006D3C27">
              <w:rPr>
                <w:lang w:val="en"/>
              </w:rPr>
              <w:t xml:space="preserve"> those individuals who are of particular value to the EFA, in view of their ‘high potential’ for the futur</w:t>
            </w:r>
            <w:r w:rsidR="00C35F2E" w:rsidRPr="006D3C27">
              <w:rPr>
                <w:lang w:val="en"/>
              </w:rPr>
              <w:t>e</w:t>
            </w:r>
            <w:r w:rsidRPr="006D3C27">
              <w:rPr>
                <w:lang w:val="en"/>
              </w:rPr>
              <w:t>.</w:t>
            </w:r>
          </w:p>
          <w:p w14:paraId="05DB20B8" w14:textId="1E819781" w:rsidR="00AE7728" w:rsidRPr="006D3C27" w:rsidRDefault="00AE7728" w:rsidP="00AF02F0">
            <w:pPr>
              <w:pStyle w:val="ListParagraph"/>
              <w:numPr>
                <w:ilvl w:val="0"/>
                <w:numId w:val="6"/>
              </w:numPr>
              <w:spacing w:line="240" w:lineRule="auto"/>
            </w:pPr>
            <w:r w:rsidRPr="006D3C27">
              <w:t>To highlight opportunities available for talent development in the DfE/Civil Service, su</w:t>
            </w:r>
            <w:r w:rsidR="00F45284">
              <w:t>ch as the Future Leaders Scheme and BME Building Future Leaders Programme.</w:t>
            </w:r>
          </w:p>
          <w:p w14:paraId="531553E8" w14:textId="77777777" w:rsidR="005060AF" w:rsidRPr="006D3C27" w:rsidRDefault="005060AF" w:rsidP="00AF02F0">
            <w:pPr>
              <w:pStyle w:val="ListParagraph"/>
              <w:numPr>
                <w:ilvl w:val="0"/>
                <w:numId w:val="6"/>
              </w:numPr>
              <w:spacing w:line="240" w:lineRule="auto"/>
            </w:pPr>
            <w:r w:rsidRPr="006D3C27">
              <w:t>Assess the feasibility and cost of developing the talent management programme further to i</w:t>
            </w:r>
            <w:r w:rsidR="000A586E" w:rsidRPr="006D3C27">
              <w:t>nclude staff in grades below G7 (Phase 2).</w:t>
            </w:r>
          </w:p>
          <w:p w14:paraId="7440D381" w14:textId="50C4C1C6" w:rsidR="00D23EBF" w:rsidRPr="006D3C27" w:rsidRDefault="00D23EBF" w:rsidP="00654091">
            <w:pPr>
              <w:rPr>
                <w:b/>
              </w:rPr>
            </w:pPr>
            <w:r w:rsidRPr="006D3C27">
              <w:rPr>
                <w:b/>
              </w:rPr>
              <w:t>Measures</w:t>
            </w:r>
            <w:r w:rsidR="000A20DC" w:rsidRPr="006D3C27">
              <w:rPr>
                <w:b/>
              </w:rPr>
              <w:t xml:space="preserve"> for Phase 1</w:t>
            </w:r>
          </w:p>
          <w:p w14:paraId="75FEEF1A" w14:textId="77777777" w:rsidR="00D23EBF" w:rsidRPr="006D3C27" w:rsidRDefault="005060AF" w:rsidP="00AF02F0">
            <w:pPr>
              <w:pStyle w:val="ListParagraph"/>
              <w:numPr>
                <w:ilvl w:val="0"/>
                <w:numId w:val="6"/>
              </w:numPr>
              <w:spacing w:line="240" w:lineRule="auto"/>
            </w:pPr>
            <w:r w:rsidRPr="006D3C27">
              <w:t xml:space="preserve">By </w:t>
            </w:r>
            <w:r w:rsidR="006D72E7" w:rsidRPr="006D3C27">
              <w:t>March 2018</w:t>
            </w:r>
            <w:r w:rsidRPr="006D3C27">
              <w:t xml:space="preserve"> all G6 and G7 staff assessed as high-potential individuals in the end year performance management assessment</w:t>
            </w:r>
            <w:r w:rsidR="00311878" w:rsidRPr="006D3C27">
              <w:t xml:space="preserve"> (talent grid top line)</w:t>
            </w:r>
            <w:r w:rsidRPr="006D3C27">
              <w:t xml:space="preserve"> to have an offer from the talent management programme.</w:t>
            </w:r>
            <w:r w:rsidR="00D23EBF" w:rsidRPr="006D3C27">
              <w:rPr>
                <w:szCs w:val="20"/>
              </w:rPr>
              <w:t xml:space="preserve"> </w:t>
            </w:r>
          </w:p>
          <w:p w14:paraId="5027A05F" w14:textId="5AEBF8A5" w:rsidR="005060AF" w:rsidRPr="006D3C27" w:rsidRDefault="000044D3" w:rsidP="00AF02F0">
            <w:pPr>
              <w:pStyle w:val="ListParagraph"/>
              <w:numPr>
                <w:ilvl w:val="0"/>
                <w:numId w:val="6"/>
              </w:numPr>
              <w:spacing w:line="240" w:lineRule="auto"/>
            </w:pPr>
            <w:r>
              <w:rPr>
                <w:szCs w:val="20"/>
              </w:rPr>
              <w:t>20</w:t>
            </w:r>
            <w:r w:rsidR="005060AF" w:rsidRPr="006D3C27">
              <w:rPr>
                <w:szCs w:val="20"/>
              </w:rPr>
              <w:t xml:space="preserve">% staff in G6 </w:t>
            </w:r>
            <w:r w:rsidR="000A20DC" w:rsidRPr="006D3C27">
              <w:rPr>
                <w:szCs w:val="20"/>
              </w:rPr>
              <w:t>roles promoted to G5 or above within 3 years of completing the programme.</w:t>
            </w:r>
          </w:p>
          <w:p w14:paraId="1B4033F5" w14:textId="3C2D9661" w:rsidR="005060AF" w:rsidRPr="006D3C27" w:rsidRDefault="00F45284" w:rsidP="00AF02F0">
            <w:pPr>
              <w:pStyle w:val="ListParagraph"/>
              <w:numPr>
                <w:ilvl w:val="0"/>
                <w:numId w:val="6"/>
              </w:numPr>
              <w:spacing w:line="240" w:lineRule="auto"/>
            </w:pPr>
            <w:r>
              <w:rPr>
                <w:szCs w:val="20"/>
              </w:rPr>
              <w:t>90</w:t>
            </w:r>
            <w:r w:rsidR="005060AF" w:rsidRPr="006D3C27">
              <w:rPr>
                <w:szCs w:val="20"/>
              </w:rPr>
              <w:t>% staff in G</w:t>
            </w:r>
            <w:r w:rsidR="000A20DC" w:rsidRPr="006D3C27">
              <w:rPr>
                <w:szCs w:val="20"/>
              </w:rPr>
              <w:t>7 roles promoted to G6 or above within 3 years of completing the programme.</w:t>
            </w:r>
          </w:p>
          <w:p w14:paraId="0915F082" w14:textId="0300CE7F" w:rsidR="005060AF" w:rsidRPr="006D3C27" w:rsidRDefault="000A20DC" w:rsidP="00AF02F0">
            <w:pPr>
              <w:pStyle w:val="ListParagraph"/>
              <w:numPr>
                <w:ilvl w:val="0"/>
                <w:numId w:val="6"/>
              </w:numPr>
              <w:spacing w:line="240" w:lineRule="auto"/>
            </w:pPr>
            <w:r w:rsidRPr="006D3C27">
              <w:t>E</w:t>
            </w:r>
            <w:r w:rsidR="006D3C27">
              <w:t>xt</w:t>
            </w:r>
            <w:r w:rsidR="00F45284">
              <w:t>ernal recruitment reduced by 10</w:t>
            </w:r>
            <w:r w:rsidRPr="006D3C27">
              <w:t>%</w:t>
            </w:r>
            <w:r w:rsidR="006D3C27">
              <w:t xml:space="preserve"> for G6 and G5 posts.</w:t>
            </w:r>
          </w:p>
          <w:p w14:paraId="661B12F5" w14:textId="777070B3" w:rsidR="006D3C27" w:rsidRDefault="000A20DC" w:rsidP="00AF02F0">
            <w:pPr>
              <w:pStyle w:val="ListParagraph"/>
              <w:numPr>
                <w:ilvl w:val="0"/>
                <w:numId w:val="6"/>
              </w:numPr>
              <w:spacing w:line="240" w:lineRule="auto"/>
            </w:pPr>
            <w:r w:rsidRPr="006D3C27">
              <w:t xml:space="preserve">Reduction </w:t>
            </w:r>
            <w:r w:rsidR="006D3C27">
              <w:t>i</w:t>
            </w:r>
            <w:r w:rsidR="00F45284">
              <w:t>n unfilled G5 and G6 posts by 10</w:t>
            </w:r>
            <w:r w:rsidRPr="006D3C27">
              <w:t>%</w:t>
            </w:r>
          </w:p>
          <w:p w14:paraId="321D2157" w14:textId="7E7E7862" w:rsidR="00AF02F0" w:rsidRPr="006D3C27" w:rsidRDefault="00AF02F0" w:rsidP="00AF02F0">
            <w:pPr>
              <w:pStyle w:val="ListParagraph"/>
              <w:widowControl w:val="0"/>
              <w:numPr>
                <w:ilvl w:val="0"/>
                <w:numId w:val="6"/>
              </w:numPr>
              <w:overflowPunct w:val="0"/>
              <w:autoSpaceDE w:val="0"/>
              <w:autoSpaceDN w:val="0"/>
              <w:adjustRightInd w:val="0"/>
              <w:spacing w:before="120" w:after="120" w:line="240" w:lineRule="auto"/>
              <w:textAlignment w:val="baseline"/>
              <w:rPr>
                <w:rFonts w:cs="Arial"/>
                <w:color w:val="000000" w:themeColor="text1"/>
                <w:szCs w:val="20"/>
              </w:rPr>
            </w:pPr>
            <w:r w:rsidRPr="006D3C27">
              <w:rPr>
                <w:rFonts w:cs="Arial"/>
                <w:color w:val="000000" w:themeColor="text1"/>
                <w:szCs w:val="20"/>
              </w:rPr>
              <w:t xml:space="preserve">Feedback from participants on </w:t>
            </w:r>
            <w:r>
              <w:rPr>
                <w:rFonts w:cs="Arial"/>
                <w:color w:val="000000" w:themeColor="text1"/>
                <w:szCs w:val="20"/>
              </w:rPr>
              <w:t>the programme is 90% positive</w:t>
            </w:r>
            <w:r w:rsidR="00F45284">
              <w:rPr>
                <w:rFonts w:cs="Arial"/>
                <w:color w:val="000000" w:themeColor="text1"/>
                <w:szCs w:val="20"/>
              </w:rPr>
              <w:t>.</w:t>
            </w:r>
          </w:p>
          <w:p w14:paraId="2294D283" w14:textId="77777777" w:rsidR="00AF02F0" w:rsidRDefault="00AF02F0" w:rsidP="00AF02F0">
            <w:pPr>
              <w:pStyle w:val="ListParagraph"/>
              <w:widowControl w:val="0"/>
              <w:numPr>
                <w:ilvl w:val="0"/>
                <w:numId w:val="6"/>
              </w:numPr>
              <w:overflowPunct w:val="0"/>
              <w:autoSpaceDE w:val="0"/>
              <w:autoSpaceDN w:val="0"/>
              <w:adjustRightInd w:val="0"/>
              <w:spacing w:before="120" w:after="120" w:line="240" w:lineRule="auto"/>
              <w:textAlignment w:val="baseline"/>
              <w:rPr>
                <w:rFonts w:cs="Arial"/>
                <w:color w:val="000000" w:themeColor="text1"/>
                <w:szCs w:val="20"/>
              </w:rPr>
            </w:pPr>
            <w:r w:rsidRPr="006D3C27">
              <w:rPr>
                <w:rFonts w:cs="Arial"/>
                <w:color w:val="000000" w:themeColor="text1"/>
                <w:szCs w:val="20"/>
              </w:rPr>
              <w:t>Line Manager feedback on participants increase</w:t>
            </w:r>
            <w:r>
              <w:rPr>
                <w:rFonts w:cs="Arial"/>
                <w:color w:val="000000" w:themeColor="text1"/>
                <w:szCs w:val="20"/>
              </w:rPr>
              <w:t xml:space="preserve"> in performance is 90% positive.</w:t>
            </w:r>
          </w:p>
          <w:p w14:paraId="07D8EE1F" w14:textId="77777777" w:rsidR="00AF02F0" w:rsidRPr="006D3C27" w:rsidRDefault="00AF02F0" w:rsidP="00AF02F0">
            <w:pPr>
              <w:pStyle w:val="ListParagraph"/>
              <w:numPr>
                <w:ilvl w:val="0"/>
                <w:numId w:val="0"/>
              </w:numPr>
              <w:spacing w:line="240" w:lineRule="auto"/>
              <w:ind w:left="720"/>
            </w:pPr>
          </w:p>
          <w:p w14:paraId="29B86F0A" w14:textId="77777777" w:rsidR="00D23EBF" w:rsidRPr="006D3C27" w:rsidRDefault="00D23EBF" w:rsidP="005060AF">
            <w:pPr>
              <w:pStyle w:val="ListParagraph"/>
              <w:numPr>
                <w:ilvl w:val="0"/>
                <w:numId w:val="0"/>
              </w:numPr>
              <w:spacing w:line="240" w:lineRule="auto"/>
              <w:ind w:left="720"/>
            </w:pPr>
          </w:p>
        </w:tc>
        <w:tc>
          <w:tcPr>
            <w:tcW w:w="61" w:type="pct"/>
            <w:shd w:val="clear" w:color="auto" w:fill="808080" w:themeFill="background1" w:themeFillShade="80"/>
          </w:tcPr>
          <w:p w14:paraId="238894DF" w14:textId="77777777" w:rsidR="00D23EBF" w:rsidRPr="006D3C27" w:rsidRDefault="00D23EBF" w:rsidP="00654091">
            <w:pPr>
              <w:spacing w:before="120"/>
              <w:rPr>
                <w:rFonts w:cs="Arial"/>
                <w:noProof/>
                <w:szCs w:val="22"/>
              </w:rPr>
            </w:pPr>
          </w:p>
        </w:tc>
        <w:tc>
          <w:tcPr>
            <w:tcW w:w="532" w:type="pct"/>
          </w:tcPr>
          <w:p w14:paraId="49C3F85E" w14:textId="77777777" w:rsidR="00D23EBF" w:rsidRPr="00B46189" w:rsidRDefault="00D23EBF" w:rsidP="00654091">
            <w:pPr>
              <w:spacing w:before="120"/>
              <w:rPr>
                <w:b/>
                <w:szCs w:val="22"/>
              </w:rPr>
            </w:pPr>
            <w:r w:rsidRPr="00B46189">
              <w:rPr>
                <w:rFonts w:cs="Arial"/>
                <w:b/>
                <w:noProof/>
              </w:rPr>
              <w:drawing>
                <wp:anchor distT="0" distB="0" distL="114300" distR="114300" simplePos="0" relativeHeight="251660288" behindDoc="0" locked="0" layoutInCell="1" allowOverlap="1" wp14:anchorId="256FC3BC" wp14:editId="4BB4D365">
                  <wp:simplePos x="0" y="0"/>
                  <wp:positionH relativeFrom="column">
                    <wp:posOffset>729615</wp:posOffset>
                  </wp:positionH>
                  <wp:positionV relativeFrom="paragraph">
                    <wp:posOffset>49530</wp:posOffset>
                  </wp:positionV>
                  <wp:extent cx="249555" cy="249555"/>
                  <wp:effectExtent l="0" t="0" r="0" b="0"/>
                  <wp:wrapNone/>
                  <wp:docPr id="1" name="Picture 1" descr="600px-Green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600px-Green_ti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55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189">
              <w:rPr>
                <w:b/>
                <w:szCs w:val="22"/>
              </w:rPr>
              <w:t>In Scope</w:t>
            </w:r>
          </w:p>
        </w:tc>
        <w:tc>
          <w:tcPr>
            <w:tcW w:w="448" w:type="pct"/>
          </w:tcPr>
          <w:p w14:paraId="7E1C0151" w14:textId="77777777" w:rsidR="00D23EBF" w:rsidRPr="00B46189" w:rsidRDefault="00D23EBF" w:rsidP="00654091">
            <w:pPr>
              <w:spacing w:before="120"/>
              <w:rPr>
                <w:b/>
                <w:szCs w:val="22"/>
              </w:rPr>
            </w:pPr>
            <w:r w:rsidRPr="00B46189">
              <w:rPr>
                <w:rFonts w:cs="Arial"/>
                <w:b/>
                <w:noProof/>
              </w:rPr>
              <w:drawing>
                <wp:anchor distT="0" distB="0" distL="114300" distR="114300" simplePos="0" relativeHeight="251659264" behindDoc="0" locked="0" layoutInCell="1" allowOverlap="1" wp14:anchorId="731EAA32" wp14:editId="7A743E91">
                  <wp:simplePos x="0" y="0"/>
                  <wp:positionH relativeFrom="column">
                    <wp:posOffset>847090</wp:posOffset>
                  </wp:positionH>
                  <wp:positionV relativeFrom="paragraph">
                    <wp:posOffset>53340</wp:posOffset>
                  </wp:positionV>
                  <wp:extent cx="248920" cy="248920"/>
                  <wp:effectExtent l="0" t="0" r="0" b="0"/>
                  <wp:wrapNone/>
                  <wp:docPr id="2" name="Picture 2" desc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R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189">
              <w:rPr>
                <w:b/>
                <w:szCs w:val="22"/>
              </w:rPr>
              <w:t xml:space="preserve">Out of Scope </w:t>
            </w:r>
          </w:p>
        </w:tc>
        <w:tc>
          <w:tcPr>
            <w:tcW w:w="63" w:type="pct"/>
            <w:vMerge w:val="restart"/>
            <w:shd w:val="clear" w:color="auto" w:fill="808080" w:themeFill="background1" w:themeFillShade="80"/>
          </w:tcPr>
          <w:p w14:paraId="136B7218" w14:textId="77777777" w:rsidR="00D23EBF" w:rsidRPr="00B46189" w:rsidRDefault="00D23EBF" w:rsidP="00654091">
            <w:pPr>
              <w:rPr>
                <w:b/>
                <w:szCs w:val="22"/>
              </w:rPr>
            </w:pPr>
          </w:p>
        </w:tc>
        <w:tc>
          <w:tcPr>
            <w:tcW w:w="1182" w:type="pct"/>
            <w:vMerge w:val="restart"/>
          </w:tcPr>
          <w:p w14:paraId="6B71E130" w14:textId="77777777" w:rsidR="00D23EBF" w:rsidRPr="00A77E42" w:rsidRDefault="00D23EBF" w:rsidP="008B0687">
            <w:pPr>
              <w:widowControl w:val="0"/>
              <w:overflowPunct w:val="0"/>
              <w:autoSpaceDE w:val="0"/>
              <w:autoSpaceDN w:val="0"/>
              <w:adjustRightInd w:val="0"/>
              <w:spacing w:after="120"/>
              <w:textAlignment w:val="baseline"/>
              <w:rPr>
                <w:b/>
              </w:rPr>
            </w:pPr>
            <w:bookmarkStart w:id="0" w:name="_GoBack"/>
            <w:bookmarkEnd w:id="0"/>
          </w:p>
        </w:tc>
      </w:tr>
      <w:tr w:rsidR="00D23EBF" w:rsidRPr="00B46189" w14:paraId="2983120A" w14:textId="77777777" w:rsidTr="00D23EBF">
        <w:trPr>
          <w:trHeight w:val="792"/>
        </w:trPr>
        <w:tc>
          <w:tcPr>
            <w:tcW w:w="2714" w:type="pct"/>
            <w:gridSpan w:val="4"/>
            <w:vMerge/>
          </w:tcPr>
          <w:p w14:paraId="3F72F976" w14:textId="77777777" w:rsidR="00D23EBF" w:rsidRPr="006D3C27" w:rsidRDefault="00D23EBF" w:rsidP="00654091">
            <w:pPr>
              <w:rPr>
                <w:szCs w:val="22"/>
              </w:rPr>
            </w:pPr>
          </w:p>
        </w:tc>
        <w:tc>
          <w:tcPr>
            <w:tcW w:w="61" w:type="pct"/>
            <w:shd w:val="clear" w:color="auto" w:fill="808080" w:themeFill="background1" w:themeFillShade="80"/>
          </w:tcPr>
          <w:p w14:paraId="38D8F3BE" w14:textId="77777777" w:rsidR="00D23EBF" w:rsidRPr="006D3C27" w:rsidRDefault="00D23EBF" w:rsidP="00654091">
            <w:pPr>
              <w:rPr>
                <w:szCs w:val="22"/>
              </w:rPr>
            </w:pPr>
          </w:p>
        </w:tc>
        <w:tc>
          <w:tcPr>
            <w:tcW w:w="532" w:type="pct"/>
            <w:vMerge w:val="restart"/>
          </w:tcPr>
          <w:p w14:paraId="760B8BA0" w14:textId="77777777" w:rsidR="00D23EBF" w:rsidRPr="00B46189" w:rsidRDefault="00D23EBF" w:rsidP="00D23EBF">
            <w:pPr>
              <w:widowControl w:val="0"/>
              <w:numPr>
                <w:ilvl w:val="0"/>
                <w:numId w:val="4"/>
              </w:numPr>
              <w:overflowPunct w:val="0"/>
              <w:autoSpaceDE w:val="0"/>
              <w:autoSpaceDN w:val="0"/>
              <w:adjustRightInd w:val="0"/>
              <w:spacing w:after="120"/>
              <w:textAlignment w:val="baseline"/>
              <w:rPr>
                <w:szCs w:val="22"/>
              </w:rPr>
            </w:pPr>
            <w:r>
              <w:rPr>
                <w:szCs w:val="22"/>
              </w:rPr>
              <w:t>C</w:t>
            </w:r>
            <w:r w:rsidR="005060AF">
              <w:rPr>
                <w:szCs w:val="22"/>
              </w:rPr>
              <w:t>ommission and deliver Talent Management</w:t>
            </w:r>
            <w:r>
              <w:rPr>
                <w:szCs w:val="22"/>
              </w:rPr>
              <w:t xml:space="preserve"> Programme</w:t>
            </w:r>
            <w:r w:rsidR="005060AF">
              <w:rPr>
                <w:szCs w:val="22"/>
              </w:rPr>
              <w:t xml:space="preserve"> for G6 and G7 staff</w:t>
            </w:r>
            <w:r>
              <w:rPr>
                <w:szCs w:val="22"/>
              </w:rPr>
              <w:t>.</w:t>
            </w:r>
          </w:p>
          <w:p w14:paraId="33F85D88" w14:textId="77777777" w:rsidR="00D23EBF" w:rsidRDefault="00A77E42" w:rsidP="00D23EBF">
            <w:pPr>
              <w:widowControl w:val="0"/>
              <w:numPr>
                <w:ilvl w:val="0"/>
                <w:numId w:val="4"/>
              </w:numPr>
              <w:overflowPunct w:val="0"/>
              <w:autoSpaceDE w:val="0"/>
              <w:autoSpaceDN w:val="0"/>
              <w:adjustRightInd w:val="0"/>
              <w:spacing w:after="120"/>
              <w:textAlignment w:val="baseline"/>
              <w:rPr>
                <w:szCs w:val="22"/>
              </w:rPr>
            </w:pPr>
            <w:r>
              <w:rPr>
                <w:szCs w:val="22"/>
              </w:rPr>
              <w:t>Develop a talent management proposal for staff at grades below G7.</w:t>
            </w:r>
          </w:p>
          <w:p w14:paraId="5A28ED2B" w14:textId="77777777" w:rsidR="00D23EBF" w:rsidRDefault="00D23EBF" w:rsidP="00D23EBF">
            <w:pPr>
              <w:widowControl w:val="0"/>
              <w:numPr>
                <w:ilvl w:val="0"/>
                <w:numId w:val="4"/>
              </w:numPr>
              <w:overflowPunct w:val="0"/>
              <w:autoSpaceDE w:val="0"/>
              <w:autoSpaceDN w:val="0"/>
              <w:adjustRightInd w:val="0"/>
              <w:spacing w:after="120"/>
              <w:textAlignment w:val="baseline"/>
              <w:rPr>
                <w:szCs w:val="22"/>
              </w:rPr>
            </w:pPr>
            <w:r>
              <w:rPr>
                <w:szCs w:val="22"/>
              </w:rPr>
              <w:t>Develop and deliver communications plan.</w:t>
            </w:r>
          </w:p>
          <w:p w14:paraId="6F1F5E63" w14:textId="77777777" w:rsidR="00D23EBF" w:rsidRPr="00B46189" w:rsidRDefault="00D23EBF" w:rsidP="00D23EBF">
            <w:pPr>
              <w:widowControl w:val="0"/>
              <w:numPr>
                <w:ilvl w:val="0"/>
                <w:numId w:val="4"/>
              </w:numPr>
              <w:overflowPunct w:val="0"/>
              <w:autoSpaceDE w:val="0"/>
              <w:autoSpaceDN w:val="0"/>
              <w:adjustRightInd w:val="0"/>
              <w:spacing w:after="120"/>
              <w:textAlignment w:val="baseline"/>
              <w:rPr>
                <w:szCs w:val="22"/>
              </w:rPr>
            </w:pPr>
            <w:r>
              <w:rPr>
                <w:szCs w:val="22"/>
              </w:rPr>
              <w:t>End of year evaluation to ensure targets are on track and programme remains appropriate.</w:t>
            </w:r>
          </w:p>
        </w:tc>
        <w:tc>
          <w:tcPr>
            <w:tcW w:w="448" w:type="pct"/>
            <w:vMerge w:val="restart"/>
          </w:tcPr>
          <w:p w14:paraId="753B7E49" w14:textId="1D453050" w:rsidR="00D23EBF" w:rsidRDefault="000A20DC" w:rsidP="00D23EBF">
            <w:pPr>
              <w:widowControl w:val="0"/>
              <w:numPr>
                <w:ilvl w:val="0"/>
                <w:numId w:val="4"/>
              </w:numPr>
              <w:overflowPunct w:val="0"/>
              <w:autoSpaceDE w:val="0"/>
              <w:autoSpaceDN w:val="0"/>
              <w:adjustRightInd w:val="0"/>
              <w:spacing w:after="120"/>
              <w:textAlignment w:val="baseline"/>
              <w:rPr>
                <w:szCs w:val="22"/>
              </w:rPr>
            </w:pPr>
            <w:r>
              <w:rPr>
                <w:szCs w:val="22"/>
              </w:rPr>
              <w:t>Staff not on the talent grid top line. Other programmes are available for their development, along with the learning plans</w:t>
            </w:r>
            <w:r w:rsidR="00D23EBF">
              <w:rPr>
                <w:szCs w:val="22"/>
              </w:rPr>
              <w:t>.</w:t>
            </w:r>
          </w:p>
          <w:p w14:paraId="025B1EF8" w14:textId="29AF2DE1" w:rsidR="00257219" w:rsidRDefault="00257219" w:rsidP="00D23EBF">
            <w:pPr>
              <w:widowControl w:val="0"/>
              <w:numPr>
                <w:ilvl w:val="0"/>
                <w:numId w:val="4"/>
              </w:numPr>
              <w:overflowPunct w:val="0"/>
              <w:autoSpaceDE w:val="0"/>
              <w:autoSpaceDN w:val="0"/>
              <w:adjustRightInd w:val="0"/>
              <w:spacing w:after="120"/>
              <w:textAlignment w:val="baseline"/>
              <w:rPr>
                <w:szCs w:val="22"/>
              </w:rPr>
            </w:pPr>
            <w:r>
              <w:rPr>
                <w:szCs w:val="22"/>
              </w:rPr>
              <w:t>Talent management process – the process to identify the individuals on the top line of the talent management grid is part of the performance management process and line manager’s responsibility.</w:t>
            </w:r>
          </w:p>
          <w:p w14:paraId="23D3222B" w14:textId="75D2A1DC" w:rsidR="00316766" w:rsidRDefault="00316766" w:rsidP="00316766">
            <w:pPr>
              <w:widowControl w:val="0"/>
              <w:numPr>
                <w:ilvl w:val="0"/>
                <w:numId w:val="4"/>
              </w:numPr>
              <w:overflowPunct w:val="0"/>
              <w:autoSpaceDE w:val="0"/>
              <w:autoSpaceDN w:val="0"/>
              <w:adjustRightInd w:val="0"/>
              <w:spacing w:after="120"/>
              <w:textAlignment w:val="baseline"/>
              <w:rPr>
                <w:szCs w:val="22"/>
              </w:rPr>
            </w:pPr>
            <w:r>
              <w:rPr>
                <w:szCs w:val="22"/>
              </w:rPr>
              <w:t>Development of individual learning plans – line manager’s responsibility.</w:t>
            </w:r>
          </w:p>
          <w:p w14:paraId="2174FF04" w14:textId="4594B6F4" w:rsidR="00316766" w:rsidRPr="00B46189" w:rsidRDefault="00316766" w:rsidP="00316766">
            <w:pPr>
              <w:widowControl w:val="0"/>
              <w:overflowPunct w:val="0"/>
              <w:autoSpaceDE w:val="0"/>
              <w:autoSpaceDN w:val="0"/>
              <w:adjustRightInd w:val="0"/>
              <w:spacing w:after="120"/>
              <w:ind w:left="360"/>
              <w:textAlignment w:val="baseline"/>
              <w:rPr>
                <w:szCs w:val="22"/>
              </w:rPr>
            </w:pPr>
          </w:p>
        </w:tc>
        <w:tc>
          <w:tcPr>
            <w:tcW w:w="63" w:type="pct"/>
            <w:vMerge/>
            <w:shd w:val="clear" w:color="auto" w:fill="808080" w:themeFill="background1" w:themeFillShade="80"/>
          </w:tcPr>
          <w:p w14:paraId="20680A75" w14:textId="77777777" w:rsidR="00D23EBF" w:rsidRPr="00B46189" w:rsidRDefault="00D23EBF" w:rsidP="00654091">
            <w:pPr>
              <w:rPr>
                <w:b/>
                <w:szCs w:val="22"/>
              </w:rPr>
            </w:pPr>
          </w:p>
        </w:tc>
        <w:tc>
          <w:tcPr>
            <w:tcW w:w="1182" w:type="pct"/>
            <w:vMerge/>
          </w:tcPr>
          <w:p w14:paraId="5265E15A" w14:textId="77777777" w:rsidR="00D23EBF" w:rsidRPr="00B46189" w:rsidRDefault="00D23EBF" w:rsidP="00654091">
            <w:pPr>
              <w:rPr>
                <w:b/>
                <w:szCs w:val="22"/>
              </w:rPr>
            </w:pPr>
          </w:p>
        </w:tc>
      </w:tr>
      <w:tr w:rsidR="00D23EBF" w:rsidRPr="003B6002" w14:paraId="6E0D3D88" w14:textId="77777777" w:rsidTr="00D23EBF">
        <w:trPr>
          <w:trHeight w:val="103"/>
        </w:trPr>
        <w:tc>
          <w:tcPr>
            <w:tcW w:w="2775" w:type="pct"/>
            <w:gridSpan w:val="5"/>
            <w:shd w:val="clear" w:color="auto" w:fill="808080" w:themeFill="background1" w:themeFillShade="80"/>
          </w:tcPr>
          <w:p w14:paraId="2457C308" w14:textId="77777777" w:rsidR="00D23EBF" w:rsidRPr="003B6002" w:rsidRDefault="00D23EBF" w:rsidP="00654091">
            <w:pPr>
              <w:jc w:val="right"/>
              <w:rPr>
                <w:sz w:val="16"/>
                <w:szCs w:val="22"/>
              </w:rPr>
            </w:pPr>
          </w:p>
        </w:tc>
        <w:tc>
          <w:tcPr>
            <w:tcW w:w="532" w:type="pct"/>
            <w:vMerge/>
          </w:tcPr>
          <w:p w14:paraId="55E1C2A0" w14:textId="77777777" w:rsidR="00D23EBF" w:rsidRPr="00B46189" w:rsidRDefault="00D23EBF" w:rsidP="00654091">
            <w:pPr>
              <w:rPr>
                <w:szCs w:val="22"/>
              </w:rPr>
            </w:pPr>
          </w:p>
        </w:tc>
        <w:tc>
          <w:tcPr>
            <w:tcW w:w="448" w:type="pct"/>
            <w:vMerge/>
          </w:tcPr>
          <w:p w14:paraId="50F46138" w14:textId="77777777" w:rsidR="00D23EBF" w:rsidRPr="00B46189" w:rsidRDefault="00D23EBF" w:rsidP="00654091">
            <w:pPr>
              <w:rPr>
                <w:szCs w:val="22"/>
              </w:rPr>
            </w:pPr>
          </w:p>
        </w:tc>
        <w:tc>
          <w:tcPr>
            <w:tcW w:w="63" w:type="pct"/>
            <w:vMerge/>
            <w:shd w:val="clear" w:color="auto" w:fill="808080" w:themeFill="background1" w:themeFillShade="80"/>
          </w:tcPr>
          <w:p w14:paraId="4A428D2A" w14:textId="77777777" w:rsidR="00D23EBF" w:rsidRPr="00B46189" w:rsidRDefault="00D23EBF" w:rsidP="00654091">
            <w:pPr>
              <w:rPr>
                <w:szCs w:val="22"/>
              </w:rPr>
            </w:pPr>
          </w:p>
        </w:tc>
        <w:tc>
          <w:tcPr>
            <w:tcW w:w="1182" w:type="pct"/>
            <w:shd w:val="clear" w:color="auto" w:fill="808080" w:themeFill="background1" w:themeFillShade="80"/>
          </w:tcPr>
          <w:p w14:paraId="762E6CB4" w14:textId="77777777" w:rsidR="00D23EBF" w:rsidRPr="003B6002" w:rsidRDefault="00D23EBF" w:rsidP="00654091">
            <w:pPr>
              <w:rPr>
                <w:sz w:val="16"/>
                <w:szCs w:val="22"/>
              </w:rPr>
            </w:pPr>
          </w:p>
        </w:tc>
      </w:tr>
      <w:tr w:rsidR="00D23EBF" w:rsidRPr="005125A9" w14:paraId="189D262E" w14:textId="77777777" w:rsidTr="00D23EBF">
        <w:trPr>
          <w:trHeight w:val="4997"/>
        </w:trPr>
        <w:tc>
          <w:tcPr>
            <w:tcW w:w="2714" w:type="pct"/>
            <w:gridSpan w:val="4"/>
          </w:tcPr>
          <w:p w14:paraId="0CFE8C43" w14:textId="77777777" w:rsidR="00D23EBF" w:rsidRDefault="00D23EBF" w:rsidP="00654091">
            <w:pPr>
              <w:rPr>
                <w:b/>
              </w:rPr>
            </w:pPr>
            <w:r w:rsidRPr="00D17F52">
              <w:rPr>
                <w:b/>
              </w:rPr>
              <w:t>Deliverables / milestones:</w:t>
            </w:r>
          </w:p>
          <w:p w14:paraId="1C579193" w14:textId="7CBDEA8F" w:rsidR="00A77E42" w:rsidRDefault="00A77E42" w:rsidP="00A77E42">
            <w:pPr>
              <w:pStyle w:val="ListParagraph"/>
              <w:numPr>
                <w:ilvl w:val="0"/>
                <w:numId w:val="7"/>
              </w:numPr>
              <w:rPr>
                <w:rFonts w:cs="Arial"/>
              </w:rPr>
            </w:pPr>
            <w:r>
              <w:rPr>
                <w:rFonts w:cs="Arial"/>
                <w:b/>
              </w:rPr>
              <w:t>Dec</w:t>
            </w:r>
            <w:r w:rsidRPr="00C6231C">
              <w:rPr>
                <w:rFonts w:cs="Arial"/>
                <w:b/>
              </w:rPr>
              <w:t xml:space="preserve"> 2016</w:t>
            </w:r>
            <w:r w:rsidR="00AF02F0">
              <w:rPr>
                <w:rFonts w:cs="Arial"/>
              </w:rPr>
              <w:t xml:space="preserve"> – People Board agree the PID and scope of the project. Full-time resource for 3 months to design detailed programme of activities.</w:t>
            </w:r>
          </w:p>
          <w:p w14:paraId="1CDC5A93" w14:textId="5ECFBF3C" w:rsidR="00AF02F0" w:rsidRPr="008F6AD0" w:rsidRDefault="00AF02F0" w:rsidP="00A77E42">
            <w:pPr>
              <w:pStyle w:val="ListParagraph"/>
              <w:numPr>
                <w:ilvl w:val="0"/>
                <w:numId w:val="7"/>
              </w:numPr>
              <w:rPr>
                <w:rFonts w:cs="Arial"/>
              </w:rPr>
            </w:pPr>
            <w:r>
              <w:rPr>
                <w:rFonts w:cs="Arial"/>
                <w:b/>
              </w:rPr>
              <w:t xml:space="preserve">Jan 2017 </w:t>
            </w:r>
            <w:r>
              <w:rPr>
                <w:rFonts w:cs="Arial"/>
              </w:rPr>
              <w:t xml:space="preserve">- </w:t>
            </w:r>
            <w:r w:rsidRPr="00AF02F0">
              <w:rPr>
                <w:rFonts w:cs="Arial"/>
                <w:szCs w:val="20"/>
              </w:rPr>
              <w:t xml:space="preserve"> Task and Finish Group set-up to implement the delivery of the programme.</w:t>
            </w:r>
          </w:p>
          <w:p w14:paraId="38D91F00" w14:textId="0A7BFFEC" w:rsidR="00D23EBF" w:rsidRPr="00AF02F0" w:rsidRDefault="007A1B8E" w:rsidP="00AF02F0">
            <w:pPr>
              <w:pStyle w:val="ListParagraph"/>
              <w:numPr>
                <w:ilvl w:val="0"/>
                <w:numId w:val="7"/>
              </w:numPr>
              <w:rPr>
                <w:rFonts w:cs="Arial"/>
              </w:rPr>
            </w:pPr>
            <w:r>
              <w:rPr>
                <w:rFonts w:cs="Arial"/>
                <w:b/>
              </w:rPr>
              <w:t>March</w:t>
            </w:r>
            <w:r w:rsidR="00A77E42">
              <w:rPr>
                <w:rFonts w:cs="Arial"/>
                <w:b/>
              </w:rPr>
              <w:t xml:space="preserve"> 2017</w:t>
            </w:r>
            <w:r w:rsidR="00D23EBF" w:rsidRPr="008F6AD0">
              <w:rPr>
                <w:rFonts w:cs="Arial"/>
              </w:rPr>
              <w:t xml:space="preserve"> – Capability Strand and People Delivery Grou</w:t>
            </w:r>
            <w:r w:rsidR="00AF02F0">
              <w:rPr>
                <w:rFonts w:cs="Arial"/>
              </w:rPr>
              <w:t>p agree the</w:t>
            </w:r>
            <w:r w:rsidR="00D23EBF">
              <w:rPr>
                <w:rFonts w:cs="Arial"/>
              </w:rPr>
              <w:t xml:space="preserve"> </w:t>
            </w:r>
            <w:r w:rsidR="00D23EBF" w:rsidRPr="008F6AD0">
              <w:rPr>
                <w:rFonts w:cs="Arial"/>
              </w:rPr>
              <w:t>project</w:t>
            </w:r>
            <w:r w:rsidR="00D23EBF">
              <w:rPr>
                <w:rFonts w:cs="Arial"/>
              </w:rPr>
              <w:t xml:space="preserve"> plan</w:t>
            </w:r>
            <w:r w:rsidR="00AF02F0">
              <w:rPr>
                <w:rFonts w:cs="Arial"/>
              </w:rPr>
              <w:t>, detailed programme of activities</w:t>
            </w:r>
            <w:r w:rsidR="00D23EBF" w:rsidRPr="008F6AD0">
              <w:rPr>
                <w:rFonts w:cs="Arial"/>
              </w:rPr>
              <w:t xml:space="preserve"> and communication plans.</w:t>
            </w:r>
            <w:r w:rsidR="00AF02F0">
              <w:rPr>
                <w:rFonts w:cs="Arial"/>
              </w:rPr>
              <w:t xml:space="preserve"> </w:t>
            </w:r>
          </w:p>
          <w:p w14:paraId="7C870E60" w14:textId="76649F5C" w:rsidR="00D23EBF" w:rsidRPr="008F6AD0" w:rsidRDefault="00AF02F0" w:rsidP="00D23EBF">
            <w:pPr>
              <w:pStyle w:val="ListParagraph"/>
              <w:numPr>
                <w:ilvl w:val="0"/>
                <w:numId w:val="7"/>
              </w:numPr>
              <w:rPr>
                <w:rFonts w:cs="Arial"/>
              </w:rPr>
            </w:pPr>
            <w:r>
              <w:rPr>
                <w:rFonts w:cs="Arial"/>
                <w:b/>
              </w:rPr>
              <w:t>April</w:t>
            </w:r>
            <w:r w:rsidR="007A1B8E">
              <w:rPr>
                <w:rFonts w:cs="Arial"/>
                <w:b/>
              </w:rPr>
              <w:t xml:space="preserve"> </w:t>
            </w:r>
            <w:r w:rsidR="000A586E">
              <w:rPr>
                <w:rFonts w:cs="Arial"/>
                <w:b/>
              </w:rPr>
              <w:t>2017</w:t>
            </w:r>
            <w:r w:rsidR="00D23EBF" w:rsidRPr="008F6AD0">
              <w:rPr>
                <w:rFonts w:cs="Arial"/>
              </w:rPr>
              <w:t xml:space="preserve"> – Identify the costs of the programme over the</w:t>
            </w:r>
            <w:r w:rsidR="000A586E">
              <w:rPr>
                <w:rFonts w:cs="Arial"/>
              </w:rPr>
              <w:t xml:space="preserve"> next</w:t>
            </w:r>
            <w:r w:rsidR="00D23EBF" w:rsidRPr="008F6AD0">
              <w:rPr>
                <w:rFonts w:cs="Arial"/>
              </w:rPr>
              <w:t xml:space="preserve"> 4 years.</w:t>
            </w:r>
          </w:p>
          <w:p w14:paraId="708817DB" w14:textId="0CC08DBF" w:rsidR="00D23EBF" w:rsidRPr="007A1B8E" w:rsidRDefault="00AF02F0" w:rsidP="007A1B8E">
            <w:pPr>
              <w:pStyle w:val="ListParagraph"/>
              <w:numPr>
                <w:ilvl w:val="0"/>
                <w:numId w:val="7"/>
              </w:numPr>
              <w:rPr>
                <w:rFonts w:cs="Arial"/>
              </w:rPr>
            </w:pPr>
            <w:r>
              <w:rPr>
                <w:rFonts w:cs="Arial"/>
                <w:b/>
              </w:rPr>
              <w:t>May</w:t>
            </w:r>
            <w:r w:rsidR="000A586E">
              <w:rPr>
                <w:rFonts w:cs="Arial"/>
                <w:b/>
              </w:rPr>
              <w:t xml:space="preserve"> 2017</w:t>
            </w:r>
            <w:r w:rsidR="00D23EBF">
              <w:rPr>
                <w:rFonts w:cs="Arial"/>
              </w:rPr>
              <w:t xml:space="preserve"> </w:t>
            </w:r>
            <w:r w:rsidR="00D23EBF" w:rsidRPr="008F6AD0">
              <w:rPr>
                <w:rFonts w:cs="Arial"/>
              </w:rPr>
              <w:t xml:space="preserve">Develop plans to test the effectiveness of the programme. </w:t>
            </w:r>
          </w:p>
          <w:p w14:paraId="44A166E6" w14:textId="2BDCBB50" w:rsidR="00D23EBF" w:rsidRPr="008F6AD0" w:rsidRDefault="00AF02F0" w:rsidP="00D23EBF">
            <w:pPr>
              <w:pStyle w:val="ListParagraph"/>
              <w:numPr>
                <w:ilvl w:val="0"/>
                <w:numId w:val="7"/>
              </w:numPr>
              <w:rPr>
                <w:rFonts w:cs="Arial"/>
              </w:rPr>
            </w:pPr>
            <w:r>
              <w:rPr>
                <w:rFonts w:cs="Arial"/>
                <w:b/>
              </w:rPr>
              <w:t>June</w:t>
            </w:r>
            <w:r w:rsidR="000A586E">
              <w:rPr>
                <w:rFonts w:cs="Arial"/>
                <w:b/>
              </w:rPr>
              <w:t xml:space="preserve"> 2017</w:t>
            </w:r>
            <w:r w:rsidR="00D23EBF" w:rsidRPr="008F6AD0">
              <w:rPr>
                <w:rFonts w:cs="Arial"/>
              </w:rPr>
              <w:t xml:space="preserve"> – Finalise plans to deliver agreed volumes per year.</w:t>
            </w:r>
          </w:p>
          <w:p w14:paraId="7EF56B4E" w14:textId="25CACEEE" w:rsidR="00D23EBF" w:rsidRDefault="007A1B8E" w:rsidP="000A586E">
            <w:pPr>
              <w:pStyle w:val="ListParagraph"/>
              <w:numPr>
                <w:ilvl w:val="0"/>
                <w:numId w:val="7"/>
              </w:numPr>
              <w:rPr>
                <w:rFonts w:cs="Arial"/>
              </w:rPr>
            </w:pPr>
            <w:r>
              <w:rPr>
                <w:rFonts w:cs="Arial"/>
                <w:b/>
              </w:rPr>
              <w:t>April - July</w:t>
            </w:r>
            <w:r w:rsidR="000A586E">
              <w:rPr>
                <w:rFonts w:cs="Arial"/>
                <w:b/>
              </w:rPr>
              <w:t xml:space="preserve"> 2017</w:t>
            </w:r>
            <w:r w:rsidR="00D23EBF" w:rsidRPr="008F6AD0">
              <w:rPr>
                <w:rFonts w:cs="Arial"/>
              </w:rPr>
              <w:t xml:space="preserve"> – Promote the</w:t>
            </w:r>
            <w:r w:rsidR="000A586E">
              <w:rPr>
                <w:rFonts w:cs="Arial"/>
              </w:rPr>
              <w:t xml:space="preserve"> talent management programme.</w:t>
            </w:r>
          </w:p>
          <w:p w14:paraId="282282CD" w14:textId="653787EF" w:rsidR="000A586E" w:rsidRDefault="00DA7BE5" w:rsidP="000A586E">
            <w:pPr>
              <w:pStyle w:val="ListParagraph"/>
              <w:numPr>
                <w:ilvl w:val="0"/>
                <w:numId w:val="7"/>
              </w:numPr>
              <w:rPr>
                <w:rFonts w:cs="Arial"/>
              </w:rPr>
            </w:pPr>
            <w:r>
              <w:rPr>
                <w:rFonts w:cs="Arial"/>
                <w:b/>
              </w:rPr>
              <w:t>May/</w:t>
            </w:r>
            <w:r w:rsidR="00AF02F0">
              <w:rPr>
                <w:rFonts w:cs="Arial"/>
                <w:b/>
              </w:rPr>
              <w:t>June</w:t>
            </w:r>
            <w:r w:rsidR="000A586E">
              <w:rPr>
                <w:rFonts w:cs="Arial"/>
                <w:b/>
              </w:rPr>
              <w:t xml:space="preserve"> 20</w:t>
            </w:r>
            <w:r w:rsidR="007A1B8E">
              <w:rPr>
                <w:rFonts w:cs="Arial"/>
                <w:b/>
              </w:rPr>
              <w:t>17</w:t>
            </w:r>
            <w:r w:rsidR="000A586E">
              <w:rPr>
                <w:rFonts w:cs="Arial"/>
                <w:b/>
              </w:rPr>
              <w:t xml:space="preserve"> </w:t>
            </w:r>
            <w:r w:rsidR="000A586E">
              <w:rPr>
                <w:rFonts w:cs="Arial"/>
              </w:rPr>
              <w:t>– Identify G6 and G7 staff on the top line of the talent grid for inclusion in the programme.</w:t>
            </w:r>
          </w:p>
          <w:p w14:paraId="4F00C8DD" w14:textId="7F8FDD2E" w:rsidR="000A586E" w:rsidRDefault="00AF02F0" w:rsidP="000A586E">
            <w:pPr>
              <w:pStyle w:val="ListParagraph"/>
              <w:numPr>
                <w:ilvl w:val="0"/>
                <w:numId w:val="7"/>
              </w:numPr>
              <w:rPr>
                <w:rFonts w:cs="Arial"/>
              </w:rPr>
            </w:pPr>
            <w:r>
              <w:rPr>
                <w:rFonts w:cs="Arial"/>
                <w:b/>
              </w:rPr>
              <w:t>July</w:t>
            </w:r>
            <w:r w:rsidR="007A1B8E">
              <w:rPr>
                <w:rFonts w:cs="Arial"/>
                <w:b/>
              </w:rPr>
              <w:t xml:space="preserve"> 2017</w:t>
            </w:r>
            <w:r w:rsidR="000A586E">
              <w:rPr>
                <w:rFonts w:cs="Arial"/>
                <w:b/>
              </w:rPr>
              <w:t xml:space="preserve"> </w:t>
            </w:r>
            <w:r w:rsidR="000A586E">
              <w:rPr>
                <w:rFonts w:cs="Arial"/>
              </w:rPr>
              <w:t>– Commence Phase 1 activities for G7 and G6 staff identified for the programme.</w:t>
            </w:r>
          </w:p>
          <w:p w14:paraId="6C26B0AE" w14:textId="638FC2CE" w:rsidR="000A586E" w:rsidRPr="000A586E" w:rsidRDefault="007A1B8E" w:rsidP="000A586E">
            <w:pPr>
              <w:pStyle w:val="ListParagraph"/>
              <w:numPr>
                <w:ilvl w:val="0"/>
                <w:numId w:val="7"/>
              </w:numPr>
              <w:rPr>
                <w:rFonts w:cs="Arial"/>
              </w:rPr>
            </w:pPr>
            <w:r>
              <w:rPr>
                <w:rFonts w:cs="Arial"/>
                <w:b/>
              </w:rPr>
              <w:t>October 2017</w:t>
            </w:r>
            <w:r w:rsidR="000A586E">
              <w:rPr>
                <w:rFonts w:cs="Arial"/>
                <w:b/>
              </w:rPr>
              <w:t xml:space="preserve"> </w:t>
            </w:r>
            <w:r w:rsidR="000A586E">
              <w:rPr>
                <w:rFonts w:cs="Arial"/>
              </w:rPr>
              <w:t>– Capability Strand and People Delivery Group agree the scope of Phase 2, project plan and communications plan (to offer the talent management programme to staff at grades below G7)</w:t>
            </w:r>
          </w:p>
          <w:p w14:paraId="235500B8" w14:textId="1385AA2F" w:rsidR="00D23EBF" w:rsidRDefault="007A1B8E" w:rsidP="000A586E">
            <w:pPr>
              <w:pStyle w:val="ListParagraph"/>
              <w:numPr>
                <w:ilvl w:val="0"/>
                <w:numId w:val="7"/>
              </w:numPr>
              <w:rPr>
                <w:rFonts w:cs="Arial"/>
              </w:rPr>
            </w:pPr>
            <w:r>
              <w:rPr>
                <w:rFonts w:cs="Arial"/>
                <w:b/>
              </w:rPr>
              <w:t>September 2018</w:t>
            </w:r>
            <w:r w:rsidR="00D23EBF" w:rsidRPr="008F6AD0">
              <w:rPr>
                <w:rFonts w:cs="Arial"/>
              </w:rPr>
              <w:t xml:space="preserve"> – Review and evaluate progress in year one of the leadership and line management development programme. </w:t>
            </w:r>
          </w:p>
          <w:p w14:paraId="0F094FEA" w14:textId="6826262F" w:rsidR="000A586E" w:rsidRDefault="00DA7BE5" w:rsidP="000A586E">
            <w:pPr>
              <w:pStyle w:val="ListParagraph"/>
              <w:numPr>
                <w:ilvl w:val="0"/>
                <w:numId w:val="7"/>
              </w:numPr>
              <w:rPr>
                <w:rFonts w:cs="Arial"/>
              </w:rPr>
            </w:pPr>
            <w:r>
              <w:rPr>
                <w:rFonts w:cs="Arial"/>
                <w:b/>
              </w:rPr>
              <w:t>May/June</w:t>
            </w:r>
            <w:r w:rsidR="007A1B8E">
              <w:rPr>
                <w:rFonts w:cs="Arial"/>
                <w:b/>
              </w:rPr>
              <w:t xml:space="preserve"> 2018</w:t>
            </w:r>
            <w:r w:rsidR="000A586E">
              <w:rPr>
                <w:rFonts w:cs="Arial"/>
                <w:b/>
              </w:rPr>
              <w:t xml:space="preserve"> </w:t>
            </w:r>
            <w:r w:rsidR="000A586E">
              <w:rPr>
                <w:rFonts w:cs="Arial"/>
              </w:rPr>
              <w:t>– Identify staff at grades below G7 for inclusion in the programme.</w:t>
            </w:r>
          </w:p>
          <w:p w14:paraId="734B78E8" w14:textId="71298473" w:rsidR="000A586E" w:rsidRPr="000A586E" w:rsidRDefault="00DA7BE5" w:rsidP="000A586E">
            <w:pPr>
              <w:pStyle w:val="ListParagraph"/>
              <w:numPr>
                <w:ilvl w:val="0"/>
                <w:numId w:val="7"/>
              </w:numPr>
              <w:rPr>
                <w:rFonts w:cs="Arial"/>
              </w:rPr>
            </w:pPr>
            <w:r>
              <w:rPr>
                <w:rFonts w:cs="Arial"/>
                <w:b/>
              </w:rPr>
              <w:t>July</w:t>
            </w:r>
            <w:r w:rsidR="007A1B8E">
              <w:rPr>
                <w:rFonts w:cs="Arial"/>
                <w:b/>
              </w:rPr>
              <w:t xml:space="preserve"> 2018</w:t>
            </w:r>
            <w:r w:rsidR="000A586E">
              <w:rPr>
                <w:rFonts w:cs="Arial"/>
                <w:b/>
              </w:rPr>
              <w:t xml:space="preserve"> </w:t>
            </w:r>
            <w:r w:rsidR="000A586E">
              <w:rPr>
                <w:rFonts w:cs="Arial"/>
              </w:rPr>
              <w:t>– Commence Phase 2 activities for staff at grades below G7 identified for inclusion in the programme.</w:t>
            </w:r>
          </w:p>
          <w:p w14:paraId="316A3F43" w14:textId="723333B8" w:rsidR="00D23EBF" w:rsidRPr="004E4032" w:rsidRDefault="007A1B8E" w:rsidP="00D23EBF">
            <w:pPr>
              <w:pStyle w:val="ListParagraph"/>
              <w:numPr>
                <w:ilvl w:val="0"/>
                <w:numId w:val="7"/>
              </w:numPr>
            </w:pPr>
            <w:r>
              <w:rPr>
                <w:rFonts w:cs="Arial"/>
                <w:b/>
              </w:rPr>
              <w:t>December 2018</w:t>
            </w:r>
            <w:r w:rsidR="000A586E">
              <w:rPr>
                <w:rFonts w:cs="Arial"/>
              </w:rPr>
              <w:t xml:space="preserve"> – Talent management programme</w:t>
            </w:r>
            <w:r w:rsidR="00D23EBF" w:rsidRPr="008F6AD0">
              <w:rPr>
                <w:rFonts w:cs="Arial"/>
              </w:rPr>
              <w:t xml:space="preserve"> embedded at all levels of EFA.</w:t>
            </w:r>
          </w:p>
        </w:tc>
        <w:tc>
          <w:tcPr>
            <w:tcW w:w="61" w:type="pct"/>
            <w:shd w:val="clear" w:color="auto" w:fill="808080" w:themeFill="background1" w:themeFillShade="80"/>
          </w:tcPr>
          <w:p w14:paraId="5409C53B" w14:textId="77777777" w:rsidR="00D23EBF" w:rsidRPr="00B46189" w:rsidRDefault="00D23EBF" w:rsidP="00654091">
            <w:pPr>
              <w:rPr>
                <w:szCs w:val="22"/>
              </w:rPr>
            </w:pPr>
          </w:p>
        </w:tc>
        <w:tc>
          <w:tcPr>
            <w:tcW w:w="532" w:type="pct"/>
            <w:vMerge/>
          </w:tcPr>
          <w:p w14:paraId="15E044C0" w14:textId="77777777" w:rsidR="00D23EBF" w:rsidRPr="00B46189" w:rsidRDefault="00D23EBF" w:rsidP="00654091">
            <w:pPr>
              <w:rPr>
                <w:szCs w:val="22"/>
              </w:rPr>
            </w:pPr>
          </w:p>
        </w:tc>
        <w:tc>
          <w:tcPr>
            <w:tcW w:w="448" w:type="pct"/>
            <w:vMerge/>
          </w:tcPr>
          <w:p w14:paraId="57BA24D5" w14:textId="77777777" w:rsidR="00D23EBF" w:rsidRPr="00B46189" w:rsidRDefault="00D23EBF" w:rsidP="00654091">
            <w:pPr>
              <w:rPr>
                <w:szCs w:val="22"/>
              </w:rPr>
            </w:pPr>
          </w:p>
        </w:tc>
        <w:tc>
          <w:tcPr>
            <w:tcW w:w="63" w:type="pct"/>
            <w:vMerge/>
            <w:shd w:val="clear" w:color="auto" w:fill="808080" w:themeFill="background1" w:themeFillShade="80"/>
          </w:tcPr>
          <w:p w14:paraId="1B23EA3B" w14:textId="77777777" w:rsidR="00D23EBF" w:rsidRPr="00B46189" w:rsidRDefault="00D23EBF" w:rsidP="00654091">
            <w:pPr>
              <w:rPr>
                <w:szCs w:val="22"/>
              </w:rPr>
            </w:pPr>
          </w:p>
        </w:tc>
        <w:tc>
          <w:tcPr>
            <w:tcW w:w="1182" w:type="pct"/>
          </w:tcPr>
          <w:p w14:paraId="4BDD8DA9" w14:textId="77777777" w:rsidR="00D23EBF" w:rsidRPr="00B46189" w:rsidRDefault="00D23EBF" w:rsidP="00654091">
            <w:pPr>
              <w:spacing w:before="120" w:after="120"/>
              <w:rPr>
                <w:b/>
                <w:szCs w:val="22"/>
              </w:rPr>
            </w:pPr>
            <w:r w:rsidRPr="00B46189">
              <w:rPr>
                <w:b/>
                <w:szCs w:val="22"/>
              </w:rPr>
              <w:t>Finance – project budget</w:t>
            </w:r>
            <w:r w:rsidRPr="00B46189">
              <w:rPr>
                <w:szCs w:val="22"/>
              </w:rPr>
              <w:t>:</w:t>
            </w:r>
            <w:r w:rsidRPr="00B46189">
              <w:rPr>
                <w:b/>
                <w:szCs w:val="22"/>
              </w:rPr>
              <w:t xml:space="preserve">  </w:t>
            </w:r>
          </w:p>
          <w:p w14:paraId="0D905707" w14:textId="668C5BEC" w:rsidR="00D23EBF" w:rsidRDefault="00D23EBF" w:rsidP="00D23EBF">
            <w:pPr>
              <w:widowControl w:val="0"/>
              <w:numPr>
                <w:ilvl w:val="0"/>
                <w:numId w:val="4"/>
              </w:numPr>
              <w:overflowPunct w:val="0"/>
              <w:autoSpaceDE w:val="0"/>
              <w:autoSpaceDN w:val="0"/>
              <w:adjustRightInd w:val="0"/>
              <w:spacing w:after="120"/>
              <w:textAlignment w:val="baseline"/>
              <w:rPr>
                <w:szCs w:val="22"/>
              </w:rPr>
            </w:pPr>
            <w:r w:rsidRPr="00355BEA">
              <w:rPr>
                <w:szCs w:val="22"/>
              </w:rPr>
              <w:t>To be confirmed</w:t>
            </w:r>
            <w:r w:rsidR="00A77E42">
              <w:rPr>
                <w:szCs w:val="22"/>
              </w:rPr>
              <w:t xml:space="preserve"> for Phase I </w:t>
            </w:r>
            <w:r w:rsidR="000044D3">
              <w:rPr>
                <w:szCs w:val="22"/>
              </w:rPr>
              <w:t xml:space="preserve">in April 2017when </w:t>
            </w:r>
            <w:r w:rsidR="00A77E42">
              <w:rPr>
                <w:szCs w:val="22"/>
              </w:rPr>
              <w:t>programme of activit</w:t>
            </w:r>
            <w:r w:rsidR="000044D3">
              <w:rPr>
                <w:szCs w:val="22"/>
              </w:rPr>
              <w:t>ies for G6 and G7 staff confirm</w:t>
            </w:r>
            <w:r w:rsidR="00A77E42">
              <w:rPr>
                <w:szCs w:val="22"/>
              </w:rPr>
              <w:t xml:space="preserve">ed. </w:t>
            </w:r>
          </w:p>
          <w:p w14:paraId="2FB646A6" w14:textId="77777777" w:rsidR="00A77E42" w:rsidRDefault="00A77E42" w:rsidP="00D23EBF">
            <w:pPr>
              <w:widowControl w:val="0"/>
              <w:numPr>
                <w:ilvl w:val="0"/>
                <w:numId w:val="4"/>
              </w:numPr>
              <w:overflowPunct w:val="0"/>
              <w:autoSpaceDE w:val="0"/>
              <w:autoSpaceDN w:val="0"/>
              <w:adjustRightInd w:val="0"/>
              <w:spacing w:after="120"/>
              <w:textAlignment w:val="baseline"/>
              <w:rPr>
                <w:szCs w:val="22"/>
              </w:rPr>
            </w:pPr>
            <w:r>
              <w:rPr>
                <w:szCs w:val="22"/>
              </w:rPr>
              <w:t>To be confirmed for Phase 2 proposal for staff identified below G7</w:t>
            </w:r>
            <w:r w:rsidR="000044D3">
              <w:rPr>
                <w:szCs w:val="22"/>
              </w:rPr>
              <w:t xml:space="preserve"> in April 2018 when programme of activities confirmed</w:t>
            </w:r>
            <w:r>
              <w:rPr>
                <w:szCs w:val="22"/>
              </w:rPr>
              <w:t>.</w:t>
            </w:r>
          </w:p>
          <w:p w14:paraId="756757B8" w14:textId="4B3F1BC5" w:rsidR="000044D3" w:rsidRPr="005125A9" w:rsidRDefault="000044D3" w:rsidP="00D23EBF">
            <w:pPr>
              <w:widowControl w:val="0"/>
              <w:numPr>
                <w:ilvl w:val="0"/>
                <w:numId w:val="4"/>
              </w:numPr>
              <w:overflowPunct w:val="0"/>
              <w:autoSpaceDE w:val="0"/>
              <w:autoSpaceDN w:val="0"/>
              <w:adjustRightInd w:val="0"/>
              <w:spacing w:after="120"/>
              <w:textAlignment w:val="baseline"/>
              <w:rPr>
                <w:szCs w:val="22"/>
              </w:rPr>
            </w:pPr>
            <w:r>
              <w:rPr>
                <w:szCs w:val="22"/>
              </w:rPr>
              <w:t>Resource to design, cost and test programme for Phase 1 in first half of 2017. Cost £30k.</w:t>
            </w:r>
          </w:p>
        </w:tc>
      </w:tr>
      <w:tr w:rsidR="00D23EBF" w:rsidRPr="003B6002" w14:paraId="1054E185" w14:textId="77777777" w:rsidTr="00D23EBF">
        <w:trPr>
          <w:trHeight w:val="115"/>
        </w:trPr>
        <w:tc>
          <w:tcPr>
            <w:tcW w:w="5000" w:type="pct"/>
            <w:gridSpan w:val="9"/>
            <w:shd w:val="clear" w:color="auto" w:fill="808080" w:themeFill="background1" w:themeFillShade="80"/>
          </w:tcPr>
          <w:p w14:paraId="5FCE81C2" w14:textId="77777777" w:rsidR="00D23EBF" w:rsidRPr="003B6002" w:rsidRDefault="00D23EBF" w:rsidP="00654091">
            <w:pPr>
              <w:rPr>
                <w:sz w:val="16"/>
                <w:szCs w:val="16"/>
              </w:rPr>
            </w:pPr>
          </w:p>
        </w:tc>
      </w:tr>
      <w:tr w:rsidR="00152E73" w:rsidRPr="00B46189" w14:paraId="61E4B0DC" w14:textId="77777777" w:rsidTr="00D23EBF">
        <w:trPr>
          <w:trHeight w:val="2872"/>
        </w:trPr>
        <w:tc>
          <w:tcPr>
            <w:tcW w:w="1119" w:type="pct"/>
            <w:gridSpan w:val="2"/>
          </w:tcPr>
          <w:p w14:paraId="235C7054" w14:textId="77777777" w:rsidR="00152E73" w:rsidRPr="0025312E" w:rsidRDefault="00152E73" w:rsidP="0025312E">
            <w:pPr>
              <w:spacing w:before="120" w:after="120"/>
              <w:rPr>
                <w:b/>
                <w:szCs w:val="22"/>
              </w:rPr>
            </w:pPr>
            <w:r>
              <w:rPr>
                <w:b/>
                <w:szCs w:val="22"/>
              </w:rPr>
              <w:lastRenderedPageBreak/>
              <w:t>Dependencies</w:t>
            </w:r>
          </w:p>
          <w:p w14:paraId="7236C79C" w14:textId="45E08F60" w:rsidR="00152E73" w:rsidRDefault="00152E73" w:rsidP="00AE7728">
            <w:pPr>
              <w:pStyle w:val="ListParagraph"/>
              <w:numPr>
                <w:ilvl w:val="0"/>
                <w:numId w:val="13"/>
              </w:numPr>
              <w:spacing w:after="0" w:line="240" w:lineRule="auto"/>
              <w:rPr>
                <w:rFonts w:cs="Arial"/>
                <w:szCs w:val="20"/>
              </w:rPr>
            </w:pPr>
            <w:r>
              <w:rPr>
                <w:rFonts w:cs="Arial"/>
                <w:szCs w:val="20"/>
              </w:rPr>
              <w:t>Line Managers carry out the process of identifying staff on the talent grid. This must be done properly in order to ensure the right people are identified.</w:t>
            </w:r>
          </w:p>
          <w:p w14:paraId="52E9399B" w14:textId="4FF28C94" w:rsidR="00152E73" w:rsidRPr="00C35F2E" w:rsidRDefault="00152E73" w:rsidP="00AE7728">
            <w:pPr>
              <w:pStyle w:val="ListParagraph"/>
              <w:numPr>
                <w:ilvl w:val="0"/>
                <w:numId w:val="13"/>
              </w:numPr>
              <w:spacing w:after="0" w:line="240" w:lineRule="auto"/>
              <w:rPr>
                <w:rFonts w:cs="Arial"/>
                <w:szCs w:val="20"/>
              </w:rPr>
            </w:pPr>
            <w:r>
              <w:rPr>
                <w:rFonts w:cs="Arial"/>
                <w:szCs w:val="20"/>
              </w:rPr>
              <w:t>Talent Grid is controlled by DfE and may be subject to change which would have an effect on the programme.</w:t>
            </w:r>
          </w:p>
          <w:p w14:paraId="2C4E0528" w14:textId="5E656093" w:rsidR="00152E73" w:rsidRPr="00AE7728" w:rsidRDefault="00152E73" w:rsidP="00AE7728">
            <w:pPr>
              <w:pStyle w:val="ListParagraph"/>
              <w:numPr>
                <w:ilvl w:val="0"/>
                <w:numId w:val="13"/>
              </w:numPr>
              <w:spacing w:after="0" w:line="240" w:lineRule="auto"/>
              <w:rPr>
                <w:rFonts w:cs="Arial"/>
                <w:szCs w:val="20"/>
              </w:rPr>
            </w:pPr>
            <w:r>
              <w:rPr>
                <w:rFonts w:cs="Arial"/>
              </w:rPr>
              <w:t xml:space="preserve">Programmes developed by the Leadership and Management, and Coaching and Mentoring strands will provide a wider offering for staff not identified for the talent management programme. </w:t>
            </w:r>
          </w:p>
        </w:tc>
        <w:tc>
          <w:tcPr>
            <w:tcW w:w="59" w:type="pct"/>
            <w:shd w:val="clear" w:color="auto" w:fill="808080" w:themeFill="background1" w:themeFillShade="80"/>
          </w:tcPr>
          <w:p w14:paraId="4828A3AD" w14:textId="77777777" w:rsidR="00152E73" w:rsidRPr="00B46189" w:rsidRDefault="00152E73" w:rsidP="00654091">
            <w:pPr>
              <w:rPr>
                <w:szCs w:val="22"/>
              </w:rPr>
            </w:pPr>
          </w:p>
        </w:tc>
        <w:tc>
          <w:tcPr>
            <w:tcW w:w="1536" w:type="pct"/>
          </w:tcPr>
          <w:p w14:paraId="5A1BFD03" w14:textId="77777777" w:rsidR="00152E73" w:rsidRPr="00B46189" w:rsidRDefault="00152E73" w:rsidP="00654091">
            <w:pPr>
              <w:spacing w:before="120" w:after="120"/>
              <w:rPr>
                <w:b/>
                <w:szCs w:val="22"/>
              </w:rPr>
            </w:pPr>
            <w:r w:rsidRPr="00B46189">
              <w:rPr>
                <w:b/>
                <w:szCs w:val="22"/>
              </w:rPr>
              <w:t>Stakeholders</w:t>
            </w:r>
          </w:p>
          <w:p w14:paraId="7EC63BC5" w14:textId="77777777" w:rsidR="00152E73" w:rsidRDefault="00152E73" w:rsidP="00D23EBF">
            <w:pPr>
              <w:widowControl w:val="0"/>
              <w:numPr>
                <w:ilvl w:val="0"/>
                <w:numId w:val="3"/>
              </w:numPr>
              <w:overflowPunct w:val="0"/>
              <w:autoSpaceDE w:val="0"/>
              <w:autoSpaceDN w:val="0"/>
              <w:adjustRightInd w:val="0"/>
              <w:spacing w:after="120"/>
              <w:textAlignment w:val="baseline"/>
              <w:rPr>
                <w:rFonts w:cs="Arial"/>
                <w:szCs w:val="22"/>
              </w:rPr>
            </w:pPr>
            <w:r>
              <w:rPr>
                <w:rFonts w:cs="Arial"/>
                <w:szCs w:val="22"/>
              </w:rPr>
              <w:t>People Delivery Group and People Board will have an interest in ensuring that talent management plans realise expected benefits.</w:t>
            </w:r>
          </w:p>
          <w:p w14:paraId="15EFF30C" w14:textId="77777777" w:rsidR="00152E73" w:rsidRPr="00B46189" w:rsidRDefault="00152E73" w:rsidP="00D23EBF">
            <w:pPr>
              <w:widowControl w:val="0"/>
              <w:numPr>
                <w:ilvl w:val="0"/>
                <w:numId w:val="3"/>
              </w:numPr>
              <w:overflowPunct w:val="0"/>
              <w:autoSpaceDE w:val="0"/>
              <w:autoSpaceDN w:val="0"/>
              <w:adjustRightInd w:val="0"/>
              <w:spacing w:after="120"/>
              <w:textAlignment w:val="baseline"/>
              <w:rPr>
                <w:rFonts w:cs="Arial"/>
                <w:szCs w:val="22"/>
              </w:rPr>
            </w:pPr>
            <w:r>
              <w:rPr>
                <w:rFonts w:cs="Arial"/>
                <w:szCs w:val="22"/>
              </w:rPr>
              <w:t>SMT</w:t>
            </w:r>
            <w:r w:rsidRPr="00B46189">
              <w:rPr>
                <w:rFonts w:cs="Arial"/>
                <w:szCs w:val="22"/>
              </w:rPr>
              <w:t>s</w:t>
            </w:r>
            <w:r>
              <w:rPr>
                <w:rFonts w:cs="Arial"/>
                <w:szCs w:val="22"/>
              </w:rPr>
              <w:t xml:space="preserve"> will have an interest in the development of their staff, and ensuring that talent management principles are embedded throughout their divisions.</w:t>
            </w:r>
          </w:p>
          <w:p w14:paraId="314BDE37" w14:textId="77777777" w:rsidR="00152E73" w:rsidRPr="003B6002" w:rsidRDefault="00152E73" w:rsidP="00D23EBF">
            <w:pPr>
              <w:widowControl w:val="0"/>
              <w:numPr>
                <w:ilvl w:val="0"/>
                <w:numId w:val="3"/>
              </w:numPr>
              <w:overflowPunct w:val="0"/>
              <w:autoSpaceDE w:val="0"/>
              <w:autoSpaceDN w:val="0"/>
              <w:adjustRightInd w:val="0"/>
              <w:spacing w:after="120"/>
              <w:textAlignment w:val="baseline"/>
              <w:rPr>
                <w:rFonts w:cs="Arial"/>
                <w:szCs w:val="22"/>
              </w:rPr>
            </w:pPr>
            <w:r w:rsidRPr="00B46189">
              <w:rPr>
                <w:rFonts w:cs="Arial"/>
                <w:szCs w:val="22"/>
              </w:rPr>
              <w:t>All</w:t>
            </w:r>
            <w:r>
              <w:rPr>
                <w:rFonts w:cs="Arial"/>
                <w:szCs w:val="22"/>
              </w:rPr>
              <w:t xml:space="preserve"> staff will need to be aware of the objectives and benefits of the talent management programme. </w:t>
            </w:r>
          </w:p>
        </w:tc>
        <w:tc>
          <w:tcPr>
            <w:tcW w:w="61" w:type="pct"/>
            <w:shd w:val="clear" w:color="auto" w:fill="808080" w:themeFill="background1" w:themeFillShade="80"/>
          </w:tcPr>
          <w:p w14:paraId="4698A910" w14:textId="77777777" w:rsidR="00152E73" w:rsidRPr="00B46189" w:rsidRDefault="00152E73" w:rsidP="00654091">
            <w:pPr>
              <w:rPr>
                <w:szCs w:val="22"/>
              </w:rPr>
            </w:pPr>
          </w:p>
        </w:tc>
        <w:tc>
          <w:tcPr>
            <w:tcW w:w="2225" w:type="pct"/>
            <w:gridSpan w:val="4"/>
            <w:vMerge w:val="restart"/>
          </w:tcPr>
          <w:p w14:paraId="699AB6C8" w14:textId="77777777" w:rsidR="00152E73" w:rsidRPr="00B46189" w:rsidRDefault="00152E73" w:rsidP="00654091">
            <w:pPr>
              <w:spacing w:before="120" w:after="120"/>
              <w:rPr>
                <w:b/>
                <w:szCs w:val="22"/>
              </w:rPr>
            </w:pPr>
            <w:r w:rsidRPr="00B46189">
              <w:rPr>
                <w:b/>
                <w:szCs w:val="22"/>
              </w:rPr>
              <w:t>Risks</w:t>
            </w:r>
          </w:p>
          <w:p w14:paraId="6F630D0A" w14:textId="77777777" w:rsidR="00152E73" w:rsidRDefault="00152E73" w:rsidP="00D23EBF">
            <w:pPr>
              <w:widowControl w:val="0"/>
              <w:numPr>
                <w:ilvl w:val="0"/>
                <w:numId w:val="3"/>
              </w:numPr>
              <w:overflowPunct w:val="0"/>
              <w:autoSpaceDE w:val="0"/>
              <w:autoSpaceDN w:val="0"/>
              <w:adjustRightInd w:val="0"/>
              <w:ind w:left="357" w:hanging="357"/>
              <w:textAlignment w:val="baseline"/>
              <w:rPr>
                <w:rFonts w:cs="Arial"/>
                <w:szCs w:val="22"/>
              </w:rPr>
            </w:pPr>
            <w:r>
              <w:rPr>
                <w:rFonts w:cs="Arial"/>
                <w:szCs w:val="22"/>
              </w:rPr>
              <w:t>Lack of resources to deliver the programme.</w:t>
            </w:r>
          </w:p>
          <w:p w14:paraId="45F83889" w14:textId="1C5F7F42" w:rsidR="00152E73" w:rsidRDefault="00152E73" w:rsidP="0025312E">
            <w:pPr>
              <w:widowControl w:val="0"/>
              <w:numPr>
                <w:ilvl w:val="0"/>
                <w:numId w:val="3"/>
              </w:numPr>
              <w:overflowPunct w:val="0"/>
              <w:autoSpaceDE w:val="0"/>
              <w:autoSpaceDN w:val="0"/>
              <w:adjustRightInd w:val="0"/>
              <w:ind w:left="357" w:hanging="357"/>
              <w:textAlignment w:val="baseline"/>
              <w:rPr>
                <w:rFonts w:cs="Arial"/>
                <w:szCs w:val="22"/>
              </w:rPr>
            </w:pPr>
            <w:r>
              <w:rPr>
                <w:rFonts w:cs="Arial"/>
                <w:szCs w:val="22"/>
              </w:rPr>
              <w:t>Without a sustained programme of talent management, the EFA will risk not being able to develop their workforce sufficiently to meet the strategic needs of the organisation, leading to expensive external recruitments, unfilled posts and dissatisfied staff who leave.</w:t>
            </w:r>
          </w:p>
          <w:p w14:paraId="2DD09D45" w14:textId="666CA79B" w:rsidR="00152E73" w:rsidRDefault="00152E73" w:rsidP="0025312E">
            <w:pPr>
              <w:widowControl w:val="0"/>
              <w:numPr>
                <w:ilvl w:val="0"/>
                <w:numId w:val="3"/>
              </w:numPr>
              <w:overflowPunct w:val="0"/>
              <w:autoSpaceDE w:val="0"/>
              <w:autoSpaceDN w:val="0"/>
              <w:adjustRightInd w:val="0"/>
              <w:ind w:left="357" w:hanging="357"/>
              <w:textAlignment w:val="baseline"/>
              <w:rPr>
                <w:rFonts w:cs="Arial"/>
                <w:szCs w:val="22"/>
              </w:rPr>
            </w:pPr>
            <w:r>
              <w:rPr>
                <w:rFonts w:cs="Arial"/>
                <w:szCs w:val="22"/>
              </w:rPr>
              <w:t>Staff complete the programme but do not fill EFA or DfE posts and seek promotion elsewhere.</w:t>
            </w:r>
          </w:p>
          <w:p w14:paraId="7046F8DA" w14:textId="0937643E" w:rsidR="00152E73" w:rsidRDefault="00152E73" w:rsidP="0025312E">
            <w:pPr>
              <w:widowControl w:val="0"/>
              <w:numPr>
                <w:ilvl w:val="0"/>
                <w:numId w:val="3"/>
              </w:numPr>
              <w:overflowPunct w:val="0"/>
              <w:autoSpaceDE w:val="0"/>
              <w:autoSpaceDN w:val="0"/>
              <w:adjustRightInd w:val="0"/>
              <w:ind w:left="357" w:hanging="357"/>
              <w:textAlignment w:val="baseline"/>
              <w:rPr>
                <w:rFonts w:cs="Arial"/>
                <w:szCs w:val="22"/>
              </w:rPr>
            </w:pPr>
            <w:r>
              <w:rPr>
                <w:rFonts w:cs="Arial"/>
                <w:szCs w:val="22"/>
              </w:rPr>
              <w:t>Line managers may not identify the talented individuals correctly.</w:t>
            </w:r>
          </w:p>
          <w:p w14:paraId="2D0D4629" w14:textId="6B9212EB" w:rsidR="00152E73" w:rsidRDefault="00152E73" w:rsidP="0025312E">
            <w:pPr>
              <w:widowControl w:val="0"/>
              <w:numPr>
                <w:ilvl w:val="0"/>
                <w:numId w:val="3"/>
              </w:numPr>
              <w:overflowPunct w:val="0"/>
              <w:autoSpaceDE w:val="0"/>
              <w:autoSpaceDN w:val="0"/>
              <w:adjustRightInd w:val="0"/>
              <w:ind w:left="357" w:hanging="357"/>
              <w:textAlignment w:val="baseline"/>
              <w:rPr>
                <w:rFonts w:cs="Arial"/>
                <w:szCs w:val="22"/>
              </w:rPr>
            </w:pPr>
            <w:r>
              <w:rPr>
                <w:rFonts w:cs="Arial"/>
                <w:szCs w:val="22"/>
              </w:rPr>
              <w:t>Targets may not be met and need to be reviewed each year to ensure they are both achievable and challenging.</w:t>
            </w:r>
          </w:p>
          <w:p w14:paraId="5DECC2D8" w14:textId="6A8EDACC" w:rsidR="00152E73" w:rsidRPr="0025312E" w:rsidRDefault="00152E73" w:rsidP="0025312E">
            <w:pPr>
              <w:widowControl w:val="0"/>
              <w:numPr>
                <w:ilvl w:val="0"/>
                <w:numId w:val="3"/>
              </w:numPr>
              <w:overflowPunct w:val="0"/>
              <w:autoSpaceDE w:val="0"/>
              <w:autoSpaceDN w:val="0"/>
              <w:adjustRightInd w:val="0"/>
              <w:ind w:left="357" w:hanging="357"/>
              <w:textAlignment w:val="baseline"/>
              <w:rPr>
                <w:rFonts w:cs="Arial"/>
                <w:szCs w:val="22"/>
              </w:rPr>
            </w:pPr>
            <w:r>
              <w:rPr>
                <w:rFonts w:cs="Arial"/>
                <w:szCs w:val="22"/>
              </w:rPr>
              <w:t>Overlap with other programmes provided by EFA and DfE. This will be mitigated by communication and design of the programme.</w:t>
            </w:r>
          </w:p>
          <w:p w14:paraId="5E9DBC01" w14:textId="77777777" w:rsidR="00152E73" w:rsidRPr="004D3917" w:rsidRDefault="00152E73" w:rsidP="00D23EBF">
            <w:pPr>
              <w:spacing w:before="120" w:after="120"/>
              <w:rPr>
                <w:rFonts w:cs="Arial"/>
                <w:b/>
                <w:szCs w:val="22"/>
              </w:rPr>
            </w:pPr>
            <w:r w:rsidRPr="004D3917">
              <w:rPr>
                <w:rFonts w:cs="Arial"/>
                <w:b/>
                <w:szCs w:val="22"/>
              </w:rPr>
              <w:t>Issues</w:t>
            </w:r>
          </w:p>
          <w:p w14:paraId="708DF505" w14:textId="65EDBC74" w:rsidR="00152E73" w:rsidRDefault="00152E73" w:rsidP="00D23EBF">
            <w:pPr>
              <w:widowControl w:val="0"/>
              <w:numPr>
                <w:ilvl w:val="0"/>
                <w:numId w:val="3"/>
              </w:numPr>
              <w:overflowPunct w:val="0"/>
              <w:autoSpaceDE w:val="0"/>
              <w:autoSpaceDN w:val="0"/>
              <w:adjustRightInd w:val="0"/>
              <w:ind w:left="357" w:hanging="357"/>
              <w:textAlignment w:val="baseline"/>
              <w:rPr>
                <w:rFonts w:cs="Arial"/>
                <w:szCs w:val="22"/>
              </w:rPr>
            </w:pPr>
            <w:r>
              <w:rPr>
                <w:rFonts w:cs="Arial"/>
                <w:szCs w:val="22"/>
              </w:rPr>
              <w:t>Staff and resource to be allocated by January to the next phase of the programme – developing the scope, budget, project plan and communications plan.</w:t>
            </w:r>
          </w:p>
          <w:p w14:paraId="3CEDBE48" w14:textId="27C9A9A9" w:rsidR="00152E73" w:rsidRDefault="00152E73" w:rsidP="00D23EBF">
            <w:pPr>
              <w:widowControl w:val="0"/>
              <w:numPr>
                <w:ilvl w:val="0"/>
                <w:numId w:val="3"/>
              </w:numPr>
              <w:overflowPunct w:val="0"/>
              <w:autoSpaceDE w:val="0"/>
              <w:autoSpaceDN w:val="0"/>
              <w:adjustRightInd w:val="0"/>
              <w:ind w:left="357" w:hanging="357"/>
              <w:textAlignment w:val="baseline"/>
              <w:rPr>
                <w:rFonts w:cs="Arial"/>
                <w:szCs w:val="22"/>
              </w:rPr>
            </w:pPr>
            <w:r>
              <w:rPr>
                <w:rFonts w:cs="Arial"/>
                <w:szCs w:val="22"/>
              </w:rPr>
              <w:t>Offer for G6 and G7 (Phase 1) not available until July 2017.</w:t>
            </w:r>
          </w:p>
          <w:p w14:paraId="64426334" w14:textId="04FB3F76" w:rsidR="00152E73" w:rsidRPr="00B46189" w:rsidRDefault="00152E73" w:rsidP="00D23EBF">
            <w:pPr>
              <w:widowControl w:val="0"/>
              <w:numPr>
                <w:ilvl w:val="0"/>
                <w:numId w:val="3"/>
              </w:numPr>
              <w:overflowPunct w:val="0"/>
              <w:autoSpaceDE w:val="0"/>
              <w:autoSpaceDN w:val="0"/>
              <w:adjustRightInd w:val="0"/>
              <w:ind w:left="357" w:hanging="357"/>
              <w:textAlignment w:val="baseline"/>
              <w:rPr>
                <w:rFonts w:cs="Arial"/>
                <w:szCs w:val="22"/>
              </w:rPr>
            </w:pPr>
            <w:r>
              <w:rPr>
                <w:rFonts w:cs="Arial"/>
                <w:szCs w:val="22"/>
              </w:rPr>
              <w:t>Offer for grades below G7 not available until July 2018.</w:t>
            </w:r>
          </w:p>
        </w:tc>
      </w:tr>
      <w:tr w:rsidR="00152E73" w:rsidRPr="00B46189" w14:paraId="1D287CFC" w14:textId="77777777" w:rsidTr="00152E73">
        <w:trPr>
          <w:trHeight w:val="2872"/>
        </w:trPr>
        <w:tc>
          <w:tcPr>
            <w:tcW w:w="2714" w:type="pct"/>
            <w:gridSpan w:val="4"/>
          </w:tcPr>
          <w:p w14:paraId="59FE6CCD" w14:textId="77777777" w:rsidR="00152E73" w:rsidRPr="00732421" w:rsidRDefault="00152E73" w:rsidP="00152E73">
            <w:pPr>
              <w:spacing w:before="120" w:after="120"/>
              <w:rPr>
                <w:rFonts w:cs="Arial"/>
                <w:b/>
              </w:rPr>
            </w:pPr>
            <w:r w:rsidRPr="00732421">
              <w:rPr>
                <w:rFonts w:cs="Arial"/>
                <w:b/>
              </w:rPr>
              <w:t>Project benefits and success criteria (the benefits and how we intend to measure success)</w:t>
            </w:r>
          </w:p>
          <w:p w14:paraId="10A0E099" w14:textId="77777777" w:rsidR="00152E73" w:rsidRPr="00732421" w:rsidRDefault="00152E73" w:rsidP="00152E73">
            <w:pPr>
              <w:pStyle w:val="numberedparagraph"/>
              <w:numPr>
                <w:ilvl w:val="0"/>
                <w:numId w:val="8"/>
              </w:numPr>
              <w:ind w:left="589"/>
              <w:rPr>
                <w:sz w:val="20"/>
                <w:szCs w:val="20"/>
              </w:rPr>
            </w:pPr>
            <w:r w:rsidRPr="00732421">
              <w:rPr>
                <w:sz w:val="20"/>
                <w:szCs w:val="20"/>
              </w:rPr>
              <w:t xml:space="preserve">The EFA will be better equipped to respond more flexibly, efficiently and confidently in delivering departmental priorities. This will be measured by EFA delivering the key DfE objectives as outlined in the </w:t>
            </w:r>
            <w:hyperlink r:id="rId7" w:history="1">
              <w:r w:rsidRPr="00732421">
                <w:rPr>
                  <w:rStyle w:val="Hyperlink"/>
                  <w:sz w:val="20"/>
                  <w:szCs w:val="20"/>
                </w:rPr>
                <w:t>DfE Strategy</w:t>
              </w:r>
            </w:hyperlink>
            <w:r w:rsidRPr="00732421">
              <w:rPr>
                <w:sz w:val="20"/>
                <w:szCs w:val="20"/>
              </w:rPr>
              <w:t xml:space="preserve">. </w:t>
            </w:r>
          </w:p>
          <w:p w14:paraId="06D5052F" w14:textId="77777777" w:rsidR="00152E73" w:rsidRDefault="00152E73" w:rsidP="00152E73">
            <w:pPr>
              <w:pStyle w:val="numberedparagraph"/>
              <w:numPr>
                <w:ilvl w:val="0"/>
                <w:numId w:val="8"/>
              </w:numPr>
              <w:ind w:left="589"/>
              <w:rPr>
                <w:color w:val="000000" w:themeColor="text1"/>
                <w:sz w:val="20"/>
                <w:szCs w:val="20"/>
              </w:rPr>
            </w:pPr>
            <w:r w:rsidRPr="00732421">
              <w:rPr>
                <w:color w:val="000000" w:themeColor="text1"/>
                <w:sz w:val="20"/>
                <w:szCs w:val="20"/>
              </w:rPr>
              <w:t xml:space="preserve">The EFA will </w:t>
            </w:r>
            <w:r>
              <w:rPr>
                <w:color w:val="000000" w:themeColor="text1"/>
                <w:sz w:val="20"/>
                <w:szCs w:val="20"/>
              </w:rPr>
              <w:t>develop their high-potential individuals, enabling the achievement strategic goals and growing future managers. This will be measured by the numbers of staff achieving promotion.</w:t>
            </w:r>
          </w:p>
          <w:p w14:paraId="35348702" w14:textId="77777777" w:rsidR="00152E73" w:rsidRPr="00311878" w:rsidRDefault="00152E73" w:rsidP="00152E73">
            <w:pPr>
              <w:pStyle w:val="numberedparagraph"/>
              <w:numPr>
                <w:ilvl w:val="0"/>
                <w:numId w:val="8"/>
              </w:numPr>
              <w:ind w:left="589"/>
              <w:rPr>
                <w:color w:val="000000" w:themeColor="text1"/>
                <w:sz w:val="20"/>
                <w:szCs w:val="20"/>
              </w:rPr>
            </w:pPr>
            <w:r>
              <w:rPr>
                <w:color w:val="000000" w:themeColor="text1"/>
                <w:sz w:val="20"/>
                <w:szCs w:val="20"/>
              </w:rPr>
              <w:t xml:space="preserve">The talent management programme will </w:t>
            </w:r>
            <w:r w:rsidRPr="00311878">
              <w:rPr>
                <w:color w:val="000000" w:themeColor="text1"/>
                <w:sz w:val="20"/>
                <w:szCs w:val="20"/>
              </w:rPr>
              <w:t>enable the EFA to more effectively manage career and succession planning of teams and individuals by providing clear pathways for career development.  This will be measured by reduced staff turnover and effective succession planning to manage any staff movement.</w:t>
            </w:r>
          </w:p>
          <w:p w14:paraId="3B2C34A3" w14:textId="77777777" w:rsidR="00152E73" w:rsidRPr="00732421" w:rsidRDefault="00152E73" w:rsidP="00152E73">
            <w:pPr>
              <w:pStyle w:val="numberedparagraph"/>
              <w:numPr>
                <w:ilvl w:val="0"/>
                <w:numId w:val="8"/>
              </w:numPr>
              <w:ind w:left="589"/>
              <w:rPr>
                <w:color w:val="000000" w:themeColor="text1"/>
                <w:sz w:val="20"/>
                <w:szCs w:val="20"/>
              </w:rPr>
            </w:pPr>
            <w:r w:rsidRPr="00732421">
              <w:rPr>
                <w:color w:val="000000" w:themeColor="text1"/>
                <w:sz w:val="20"/>
                <w:szCs w:val="20"/>
              </w:rPr>
              <w:t>The EFA will be better equipped to understand and improve the team dynamics</w:t>
            </w:r>
            <w:r>
              <w:rPr>
                <w:color w:val="000000" w:themeColor="text1"/>
                <w:sz w:val="20"/>
                <w:szCs w:val="20"/>
              </w:rPr>
              <w:t xml:space="preserve"> and potential</w:t>
            </w:r>
            <w:r w:rsidRPr="00732421">
              <w:rPr>
                <w:color w:val="000000" w:themeColor="text1"/>
                <w:sz w:val="20"/>
                <w:szCs w:val="20"/>
              </w:rPr>
              <w:t xml:space="preserve"> within their divisions, leading to increased team satisfaction as measured within staff surveys.</w:t>
            </w:r>
          </w:p>
          <w:p w14:paraId="29EC340C" w14:textId="77777777" w:rsidR="00152E73" w:rsidRPr="00AF02F0" w:rsidRDefault="00152E73" w:rsidP="00152E73">
            <w:pPr>
              <w:pStyle w:val="numberedparagraph"/>
              <w:numPr>
                <w:ilvl w:val="0"/>
                <w:numId w:val="8"/>
              </w:numPr>
              <w:ind w:left="589"/>
              <w:rPr>
                <w:sz w:val="20"/>
                <w:szCs w:val="20"/>
              </w:rPr>
            </w:pPr>
            <w:r w:rsidRPr="00732421">
              <w:rPr>
                <w:sz w:val="20"/>
                <w:szCs w:val="20"/>
              </w:rPr>
              <w:t>EFA staff will utilis</w:t>
            </w:r>
            <w:r>
              <w:rPr>
                <w:sz w:val="20"/>
                <w:szCs w:val="20"/>
              </w:rPr>
              <w:t>e</w:t>
            </w:r>
            <w:r w:rsidRPr="00732421">
              <w:rPr>
                <w:sz w:val="20"/>
                <w:szCs w:val="20"/>
              </w:rPr>
              <w:t xml:space="preserve"> skills </w:t>
            </w:r>
            <w:r>
              <w:rPr>
                <w:sz w:val="20"/>
                <w:szCs w:val="20"/>
              </w:rPr>
              <w:t xml:space="preserve">developed on the programme </w:t>
            </w:r>
            <w:r w:rsidRPr="00732421">
              <w:rPr>
                <w:sz w:val="20"/>
                <w:szCs w:val="20"/>
              </w:rPr>
              <w:t xml:space="preserve">to demonstrate the behaviours outlined in the </w:t>
            </w:r>
            <w:hyperlink r:id="rId8" w:history="1">
              <w:r w:rsidRPr="00732421">
                <w:rPr>
                  <w:rStyle w:val="Hyperlink"/>
                  <w:sz w:val="20"/>
                  <w:szCs w:val="20"/>
                </w:rPr>
                <w:t>EFA Culture Statement</w:t>
              </w:r>
            </w:hyperlink>
            <w:r w:rsidRPr="00732421">
              <w:rPr>
                <w:sz w:val="20"/>
                <w:szCs w:val="20"/>
              </w:rPr>
              <w:t xml:space="preserve">, measured by greater empowerment of staff and an enhanced culture of self-service as shown in staff pulse surveys. </w:t>
            </w:r>
          </w:p>
          <w:p w14:paraId="65957A3D" w14:textId="77777777" w:rsidR="00152E73" w:rsidRDefault="00152E73" w:rsidP="00152E73">
            <w:pPr>
              <w:pStyle w:val="ListParagraph"/>
              <w:widowControl w:val="0"/>
              <w:numPr>
                <w:ilvl w:val="0"/>
                <w:numId w:val="8"/>
              </w:numPr>
              <w:overflowPunct w:val="0"/>
              <w:autoSpaceDE w:val="0"/>
              <w:autoSpaceDN w:val="0"/>
              <w:adjustRightInd w:val="0"/>
              <w:spacing w:before="120" w:after="120" w:line="240" w:lineRule="auto"/>
              <w:ind w:left="589"/>
              <w:textAlignment w:val="baseline"/>
              <w:rPr>
                <w:rFonts w:cs="Arial"/>
                <w:color w:val="000000" w:themeColor="text1"/>
                <w:szCs w:val="20"/>
              </w:rPr>
            </w:pPr>
            <w:r>
              <w:rPr>
                <w:rFonts w:cs="Arial"/>
                <w:color w:val="000000" w:themeColor="text1"/>
                <w:szCs w:val="20"/>
              </w:rPr>
              <w:t>Staff undertaking the programme fairly represent the diversity of the EFA. Data is being collected to allow this to be monitored.</w:t>
            </w:r>
          </w:p>
          <w:p w14:paraId="327F53BF" w14:textId="77777777" w:rsidR="00152E73" w:rsidRDefault="00152E73" w:rsidP="00152E73">
            <w:pPr>
              <w:pStyle w:val="ListParagraph"/>
              <w:widowControl w:val="0"/>
              <w:numPr>
                <w:ilvl w:val="0"/>
                <w:numId w:val="0"/>
              </w:numPr>
              <w:overflowPunct w:val="0"/>
              <w:autoSpaceDE w:val="0"/>
              <w:autoSpaceDN w:val="0"/>
              <w:adjustRightInd w:val="0"/>
              <w:spacing w:before="120" w:after="120" w:line="240" w:lineRule="auto"/>
              <w:ind w:left="589"/>
              <w:textAlignment w:val="baseline"/>
              <w:rPr>
                <w:rFonts w:cs="Arial"/>
                <w:color w:val="000000" w:themeColor="text1"/>
                <w:szCs w:val="20"/>
              </w:rPr>
            </w:pPr>
          </w:p>
          <w:p w14:paraId="59BC9B34" w14:textId="77777777" w:rsidR="00152E73" w:rsidRDefault="00152E73" w:rsidP="00152E73">
            <w:pPr>
              <w:pStyle w:val="ListParagraph"/>
              <w:widowControl w:val="0"/>
              <w:numPr>
                <w:ilvl w:val="0"/>
                <w:numId w:val="8"/>
              </w:numPr>
              <w:overflowPunct w:val="0"/>
              <w:autoSpaceDE w:val="0"/>
              <w:autoSpaceDN w:val="0"/>
              <w:adjustRightInd w:val="0"/>
              <w:spacing w:before="120" w:after="120" w:line="240" w:lineRule="auto"/>
              <w:ind w:left="589"/>
              <w:textAlignment w:val="baseline"/>
              <w:rPr>
                <w:rFonts w:cs="Arial"/>
                <w:color w:val="000000" w:themeColor="text1"/>
                <w:szCs w:val="20"/>
              </w:rPr>
            </w:pPr>
            <w:r>
              <w:rPr>
                <w:rFonts w:cs="Arial"/>
                <w:color w:val="000000" w:themeColor="text1"/>
                <w:szCs w:val="20"/>
              </w:rPr>
              <w:t>Staff tracked for 10 years demonstrate career progression (long term success criteria)</w:t>
            </w:r>
          </w:p>
          <w:p w14:paraId="51A7C3A3" w14:textId="77777777" w:rsidR="00152E73" w:rsidRPr="00B46189" w:rsidRDefault="00152E73" w:rsidP="00654091">
            <w:pPr>
              <w:spacing w:before="120" w:after="120"/>
              <w:rPr>
                <w:b/>
              </w:rPr>
            </w:pPr>
          </w:p>
        </w:tc>
        <w:tc>
          <w:tcPr>
            <w:tcW w:w="61" w:type="pct"/>
            <w:shd w:val="clear" w:color="auto" w:fill="808080" w:themeFill="background1" w:themeFillShade="80"/>
          </w:tcPr>
          <w:p w14:paraId="2C092C5E" w14:textId="77777777" w:rsidR="00152E73" w:rsidRPr="00B46189" w:rsidRDefault="00152E73" w:rsidP="00654091"/>
        </w:tc>
        <w:tc>
          <w:tcPr>
            <w:tcW w:w="2225" w:type="pct"/>
            <w:gridSpan w:val="4"/>
            <w:vMerge/>
          </w:tcPr>
          <w:p w14:paraId="76F7D80E" w14:textId="77777777" w:rsidR="00152E73" w:rsidRPr="00B46189" w:rsidRDefault="00152E73" w:rsidP="00654091">
            <w:pPr>
              <w:spacing w:before="120" w:after="120"/>
              <w:rPr>
                <w:b/>
              </w:rPr>
            </w:pPr>
          </w:p>
        </w:tc>
      </w:tr>
    </w:tbl>
    <w:p w14:paraId="4368C58E" w14:textId="77777777" w:rsidR="00D23EBF" w:rsidRDefault="00D23EBF" w:rsidP="00152E73"/>
    <w:sectPr w:rsidR="00D23EBF" w:rsidSect="00D23EBF">
      <w:pgSz w:w="23811" w:h="16838" w:orient="landscape" w:code="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80C"/>
    <w:multiLevelType w:val="hybridMultilevel"/>
    <w:tmpl w:val="2B945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162BC3"/>
    <w:multiLevelType w:val="hybridMultilevel"/>
    <w:tmpl w:val="4A1EEB5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 w15:restartNumberingAfterBreak="0">
    <w:nsid w:val="12992D77"/>
    <w:multiLevelType w:val="hybridMultilevel"/>
    <w:tmpl w:val="E79E2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DD36BBE"/>
    <w:multiLevelType w:val="multilevel"/>
    <w:tmpl w:val="4316284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4D36E0F"/>
    <w:multiLevelType w:val="hybridMultilevel"/>
    <w:tmpl w:val="1BF25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95BCC"/>
    <w:multiLevelType w:val="hybridMultilevel"/>
    <w:tmpl w:val="7EE209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AB7466"/>
    <w:multiLevelType w:val="hybridMultilevel"/>
    <w:tmpl w:val="E7A2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513E7435"/>
    <w:multiLevelType w:val="hybridMultilevel"/>
    <w:tmpl w:val="A982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7339C2"/>
    <w:multiLevelType w:val="hybridMultilevel"/>
    <w:tmpl w:val="2F5E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304C2"/>
    <w:multiLevelType w:val="hybridMultilevel"/>
    <w:tmpl w:val="8C50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A1E6C"/>
    <w:multiLevelType w:val="hybridMultilevel"/>
    <w:tmpl w:val="B13CC48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4" w15:restartNumberingAfterBreak="0">
    <w:nsid w:val="6F4577DC"/>
    <w:multiLevelType w:val="hybridMultilevel"/>
    <w:tmpl w:val="2C36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5"/>
  </w:num>
  <w:num w:numId="6">
    <w:abstractNumId w:val="11"/>
  </w:num>
  <w:num w:numId="7">
    <w:abstractNumId w:val="7"/>
  </w:num>
  <w:num w:numId="8">
    <w:abstractNumId w:val="13"/>
  </w:num>
  <w:num w:numId="9">
    <w:abstractNumId w:val="0"/>
  </w:num>
  <w:num w:numId="10">
    <w:abstractNumId w:val="1"/>
  </w:num>
  <w:num w:numId="11">
    <w:abstractNumId w:val="10"/>
  </w:num>
  <w:num w:numId="12">
    <w:abstractNumId w:val="14"/>
  </w:num>
  <w:num w:numId="13">
    <w:abstractNumId w:val="1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BF"/>
    <w:rsid w:val="000044D3"/>
    <w:rsid w:val="00085851"/>
    <w:rsid w:val="000A20DC"/>
    <w:rsid w:val="000A586E"/>
    <w:rsid w:val="00137CE7"/>
    <w:rsid w:val="00152E73"/>
    <w:rsid w:val="0025312E"/>
    <w:rsid w:val="00257219"/>
    <w:rsid w:val="00303381"/>
    <w:rsid w:val="00311878"/>
    <w:rsid w:val="00316766"/>
    <w:rsid w:val="0042390D"/>
    <w:rsid w:val="005060AF"/>
    <w:rsid w:val="0065569F"/>
    <w:rsid w:val="006D3C27"/>
    <w:rsid w:val="006D72E7"/>
    <w:rsid w:val="00735114"/>
    <w:rsid w:val="0077584E"/>
    <w:rsid w:val="007A1B8E"/>
    <w:rsid w:val="008B0687"/>
    <w:rsid w:val="0091502B"/>
    <w:rsid w:val="00987532"/>
    <w:rsid w:val="009B7EF2"/>
    <w:rsid w:val="00A77E42"/>
    <w:rsid w:val="00AE15D8"/>
    <w:rsid w:val="00AE7728"/>
    <w:rsid w:val="00AF02F0"/>
    <w:rsid w:val="00BE07F5"/>
    <w:rsid w:val="00C35F2E"/>
    <w:rsid w:val="00D23EBF"/>
    <w:rsid w:val="00DA7BE5"/>
    <w:rsid w:val="00E06C09"/>
    <w:rsid w:val="00E87F15"/>
    <w:rsid w:val="00EB0817"/>
    <w:rsid w:val="00F32CC6"/>
    <w:rsid w:val="00F45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92CF"/>
  <w15:docId w15:val="{AA55BE95-1D79-4A14-A7AC-76712339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D23EBF"/>
    <w:rPr>
      <w:rFonts w:ascii="Arial" w:hAnsi="Arial"/>
      <w:color w:val="0000FF"/>
      <w:sz w:val="24"/>
      <w:u w:val="single"/>
    </w:rPr>
  </w:style>
  <w:style w:type="paragraph" w:styleId="ListParagraph">
    <w:name w:val="List Paragraph"/>
    <w:basedOn w:val="Normal"/>
    <w:uiPriority w:val="34"/>
    <w:qFormat/>
    <w:rsid w:val="00D23EBF"/>
    <w:pPr>
      <w:numPr>
        <w:numId w:val="1"/>
      </w:numPr>
      <w:spacing w:after="240" w:line="288" w:lineRule="auto"/>
      <w:contextualSpacing/>
    </w:pPr>
    <w:rPr>
      <w:rFonts w:ascii="Arial" w:eastAsia="Times New Roman" w:hAnsi="Arial" w:cs="Times New Roman"/>
      <w:szCs w:val="24"/>
      <w:lang w:eastAsia="en-GB"/>
    </w:rPr>
  </w:style>
  <w:style w:type="table" w:styleId="TableGrid">
    <w:name w:val="Table Grid"/>
    <w:basedOn w:val="TableNormal"/>
    <w:uiPriority w:val="59"/>
    <w:rsid w:val="00D23EBF"/>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D23EBF"/>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D23EBF"/>
    <w:rPr>
      <w:rFonts w:ascii="Arial" w:eastAsia="Times New Roman" w:hAnsi="Arial" w:cs="Times New Roman"/>
      <w:sz w:val="24"/>
      <w:szCs w:val="20"/>
    </w:rPr>
  </w:style>
  <w:style w:type="paragraph" w:customStyle="1" w:styleId="numberedparagraph">
    <w:name w:val="numbered paragraph"/>
    <w:basedOn w:val="Normal"/>
    <w:rsid w:val="00D23EBF"/>
    <w:pPr>
      <w:tabs>
        <w:tab w:val="num" w:pos="567"/>
      </w:tabs>
      <w:spacing w:before="120" w:after="120" w:line="240" w:lineRule="auto"/>
      <w:ind w:left="567" w:hanging="567"/>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311878"/>
    <w:rPr>
      <w:sz w:val="16"/>
      <w:szCs w:val="16"/>
    </w:rPr>
  </w:style>
  <w:style w:type="paragraph" w:styleId="CommentText">
    <w:name w:val="annotation text"/>
    <w:basedOn w:val="Normal"/>
    <w:link w:val="CommentTextChar"/>
    <w:uiPriority w:val="99"/>
    <w:semiHidden/>
    <w:unhideWhenUsed/>
    <w:rsid w:val="00311878"/>
    <w:pPr>
      <w:spacing w:line="240" w:lineRule="auto"/>
    </w:pPr>
    <w:rPr>
      <w:sz w:val="20"/>
      <w:szCs w:val="20"/>
    </w:rPr>
  </w:style>
  <w:style w:type="character" w:customStyle="1" w:styleId="CommentTextChar">
    <w:name w:val="Comment Text Char"/>
    <w:basedOn w:val="DefaultParagraphFont"/>
    <w:link w:val="CommentText"/>
    <w:uiPriority w:val="99"/>
    <w:semiHidden/>
    <w:rsid w:val="00311878"/>
    <w:rPr>
      <w:sz w:val="20"/>
      <w:szCs w:val="20"/>
    </w:rPr>
  </w:style>
  <w:style w:type="paragraph" w:styleId="CommentSubject">
    <w:name w:val="annotation subject"/>
    <w:basedOn w:val="CommentText"/>
    <w:next w:val="CommentText"/>
    <w:link w:val="CommentSubjectChar"/>
    <w:uiPriority w:val="99"/>
    <w:semiHidden/>
    <w:unhideWhenUsed/>
    <w:rsid w:val="00311878"/>
    <w:rPr>
      <w:b/>
      <w:bCs/>
    </w:rPr>
  </w:style>
  <w:style w:type="character" w:customStyle="1" w:styleId="CommentSubjectChar">
    <w:name w:val="Comment Subject Char"/>
    <w:basedOn w:val="CommentTextChar"/>
    <w:link w:val="CommentSubject"/>
    <w:uiPriority w:val="99"/>
    <w:semiHidden/>
    <w:rsid w:val="00311878"/>
    <w:rPr>
      <w:b/>
      <w:bCs/>
      <w:sz w:val="20"/>
      <w:szCs w:val="20"/>
    </w:rPr>
  </w:style>
  <w:style w:type="paragraph" w:styleId="BalloonText">
    <w:name w:val="Balloon Text"/>
    <w:basedOn w:val="Normal"/>
    <w:link w:val="BalloonTextChar"/>
    <w:uiPriority w:val="99"/>
    <w:semiHidden/>
    <w:unhideWhenUsed/>
    <w:rsid w:val="00311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878"/>
    <w:rPr>
      <w:rFonts w:ascii="Segoe UI" w:hAnsi="Segoe UI" w:cs="Segoe UI"/>
      <w:sz w:val="18"/>
      <w:szCs w:val="18"/>
    </w:rPr>
  </w:style>
  <w:style w:type="paragraph" w:customStyle="1" w:styleId="DfESOutNumbered">
    <w:name w:val="DfESOutNumbered"/>
    <w:basedOn w:val="Normal"/>
    <w:link w:val="DfESOutNumberedChar"/>
    <w:rsid w:val="00152E73"/>
    <w:pPr>
      <w:widowControl w:val="0"/>
      <w:numPr>
        <w:numId w:val="1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152E73"/>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organisation/efa/Documents/Fit%20for%20the%20Future%20documents/efa%20culture%20statement%20-%20how%20we%20behave%20-%20july%202015.pdf" TargetMode="External"/><Relationship Id="rId3" Type="http://schemas.openxmlformats.org/officeDocument/2006/relationships/settings" Target="settings.xml"/><Relationship Id="rId7" Type="http://schemas.openxmlformats.org/officeDocument/2006/relationships/hyperlink" Target="https://www.gov.uk/government/publications/dfe-strategy-2015-to-2020-world-class-education-and-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1172</Words>
  <Characters>6687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DASS, Kewal</dc:creator>
  <cp:lastModifiedBy>ARROWSMITH, Morgan</cp:lastModifiedBy>
  <cp:revision>2</cp:revision>
  <dcterms:created xsi:type="dcterms:W3CDTF">2017-02-09T09:30:00Z</dcterms:created>
  <dcterms:modified xsi:type="dcterms:W3CDTF">2017-02-09T09:30:00Z</dcterms:modified>
</cp:coreProperties>
</file>