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30" w:rsidRDefault="009E731C">
      <w:pPr>
        <w:keepNext/>
        <w:keepLines/>
        <w:widowControl w:val="0"/>
        <w:pBdr>
          <w:top w:val="nil"/>
          <w:left w:val="nil"/>
          <w:bottom w:val="nil"/>
          <w:right w:val="nil"/>
          <w:between w:val="nil"/>
        </w:pBdr>
        <w:spacing w:before="20" w:after="20" w:line="240" w:lineRule="auto"/>
        <w:ind w:left="360" w:hanging="360"/>
        <w:rPr>
          <w:rFonts w:ascii="Arial" w:eastAsia="Arial" w:hAnsi="Arial" w:cs="Arial"/>
          <w:b/>
          <w:smallCaps/>
          <w:color w:val="000000"/>
          <w:sz w:val="36"/>
          <w:szCs w:val="36"/>
        </w:rPr>
      </w:pPr>
      <w:r>
        <w:rPr>
          <w:rFonts w:ascii="Arial" w:eastAsia="Arial" w:hAnsi="Arial" w:cs="Arial"/>
          <w:b/>
          <w:color w:val="000000"/>
          <w:sz w:val="36"/>
          <w:szCs w:val="36"/>
        </w:rPr>
        <w:t>Order Schedule 14 (Service Levels)</w:t>
      </w:r>
    </w:p>
    <w:p w:rsidR="00F80330" w:rsidRDefault="009E731C">
      <w:pPr>
        <w:numPr>
          <w:ilvl w:val="0"/>
          <w:numId w:val="3"/>
        </w:numPr>
        <w:pBdr>
          <w:top w:val="nil"/>
          <w:left w:val="nil"/>
          <w:bottom w:val="nil"/>
          <w:right w:val="nil"/>
          <w:between w:val="nil"/>
        </w:pBdr>
        <w:tabs>
          <w:tab w:val="left" w:pos="0"/>
          <w:tab w:val="left" w:pos="142"/>
        </w:tabs>
        <w:spacing w:before="240" w:after="120" w:line="240" w:lineRule="auto"/>
        <w:ind w:left="737" w:hanging="737"/>
        <w:rPr>
          <w:rFonts w:ascii="Arial" w:eastAsia="Arial" w:hAnsi="Arial" w:cs="Arial"/>
          <w:smallCaps/>
          <w:color w:val="000000"/>
          <w:sz w:val="24"/>
          <w:szCs w:val="24"/>
        </w:rPr>
      </w:pPr>
      <w:r>
        <w:rPr>
          <w:rFonts w:ascii="Arial" w:eastAsia="Arial" w:hAnsi="Arial" w:cs="Arial"/>
          <w:b/>
          <w:color w:val="000000"/>
          <w:sz w:val="24"/>
          <w:szCs w:val="24"/>
        </w:rPr>
        <w:t>Definitions</w:t>
      </w:r>
    </w:p>
    <w:p w:rsidR="00F80330" w:rsidRDefault="009E731C">
      <w:pPr>
        <w:numPr>
          <w:ilvl w:val="1"/>
          <w:numId w:val="3"/>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F80330">
        <w:tc>
          <w:tcPr>
            <w:tcW w:w="2410" w:type="dxa"/>
            <w:shd w:val="clear" w:color="auto" w:fill="auto"/>
          </w:tcPr>
          <w:p w:rsidR="00F80330" w:rsidRDefault="00F80330">
            <w:pPr>
              <w:pBdr>
                <w:top w:val="nil"/>
                <w:left w:val="nil"/>
                <w:bottom w:val="nil"/>
                <w:right w:val="nil"/>
                <w:between w:val="nil"/>
              </w:pBdr>
              <w:spacing w:after="120"/>
              <w:ind w:left="-108"/>
              <w:rPr>
                <w:rFonts w:ascii="Arial" w:eastAsia="Arial" w:hAnsi="Arial" w:cs="Arial"/>
                <w:b/>
                <w:color w:val="000000"/>
                <w:sz w:val="24"/>
                <w:szCs w:val="24"/>
              </w:rPr>
            </w:pPr>
          </w:p>
          <w:p w:rsidR="00F80330" w:rsidRDefault="009E73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rsidR="00F80330" w:rsidRDefault="00F80330">
            <w:pPr>
              <w:pBdr>
                <w:top w:val="nil"/>
                <w:left w:val="nil"/>
                <w:bottom w:val="nil"/>
                <w:right w:val="nil"/>
                <w:between w:val="nil"/>
              </w:pBdr>
              <w:spacing w:after="120"/>
              <w:ind w:left="-108"/>
              <w:rPr>
                <w:rFonts w:ascii="Arial" w:eastAsia="Arial" w:hAnsi="Arial" w:cs="Arial"/>
                <w:b/>
                <w:color w:val="000000"/>
                <w:sz w:val="24"/>
                <w:szCs w:val="24"/>
              </w:rPr>
            </w:pPr>
          </w:p>
        </w:tc>
        <w:tc>
          <w:tcPr>
            <w:tcW w:w="5953" w:type="dxa"/>
            <w:shd w:val="clear" w:color="auto" w:fill="auto"/>
          </w:tcPr>
          <w:p w:rsidR="00F80330" w:rsidRDefault="00F80330">
            <w:pPr>
              <w:pBdr>
                <w:top w:val="nil"/>
                <w:left w:val="nil"/>
                <w:bottom w:val="nil"/>
                <w:right w:val="nil"/>
                <w:between w:val="nil"/>
              </w:pBdr>
              <w:tabs>
                <w:tab w:val="left" w:pos="175"/>
                <w:tab w:val="left" w:pos="-179"/>
              </w:tabs>
              <w:spacing w:after="120"/>
              <w:ind w:left="170" w:hanging="170"/>
              <w:rPr>
                <w:rFonts w:ascii="Arial" w:eastAsia="Arial" w:hAnsi="Arial" w:cs="Arial"/>
                <w:color w:val="000000"/>
                <w:sz w:val="24"/>
                <w:szCs w:val="24"/>
              </w:rPr>
            </w:pPr>
          </w:p>
          <w:p w:rsidR="00F80330" w:rsidRDefault="009E731C">
            <w:pPr>
              <w:pBdr>
                <w:top w:val="nil"/>
                <w:left w:val="nil"/>
                <w:bottom w:val="nil"/>
                <w:right w:val="nil"/>
                <w:between w:val="nil"/>
              </w:pBdr>
              <w:tabs>
                <w:tab w:val="left" w:pos="175"/>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80330">
        <w:tc>
          <w:tcPr>
            <w:tcW w:w="2410" w:type="dxa"/>
            <w:shd w:val="clear" w:color="auto" w:fill="auto"/>
          </w:tcPr>
          <w:p w:rsidR="00F80330" w:rsidRDefault="009E731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F80330" w:rsidRDefault="009E731C">
            <w:pPr>
              <w:pBdr>
                <w:top w:val="nil"/>
                <w:left w:val="nil"/>
                <w:bottom w:val="nil"/>
                <w:right w:val="nil"/>
                <w:between w:val="nil"/>
              </w:pBdr>
              <w:tabs>
                <w:tab w:val="left" w:pos="0"/>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Agency to the Client in respect of any failure by the Agency to meet one or more Service Levels;</w:t>
            </w:r>
          </w:p>
        </w:tc>
      </w:tr>
      <w:tr w:rsidR="00F80330">
        <w:tc>
          <w:tcPr>
            <w:tcW w:w="2410" w:type="dxa"/>
            <w:shd w:val="clear" w:color="auto" w:fill="auto"/>
          </w:tcPr>
          <w:p w:rsidR="00F80330" w:rsidRDefault="009E731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F80330" w:rsidRDefault="009E731C">
            <w:pPr>
              <w:pBdr>
                <w:top w:val="nil"/>
                <w:left w:val="nil"/>
                <w:bottom w:val="nil"/>
                <w:right w:val="nil"/>
                <w:between w:val="nil"/>
              </w:pBdr>
              <w:tabs>
                <w:tab w:val="left" w:pos="175"/>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80330">
        <w:tc>
          <w:tcPr>
            <w:tcW w:w="2410" w:type="dxa"/>
            <w:shd w:val="clear" w:color="auto" w:fill="auto"/>
          </w:tcPr>
          <w:p w:rsidR="00F80330" w:rsidRDefault="009E73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F80330" w:rsidRDefault="009E731C">
            <w:pPr>
              <w:pBdr>
                <w:top w:val="nil"/>
                <w:left w:val="nil"/>
                <w:bottom w:val="nil"/>
                <w:right w:val="nil"/>
                <w:between w:val="nil"/>
              </w:pBdr>
              <w:tabs>
                <w:tab w:val="left" w:pos="175"/>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F80330">
        <w:tc>
          <w:tcPr>
            <w:tcW w:w="2410" w:type="dxa"/>
            <w:shd w:val="clear" w:color="auto" w:fill="auto"/>
          </w:tcPr>
          <w:p w:rsidR="00F80330" w:rsidRDefault="009E73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F80330" w:rsidRDefault="009E731C">
            <w:pPr>
              <w:pBdr>
                <w:top w:val="nil"/>
                <w:left w:val="nil"/>
                <w:bottom w:val="nil"/>
                <w:right w:val="nil"/>
                <w:between w:val="nil"/>
              </w:pBdr>
              <w:tabs>
                <w:tab w:val="left" w:pos="175"/>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F80330">
        <w:tc>
          <w:tcPr>
            <w:tcW w:w="2410" w:type="dxa"/>
            <w:shd w:val="clear" w:color="auto" w:fill="auto"/>
          </w:tcPr>
          <w:p w:rsidR="00F80330" w:rsidRDefault="009E731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F80330" w:rsidRDefault="009E731C">
            <w:pPr>
              <w:pBdr>
                <w:top w:val="nil"/>
                <w:left w:val="nil"/>
                <w:bottom w:val="nil"/>
                <w:right w:val="nil"/>
                <w:between w:val="nil"/>
              </w:pBdr>
              <w:tabs>
                <w:tab w:val="left" w:pos="175"/>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rsidR="00F80330" w:rsidRDefault="009E731C">
      <w:pPr>
        <w:numPr>
          <w:ilvl w:val="0"/>
          <w:numId w:val="3"/>
        </w:numPr>
        <w:pBdr>
          <w:top w:val="nil"/>
          <w:left w:val="nil"/>
          <w:bottom w:val="nil"/>
          <w:right w:val="nil"/>
          <w:between w:val="nil"/>
        </w:pBdr>
        <w:tabs>
          <w:tab w:val="left" w:pos="0"/>
          <w:tab w:val="left" w:pos="142"/>
        </w:tabs>
        <w:spacing w:before="240" w:after="120" w:line="240" w:lineRule="auto"/>
        <w:ind w:left="720" w:hanging="720"/>
        <w:rPr>
          <w:rFonts w:ascii="Arial" w:eastAsia="Arial" w:hAnsi="Arial" w:cs="Arial"/>
          <w:color w:val="000000"/>
          <w:sz w:val="24"/>
          <w:szCs w:val="24"/>
        </w:rPr>
      </w:pPr>
      <w:r>
        <w:rPr>
          <w:rFonts w:ascii="Arial" w:eastAsia="Arial" w:hAnsi="Arial" w:cs="Arial"/>
          <w:b/>
          <w:color w:val="000000"/>
          <w:sz w:val="24"/>
          <w:szCs w:val="24"/>
        </w:rPr>
        <w:t>What happens if you don’t meet the Service Levels</w:t>
      </w:r>
    </w:p>
    <w:p w:rsidR="00F80330" w:rsidRDefault="009E731C">
      <w:pPr>
        <w:numPr>
          <w:ilvl w:val="1"/>
          <w:numId w:val="3"/>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Agency shall at all times provide the Goods or Services to meet or exceed the Service Level Performance Measure for each Service Level.</w:t>
      </w:r>
    </w:p>
    <w:p w:rsidR="00F80330" w:rsidRDefault="009E731C">
      <w:pPr>
        <w:numPr>
          <w:ilvl w:val="1"/>
          <w:numId w:val="3"/>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rsidR="00F80330" w:rsidRDefault="009E731C">
      <w:pPr>
        <w:numPr>
          <w:ilvl w:val="1"/>
          <w:numId w:val="3"/>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Agency shall send Performance Monitoring Reports to the Client detailing the level of service which was achieved in accordance with the provisions of Part B (Performance Monitoring) of this Schedule.</w:t>
      </w:r>
    </w:p>
    <w:p w:rsidR="00F80330" w:rsidRDefault="009E731C">
      <w:pPr>
        <w:numPr>
          <w:ilvl w:val="1"/>
          <w:numId w:val="3"/>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A Service Credit shall be the Client’s exclusive financial remedy for a Service Level Failure except where:</w:t>
      </w:r>
    </w:p>
    <w:p w:rsidR="00F80330" w:rsidRDefault="009E731C">
      <w:pPr>
        <w:numPr>
          <w:ilvl w:val="2"/>
          <w:numId w:val="3"/>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Agency has over the previous (twelve) 12 Month period exceeded the Service Credit Cap; and/or</w:t>
      </w:r>
    </w:p>
    <w:p w:rsidR="00F80330" w:rsidRDefault="009E731C">
      <w:pPr>
        <w:numPr>
          <w:ilvl w:val="2"/>
          <w:numId w:val="3"/>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Service Level Failure:</w:t>
      </w:r>
    </w:p>
    <w:p w:rsidR="00F80330" w:rsidRDefault="009E731C">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exceeds the relevant Service Level Threshold;</w:t>
      </w:r>
    </w:p>
    <w:p w:rsidR="00F80330" w:rsidRDefault="009E731C">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Agency; </w:t>
      </w:r>
    </w:p>
    <w:p w:rsidR="00F80330" w:rsidRDefault="009E731C">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F80330" w:rsidRDefault="009E731C">
      <w:pPr>
        <w:numPr>
          <w:ilvl w:val="3"/>
          <w:numId w:val="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Client being required to make a compensation payment to one or more third parties; and/or</w:t>
      </w:r>
    </w:p>
    <w:p w:rsidR="00F80330" w:rsidRDefault="009E731C">
      <w:pPr>
        <w:numPr>
          <w:ilvl w:val="2"/>
          <w:numId w:val="3"/>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Client is otherwise entitled to or does terminate this Contract pursuant to Clause 10.4 (CCS and Client Termination Rights).</w:t>
      </w:r>
    </w:p>
    <w:p w:rsidR="00F80330" w:rsidRDefault="009E731C">
      <w:pPr>
        <w:numPr>
          <w:ilvl w:val="1"/>
          <w:numId w:val="3"/>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rsidR="00F80330" w:rsidRDefault="009E731C">
      <w:pPr>
        <w:numPr>
          <w:ilvl w:val="2"/>
          <w:numId w:val="3"/>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F80330" w:rsidRDefault="009E731C">
      <w:pPr>
        <w:numPr>
          <w:ilvl w:val="2"/>
          <w:numId w:val="3"/>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Client's business requirements and/or priorities or to reflect changing industry standards; and</w:t>
      </w:r>
    </w:p>
    <w:p w:rsidR="00F80330" w:rsidRDefault="009E731C">
      <w:pPr>
        <w:numPr>
          <w:ilvl w:val="0"/>
          <w:numId w:val="3"/>
        </w:numPr>
        <w:pBdr>
          <w:top w:val="nil"/>
          <w:left w:val="nil"/>
          <w:bottom w:val="nil"/>
          <w:right w:val="nil"/>
          <w:between w:val="nil"/>
        </w:pBdr>
        <w:tabs>
          <w:tab w:val="left" w:pos="0"/>
          <w:tab w:val="left" w:pos="142"/>
        </w:tabs>
        <w:spacing w:before="240" w:after="120" w:line="240" w:lineRule="auto"/>
        <w:ind w:left="720" w:hanging="720"/>
        <w:rPr>
          <w:rFonts w:ascii="Arial" w:eastAsia="Arial" w:hAnsi="Arial" w:cs="Arial"/>
          <w:smallCaps/>
          <w:color w:val="000000"/>
          <w:sz w:val="24"/>
          <w:szCs w:val="24"/>
        </w:rPr>
      </w:pPr>
      <w:r>
        <w:rPr>
          <w:rFonts w:ascii="Arial" w:eastAsia="Arial" w:hAnsi="Arial" w:cs="Arial"/>
          <w:b/>
          <w:color w:val="000000"/>
          <w:sz w:val="24"/>
          <w:szCs w:val="24"/>
        </w:rPr>
        <w:t>Critical Service Level Failure</w:t>
      </w:r>
    </w:p>
    <w:p w:rsidR="00F80330" w:rsidRDefault="009E731C">
      <w:pPr>
        <w:numPr>
          <w:ilvl w:val="1"/>
          <w:numId w:val="3"/>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F80330" w:rsidRDefault="009E731C">
      <w:pPr>
        <w:numPr>
          <w:ilvl w:val="2"/>
          <w:numId w:val="3"/>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F80330" w:rsidRDefault="009E731C">
      <w:pPr>
        <w:numPr>
          <w:ilvl w:val="2"/>
          <w:numId w:val="3"/>
        </w:numPr>
        <w:pBdr>
          <w:top w:val="nil"/>
          <w:left w:val="nil"/>
          <w:bottom w:val="nil"/>
          <w:right w:val="nil"/>
          <w:between w:val="nil"/>
        </w:pBdr>
        <w:tabs>
          <w:tab w:val="left" w:pos="1134"/>
        </w:tabs>
        <w:spacing w:before="120" w:after="120" w:line="240" w:lineRule="auto"/>
        <w:rPr>
          <w:color w:val="000000"/>
          <w:sz w:val="24"/>
          <w:szCs w:val="24"/>
        </w:rPr>
      </w:pPr>
      <w:r>
        <w:rPr>
          <w:rFonts w:ascii="Arial" w:eastAsia="Arial" w:hAnsi="Arial" w:cs="Arial"/>
          <w:color w:val="000000"/>
          <w:sz w:val="24"/>
          <w:szCs w:val="24"/>
        </w:rPr>
        <w:t>the Client shall be entitled to withhold and retain as compensation a sum equal to any Charges which would otherwise have been due to the Agency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F80330" w:rsidRDefault="009E731C">
      <w:pPr>
        <w:pBdr>
          <w:top w:val="nil"/>
          <w:left w:val="nil"/>
          <w:bottom w:val="nil"/>
          <w:right w:val="nil"/>
          <w:between w:val="nil"/>
        </w:pBdr>
        <w:tabs>
          <w:tab w:val="left" w:pos="1134"/>
        </w:tabs>
        <w:spacing w:before="120" w:after="120" w:line="240" w:lineRule="auto"/>
        <w:ind w:left="1702"/>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Client to terminate this Contract and/or to claim damages from the Agency for material Default.</w:t>
      </w:r>
    </w:p>
    <w:p w:rsidR="00F80330" w:rsidRDefault="009E731C">
      <w:pPr>
        <w:keepNext/>
        <w:pBdr>
          <w:top w:val="nil"/>
          <w:left w:val="nil"/>
          <w:bottom w:val="nil"/>
          <w:right w:val="nil"/>
          <w:between w:val="nil"/>
        </w:pBdr>
        <w:spacing w:after="240" w:line="240" w:lineRule="auto"/>
        <w:rPr>
          <w:rFonts w:ascii="Arial" w:eastAsia="Arial" w:hAnsi="Arial" w:cs="Arial"/>
          <w:b/>
          <w:color w:val="000000"/>
          <w:sz w:val="24"/>
          <w:szCs w:val="24"/>
        </w:rPr>
      </w:pPr>
      <w:r>
        <w:br w:type="page"/>
      </w:r>
      <w:r>
        <w:rPr>
          <w:rFonts w:ascii="Arial" w:eastAsia="Arial" w:hAnsi="Arial" w:cs="Arial"/>
          <w:b/>
          <w:color w:val="000000"/>
          <w:sz w:val="24"/>
          <w:szCs w:val="24"/>
        </w:rPr>
        <w:lastRenderedPageBreak/>
        <w:t>Part A: Service Levels and Service Credits</w:t>
      </w:r>
    </w:p>
    <w:p w:rsidR="00F80330" w:rsidRDefault="009E731C">
      <w:pPr>
        <w:numPr>
          <w:ilvl w:val="0"/>
          <w:numId w:val="4"/>
        </w:numPr>
        <w:pBdr>
          <w:top w:val="nil"/>
          <w:left w:val="nil"/>
          <w:bottom w:val="nil"/>
          <w:right w:val="nil"/>
          <w:between w:val="nil"/>
        </w:pBdr>
        <w:tabs>
          <w:tab w:val="left" w:pos="0"/>
        </w:tabs>
        <w:spacing w:before="240" w:after="120" w:line="240" w:lineRule="auto"/>
        <w:ind w:left="567" w:hanging="567"/>
        <w:rPr>
          <w:rFonts w:ascii="Arial" w:eastAsia="Arial" w:hAnsi="Arial" w:cs="Arial"/>
          <w:smallCaps/>
          <w:color w:val="000000"/>
          <w:sz w:val="24"/>
          <w:szCs w:val="24"/>
        </w:rPr>
      </w:pPr>
      <w:r>
        <w:rPr>
          <w:rFonts w:ascii="Arial" w:eastAsia="Arial" w:hAnsi="Arial" w:cs="Arial"/>
          <w:b/>
          <w:color w:val="000000"/>
          <w:sz w:val="24"/>
          <w:szCs w:val="24"/>
        </w:rPr>
        <w:t>Service Levels</w:t>
      </w:r>
    </w:p>
    <w:p w:rsidR="00F80330" w:rsidRDefault="009E731C">
      <w:pPr>
        <w:keepNext/>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If the level of performance of the Agency:</w:t>
      </w:r>
    </w:p>
    <w:p w:rsidR="00F80330" w:rsidRDefault="009E731C">
      <w:pPr>
        <w:numPr>
          <w:ilvl w:val="1"/>
          <w:numId w:val="1"/>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F80330" w:rsidRDefault="009E731C">
      <w:pPr>
        <w:numPr>
          <w:ilvl w:val="1"/>
          <w:numId w:val="1"/>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rsidR="00F80330" w:rsidRDefault="009E731C">
      <w:pPr>
        <w:keepNext/>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the Agency shall immediately notify the Client in writing and the Client, in its absolute discretion and without limiting any other of its rights, may:</w:t>
      </w:r>
    </w:p>
    <w:p w:rsidR="00F80330" w:rsidRDefault="009E731C">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Agency to immediately take all remedial action that is reasonable to mitigate the impact on the Client and to rectify or prevent a Service Level Failure or Critical Service Level Failure from taking place or recurring; </w:t>
      </w:r>
    </w:p>
    <w:p w:rsidR="00F80330" w:rsidRDefault="009E731C">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Agency to comply with the Rectification Plan Process; </w:t>
      </w:r>
    </w:p>
    <w:p w:rsidR="00F80330" w:rsidRDefault="009E731C">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Agency to the Client; and/or</w:t>
      </w:r>
    </w:p>
    <w:p w:rsidR="00F80330" w:rsidRDefault="009E731C">
      <w:pPr>
        <w:numPr>
          <w:ilvl w:val="2"/>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rsidR="00F80330" w:rsidRDefault="009E731C">
      <w:pPr>
        <w:numPr>
          <w:ilvl w:val="0"/>
          <w:numId w:val="4"/>
        </w:numPr>
        <w:pBdr>
          <w:top w:val="nil"/>
          <w:left w:val="nil"/>
          <w:bottom w:val="nil"/>
          <w:right w:val="nil"/>
          <w:between w:val="nil"/>
        </w:pBdr>
        <w:tabs>
          <w:tab w:val="left" w:pos="0"/>
        </w:tabs>
        <w:spacing w:before="240" w:after="120" w:line="240" w:lineRule="auto"/>
        <w:ind w:left="567" w:hanging="567"/>
        <w:rPr>
          <w:rFonts w:ascii="Arial" w:eastAsia="Arial" w:hAnsi="Arial" w:cs="Arial"/>
          <w:color w:val="000000"/>
          <w:sz w:val="24"/>
          <w:szCs w:val="24"/>
        </w:rPr>
      </w:pPr>
      <w:r>
        <w:rPr>
          <w:rFonts w:ascii="Arial" w:eastAsia="Arial" w:hAnsi="Arial" w:cs="Arial"/>
          <w:b/>
          <w:color w:val="000000"/>
          <w:sz w:val="24"/>
          <w:szCs w:val="24"/>
        </w:rPr>
        <w:t>Service Credits</w:t>
      </w:r>
    </w:p>
    <w:p w:rsidR="00F80330" w:rsidRDefault="009E731C">
      <w:pPr>
        <w:numPr>
          <w:ilvl w:val="1"/>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The Client shall use the Performance Monitoring Reports supplied by the Agency to verify the calculation and accuracy of the Service Credits, if any, applicable to each Service Period.</w:t>
      </w:r>
    </w:p>
    <w:p w:rsidR="00F80330" w:rsidRDefault="009E731C">
      <w:pPr>
        <w:numPr>
          <w:ilvl w:val="1"/>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Goods or Services and do not include VAT. The Agency shall set-off the value of any Service Credits against the appropriate invoice in accordance </w:t>
      </w:r>
      <w:r>
        <w:rPr>
          <w:rFonts w:ascii="Arial" w:eastAsia="Arial" w:hAnsi="Arial" w:cs="Arial"/>
          <w:sz w:val="24"/>
          <w:szCs w:val="24"/>
        </w:rPr>
        <w:t>with the calculation</w:t>
      </w:r>
      <w:r>
        <w:rPr>
          <w:rFonts w:ascii="Arial" w:eastAsia="Arial" w:hAnsi="Arial" w:cs="Arial"/>
          <w:color w:val="000000"/>
          <w:sz w:val="24"/>
          <w:szCs w:val="24"/>
        </w:rPr>
        <w:t xml:space="preserve"> formula in the Annex to Part A of this Schedule. </w:t>
      </w:r>
    </w:p>
    <w:p w:rsidR="00F80330" w:rsidRDefault="00F80330">
      <w:pPr>
        <w:pBdr>
          <w:top w:val="nil"/>
          <w:left w:val="nil"/>
          <w:bottom w:val="nil"/>
          <w:right w:val="nil"/>
          <w:between w:val="nil"/>
        </w:pBdr>
        <w:tabs>
          <w:tab w:val="left" w:pos="175"/>
        </w:tabs>
        <w:spacing w:after="120" w:line="240" w:lineRule="auto"/>
        <w:ind w:left="720" w:hanging="720"/>
        <w:jc w:val="both"/>
        <w:rPr>
          <w:rFonts w:ascii="Arial" w:eastAsia="Arial" w:hAnsi="Arial" w:cs="Arial"/>
          <w:color w:val="000000"/>
        </w:rPr>
      </w:pPr>
    </w:p>
    <w:p w:rsidR="00F80330" w:rsidRPr="00D77A0A" w:rsidRDefault="009E731C" w:rsidP="00D77A0A">
      <w:pPr>
        <w:keepNext/>
        <w:pBdr>
          <w:top w:val="nil"/>
          <w:left w:val="nil"/>
          <w:bottom w:val="nil"/>
          <w:right w:val="nil"/>
          <w:between w:val="nil"/>
        </w:pBdr>
        <w:spacing w:after="240" w:line="240" w:lineRule="auto"/>
        <w:ind w:firstLine="426"/>
        <w:rPr>
          <w:rFonts w:ascii="Arial" w:eastAsia="Arial" w:hAnsi="Arial" w:cs="Arial"/>
          <w:b/>
          <w:color w:val="000000"/>
          <w:sz w:val="24"/>
          <w:szCs w:val="24"/>
        </w:rPr>
      </w:pPr>
      <w:r>
        <w:br w:type="page"/>
      </w:r>
      <w:r>
        <w:rPr>
          <w:rFonts w:ascii="Arial" w:eastAsia="Arial" w:hAnsi="Arial" w:cs="Arial"/>
          <w:b/>
          <w:color w:val="000000"/>
          <w:sz w:val="24"/>
          <w:szCs w:val="24"/>
        </w:rPr>
        <w:lastRenderedPageBreak/>
        <w:t>Annex A to Part A: Services Levels and Service Credits Table</w:t>
      </w:r>
    </w:p>
    <w:tbl>
      <w:tblPr>
        <w:tblStyle w:val="a0"/>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2948"/>
      </w:tblGrid>
      <w:tr w:rsidR="00F80330">
        <w:trPr>
          <w:trHeight w:val="1213"/>
          <w:jc w:val="center"/>
        </w:trPr>
        <w:tc>
          <w:tcPr>
            <w:tcW w:w="7933" w:type="dxa"/>
            <w:gridSpan w:val="4"/>
            <w:shd w:val="clear" w:color="auto" w:fill="D9D9D9"/>
          </w:tcPr>
          <w:p w:rsidR="00F80330" w:rsidRDefault="009E731C">
            <w:pPr>
              <w:ind w:left="95"/>
              <w:rPr>
                <w:rFonts w:ascii="Arial" w:eastAsia="Arial" w:hAnsi="Arial" w:cs="Arial"/>
                <w:sz w:val="24"/>
                <w:szCs w:val="24"/>
              </w:rPr>
            </w:pPr>
            <w:r>
              <w:rPr>
                <w:rFonts w:ascii="Arial" w:eastAsia="Arial" w:hAnsi="Arial" w:cs="Arial"/>
                <w:sz w:val="24"/>
                <w:szCs w:val="24"/>
              </w:rPr>
              <w:t>Service Levels</w:t>
            </w:r>
          </w:p>
        </w:tc>
      </w:tr>
      <w:tr w:rsidR="00F80330">
        <w:trPr>
          <w:trHeight w:val="1213"/>
          <w:jc w:val="center"/>
        </w:trPr>
        <w:tc>
          <w:tcPr>
            <w:tcW w:w="1713" w:type="dxa"/>
            <w:shd w:val="clear" w:color="auto" w:fill="D9D9D9"/>
            <w:vAlign w:val="center"/>
          </w:tcPr>
          <w:p w:rsidR="00F80330" w:rsidRPr="00D77A0A" w:rsidRDefault="009E731C">
            <w:pPr>
              <w:ind w:left="61"/>
              <w:rPr>
                <w:rFonts w:ascii="Arial" w:eastAsia="Arial" w:hAnsi="Arial" w:cs="Arial"/>
                <w:sz w:val="24"/>
                <w:szCs w:val="24"/>
              </w:rPr>
            </w:pPr>
            <w:r w:rsidRPr="00D77A0A">
              <w:rPr>
                <w:rFonts w:ascii="Arial" w:eastAsia="Arial" w:hAnsi="Arial" w:cs="Arial"/>
                <w:sz w:val="24"/>
                <w:szCs w:val="24"/>
              </w:rPr>
              <w:t>Service Level Performance Criterion</w:t>
            </w:r>
          </w:p>
        </w:tc>
        <w:tc>
          <w:tcPr>
            <w:tcW w:w="1571" w:type="dxa"/>
            <w:shd w:val="clear" w:color="auto" w:fill="D9D9D9"/>
            <w:vAlign w:val="center"/>
          </w:tcPr>
          <w:p w:rsidR="00F80330" w:rsidRDefault="009E731C">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rsidR="00F80330" w:rsidRDefault="009E731C">
            <w:pPr>
              <w:rPr>
                <w:rFonts w:ascii="Arial" w:eastAsia="Arial" w:hAnsi="Arial" w:cs="Arial"/>
                <w:sz w:val="24"/>
                <w:szCs w:val="24"/>
              </w:rPr>
            </w:pPr>
            <w:r>
              <w:rPr>
                <w:rFonts w:ascii="Arial" w:eastAsia="Arial" w:hAnsi="Arial" w:cs="Arial"/>
                <w:sz w:val="24"/>
                <w:szCs w:val="24"/>
              </w:rPr>
              <w:t>Service Level Performance Measure</w:t>
            </w:r>
          </w:p>
        </w:tc>
        <w:tc>
          <w:tcPr>
            <w:tcW w:w="2948" w:type="dxa"/>
            <w:shd w:val="clear" w:color="auto" w:fill="D9D9D9"/>
          </w:tcPr>
          <w:p w:rsidR="00F80330" w:rsidRDefault="009E731C">
            <w:pPr>
              <w:ind w:left="95"/>
              <w:rPr>
                <w:rFonts w:ascii="Arial" w:eastAsia="Arial" w:hAnsi="Arial" w:cs="Arial"/>
                <w:sz w:val="24"/>
                <w:szCs w:val="24"/>
              </w:rPr>
            </w:pPr>
            <w:r>
              <w:rPr>
                <w:rFonts w:ascii="Arial" w:eastAsia="Arial" w:hAnsi="Arial" w:cs="Arial"/>
                <w:sz w:val="24"/>
                <w:szCs w:val="24"/>
              </w:rPr>
              <w:t>Service Level Threshold</w:t>
            </w:r>
          </w:p>
        </w:tc>
      </w:tr>
      <w:tr w:rsidR="00F80330">
        <w:trPr>
          <w:trHeight w:val="1474"/>
          <w:jc w:val="center"/>
        </w:trPr>
        <w:tc>
          <w:tcPr>
            <w:tcW w:w="1713" w:type="dxa"/>
          </w:tcPr>
          <w:p w:rsidR="00F80330" w:rsidRPr="00D77A0A" w:rsidRDefault="00D77A0A">
            <w:pPr>
              <w:spacing w:after="120"/>
              <w:ind w:left="61"/>
              <w:rPr>
                <w:rFonts w:ascii="Arial" w:eastAsia="Arial" w:hAnsi="Arial" w:cs="Arial"/>
                <w:sz w:val="24"/>
                <w:szCs w:val="24"/>
              </w:rPr>
            </w:pPr>
            <w:r w:rsidRPr="00D77A0A">
              <w:rPr>
                <w:rFonts w:ascii="Arial" w:eastAsia="Arial" w:hAnsi="Arial" w:cs="Arial"/>
                <w:sz w:val="24"/>
                <w:szCs w:val="24"/>
              </w:rPr>
              <w:t>Responsiveness</w:t>
            </w:r>
          </w:p>
          <w:p w:rsidR="00F80330" w:rsidRPr="00D77A0A" w:rsidRDefault="00F80330">
            <w:pPr>
              <w:spacing w:after="120"/>
              <w:ind w:left="61"/>
              <w:rPr>
                <w:rFonts w:ascii="Arial" w:eastAsia="Arial" w:hAnsi="Arial" w:cs="Arial"/>
                <w:sz w:val="24"/>
                <w:szCs w:val="24"/>
              </w:rPr>
            </w:pPr>
          </w:p>
        </w:tc>
        <w:tc>
          <w:tcPr>
            <w:tcW w:w="1571" w:type="dxa"/>
          </w:tcPr>
          <w:p w:rsidR="00F80330" w:rsidRPr="00D77A0A" w:rsidRDefault="00D77A0A">
            <w:pPr>
              <w:spacing w:after="120"/>
              <w:ind w:left="95"/>
              <w:rPr>
                <w:rFonts w:ascii="Arial" w:eastAsia="Arial" w:hAnsi="Arial" w:cs="Arial"/>
                <w:sz w:val="24"/>
                <w:szCs w:val="24"/>
              </w:rPr>
            </w:pPr>
            <w:r w:rsidRPr="00D77A0A">
              <w:rPr>
                <w:rFonts w:ascii="Arial" w:hAnsi="Arial" w:cs="Arial"/>
                <w:sz w:val="24"/>
                <w:szCs w:val="24"/>
              </w:rPr>
              <w:t>Supplier to respond to requests for advice within requested deadline</w:t>
            </w:r>
            <w:r w:rsidRPr="00D77A0A">
              <w:rPr>
                <w:rFonts w:ascii="Arial" w:eastAsia="Arial" w:hAnsi="Arial" w:cs="Arial"/>
                <w:sz w:val="24"/>
                <w:szCs w:val="24"/>
              </w:rPr>
              <w:t xml:space="preserve"> </w:t>
            </w:r>
          </w:p>
        </w:tc>
        <w:tc>
          <w:tcPr>
            <w:tcW w:w="1701" w:type="dxa"/>
          </w:tcPr>
          <w:p w:rsidR="00F80330" w:rsidRPr="00D77A0A" w:rsidRDefault="00D77A0A">
            <w:pPr>
              <w:spacing w:after="120"/>
              <w:rPr>
                <w:rFonts w:ascii="Arial" w:eastAsia="Arial" w:hAnsi="Arial" w:cs="Arial"/>
                <w:sz w:val="24"/>
                <w:szCs w:val="24"/>
              </w:rPr>
            </w:pPr>
            <w:r w:rsidRPr="00D77A0A">
              <w:rPr>
                <w:rFonts w:ascii="Arial" w:hAnsi="Arial" w:cs="Arial"/>
                <w:sz w:val="24"/>
                <w:szCs w:val="24"/>
              </w:rPr>
              <w:t>98% within deadline</w:t>
            </w:r>
            <w:r w:rsidRPr="00D77A0A">
              <w:rPr>
                <w:rFonts w:ascii="Arial" w:eastAsia="Arial" w:hAnsi="Arial" w:cs="Arial"/>
                <w:sz w:val="24"/>
                <w:szCs w:val="24"/>
              </w:rPr>
              <w:t xml:space="preserve"> </w:t>
            </w:r>
          </w:p>
        </w:tc>
        <w:tc>
          <w:tcPr>
            <w:tcW w:w="2948" w:type="dxa"/>
          </w:tcPr>
          <w:p w:rsidR="00F80330" w:rsidRPr="00D77A0A" w:rsidRDefault="00D77A0A" w:rsidP="00D77A0A">
            <w:pPr>
              <w:spacing w:after="120"/>
              <w:rPr>
                <w:rFonts w:ascii="Arial" w:eastAsia="Arial" w:hAnsi="Arial" w:cs="Arial"/>
                <w:sz w:val="24"/>
                <w:szCs w:val="24"/>
              </w:rPr>
            </w:pPr>
            <w:r w:rsidRPr="00D77A0A">
              <w:rPr>
                <w:rFonts w:ascii="Arial" w:hAnsi="Arial" w:cs="Arial"/>
                <w:sz w:val="24"/>
                <w:szCs w:val="24"/>
              </w:rPr>
              <w:t xml:space="preserve">2 consecutive failures in any rolling </w:t>
            </w:r>
            <w:proofErr w:type="gramStart"/>
            <w:r w:rsidRPr="00D77A0A">
              <w:rPr>
                <w:rFonts w:ascii="Arial" w:hAnsi="Arial" w:cs="Arial"/>
                <w:sz w:val="24"/>
                <w:szCs w:val="24"/>
              </w:rPr>
              <w:t>4 month</w:t>
            </w:r>
            <w:proofErr w:type="gramEnd"/>
            <w:r w:rsidRPr="00D77A0A">
              <w:rPr>
                <w:rFonts w:ascii="Arial" w:hAnsi="Arial" w:cs="Arial"/>
                <w:sz w:val="24"/>
                <w:szCs w:val="24"/>
              </w:rPr>
              <w:t xml:space="preserve"> period</w:t>
            </w:r>
          </w:p>
        </w:tc>
      </w:tr>
      <w:tr w:rsidR="00F80330">
        <w:trPr>
          <w:trHeight w:val="1474"/>
          <w:jc w:val="center"/>
        </w:trPr>
        <w:tc>
          <w:tcPr>
            <w:tcW w:w="1713" w:type="dxa"/>
          </w:tcPr>
          <w:p w:rsidR="00F80330" w:rsidRDefault="00D77A0A">
            <w:pPr>
              <w:spacing w:after="120"/>
              <w:ind w:left="61"/>
              <w:rPr>
                <w:rFonts w:ascii="Arial" w:eastAsia="Arial" w:hAnsi="Arial" w:cs="Arial"/>
                <w:sz w:val="24"/>
                <w:szCs w:val="24"/>
              </w:rPr>
            </w:pPr>
            <w:r>
              <w:rPr>
                <w:rFonts w:ascii="Arial" w:eastAsia="Arial" w:hAnsi="Arial" w:cs="Arial"/>
                <w:sz w:val="24"/>
                <w:szCs w:val="24"/>
              </w:rPr>
              <w:t>Weekly media tracker</w:t>
            </w:r>
          </w:p>
          <w:p w:rsidR="00F80330" w:rsidRDefault="00F80330">
            <w:pPr>
              <w:spacing w:after="120"/>
              <w:ind w:left="61"/>
              <w:rPr>
                <w:rFonts w:ascii="Arial" w:eastAsia="Arial" w:hAnsi="Arial" w:cs="Arial"/>
                <w:sz w:val="24"/>
                <w:szCs w:val="24"/>
              </w:rPr>
            </w:pPr>
          </w:p>
        </w:tc>
        <w:tc>
          <w:tcPr>
            <w:tcW w:w="1571" w:type="dxa"/>
          </w:tcPr>
          <w:p w:rsidR="00F80330" w:rsidRPr="00D77A0A" w:rsidRDefault="00D77A0A" w:rsidP="00D77A0A">
            <w:pPr>
              <w:spacing w:after="120"/>
              <w:ind w:left="95"/>
              <w:rPr>
                <w:rFonts w:ascii="Arial" w:eastAsia="Arial" w:hAnsi="Arial" w:cs="Arial"/>
                <w:sz w:val="24"/>
                <w:szCs w:val="24"/>
              </w:rPr>
            </w:pPr>
            <w:r w:rsidRPr="00D77A0A">
              <w:rPr>
                <w:rFonts w:ascii="Arial" w:hAnsi="Arial" w:cs="Arial"/>
                <w:sz w:val="24"/>
                <w:szCs w:val="24"/>
              </w:rPr>
              <w:t>To provide the weekly summary of media narratives by 17.00 each Friday</w:t>
            </w:r>
            <w:r w:rsidRPr="00D77A0A">
              <w:rPr>
                <w:rFonts w:ascii="Arial" w:eastAsia="Arial" w:hAnsi="Arial" w:cs="Arial"/>
                <w:sz w:val="24"/>
                <w:szCs w:val="24"/>
              </w:rPr>
              <w:t xml:space="preserve"> </w:t>
            </w:r>
          </w:p>
        </w:tc>
        <w:tc>
          <w:tcPr>
            <w:tcW w:w="1701" w:type="dxa"/>
          </w:tcPr>
          <w:p w:rsidR="00F80330" w:rsidRPr="00D77A0A" w:rsidRDefault="00D77A0A">
            <w:pPr>
              <w:spacing w:after="120"/>
              <w:rPr>
                <w:rFonts w:ascii="Arial" w:eastAsia="Arial" w:hAnsi="Arial" w:cs="Arial"/>
                <w:sz w:val="24"/>
                <w:szCs w:val="24"/>
              </w:rPr>
            </w:pPr>
            <w:r w:rsidRPr="00D77A0A">
              <w:rPr>
                <w:rFonts w:ascii="Arial" w:hAnsi="Arial" w:cs="Arial"/>
                <w:sz w:val="24"/>
                <w:szCs w:val="24"/>
              </w:rPr>
              <w:t>100% within deadline</w:t>
            </w:r>
            <w:r w:rsidRPr="00D77A0A">
              <w:rPr>
                <w:rFonts w:ascii="Arial" w:eastAsia="Arial" w:hAnsi="Arial" w:cs="Arial"/>
                <w:sz w:val="24"/>
                <w:szCs w:val="24"/>
              </w:rPr>
              <w:t xml:space="preserve"> </w:t>
            </w:r>
          </w:p>
        </w:tc>
        <w:tc>
          <w:tcPr>
            <w:tcW w:w="2948" w:type="dxa"/>
          </w:tcPr>
          <w:p w:rsidR="00F80330" w:rsidRDefault="00D77A0A" w:rsidP="00D77A0A">
            <w:pPr>
              <w:spacing w:after="120"/>
              <w:rPr>
                <w:rFonts w:ascii="Arial" w:eastAsia="Arial" w:hAnsi="Arial" w:cs="Arial"/>
                <w:sz w:val="24"/>
                <w:szCs w:val="24"/>
              </w:rPr>
            </w:pPr>
            <w:r w:rsidRPr="00D77A0A">
              <w:rPr>
                <w:rFonts w:ascii="Arial" w:hAnsi="Arial" w:cs="Arial"/>
                <w:sz w:val="24"/>
                <w:szCs w:val="24"/>
              </w:rPr>
              <w:t xml:space="preserve">2 consecutive failures in any rolling </w:t>
            </w:r>
            <w:proofErr w:type="gramStart"/>
            <w:r w:rsidRPr="00D77A0A">
              <w:rPr>
                <w:rFonts w:ascii="Arial" w:hAnsi="Arial" w:cs="Arial"/>
                <w:sz w:val="24"/>
                <w:szCs w:val="24"/>
              </w:rPr>
              <w:t>4 month</w:t>
            </w:r>
            <w:proofErr w:type="gramEnd"/>
            <w:r w:rsidRPr="00D77A0A">
              <w:rPr>
                <w:rFonts w:ascii="Arial" w:hAnsi="Arial" w:cs="Arial"/>
                <w:sz w:val="24"/>
                <w:szCs w:val="24"/>
              </w:rPr>
              <w:t xml:space="preserve"> period</w:t>
            </w:r>
          </w:p>
        </w:tc>
      </w:tr>
    </w:tbl>
    <w:p w:rsidR="00F80330" w:rsidRDefault="009E731C">
      <w:pPr>
        <w:ind w:left="709"/>
        <w:rPr>
          <w:rFonts w:ascii="Arial" w:eastAsia="Arial" w:hAnsi="Arial" w:cs="Arial"/>
          <w:sz w:val="24"/>
          <w:szCs w:val="24"/>
        </w:rPr>
      </w:pPr>
      <w:r>
        <w:rPr>
          <w:rFonts w:ascii="Arial" w:eastAsia="Arial" w:hAnsi="Arial" w:cs="Arial"/>
          <w:b/>
          <w:color w:val="000000"/>
          <w:sz w:val="24"/>
          <w:szCs w:val="24"/>
        </w:rPr>
        <w:br/>
      </w:r>
      <w:r>
        <w:rPr>
          <w:rFonts w:ascii="Arial" w:eastAsia="Arial" w:hAnsi="Arial" w:cs="Arial"/>
          <w:sz w:val="24"/>
          <w:szCs w:val="24"/>
        </w:rPr>
        <w:t>The Service Credits shall be calculated on the basis of the following formula:</w:t>
      </w:r>
    </w:p>
    <w:p w:rsidR="00F80330" w:rsidRDefault="009E731C">
      <w:pPr>
        <w:ind w:left="709"/>
        <w:rPr>
          <w:rFonts w:ascii="Arial" w:eastAsia="Arial" w:hAnsi="Arial" w:cs="Arial"/>
          <w:sz w:val="24"/>
          <w:szCs w:val="24"/>
          <w:highlight w:val="yellow"/>
        </w:rPr>
      </w:pPr>
      <w:r w:rsidRPr="00DD1D5C">
        <w:rPr>
          <w:rFonts w:ascii="Arial" w:eastAsia="Arial" w:hAnsi="Arial" w:cs="Arial"/>
          <w:sz w:val="24"/>
          <w:szCs w:val="24"/>
        </w:rPr>
        <w:t>Example:</w:t>
      </w:r>
      <w:bookmarkStart w:id="0" w:name="_GoBack"/>
      <w:bookmarkEnd w:id="0"/>
    </w:p>
    <w:tbl>
      <w:tblPr>
        <w:tblStyle w:val="a1"/>
        <w:tblW w:w="9026" w:type="dxa"/>
        <w:tblLayout w:type="fixed"/>
        <w:tblLook w:val="0000" w:firstRow="0" w:lastRow="0" w:firstColumn="0" w:lastColumn="0" w:noHBand="0" w:noVBand="0"/>
      </w:tblPr>
      <w:tblGrid>
        <w:gridCol w:w="4375"/>
        <w:gridCol w:w="685"/>
        <w:gridCol w:w="3966"/>
      </w:tblGrid>
      <w:tr w:rsidR="00F80330">
        <w:tc>
          <w:tcPr>
            <w:tcW w:w="4375" w:type="dxa"/>
          </w:tcPr>
          <w:p w:rsidR="00F80330" w:rsidRDefault="009E731C">
            <w:pPr>
              <w:ind w:left="567"/>
              <w:rPr>
                <w:rFonts w:ascii="Arial" w:eastAsia="Arial" w:hAnsi="Arial" w:cs="Arial"/>
                <w:sz w:val="24"/>
                <w:szCs w:val="24"/>
              </w:rPr>
            </w:pPr>
            <w:r>
              <w:rPr>
                <w:rFonts w:ascii="Arial" w:eastAsia="Arial" w:hAnsi="Arial" w:cs="Arial"/>
                <w:sz w:val="24"/>
                <w:szCs w:val="24"/>
              </w:rPr>
              <w:t xml:space="preserve">Formula: x% (Service Level Performance Measure) - x% (actual Service Level performance)  </w:t>
            </w:r>
          </w:p>
        </w:tc>
        <w:tc>
          <w:tcPr>
            <w:tcW w:w="685" w:type="dxa"/>
          </w:tcPr>
          <w:p w:rsidR="00F80330" w:rsidRDefault="009E731C">
            <w:pPr>
              <w:ind w:left="211"/>
              <w:rPr>
                <w:rFonts w:ascii="Arial" w:eastAsia="Arial" w:hAnsi="Arial" w:cs="Arial"/>
                <w:sz w:val="24"/>
                <w:szCs w:val="24"/>
              </w:rPr>
            </w:pPr>
            <w:r>
              <w:rPr>
                <w:rFonts w:ascii="Arial" w:eastAsia="Arial" w:hAnsi="Arial" w:cs="Arial"/>
                <w:sz w:val="24"/>
                <w:szCs w:val="24"/>
              </w:rPr>
              <w:t>=</w:t>
            </w:r>
          </w:p>
        </w:tc>
        <w:tc>
          <w:tcPr>
            <w:tcW w:w="3966" w:type="dxa"/>
          </w:tcPr>
          <w:p w:rsidR="00F80330" w:rsidRDefault="009E731C">
            <w:pPr>
              <w:ind w:left="145"/>
              <w:rPr>
                <w:rFonts w:ascii="Arial" w:eastAsia="Arial" w:hAnsi="Arial" w:cs="Arial"/>
                <w:sz w:val="24"/>
                <w:szCs w:val="24"/>
              </w:rPr>
            </w:pPr>
            <w:r>
              <w:rPr>
                <w:rFonts w:ascii="Arial" w:eastAsia="Arial" w:hAnsi="Arial" w:cs="Arial"/>
                <w:sz w:val="24"/>
                <w:szCs w:val="24"/>
              </w:rPr>
              <w:t>x% of the Charges payable to the Client as Service Credits to be deducted from the next Invoice payable by the Client</w:t>
            </w:r>
          </w:p>
        </w:tc>
      </w:tr>
      <w:tr w:rsidR="00F80330">
        <w:tc>
          <w:tcPr>
            <w:tcW w:w="4375" w:type="dxa"/>
          </w:tcPr>
          <w:p w:rsidR="00F80330" w:rsidRDefault="009E731C">
            <w:pPr>
              <w:ind w:left="567"/>
              <w:rPr>
                <w:rFonts w:ascii="Arial" w:eastAsia="Arial" w:hAnsi="Arial" w:cs="Arial"/>
                <w:sz w:val="24"/>
                <w:szCs w:val="24"/>
              </w:rPr>
            </w:pPr>
            <w:r>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rsidR="00F80330" w:rsidRDefault="00F80330">
            <w:pPr>
              <w:ind w:left="567"/>
              <w:rPr>
                <w:rFonts w:ascii="Arial" w:eastAsia="Arial" w:hAnsi="Arial" w:cs="Arial"/>
                <w:sz w:val="24"/>
                <w:szCs w:val="24"/>
              </w:rPr>
            </w:pPr>
          </w:p>
        </w:tc>
        <w:tc>
          <w:tcPr>
            <w:tcW w:w="685" w:type="dxa"/>
          </w:tcPr>
          <w:p w:rsidR="00F80330" w:rsidRDefault="009E731C">
            <w:pPr>
              <w:ind w:left="211"/>
              <w:rPr>
                <w:rFonts w:ascii="Arial" w:eastAsia="Arial" w:hAnsi="Arial" w:cs="Arial"/>
                <w:sz w:val="24"/>
                <w:szCs w:val="24"/>
              </w:rPr>
            </w:pPr>
            <w:r>
              <w:rPr>
                <w:rFonts w:ascii="Arial" w:eastAsia="Arial" w:hAnsi="Arial" w:cs="Arial"/>
                <w:sz w:val="24"/>
                <w:szCs w:val="24"/>
              </w:rPr>
              <w:t>=</w:t>
            </w:r>
          </w:p>
        </w:tc>
        <w:tc>
          <w:tcPr>
            <w:tcW w:w="3966" w:type="dxa"/>
          </w:tcPr>
          <w:p w:rsidR="00F80330" w:rsidRDefault="009E731C">
            <w:pPr>
              <w:ind w:left="145"/>
              <w:rPr>
                <w:rFonts w:ascii="Arial" w:eastAsia="Arial" w:hAnsi="Arial" w:cs="Arial"/>
                <w:sz w:val="24"/>
                <w:szCs w:val="24"/>
              </w:rPr>
            </w:pPr>
            <w:r>
              <w:rPr>
                <w:rFonts w:ascii="Arial" w:eastAsia="Arial" w:hAnsi="Arial" w:cs="Arial"/>
                <w:sz w:val="24"/>
                <w:szCs w:val="24"/>
              </w:rPr>
              <w:t>23% of the Charges payable to the Client as Service Credits to be deducted from the next Invoice payable by the Client]</w:t>
            </w:r>
          </w:p>
          <w:p w:rsidR="00F80330" w:rsidRDefault="00F80330">
            <w:pPr>
              <w:ind w:left="145"/>
              <w:rPr>
                <w:rFonts w:ascii="Arial" w:eastAsia="Arial" w:hAnsi="Arial" w:cs="Arial"/>
                <w:sz w:val="24"/>
                <w:szCs w:val="24"/>
              </w:rPr>
            </w:pPr>
          </w:p>
        </w:tc>
      </w:tr>
    </w:tbl>
    <w:p w:rsidR="00F80330" w:rsidRDefault="009E731C">
      <w:pPr>
        <w:keepNext/>
        <w:pBdr>
          <w:top w:val="nil"/>
          <w:left w:val="nil"/>
          <w:bottom w:val="nil"/>
          <w:right w:val="nil"/>
          <w:between w:val="nil"/>
        </w:pBdr>
        <w:spacing w:after="240" w:line="240" w:lineRule="auto"/>
        <w:ind w:firstLine="426"/>
        <w:rPr>
          <w:rFonts w:ascii="Arial" w:eastAsia="Arial" w:hAnsi="Arial" w:cs="Arial"/>
          <w:b/>
          <w:color w:val="000000"/>
          <w:sz w:val="24"/>
          <w:szCs w:val="24"/>
        </w:rPr>
      </w:pPr>
      <w:r>
        <w:rPr>
          <w:rFonts w:ascii="Arial" w:eastAsia="Arial" w:hAnsi="Arial" w:cs="Arial"/>
          <w:b/>
          <w:color w:val="000000"/>
          <w:sz w:val="24"/>
          <w:szCs w:val="24"/>
        </w:rPr>
        <w:lastRenderedPageBreak/>
        <w:br/>
      </w:r>
    </w:p>
    <w:p w:rsidR="00F80330" w:rsidRDefault="009E731C">
      <w:pPr>
        <w:spacing w:after="200" w:line="276" w:lineRule="auto"/>
        <w:rPr>
          <w:rFonts w:ascii="Arial" w:eastAsia="Arial" w:hAnsi="Arial" w:cs="Arial"/>
          <w:b/>
          <w:color w:val="000000"/>
          <w:sz w:val="24"/>
          <w:szCs w:val="24"/>
        </w:rPr>
      </w:pPr>
      <w:r>
        <w:br w:type="page"/>
      </w:r>
    </w:p>
    <w:p w:rsidR="00F80330" w:rsidRDefault="009E731C">
      <w:pPr>
        <w:keepNext/>
        <w:pBdr>
          <w:top w:val="nil"/>
          <w:left w:val="nil"/>
          <w:bottom w:val="nil"/>
          <w:right w:val="nil"/>
          <w:between w:val="nil"/>
        </w:pBdr>
        <w:spacing w:after="240" w:line="240" w:lineRule="auto"/>
        <w:ind w:firstLine="426"/>
        <w:rPr>
          <w:rFonts w:ascii="Arial" w:eastAsia="Arial" w:hAnsi="Arial" w:cs="Arial"/>
          <w:b/>
          <w:color w:val="000000"/>
          <w:sz w:val="24"/>
          <w:szCs w:val="24"/>
        </w:rPr>
      </w:pPr>
      <w:r>
        <w:rPr>
          <w:rFonts w:ascii="Arial" w:eastAsia="Arial" w:hAnsi="Arial" w:cs="Arial"/>
          <w:b/>
          <w:color w:val="000000"/>
          <w:sz w:val="24"/>
          <w:szCs w:val="24"/>
        </w:rPr>
        <w:lastRenderedPageBreak/>
        <w:br/>
        <w:t xml:space="preserve">Part B: Performance Monitoring </w:t>
      </w:r>
    </w:p>
    <w:p w:rsidR="00F80330" w:rsidRDefault="009E731C">
      <w:pPr>
        <w:numPr>
          <w:ilvl w:val="0"/>
          <w:numId w:val="4"/>
        </w:numPr>
        <w:pBdr>
          <w:top w:val="nil"/>
          <w:left w:val="nil"/>
          <w:bottom w:val="nil"/>
          <w:right w:val="nil"/>
          <w:between w:val="nil"/>
        </w:pBdr>
        <w:tabs>
          <w:tab w:val="left" w:pos="0"/>
        </w:tabs>
        <w:spacing w:before="240" w:after="120" w:line="240" w:lineRule="auto"/>
        <w:ind w:left="567" w:hanging="567"/>
        <w:rPr>
          <w:rFonts w:ascii="Arial" w:eastAsia="Arial" w:hAnsi="Arial" w:cs="Arial"/>
          <w:color w:val="000000"/>
          <w:sz w:val="24"/>
          <w:szCs w:val="24"/>
        </w:rPr>
      </w:pPr>
      <w:r>
        <w:rPr>
          <w:rFonts w:ascii="Arial" w:eastAsia="Arial" w:hAnsi="Arial" w:cs="Arial"/>
          <w:b/>
          <w:color w:val="000000"/>
          <w:sz w:val="24"/>
          <w:szCs w:val="24"/>
        </w:rPr>
        <w:t>Performance Monitoring and Performance Review</w:t>
      </w:r>
    </w:p>
    <w:p w:rsidR="00F80330" w:rsidRDefault="009E731C">
      <w:pPr>
        <w:numPr>
          <w:ilvl w:val="1"/>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rsidR="00F80330" w:rsidRDefault="009E731C">
      <w:pPr>
        <w:numPr>
          <w:ilvl w:val="1"/>
          <w:numId w:val="4"/>
        </w:numPr>
        <w:pBdr>
          <w:top w:val="nil"/>
          <w:left w:val="nil"/>
          <w:bottom w:val="nil"/>
          <w:right w:val="nil"/>
          <w:between w:val="nil"/>
        </w:pBdr>
        <w:tabs>
          <w:tab w:val="left" w:pos="0"/>
        </w:tabs>
        <w:spacing w:before="240" w:after="120" w:line="240" w:lineRule="auto"/>
        <w:rPr>
          <w:color w:val="000000"/>
          <w:sz w:val="24"/>
          <w:szCs w:val="24"/>
        </w:rPr>
      </w:pPr>
      <w:r>
        <w:rPr>
          <w:rFonts w:ascii="Arial" w:eastAsia="Arial" w:hAnsi="Arial" w:cs="Arial"/>
          <w:color w:val="000000"/>
          <w:sz w:val="24"/>
          <w:szCs w:val="24"/>
        </w:rPr>
        <w:t>The Agency shall provide the Client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Client may reasonably require from time to time.</w:t>
      </w:r>
    </w:p>
    <w:p w:rsidR="00F80330" w:rsidRDefault="009E731C">
      <w:pPr>
        <w:numPr>
          <w:ilvl w:val="1"/>
          <w:numId w:val="4"/>
        </w:numPr>
        <w:pBdr>
          <w:top w:val="nil"/>
          <w:left w:val="nil"/>
          <w:bottom w:val="nil"/>
          <w:right w:val="nil"/>
          <w:between w:val="nil"/>
        </w:pBdr>
        <w:tabs>
          <w:tab w:val="left" w:pos="0"/>
        </w:tabs>
        <w:spacing w:before="240" w:after="120" w:line="240" w:lineRule="auto"/>
        <w:rPr>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proofErr w:type="gramStart"/>
      <w:r>
        <w:rPr>
          <w:rFonts w:ascii="Arial" w:eastAsia="Arial" w:hAnsi="Arial" w:cs="Arial"/>
          <w:color w:val="000000"/>
          <w:sz w:val="24"/>
          <w:szCs w:val="24"/>
        </w:rPr>
        <w:t xml:space="preserve">") </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color w:val="000000"/>
          <w:sz w:val="24"/>
          <w:szCs w:val="24"/>
        </w:rPr>
        <w:t>on a Monthly basis. The Performance Review Meetings will be the forum for the review by the Agency and the Client of the Performance Monitoring Reports.  The Performance Review Meetings shall:</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Agency at such location and time (within normal business hours) as the Client shall reasonably require;</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Agency's Representative and the Client’s Representative; and</w:t>
      </w:r>
    </w:p>
    <w:p w:rsidR="00F80330" w:rsidRDefault="009E731C">
      <w:pPr>
        <w:numPr>
          <w:ilvl w:val="2"/>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Agency and the minutes will be circulated by the Agency to all attendees at the relevant meeting and also to the Client’s Representative and any other recipients agreed at the relevant meeting.  </w:t>
      </w:r>
    </w:p>
    <w:p w:rsidR="00F80330" w:rsidRDefault="009E731C">
      <w:pPr>
        <w:numPr>
          <w:ilvl w:val="1"/>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Agency's Representative and the Client’s Representative at each meeting.</w:t>
      </w:r>
    </w:p>
    <w:p w:rsidR="00F80330" w:rsidRDefault="009E731C">
      <w:pPr>
        <w:numPr>
          <w:ilvl w:val="1"/>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The Agency shall provide to the Client such documentation as the Client may reasonably require in order to verify the level of the performance by the Agency for any specified Service Period.</w:t>
      </w:r>
    </w:p>
    <w:p w:rsidR="00F80330" w:rsidRDefault="00F80330">
      <w:pPr>
        <w:keepNext/>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p>
    <w:p w:rsidR="00F80330" w:rsidRDefault="009E731C">
      <w:pPr>
        <w:numPr>
          <w:ilvl w:val="0"/>
          <w:numId w:val="4"/>
        </w:numPr>
        <w:pBdr>
          <w:top w:val="nil"/>
          <w:left w:val="nil"/>
          <w:bottom w:val="nil"/>
          <w:right w:val="nil"/>
          <w:between w:val="nil"/>
        </w:pBdr>
        <w:tabs>
          <w:tab w:val="left" w:pos="0"/>
        </w:tabs>
        <w:spacing w:before="240" w:after="120" w:line="240" w:lineRule="auto"/>
        <w:ind w:left="567" w:hanging="567"/>
        <w:rPr>
          <w:rFonts w:ascii="Arial" w:eastAsia="Arial" w:hAnsi="Arial" w:cs="Arial"/>
          <w:smallCaps/>
          <w:color w:val="000000"/>
          <w:sz w:val="24"/>
          <w:szCs w:val="24"/>
        </w:rPr>
      </w:pPr>
      <w:bookmarkStart w:id="1" w:name="_heading=h.gjdgxs" w:colFirst="0" w:colLast="0"/>
      <w:bookmarkEnd w:id="1"/>
      <w:r>
        <w:rPr>
          <w:rFonts w:ascii="Arial" w:eastAsia="Arial" w:hAnsi="Arial" w:cs="Arial"/>
          <w:b/>
          <w:color w:val="000000"/>
          <w:sz w:val="24"/>
          <w:szCs w:val="24"/>
        </w:rPr>
        <w:t>Satisfaction Surveys</w:t>
      </w:r>
    </w:p>
    <w:p w:rsidR="00F80330" w:rsidRDefault="009E731C">
      <w:pPr>
        <w:numPr>
          <w:ilvl w:val="1"/>
          <w:numId w:val="4"/>
        </w:numPr>
        <w:pBdr>
          <w:top w:val="nil"/>
          <w:left w:val="nil"/>
          <w:bottom w:val="nil"/>
          <w:right w:val="nil"/>
          <w:between w:val="nil"/>
        </w:pBdr>
        <w:tabs>
          <w:tab w:val="left" w:pos="0"/>
        </w:tabs>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The Client may undertake satisfaction surveys in respect of the Agency's provision of the Goods or Services. The Client shall be entitled to notify the Agency of any aspects of their performance of the provision of the Goods or Services which the responses to the Satisfaction Surveys reasonably suggest are not in accordance with this Contract.</w:t>
      </w:r>
    </w:p>
    <w:p w:rsidR="00F80330" w:rsidRDefault="00F80330">
      <w:pPr>
        <w:keepNext/>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2" w:name="_heading=h.14ykbeg" w:colFirst="0" w:colLast="0"/>
      <w:bookmarkEnd w:id="2"/>
    </w:p>
    <w:p w:rsidR="00F80330" w:rsidRDefault="00F80330"/>
    <w:sectPr w:rsidR="00F80330">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4F3" w:rsidRDefault="00C604F3">
      <w:pPr>
        <w:spacing w:after="0" w:line="240" w:lineRule="auto"/>
      </w:pPr>
      <w:r>
        <w:separator/>
      </w:r>
    </w:p>
  </w:endnote>
  <w:endnote w:type="continuationSeparator" w:id="0">
    <w:p w:rsidR="00C604F3" w:rsidRDefault="00C6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14B" w:rsidRDefault="009E731C">
    <w:pPr>
      <w:tabs>
        <w:tab w:val="center" w:pos="4513"/>
        <w:tab w:val="right" w:pos="9026"/>
      </w:tabs>
      <w:spacing w:after="0" w:line="276" w:lineRule="auto"/>
      <w:rPr>
        <w:rFonts w:ascii="Arial" w:eastAsia="Arial" w:hAnsi="Arial" w:cs="Arial"/>
        <w:sz w:val="20"/>
        <w:szCs w:val="20"/>
        <w:highlight w:val="white"/>
      </w:rPr>
    </w:pPr>
    <w:r>
      <w:rPr>
        <w:rFonts w:ascii="Arial" w:eastAsia="Arial" w:hAnsi="Arial" w:cs="Arial"/>
        <w:sz w:val="20"/>
        <w:szCs w:val="20"/>
        <w:highlight w:val="white"/>
      </w:rPr>
      <w:t>RM6124 – Communications Marketplace DPS</w:t>
    </w:r>
  </w:p>
  <w:p w:rsidR="00F80330" w:rsidRDefault="007E714B">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9E731C">
      <w:rPr>
        <w:rFonts w:ascii="Arial" w:eastAsia="Arial" w:hAnsi="Arial" w:cs="Arial"/>
        <w:sz w:val="20"/>
        <w:szCs w:val="20"/>
        <w:highlight w:val="white"/>
      </w:rPr>
      <w:t xml:space="preserve"> </w:t>
    </w:r>
    <w:r w:rsidR="009E731C">
      <w:rPr>
        <w:rFonts w:ascii="Arial" w:eastAsia="Arial" w:hAnsi="Arial" w:cs="Arial"/>
        <w:sz w:val="20"/>
        <w:szCs w:val="20"/>
      </w:rPr>
      <w:t xml:space="preserve">                                          </w:t>
    </w:r>
  </w:p>
  <w:p w:rsidR="00F80330" w:rsidRDefault="009E731C">
    <w:pPr>
      <w:tabs>
        <w:tab w:val="center" w:pos="4513"/>
        <w:tab w:val="right" w:pos="9026"/>
      </w:tabs>
      <w:spacing w:after="0" w:line="240" w:lineRule="auto"/>
    </w:pPr>
    <w:r>
      <w:rPr>
        <w:rFonts w:ascii="Arial" w:eastAsia="Arial" w:hAnsi="Arial" w:cs="Arial"/>
        <w:sz w:val="20"/>
        <w:szCs w:val="20"/>
      </w:rPr>
      <w:t>Project Version: v1.</w:t>
    </w:r>
    <w:r w:rsidR="00DD1D5C">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4F3" w:rsidRDefault="00C604F3">
      <w:pPr>
        <w:spacing w:after="0" w:line="240" w:lineRule="auto"/>
      </w:pPr>
      <w:r>
        <w:separator/>
      </w:r>
    </w:p>
  </w:footnote>
  <w:footnote w:type="continuationSeparator" w:id="0">
    <w:p w:rsidR="00C604F3" w:rsidRDefault="00C6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330" w:rsidRDefault="009E731C">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14 (Service Levels)</w:t>
    </w:r>
  </w:p>
  <w:p w:rsidR="00F80330" w:rsidRDefault="009E731C" w:rsidP="007E714B">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Order Ref:</w:t>
    </w:r>
    <w:r w:rsidR="007E714B">
      <w:rPr>
        <w:rFonts w:ascii="Arial" w:eastAsia="Arial" w:hAnsi="Arial" w:cs="Arial"/>
        <w:sz w:val="20"/>
        <w:szCs w:val="20"/>
      </w:rPr>
      <w:t xml:space="preserve"> CCCO22A07 – UK Covid-19 Inquiry Strategic Communications                                       </w:t>
    </w:r>
  </w:p>
  <w:p w:rsidR="00F80330" w:rsidRDefault="009E731C">
    <w:pPr>
      <w:tabs>
        <w:tab w:val="center" w:pos="4513"/>
        <w:tab w:val="right" w:pos="9026"/>
      </w:tabs>
      <w:spacing w:after="0" w:line="240" w:lineRule="auto"/>
    </w:pPr>
    <w:r>
      <w:rPr>
        <w:rFonts w:ascii="Arial" w:eastAsia="Arial" w:hAnsi="Arial" w:cs="Arial"/>
        <w:sz w:val="20"/>
        <w:szCs w:val="20"/>
      </w:rPr>
      <w:t>Crown Copyright 202</w:t>
    </w:r>
    <w:r w:rsidR="007E714B">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919C7"/>
    <w:multiLevelType w:val="multilevel"/>
    <w:tmpl w:val="1B609682"/>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09F03B5"/>
    <w:multiLevelType w:val="multilevel"/>
    <w:tmpl w:val="D8D4F0EA"/>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pStyle w:val="astyl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76A1DBC"/>
    <w:multiLevelType w:val="multilevel"/>
    <w:tmpl w:val="F5DEE71A"/>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4530BFA"/>
    <w:multiLevelType w:val="multilevel"/>
    <w:tmpl w:val="2CFAD900"/>
    <w:lvl w:ilvl="0">
      <w:start w:val="1"/>
      <w:numFmt w:val="decimal"/>
      <w:pStyle w:val="GPsDefinition"/>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pStyle w:val="GPSDefinitionL2"/>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pStyle w:val="GPSDefinitionL4"/>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8BB2682"/>
    <w:multiLevelType w:val="multilevel"/>
    <w:tmpl w:val="2552454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30"/>
    <w:rsid w:val="00286CD2"/>
    <w:rsid w:val="004422FF"/>
    <w:rsid w:val="007E714B"/>
    <w:rsid w:val="009E731C"/>
    <w:rsid w:val="00C604F3"/>
    <w:rsid w:val="00D77A0A"/>
    <w:rsid w:val="00DD1D5C"/>
    <w:rsid w:val="00F8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EF56"/>
  <w15:docId w15:val="{A2A437B0-C649-4139-8E1F-2BC07DC0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DE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Definition">
    <w:name w:val="GPs Definition"/>
    <w:basedOn w:val="Normal"/>
    <w:qFormat/>
    <w:rsid w:val="00023DE1"/>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rsid w:val="00023DE1"/>
    <w:pPr>
      <w:numPr>
        <w:ilvl w:val="1"/>
      </w:numPr>
      <w:ind w:hanging="544"/>
    </w:pPr>
  </w:style>
  <w:style w:type="paragraph" w:customStyle="1" w:styleId="GPSDefinitionL3">
    <w:name w:val="GPS Definition L3"/>
    <w:basedOn w:val="GPSDefinitionL2"/>
    <w:qFormat/>
    <w:rsid w:val="00023DE1"/>
    <w:pPr>
      <w:numPr>
        <w:ilvl w:val="2"/>
      </w:numPr>
    </w:pPr>
  </w:style>
  <w:style w:type="paragraph" w:customStyle="1" w:styleId="GPSDefinitionL4">
    <w:name w:val="GPS Definition L4"/>
    <w:basedOn w:val="GPSDefinitionL3"/>
    <w:qFormat/>
    <w:rsid w:val="00023DE1"/>
    <w:pPr>
      <w:numPr>
        <w:ilvl w:val="3"/>
      </w:numPr>
    </w:pPr>
  </w:style>
  <w:style w:type="paragraph" w:customStyle="1" w:styleId="astyle">
    <w:name w:val="a) style"/>
    <w:basedOn w:val="ListParagraph"/>
    <w:qFormat/>
    <w:rsid w:val="00023DE1"/>
    <w:pPr>
      <w:widowControl w:val="0"/>
      <w:numPr>
        <w:ilvl w:val="3"/>
        <w:numId w:val="4"/>
      </w:numPr>
      <w:tabs>
        <w:tab w:val="num" w:pos="360"/>
        <w:tab w:val="left" w:pos="2441"/>
      </w:tabs>
      <w:autoSpaceDE w:val="0"/>
      <w:autoSpaceDN w:val="0"/>
      <w:spacing w:before="1" w:after="0" w:line="252" w:lineRule="exact"/>
      <w:ind w:left="720" w:firstLine="0"/>
      <w:contextualSpacing w:val="0"/>
    </w:pPr>
    <w:rPr>
      <w:rFonts w:ascii="Arial" w:hAnsi="Arial" w:cs="Arial"/>
      <w:sz w:val="24"/>
      <w:szCs w:val="24"/>
    </w:rPr>
  </w:style>
  <w:style w:type="paragraph" w:styleId="ListParagraph">
    <w:name w:val="List Paragraph"/>
    <w:basedOn w:val="Normal"/>
    <w:uiPriority w:val="34"/>
    <w:qFormat/>
    <w:rsid w:val="00023DE1"/>
    <w:pPr>
      <w:ind w:left="720"/>
      <w:contextualSpacing/>
    </w:pPr>
  </w:style>
  <w:style w:type="paragraph" w:styleId="BalloonText">
    <w:name w:val="Balloon Text"/>
    <w:basedOn w:val="Normal"/>
    <w:link w:val="BalloonTextChar"/>
    <w:uiPriority w:val="99"/>
    <w:semiHidden/>
    <w:unhideWhenUsed/>
    <w:rsid w:val="00023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E1"/>
    <w:rPr>
      <w:rFonts w:ascii="Segoe UI" w:eastAsia="Calibri" w:hAnsi="Segoe UI" w:cs="Segoe UI"/>
      <w:sz w:val="18"/>
      <w:szCs w:val="18"/>
      <w:lang w:eastAsia="en-GB"/>
    </w:rPr>
  </w:style>
  <w:style w:type="paragraph" w:customStyle="1" w:styleId="GPSDefinitionTerm">
    <w:name w:val="GPS Definition Term"/>
    <w:basedOn w:val="Normal"/>
    <w:qFormat/>
    <w:rsid w:val="00084987"/>
    <w:pPr>
      <w:overflowPunct w:val="0"/>
      <w:autoSpaceDE w:val="0"/>
      <w:autoSpaceDN w:val="0"/>
      <w:adjustRightInd w:val="0"/>
      <w:spacing w:after="120" w:line="240" w:lineRule="auto"/>
      <w:ind w:left="-108"/>
      <w:textAlignment w:val="baseline"/>
    </w:pPr>
    <w:rPr>
      <w:rFonts w:ascii="Arial" w:eastAsia="Times New Roman" w:hAnsi="Arial" w:cs="Arial"/>
      <w:b/>
      <w:lang w:eastAsia="en-US"/>
    </w:rPr>
  </w:style>
  <w:style w:type="paragraph" w:customStyle="1" w:styleId="GPSL1CLAUSEHEADING">
    <w:name w:val="GPS L1 CLAUSE HEADING"/>
    <w:basedOn w:val="Normal"/>
    <w:next w:val="Normal"/>
    <w:link w:val="GPSL1CLAUSEHEADINGChar"/>
    <w:qFormat/>
    <w:rsid w:val="00084987"/>
    <w:pPr>
      <w:numPr>
        <w:numId w:val="5"/>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084987"/>
    <w:pPr>
      <w:numPr>
        <w:ilvl w:val="2"/>
        <w:numId w:val="5"/>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rsid w:val="00084987"/>
    <w:pPr>
      <w:numPr>
        <w:ilvl w:val="3"/>
      </w:numPr>
      <w:ind w:left="2592" w:hanging="936"/>
    </w:pPr>
  </w:style>
  <w:style w:type="paragraph" w:customStyle="1" w:styleId="GPSL5numberedclause">
    <w:name w:val="GPS L5 numbered clause"/>
    <w:basedOn w:val="GPSL4numberedclause"/>
    <w:qFormat/>
    <w:rsid w:val="00084987"/>
    <w:pPr>
      <w:numPr>
        <w:ilvl w:val="4"/>
      </w:numPr>
    </w:pPr>
  </w:style>
  <w:style w:type="paragraph" w:customStyle="1" w:styleId="GPSL2NumberedBoldHeading">
    <w:name w:val="GPS L2 Numbered Bold Heading"/>
    <w:basedOn w:val="Normal"/>
    <w:qFormat/>
    <w:rsid w:val="00084987"/>
    <w:pPr>
      <w:numPr>
        <w:ilvl w:val="1"/>
        <w:numId w:val="5"/>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rsid w:val="00084987"/>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084987"/>
    <w:rPr>
      <w:rFonts w:ascii="Calibri" w:eastAsia="Times New Roman" w:hAnsi="Calibri" w:cs="Arial"/>
      <w:lang w:eastAsia="zh-CN"/>
    </w:rPr>
  </w:style>
  <w:style w:type="character" w:customStyle="1" w:styleId="GPSL4numberedclauseChar">
    <w:name w:val="GPS L4 numbered clause Char"/>
    <w:link w:val="GPSL4numberedclause"/>
    <w:rsid w:val="00084987"/>
    <w:rPr>
      <w:rFonts w:ascii="Calibri" w:eastAsia="Times New Roman" w:hAnsi="Calibri" w:cs="Arial"/>
      <w:lang w:eastAsia="zh-CN"/>
    </w:rPr>
  </w:style>
  <w:style w:type="character" w:customStyle="1" w:styleId="GPSL1CLAUSEHEADINGChar">
    <w:name w:val="GPS L1 CLAUSE HEADING Char"/>
    <w:link w:val="GPSL1CLAUSEHEADING"/>
    <w:rsid w:val="00084987"/>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E7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14B"/>
  </w:style>
  <w:style w:type="paragraph" w:styleId="Footer">
    <w:name w:val="footer"/>
    <w:basedOn w:val="Normal"/>
    <w:link w:val="FooterChar"/>
    <w:uiPriority w:val="99"/>
    <w:unhideWhenUsed/>
    <w:rsid w:val="007E7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96955">
      <w:bodyDiv w:val="1"/>
      <w:marLeft w:val="0"/>
      <w:marRight w:val="0"/>
      <w:marTop w:val="0"/>
      <w:marBottom w:val="0"/>
      <w:divBdr>
        <w:top w:val="none" w:sz="0" w:space="0" w:color="auto"/>
        <w:left w:val="none" w:sz="0" w:space="0" w:color="auto"/>
        <w:bottom w:val="none" w:sz="0" w:space="0" w:color="auto"/>
        <w:right w:val="none" w:sz="0" w:space="0" w:color="auto"/>
      </w:divBdr>
    </w:div>
    <w:div w:id="725833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IJ7CcUaSNfhhUnJD0+STTihamA==">AMUW2mWJp8hUdARs57nAgWAN7Ys0uWg0mUyGr9L6yk0yJgybfyAnUjqJPkad/cl/Vgp5CEAu+R9yUD2iBKB2ATRp5EvEYS24sRsH8QQ5sEB9ZslmkB2qQMO8fPiayit1A1JrbL767W3P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6</cp:revision>
  <dcterms:created xsi:type="dcterms:W3CDTF">2021-07-27T12:19:00Z</dcterms:created>
  <dcterms:modified xsi:type="dcterms:W3CDTF">2022-03-15T10:04:00Z</dcterms:modified>
</cp:coreProperties>
</file>