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A5" w:rsidRPr="001D5FCB" w:rsidRDefault="00A37F71" w:rsidP="003412A5">
      <w:pPr>
        <w:pStyle w:val="Heading3"/>
        <w:rPr>
          <w:color w:val="000080"/>
          <w:sz w:val="28"/>
          <w:szCs w:val="28"/>
        </w:rPr>
      </w:pPr>
      <w:bookmarkStart w:id="0" w:name="_GoBack"/>
      <w:bookmarkEnd w:id="0"/>
      <w:r>
        <w:rPr>
          <w:color w:val="000080"/>
          <w:sz w:val="28"/>
          <w:szCs w:val="28"/>
        </w:rPr>
        <w:t>Annex 3</w:t>
      </w:r>
      <w:r w:rsidR="003412A5">
        <w:rPr>
          <w:color w:val="000080"/>
          <w:sz w:val="28"/>
          <w:szCs w:val="28"/>
        </w:rPr>
        <w:t xml:space="preserve"> – Declaration o</w:t>
      </w:r>
      <w:r w:rsidR="003412A5" w:rsidRPr="001D5FCB">
        <w:rPr>
          <w:color w:val="000080"/>
          <w:sz w:val="28"/>
          <w:szCs w:val="28"/>
        </w:rPr>
        <w:t>f Non-Collusion</w:t>
      </w:r>
    </w:p>
    <w:p w:rsidR="003412A5" w:rsidRPr="00D42F77" w:rsidRDefault="003412A5" w:rsidP="003412A5">
      <w:pPr>
        <w:pStyle w:val="BodyTextIndent"/>
        <w:tabs>
          <w:tab w:val="left" w:leader="dot" w:pos="9360"/>
        </w:tabs>
        <w:ind w:left="0"/>
        <w:rPr>
          <w:rFonts w:ascii="Arial" w:hAnsi="Arial" w:cs="Arial"/>
          <w:color w:val="000000"/>
          <w:sz w:val="23"/>
          <w:szCs w:val="23"/>
          <w:highlight w:val="yellow"/>
        </w:rPr>
      </w:pPr>
    </w:p>
    <w:p w:rsidR="003412A5" w:rsidRPr="00561805" w:rsidRDefault="003412A5" w:rsidP="003412A5">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Pr="00561805">
        <w:rPr>
          <w:rFonts w:ascii="Arial" w:hAnsi="Arial" w:cs="Arial"/>
          <w:b/>
          <w:color w:val="000000"/>
          <w:sz w:val="23"/>
          <w:szCs w:val="23"/>
        </w:rPr>
        <w:t>Lake District National Park Authority</w:t>
      </w:r>
    </w:p>
    <w:p w:rsidR="003412A5" w:rsidRPr="00561805" w:rsidRDefault="003412A5" w:rsidP="003412A5">
      <w:pPr>
        <w:pStyle w:val="BodyTextIndent"/>
        <w:tabs>
          <w:tab w:val="left" w:leader="dot" w:pos="9360"/>
        </w:tabs>
        <w:ind w:left="0"/>
        <w:rPr>
          <w:rFonts w:ascii="Arial" w:hAnsi="Arial" w:cs="Arial"/>
          <w:color w:val="000000"/>
          <w:sz w:val="23"/>
          <w:szCs w:val="23"/>
        </w:rPr>
      </w:pPr>
    </w:p>
    <w:p w:rsidR="003412A5" w:rsidRPr="00561805" w:rsidRDefault="003412A5" w:rsidP="003412A5">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rsidR="003412A5" w:rsidRPr="00561805" w:rsidRDefault="003412A5" w:rsidP="003412A5">
      <w:pPr>
        <w:pStyle w:val="BodyTextIndent"/>
        <w:spacing w:after="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rsidR="003412A5" w:rsidRPr="00561805" w:rsidRDefault="003412A5" w:rsidP="003412A5">
      <w:pPr>
        <w:pStyle w:val="BodyTextIndent"/>
        <w:spacing w:after="0"/>
        <w:ind w:left="72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rsidR="003412A5" w:rsidRPr="00561805" w:rsidRDefault="003412A5" w:rsidP="003412A5">
      <w:pPr>
        <w:pStyle w:val="BodyTextIndent"/>
        <w:spacing w:after="0"/>
        <w:ind w:left="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rsidTr="00EA6EBE">
        <w:trPr>
          <w:cantSplit/>
          <w:trHeight w:val="273"/>
        </w:trPr>
        <w:tc>
          <w:tcPr>
            <w:tcW w:w="262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rsidR="003412A5" w:rsidRPr="00561805" w:rsidRDefault="003412A5" w:rsidP="00EA6EBE">
            <w:pPr>
              <w:pStyle w:val="BodyTextIndent"/>
              <w:ind w:left="0"/>
              <w:rPr>
                <w:rFonts w:ascii="Arial" w:hAnsi="Arial" w:cs="Arial"/>
                <w:color w:val="000000"/>
                <w:sz w:val="23"/>
                <w:szCs w:val="23"/>
              </w:rPr>
            </w:pPr>
          </w:p>
        </w:tc>
        <w:tc>
          <w:tcPr>
            <w:tcW w:w="6948" w:type="dxa"/>
          </w:tcPr>
          <w:p w:rsidR="003412A5" w:rsidRPr="00561805" w:rsidRDefault="003412A5" w:rsidP="00EA6EBE">
            <w:pPr>
              <w:pStyle w:val="BodyTextIndent"/>
              <w:tabs>
                <w:tab w:val="left" w:leader="dot" w:pos="9360"/>
              </w:tabs>
              <w:ind w:left="0"/>
              <w:rPr>
                <w:rFonts w:ascii="Arial" w:hAnsi="Arial" w:cs="Arial"/>
                <w:color w:val="000000"/>
                <w:sz w:val="23"/>
                <w:szCs w:val="23"/>
              </w:rPr>
            </w:pPr>
          </w:p>
          <w:p w:rsidR="003412A5" w:rsidRPr="00561805" w:rsidRDefault="003412A5" w:rsidP="00EA6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rsidR="003412A5" w:rsidRPr="00561805" w:rsidRDefault="003412A5" w:rsidP="00EA6EBE">
            <w:pPr>
              <w:pStyle w:val="BodyTextIndent"/>
              <w:tabs>
                <w:tab w:val="left" w:leader="dot" w:pos="9360"/>
              </w:tabs>
              <w:ind w:left="0"/>
              <w:rPr>
                <w:rFonts w:ascii="Arial" w:hAnsi="Arial" w:cs="Arial"/>
                <w:color w:val="000000"/>
                <w:sz w:val="23"/>
                <w:szCs w:val="23"/>
              </w:rPr>
            </w:pP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rsidR="008027D8" w:rsidRPr="00687206" w:rsidRDefault="008027D8" w:rsidP="00687206">
      <w:pPr>
        <w:rPr>
          <w:rFonts w:ascii="Arial" w:hAnsi="Arial" w:cs="Arial"/>
          <w:b/>
          <w:bCs/>
          <w:color w:val="000080"/>
          <w:sz w:val="28"/>
          <w:szCs w:val="28"/>
        </w:rPr>
      </w:pPr>
    </w:p>
    <w:sectPr w:rsidR="008027D8" w:rsidRPr="006872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E8" w:rsidRDefault="00FD5DE8" w:rsidP="00FD5DE8">
      <w:r>
        <w:separator/>
      </w:r>
    </w:p>
  </w:endnote>
  <w:endnote w:type="continuationSeparator" w:id="0">
    <w:p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00" w:rsidRDefault="00881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C3" w:rsidRDefault="00835EC3">
    <w:pPr>
      <w:pStyle w:val="Footer"/>
    </w:pPr>
    <w:r>
      <w:rPr>
        <w:noProof/>
        <w:lang w:eastAsia="en-GB"/>
      </w:rPr>
      <w:drawing>
        <wp:inline distT="0" distB="0" distL="0" distR="0">
          <wp:extent cx="2690226"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888" cy="604295"/>
                  </a:xfrm>
                  <a:prstGeom prst="rect">
                    <a:avLst/>
                  </a:prstGeom>
                  <a:noFill/>
                </pic:spPr>
              </pic:pic>
            </a:graphicData>
          </a:graphic>
        </wp:inline>
      </w:drawing>
    </w:r>
    <w:r w:rsidR="00064E73">
      <w:rPr>
        <w:noProof/>
        <w:lang w:eastAsia="en-GB"/>
      </w:rPr>
      <w:t xml:space="preserve">                  </w:t>
    </w:r>
    <w:r w:rsidR="00064E73">
      <w:rPr>
        <w:noProof/>
        <w:lang w:eastAsia="en-GB"/>
      </w:rPr>
      <w:drawing>
        <wp:inline distT="0" distB="0" distL="0" distR="0" wp14:anchorId="1390C25B">
          <wp:extent cx="1944444" cy="641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791" cy="646082"/>
                  </a:xfrm>
                  <a:prstGeom prst="rect">
                    <a:avLst/>
                  </a:prstGeom>
                  <a:noFill/>
                </pic:spPr>
              </pic:pic>
            </a:graphicData>
          </a:graphic>
        </wp:inline>
      </w:drawing>
    </w:r>
  </w:p>
  <w:p w:rsidR="00835EC3" w:rsidRDefault="00064E73">
    <w:pPr>
      <w:pStyle w:val="Footer"/>
    </w:pPr>
    <w:r>
      <w:t xml:space="preserve">  </w:t>
    </w:r>
  </w:p>
  <w:p w:rsidR="00835EC3" w:rsidRPr="00064E73" w:rsidRDefault="00835EC3">
    <w:pPr>
      <w:pStyle w:val="Footer"/>
      <w:rPr>
        <w:rFonts w:ascii="Arial" w:hAnsi="Arial" w:cs="Arial"/>
        <w:sz w:val="20"/>
        <w:szCs w:val="20"/>
      </w:rPr>
    </w:pPr>
    <w:r w:rsidRPr="00064E73">
      <w:rPr>
        <w:rFonts w:ascii="Arial" w:eastAsia="Calibri" w:hAnsi="Arial" w:cs="Arial"/>
        <w:color w:val="1F497D"/>
        <w:sz w:val="20"/>
        <w:szCs w:val="20"/>
        <w:lang w:val="en-US"/>
      </w:rPr>
      <w:t xml:space="preserve">Supported by the 2014 to 2020 European Structural and Investment Funds Growth </w:t>
    </w:r>
    <w:proofErr w:type="spellStart"/>
    <w:r w:rsidRPr="00064E73">
      <w:rPr>
        <w:rFonts w:ascii="Arial" w:eastAsia="Calibri" w:hAnsi="Arial" w:cs="Arial"/>
        <w:color w:val="1F497D"/>
        <w:sz w:val="20"/>
        <w:szCs w:val="20"/>
        <w:lang w:val="en-US"/>
      </w:rPr>
      <w:t>Programme</w:t>
    </w:r>
    <w:proofErr w:type="spellEnd"/>
  </w:p>
  <w:p w:rsidR="00FD5DE8" w:rsidRPr="00064E73" w:rsidRDefault="00FD5DE8">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00" w:rsidRDefault="00881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E8" w:rsidRDefault="00FD5DE8" w:rsidP="00FD5DE8">
      <w:r>
        <w:separator/>
      </w:r>
    </w:p>
  </w:footnote>
  <w:footnote w:type="continuationSeparator" w:id="0">
    <w:p w:rsidR="00FD5DE8" w:rsidRDefault="00FD5DE8" w:rsidP="00FD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00" w:rsidRDefault="00881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E8" w:rsidRPr="00FD5DE8" w:rsidRDefault="00881500" w:rsidP="00A41C94">
    <w:pPr>
      <w:pStyle w:val="Title"/>
      <w:jc w:val="left"/>
      <w:rPr>
        <w:rFonts w:cs="Arial"/>
        <w:b w:val="0"/>
        <w:bCs w:val="0"/>
        <w:sz w:val="28"/>
        <w:szCs w:val="28"/>
      </w:rPr>
    </w:pPr>
    <w:r>
      <w:rPr>
        <w:rFonts w:cs="Arial"/>
        <w:sz w:val="28"/>
        <w:szCs w:val="28"/>
      </w:rPr>
      <w:t>Southern Windermere Trail (Section 2) Newby Bridge to Lakeside</w:t>
    </w:r>
  </w:p>
  <w:p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rsidR="00FD5DE8" w:rsidRDefault="00FD5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00" w:rsidRDefault="00881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A5"/>
    <w:rsid w:val="00064E73"/>
    <w:rsid w:val="00067D16"/>
    <w:rsid w:val="000B7FD3"/>
    <w:rsid w:val="003412A5"/>
    <w:rsid w:val="00687206"/>
    <w:rsid w:val="008008FB"/>
    <w:rsid w:val="008027D8"/>
    <w:rsid w:val="00835EC3"/>
    <w:rsid w:val="00881500"/>
    <w:rsid w:val="00A37F71"/>
    <w:rsid w:val="00A41C94"/>
    <w:rsid w:val="00A42D9A"/>
    <w:rsid w:val="00E11BFD"/>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Hodgson</dc:creator>
  <cp:lastModifiedBy>Sharon Hodgson</cp:lastModifiedBy>
  <cp:revision>11</cp:revision>
  <dcterms:created xsi:type="dcterms:W3CDTF">2017-02-07T09:11:00Z</dcterms:created>
  <dcterms:modified xsi:type="dcterms:W3CDTF">2021-09-01T10:58:00Z</dcterms:modified>
</cp:coreProperties>
</file>