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F12E22">
      <w:pPr>
        <w:pStyle w:val="DHTitle"/>
        <w:jc w:val="center"/>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DE618B" w:rsidRPr="00A24900" w:rsidRDefault="00B362D5" w:rsidP="00B362D5">
      <w:pPr>
        <w:pStyle w:val="DHTitle"/>
        <w:jc w:val="center"/>
      </w:pPr>
      <w:r w:rsidRPr="00B362D5">
        <w:t>A Toolkit to Enable at Least One of the Specified User Groups to Better Support Individuals who may Lack Capacity to Make their Own Decisions about their Care and/ or Treatment</w:t>
      </w:r>
    </w:p>
    <w:p w:rsidR="006E609F" w:rsidRPr="00A24900" w:rsidRDefault="006E609F" w:rsidP="00B362D5">
      <w:pPr>
        <w:pStyle w:val="DHTitle"/>
        <w:jc w:val="center"/>
      </w:pPr>
    </w:p>
    <w:p w:rsidR="00FE0B38" w:rsidRPr="006E55D5" w:rsidRDefault="00926CEC" w:rsidP="00B362D5">
      <w:pPr>
        <w:pStyle w:val="SubT"/>
        <w:jc w:val="center"/>
      </w:pPr>
      <w:r w:rsidRPr="006E55D5">
        <w:t xml:space="preserve">Deadline: </w:t>
      </w:r>
      <w:r w:rsidR="00003B95">
        <w:t>Wednesday 30</w:t>
      </w:r>
      <w:r w:rsidR="00003B95" w:rsidRPr="00003B95">
        <w:rPr>
          <w:vertAlign w:val="superscript"/>
        </w:rPr>
        <w:t>th</w:t>
      </w:r>
      <w:r w:rsidR="00003B95">
        <w:t xml:space="preserve"> September 2015 – 2:00pm</w:t>
      </w:r>
    </w:p>
    <w:p w:rsidR="008A4796" w:rsidRPr="006E55D5" w:rsidRDefault="008A4796" w:rsidP="00B362D5">
      <w:pPr>
        <w:pStyle w:val="SubT"/>
        <w:jc w:val="center"/>
      </w:pPr>
      <w:r w:rsidRPr="006E55D5">
        <w:t xml:space="preserve">ITT Reference: </w:t>
      </w:r>
      <w:r w:rsidR="00003B95">
        <w:t>59988</w:t>
      </w:r>
      <w:r w:rsidR="00B7296A">
        <w:t>-2</w:t>
      </w:r>
      <w:bookmarkStart w:id="2" w:name="_GoBack"/>
      <w:bookmarkEnd w:id="2"/>
    </w:p>
    <w:p w:rsidR="006E609F" w:rsidRPr="006E55D5" w:rsidRDefault="006E609F" w:rsidP="00B362D5">
      <w:pPr>
        <w:pStyle w:val="SubT"/>
        <w:jc w:val="center"/>
      </w:pPr>
    </w:p>
    <w:p w:rsidR="00015085" w:rsidRPr="006E55D5" w:rsidRDefault="006E609F" w:rsidP="00B362D5">
      <w:pPr>
        <w:pStyle w:val="SubT"/>
        <w:jc w:val="center"/>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A24900" w:rsidRDefault="00441043" w:rsidP="003E7E65">
      <w:pPr>
        <w:pStyle w:val="LeftSide"/>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B25A5C">
        <w:t xml:space="preserve"> for </w:t>
      </w:r>
      <w:r w:rsidR="00B25A5C" w:rsidRPr="00B25A5C">
        <w:t>A Toolkit to Enable at Least One of the Specified User Groups to Better Support Individuals who may Lack Capacity to Make their Own Decisions about their Care and/ or Treatment</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r w:rsidR="00DE618B"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F12E22">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F12E22">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F12E22">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9311E6" w:rsidRDefault="00CC1F46" w:rsidP="000759C3">
      <w:pPr>
        <w:pStyle w:val="LeftSide"/>
      </w:pPr>
      <w:r w:rsidRPr="00A24900">
        <w:t xml:space="preserve">If </w:t>
      </w:r>
      <w:r w:rsidR="00035ECF" w:rsidRPr="00A24900">
        <w:t>there is an intention</w:t>
      </w:r>
      <w:r w:rsidR="006E1129" w:rsidRPr="00A24900">
        <w:t xml:space="preserve"> to </w:t>
      </w:r>
      <w:r w:rsidRPr="00A24900">
        <w:t>tender</w:t>
      </w:r>
      <w:r w:rsidR="00E53ACA" w:rsidRPr="00A24900">
        <w:t>,</w:t>
      </w:r>
      <w:r w:rsidR="00836E0A" w:rsidRPr="00A24900">
        <w:t xml:space="preserve"> </w:t>
      </w:r>
      <w:r w:rsidR="00CA7B5B" w:rsidRPr="00A24900">
        <w:t xml:space="preserve">please acknowledge receipt of this </w:t>
      </w:r>
      <w:r w:rsidR="006E1129" w:rsidRPr="00A24900">
        <w:t xml:space="preserve">ITT </w:t>
      </w:r>
      <w:r w:rsidR="00CA7B5B" w:rsidRPr="00A24900">
        <w:t>by clicking on the Acknowledge Participation entry</w:t>
      </w:r>
      <w:r w:rsidR="004407A1" w:rsidRPr="00A24900">
        <w:t>,</w:t>
      </w:r>
      <w:r w:rsidR="00CA7B5B" w:rsidRPr="00A24900">
        <w:t xml:space="preserve"> in the </w:t>
      </w:r>
      <w:r w:rsidR="001C1A35" w:rsidRPr="00A24900">
        <w:t>drop down actions</w:t>
      </w:r>
      <w:r w:rsidR="001C1A35" w:rsidRPr="00A24900" w:rsidDel="001C1A35">
        <w:t xml:space="preserve"> </w:t>
      </w:r>
      <w:r w:rsidR="00CA7B5B" w:rsidRPr="00A24900">
        <w:t xml:space="preserve">on the </w:t>
      </w:r>
      <w:r w:rsidR="004407A1" w:rsidRPr="00A24900">
        <w:t xml:space="preserve">appropriate </w:t>
      </w:r>
      <w:r w:rsidR="00516D9F" w:rsidRPr="00A24900">
        <w:t xml:space="preserve">BMS </w:t>
      </w:r>
      <w:r w:rsidR="00CA7B5B" w:rsidRPr="00A24900">
        <w:t>screen</w:t>
      </w:r>
    </w:p>
    <w:p w:rsidR="00CA7B5B" w:rsidRPr="00B25A5C" w:rsidRDefault="009311E6" w:rsidP="001E14F1">
      <w:pPr>
        <w:pStyle w:val="LeftSide"/>
        <w:rPr>
          <w:bCs/>
        </w:rPr>
      </w:pPr>
      <w:r w:rsidRPr="00B25A5C">
        <w:rPr>
          <w:bCs/>
        </w:rPr>
        <w:t xml:space="preserve">If there is an intention to tender, then the potential Tenderer should </w:t>
      </w:r>
      <w:r w:rsidR="00012A74" w:rsidRPr="00B25A5C">
        <w:rPr>
          <w:bCs/>
        </w:rPr>
        <w:t>acknowledge</w:t>
      </w:r>
      <w:r w:rsidR="00DB6819" w:rsidRPr="00B25A5C">
        <w:rPr>
          <w:bCs/>
        </w:rPr>
        <w:t xml:space="preserve"> their </w:t>
      </w:r>
      <w:r w:rsidR="00012A74" w:rsidRPr="00B25A5C">
        <w:rPr>
          <w:bCs/>
        </w:rPr>
        <w:t xml:space="preserve">interest, </w:t>
      </w:r>
      <w:r w:rsidRPr="00B25A5C">
        <w:rPr>
          <w:bCs/>
        </w:rPr>
        <w:t>as quickly as possible</w:t>
      </w:r>
      <w:r w:rsidR="00012A74" w:rsidRPr="00B25A5C">
        <w:rPr>
          <w:bCs/>
        </w:rPr>
        <w:t>,</w:t>
      </w:r>
      <w:r w:rsidRPr="00B25A5C">
        <w:rPr>
          <w:bCs/>
        </w:rPr>
        <w:t xml:space="preserve"> by sending a message through BMS (online messages).  This is the sole responsibility of the Tenderer and ensures that future updates etc. can be provided in an effective and timely manner.  Failure to acknowledge </w:t>
      </w:r>
      <w:r w:rsidR="00DB6819" w:rsidRPr="00B25A5C">
        <w:rPr>
          <w:bCs/>
        </w:rPr>
        <w:t>your intention</w:t>
      </w:r>
      <w:r w:rsidRPr="00B25A5C">
        <w:rPr>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E53ACA" w:rsidRPr="00A24900">
        <w:t xml:space="preserve"> </w:t>
      </w:r>
      <w:r w:rsidR="00003B95" w:rsidRPr="00003B95">
        <w:rPr>
          <w:b/>
        </w:rPr>
        <w:t>Thursday 10</w:t>
      </w:r>
      <w:r w:rsidR="00003B95" w:rsidRPr="00003B95">
        <w:rPr>
          <w:b/>
          <w:vertAlign w:val="superscript"/>
        </w:rPr>
        <w:t>th</w:t>
      </w:r>
      <w:r w:rsidR="00003B95" w:rsidRPr="00003B95">
        <w:rPr>
          <w:b/>
        </w:rPr>
        <w:t xml:space="preserve"> September 2015 – 2:00pm</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003B95">
        <w:t xml:space="preserve">tenders by </w:t>
      </w:r>
      <w:r w:rsidR="00003B95" w:rsidRPr="00003B95">
        <w:rPr>
          <w:b/>
        </w:rPr>
        <w:t>Wednesday 30</w:t>
      </w:r>
      <w:r w:rsidR="00003B95" w:rsidRPr="00003B95">
        <w:rPr>
          <w:b/>
          <w:vertAlign w:val="superscript"/>
        </w:rPr>
        <w:t>th</w:t>
      </w:r>
      <w:r w:rsidR="00003B95" w:rsidRPr="00003B95">
        <w:rPr>
          <w:b/>
        </w:rPr>
        <w:t xml:space="preserve"> September 2015 – 2:00pm</w:t>
      </w:r>
      <w:r w:rsidR="00003B95">
        <w:t xml:space="preserve"> </w:t>
      </w:r>
      <w:r w:rsidR="002D7F0F" w:rsidRPr="00BC6417">
        <w:t>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Style w:val="TableGrid"/>
        <w:tblW w:w="8505" w:type="dxa"/>
        <w:tblInd w:w="675" w:type="dxa"/>
        <w:tblLook w:val="01E0" w:firstRow="1" w:lastRow="1" w:firstColumn="1" w:lastColumn="1" w:noHBand="0" w:noVBand="0"/>
      </w:tblPr>
      <w:tblGrid>
        <w:gridCol w:w="8505"/>
      </w:tblGrid>
      <w:tr w:rsidR="0024759B" w:rsidRPr="004A173F" w:rsidTr="004A173F">
        <w:trPr>
          <w:trHeight w:val="126"/>
        </w:trPr>
        <w:tc>
          <w:tcPr>
            <w:tcW w:w="8505" w:type="dxa"/>
            <w:shd w:val="clear" w:color="auto" w:fill="auto"/>
          </w:tcPr>
          <w:p w:rsidR="0024759B" w:rsidRPr="004A173F" w:rsidRDefault="0024759B" w:rsidP="00E37BA3">
            <w:pPr>
              <w:widowControl w:val="0"/>
              <w:rPr>
                <w:sz w:val="22"/>
                <w:szCs w:val="22"/>
              </w:rPr>
            </w:pPr>
          </w:p>
          <w:p w:rsidR="0024759B" w:rsidRPr="004A173F" w:rsidRDefault="0024759B" w:rsidP="00E37BA3">
            <w:pPr>
              <w:widowControl w:val="0"/>
              <w:rPr>
                <w:b/>
                <w:sz w:val="22"/>
                <w:szCs w:val="22"/>
              </w:rPr>
            </w:pPr>
            <w:r w:rsidRPr="004A173F">
              <w:rPr>
                <w:b/>
                <w:bCs/>
                <w:sz w:val="22"/>
                <w:szCs w:val="22"/>
              </w:rPr>
              <w:t xml:space="preserve">Quotations may only be uploaded via the Sourcing Home Page, </w:t>
            </w:r>
            <w:r w:rsidRPr="004A173F">
              <w:rPr>
                <w:b/>
                <w:sz w:val="22"/>
                <w:szCs w:val="22"/>
              </w:rPr>
              <w:t>using the</w:t>
            </w:r>
            <w:r w:rsidRPr="004A173F">
              <w:rPr>
                <w:b/>
                <w:bCs/>
                <w:sz w:val="22"/>
                <w:szCs w:val="22"/>
              </w:rPr>
              <w:t xml:space="preserve"> ‘Actions’ </w:t>
            </w:r>
            <w:r w:rsidRPr="004A173F">
              <w:rPr>
                <w:b/>
                <w:sz w:val="22"/>
                <w:szCs w:val="22"/>
              </w:rPr>
              <w:t>window and selecting the</w:t>
            </w:r>
            <w:r w:rsidRPr="004A173F">
              <w:rPr>
                <w:b/>
                <w:bCs/>
                <w:sz w:val="22"/>
                <w:szCs w:val="22"/>
              </w:rPr>
              <w:t xml:space="preserve"> ‘Create Quote’ </w:t>
            </w:r>
            <w:r w:rsidRPr="004A173F">
              <w:rPr>
                <w:b/>
                <w:sz w:val="22"/>
                <w:szCs w:val="22"/>
              </w:rPr>
              <w:t>option.</w:t>
            </w:r>
          </w:p>
          <w:p w:rsidR="00DF2091" w:rsidRPr="004A173F" w:rsidRDefault="00DF2091" w:rsidP="00E37BA3">
            <w:pPr>
              <w:widowControl w:val="0"/>
              <w:rPr>
                <w:b/>
                <w:sz w:val="22"/>
                <w:szCs w:val="22"/>
              </w:rPr>
            </w:pPr>
          </w:p>
          <w:p w:rsidR="0024759B" w:rsidRPr="004A173F" w:rsidRDefault="0024759B" w:rsidP="00E37BA3">
            <w:pPr>
              <w:widowControl w:val="0"/>
              <w:rPr>
                <w:sz w:val="22"/>
                <w:szCs w:val="22"/>
              </w:rPr>
            </w:pPr>
            <w:r w:rsidRPr="004A173F">
              <w:rPr>
                <w:b/>
                <w:sz w:val="22"/>
                <w:szCs w:val="22"/>
              </w:rPr>
              <w:t xml:space="preserve">If you upload your quotation by any other method for example by using the ‘New Message/ Documents’ tab, </w:t>
            </w:r>
            <w:r w:rsidRPr="004A173F">
              <w:rPr>
                <w:b/>
                <w:bCs/>
                <w:sz w:val="22"/>
                <w:szCs w:val="22"/>
              </w:rPr>
              <w:t xml:space="preserve">the quotation will not be correctly linked to the ITT </w:t>
            </w:r>
            <w:r w:rsidRPr="004A173F">
              <w:rPr>
                <w:b/>
                <w:sz w:val="22"/>
                <w:szCs w:val="22"/>
              </w:rPr>
              <w:t xml:space="preserve">and </w:t>
            </w:r>
            <w:r w:rsidRPr="004A173F">
              <w:rPr>
                <w:b/>
                <w:bCs/>
                <w:sz w:val="22"/>
                <w:szCs w:val="22"/>
              </w:rPr>
              <w:t>your submission will be rejected</w:t>
            </w:r>
            <w:r w:rsidRPr="004A173F">
              <w:rPr>
                <w:sz w:val="22"/>
                <w:szCs w:val="22"/>
              </w:rPr>
              <w:t>.</w:t>
            </w:r>
          </w:p>
          <w:p w:rsidR="0024759B" w:rsidRPr="004A173F" w:rsidRDefault="0024759B" w:rsidP="00E37BA3">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B25A5C">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B25A5C">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B25A5C">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B25A5C">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B25A5C">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B25A5C">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B25A5C">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B25A5C">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B25A5C">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B25A5C">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B25A5C">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F12E22" w:rsidRPr="004A173F">
        <w:t>Table </w:t>
      </w:r>
      <w:r w:rsidR="00F12E22" w:rsidRPr="00F12E22">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Default="00E562A5" w:rsidP="00B25A5C">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F12E22"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F12E22">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vAlign w:val="center"/>
          </w:tcPr>
          <w:p w:rsidR="00C77FCF" w:rsidRPr="00A24900" w:rsidRDefault="00003B95" w:rsidP="00D6068D">
            <w:pPr>
              <w:pStyle w:val="Table"/>
              <w:rPr>
                <w:highlight w:val="yellow"/>
              </w:rPr>
            </w:pPr>
            <w:r w:rsidRPr="00003B95">
              <w:t>3</w:t>
            </w:r>
            <w:r w:rsidRPr="00003B95">
              <w:rPr>
                <w:vertAlign w:val="superscript"/>
              </w:rPr>
              <w:t>rd</w:t>
            </w:r>
            <w:r w:rsidRPr="00003B95">
              <w:t xml:space="preserve"> September 2015</w:t>
            </w:r>
          </w:p>
        </w:tc>
      </w:tr>
      <w:tr w:rsidR="004B6454" w:rsidRPr="00A24900">
        <w:trPr>
          <w:cantSplit/>
          <w:trHeight w:val="510"/>
        </w:trPr>
        <w:tc>
          <w:tcPr>
            <w:tcW w:w="4678" w:type="dxa"/>
            <w:vAlign w:val="center"/>
          </w:tcPr>
          <w:p w:rsidR="004B6454" w:rsidRPr="00A24900" w:rsidRDefault="004B6454" w:rsidP="004B6454">
            <w:pPr>
              <w:pStyle w:val="Table"/>
              <w:rPr>
                <w:highlight w:val="yellow"/>
              </w:rPr>
            </w:pPr>
            <w:r w:rsidRPr="00003B95">
              <w:lastRenderedPageBreak/>
              <w:t>End of clarification question period</w:t>
            </w:r>
          </w:p>
        </w:tc>
        <w:tc>
          <w:tcPr>
            <w:tcW w:w="3119" w:type="dxa"/>
            <w:vAlign w:val="center"/>
          </w:tcPr>
          <w:p w:rsidR="004B6454" w:rsidRPr="00A24900" w:rsidRDefault="00003B95" w:rsidP="004B6454">
            <w:pPr>
              <w:pStyle w:val="Table"/>
              <w:rPr>
                <w:highlight w:val="yellow"/>
              </w:rPr>
            </w:pPr>
            <w:r w:rsidRPr="00003B95">
              <w:t>10</w:t>
            </w:r>
            <w:r w:rsidRPr="00003B95">
              <w:rPr>
                <w:vertAlign w:val="superscript"/>
              </w:rPr>
              <w:t>th</w:t>
            </w:r>
            <w:r w:rsidRPr="00003B95">
              <w:t xml:space="preserve"> September 2015 – 2:00pm</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A24900" w:rsidRDefault="00003B95" w:rsidP="00003B95">
            <w:pPr>
              <w:pStyle w:val="Table"/>
            </w:pPr>
            <w:r>
              <w:t>30</w:t>
            </w:r>
            <w:r w:rsidRPr="00003B95">
              <w:rPr>
                <w:vertAlign w:val="superscript"/>
              </w:rPr>
              <w:t>th</w:t>
            </w:r>
            <w:r>
              <w:t xml:space="preserve"> September 2015 – 2:00pm</w:t>
            </w:r>
          </w:p>
        </w:tc>
      </w:tr>
      <w:tr w:rsidR="00E562A5" w:rsidRPr="00A24900">
        <w:trPr>
          <w:cantSplit/>
          <w:trHeight w:val="510"/>
        </w:trPr>
        <w:tc>
          <w:tcPr>
            <w:tcW w:w="4678" w:type="dxa"/>
            <w:vAlign w:val="center"/>
          </w:tcPr>
          <w:p w:rsidR="00E562A5" w:rsidRPr="00A24900" w:rsidRDefault="00E562A5" w:rsidP="00D6068D">
            <w:pPr>
              <w:pStyle w:val="Table"/>
            </w:pPr>
            <w:r w:rsidRPr="00E562A5">
              <w:t>T</w:t>
            </w:r>
            <w:r w:rsidRPr="006E55D5">
              <w:t>enderer Clarification Meetings</w:t>
            </w:r>
          </w:p>
        </w:tc>
        <w:tc>
          <w:tcPr>
            <w:tcW w:w="3119" w:type="dxa"/>
            <w:vAlign w:val="center"/>
          </w:tcPr>
          <w:p w:rsidR="00E562A5" w:rsidRPr="00A24900" w:rsidRDefault="00003B95" w:rsidP="00003B95">
            <w:pPr>
              <w:pStyle w:val="Table"/>
            </w:pPr>
            <w:r>
              <w:t>w/c 12</w:t>
            </w:r>
            <w:r w:rsidRPr="00003B95">
              <w:rPr>
                <w:vertAlign w:val="superscript"/>
              </w:rPr>
              <w:t>th</w:t>
            </w:r>
            <w:r>
              <w:t xml:space="preserve"> or 19</w:t>
            </w:r>
            <w:r w:rsidRPr="00003B95">
              <w:rPr>
                <w:vertAlign w:val="superscript"/>
              </w:rPr>
              <w:t>th</w:t>
            </w:r>
            <w:r>
              <w:t xml:space="preserve"> October 2015</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A24900" w:rsidRDefault="00003B95" w:rsidP="00003B95">
            <w:pPr>
              <w:pStyle w:val="Table"/>
            </w:pPr>
            <w:r>
              <w:t>2</w:t>
            </w:r>
            <w:r w:rsidRPr="00003B95">
              <w:rPr>
                <w:vertAlign w:val="superscript"/>
              </w:rPr>
              <w:t>nd</w:t>
            </w:r>
            <w:r>
              <w:t xml:space="preserve"> November 2015</w:t>
            </w:r>
          </w:p>
        </w:tc>
      </w:tr>
    </w:tbl>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B25A5C">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B25A5C">
      <w:pPr>
        <w:pStyle w:val="ONEH2"/>
      </w:pPr>
      <w:r w:rsidRPr="00A24900">
        <w:t xml:space="preserve">The contractual form will be a combination of the following </w:t>
      </w:r>
    </w:p>
    <w:p w:rsidR="00D775B7" w:rsidRPr="00A24900" w:rsidRDefault="00EE2E7D" w:rsidP="00033DDB">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033DDB">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B25A5C">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B25A5C">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B25A5C">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B25A5C">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B25A5C">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B25A5C">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B25A5C">
      <w:pPr>
        <w:pStyle w:val="ONEH2"/>
      </w:pPr>
      <w:bookmarkStart w:id="7"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w:t>
      </w:r>
      <w:r w:rsidRPr="00A24900">
        <w:lastRenderedPageBreak/>
        <w:t xml:space="preserve">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B25A5C">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B25A5C">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B25A5C">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B25A5C">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B25A5C">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B25A5C">
      <w:pPr>
        <w:pStyle w:val="ONEH2"/>
      </w:pPr>
      <w:r w:rsidRPr="004A173F">
        <w:t xml:space="preserve">Tenderers shall note that any contract awarded under this procurement shall be on the </w:t>
      </w:r>
      <w:r w:rsidR="00887231" w:rsidRPr="004A173F">
        <w:t>Authority</w:t>
      </w:r>
      <w:r w:rsidRPr="004A173F">
        <w:t>'s terms and conditions of contract</w:t>
      </w:r>
      <w:r w:rsidRPr="00A24900">
        <w:t>.</w:t>
      </w:r>
    </w:p>
    <w:p w:rsidR="00393DB4" w:rsidRPr="00A24900" w:rsidRDefault="00DE618B" w:rsidP="00B25A5C">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B25A5C">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B25A5C">
      <w:pPr>
        <w:pStyle w:val="ONEH2"/>
      </w:pPr>
      <w:r w:rsidRPr="00A24900">
        <w:t>No tender may be modified after the deadline for receipt</w:t>
      </w:r>
      <w:r w:rsidR="00887231" w:rsidRPr="00A24900">
        <w:t xml:space="preserve"> of tenders.</w:t>
      </w:r>
    </w:p>
    <w:p w:rsidR="00887231" w:rsidRPr="00A24900" w:rsidRDefault="00DE618B" w:rsidP="00B25A5C">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B25A5C">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B25A5C">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B25A5C">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w:t>
      </w:r>
      <w:r w:rsidRPr="00A24900">
        <w:lastRenderedPageBreak/>
        <w:t xml:space="preserve">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B25A5C">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B25A5C">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B25A5C">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B25A5C">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DE618B" w:rsidRPr="00B25A5C" w:rsidRDefault="00DE618B" w:rsidP="00B25A5C">
      <w:pPr>
        <w:pStyle w:val="ONEH2"/>
      </w:pPr>
      <w:r w:rsidRPr="00B25A5C">
        <w:t>Occasionally</w:t>
      </w:r>
      <w:r w:rsidR="00355414" w:rsidRPr="00B25A5C">
        <w:t>,</w:t>
      </w:r>
      <w:r w:rsidRPr="00B25A5C">
        <w:t xml:space="preserve"> </w:t>
      </w:r>
      <w:r w:rsidR="00562D99" w:rsidRPr="00B25A5C">
        <w:t>a total price will be un</w:t>
      </w:r>
      <w:r w:rsidRPr="00B25A5C">
        <w:t xml:space="preserve">able to </w:t>
      </w:r>
      <w:r w:rsidR="00562D99" w:rsidRPr="00B25A5C">
        <w:t xml:space="preserve">be </w:t>
      </w:r>
      <w:r w:rsidRPr="00B25A5C">
        <w:t>calculate</w:t>
      </w:r>
      <w:r w:rsidR="00562D99" w:rsidRPr="00B25A5C">
        <w:t>d</w:t>
      </w:r>
      <w:r w:rsidRPr="00B25A5C">
        <w:t xml:space="preserve">, for example, where </w:t>
      </w:r>
      <w:r w:rsidR="00562D99" w:rsidRPr="00B25A5C">
        <w:t xml:space="preserve">the requirement is </w:t>
      </w:r>
      <w:r w:rsidRPr="00B25A5C">
        <w:t xml:space="preserve">to provide day rates or </w:t>
      </w:r>
      <w:r w:rsidR="00562D99" w:rsidRPr="00B25A5C">
        <w:t xml:space="preserve">in </w:t>
      </w:r>
      <w:r w:rsidRPr="00B25A5C">
        <w:t>the award of Framework Agreements</w:t>
      </w:r>
      <w:r w:rsidR="00355414" w:rsidRPr="00B25A5C">
        <w:t>,</w:t>
      </w:r>
      <w:r w:rsidRPr="00B25A5C">
        <w:t xml:space="preserve"> or </w:t>
      </w:r>
      <w:r w:rsidR="00562D99" w:rsidRPr="00B25A5C">
        <w:t>c</w:t>
      </w:r>
      <w:r w:rsidRPr="00B25A5C">
        <w:t xml:space="preserve">all-off contracts. </w:t>
      </w:r>
      <w:r w:rsidR="00355414" w:rsidRPr="00B25A5C">
        <w:t xml:space="preserve"> </w:t>
      </w:r>
      <w:r w:rsidRPr="00B25A5C">
        <w:t xml:space="preserve">In these circumstances </w:t>
      </w:r>
      <w:r w:rsidR="00562D99" w:rsidRPr="00B25A5C">
        <w:t xml:space="preserve">a value of </w:t>
      </w:r>
      <w:r w:rsidRPr="00B25A5C">
        <w:t>£1</w:t>
      </w:r>
      <w:r w:rsidR="00562D99" w:rsidRPr="00B25A5C">
        <w:t xml:space="preserve"> should be entered</w:t>
      </w:r>
      <w:r w:rsidRPr="00B25A5C">
        <w:t>.</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B25A5C">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B25A5C">
      <w:pPr>
        <w:pStyle w:val="ONEH2"/>
      </w:pPr>
      <w:r>
        <w:t>The Authority, when appropriate, will ask for proposals as part of this ITT on how Tenderers are intending to support the SME initiative.</w:t>
      </w:r>
    </w:p>
    <w:p w:rsidR="005B47E6" w:rsidRDefault="005B47E6" w:rsidP="00B25A5C">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B25A5C">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B25A5C">
      <w:pPr>
        <w:pStyle w:val="ONEH2"/>
        <w:numPr>
          <w:ilvl w:val="0"/>
          <w:numId w:val="0"/>
        </w:numPr>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B25A5C">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B25A5C">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B25A5C">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lastRenderedPageBreak/>
        <w:t>Language</w:t>
      </w:r>
    </w:p>
    <w:p w:rsidR="005B47E6" w:rsidRPr="00A24900" w:rsidRDefault="005B47E6" w:rsidP="00B25A5C">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B25A5C">
      <w:pPr>
        <w:pStyle w:val="LeftSide"/>
        <w:jc w:val="center"/>
        <w:rPr>
          <w:b/>
          <w:bCs/>
        </w:rPr>
      </w:pPr>
      <w:r w:rsidRPr="00A24900">
        <w:rPr>
          <w:b/>
          <w:bCs/>
        </w:rPr>
        <w:t>THIS PAGE HAS BEEN LEFT INTENTIONALLY BLANK</w:t>
      </w:r>
    </w:p>
    <w:p w:rsidR="003434E2" w:rsidRDefault="00B25A5C" w:rsidP="00B25A5C">
      <w:pPr>
        <w:pStyle w:val="LeftSide"/>
        <w:jc w:val="center"/>
      </w:pPr>
      <w:r>
        <w:t xml:space="preserve">Department of Health Terms and </w:t>
      </w:r>
      <w:r w:rsidR="00C11E91">
        <w:t>Conditions of Contract</w:t>
      </w:r>
      <w:r w:rsidR="00C92B47" w:rsidRPr="00A24900">
        <w:t xml:space="preserve"> are downloadable from BMS</w:t>
      </w:r>
    </w:p>
    <w:p w:rsidR="00BC6417" w:rsidRPr="00A24900" w:rsidRDefault="00BC6417" w:rsidP="00B25A5C">
      <w:pPr>
        <w:pStyle w:val="LeftSide"/>
        <w:jc w:val="center"/>
      </w:pPr>
    </w:p>
    <w:p w:rsidR="00DE618B" w:rsidRPr="00A24900" w:rsidRDefault="00DE618B" w:rsidP="000759C3">
      <w:pPr>
        <w:pStyle w:val="LeftSide"/>
      </w:pP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6" o:title=""/>
          </v:shape>
          <o:OLEObject Type="Embed" ProgID="Visio.Drawing.11" ShapeID="_x0000_i1025" DrawAspect="Content" ObjectID="_1503480790"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B25A5C">
        <w:rPr>
          <w:iCs/>
        </w:rPr>
        <w:t xml:space="preserve">Social Care </w:t>
      </w:r>
      <w:r w:rsidR="00062664" w:rsidRPr="00B25A5C">
        <w:rPr>
          <w:iCs/>
        </w:rPr>
        <w:t>Directorate</w:t>
      </w:r>
      <w:r w:rsidR="00B25A5C">
        <w:rPr>
          <w:iCs/>
        </w:rPr>
        <w:t xml:space="preserve"> </w:t>
      </w:r>
      <w:r w:rsidR="00062664" w:rsidRPr="004A173F">
        <w:rPr>
          <w:iCs/>
        </w:rPr>
        <w:t xml:space="preserve">and </w:t>
      </w:r>
      <w:r w:rsidRPr="004A173F">
        <w:rPr>
          <w:iCs/>
        </w:rPr>
        <w:t xml:space="preserve">a moderator from </w:t>
      </w:r>
      <w:r w:rsidR="00055029" w:rsidRPr="004A173F">
        <w:rPr>
          <w:iCs/>
        </w:rPr>
        <w:t xml:space="preserve">the </w:t>
      </w:r>
      <w:r w:rsidR="00B25A5C">
        <w:rPr>
          <w:iCs/>
        </w:rPr>
        <w:t>Commercial Division</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B25A5C">
        <w:t>Commercial Division</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Pr>
          <w:szCs w:val="22"/>
          <w:highlight w:val="lightGray"/>
        </w:rPr>
        <w:fldChar w:fldCharType="begin"/>
      </w:r>
      <w:r w:rsidR="00DF2091">
        <w:rPr>
          <w:szCs w:val="22"/>
        </w:rPr>
        <w:instrText xml:space="preserve"> REF _Ref342917017 \h </w:instrText>
      </w:r>
      <w:r w:rsidR="00DF2091">
        <w:rPr>
          <w:szCs w:val="22"/>
          <w:highlight w:val="lightGray"/>
        </w:rPr>
      </w:r>
      <w:r w:rsidR="00DF2091">
        <w:rPr>
          <w:szCs w:val="22"/>
          <w:highlight w:val="lightGray"/>
        </w:rPr>
        <w:fldChar w:fldCharType="separate"/>
      </w:r>
      <w:r w:rsidR="00F12E22" w:rsidRPr="00DF2091">
        <w:t xml:space="preserve">Table </w:t>
      </w:r>
      <w:r w:rsidR="00F12E22">
        <w:rPr>
          <w:noProof/>
        </w:rPr>
        <w:t>3</w:t>
      </w:r>
      <w:r w:rsidR="00DF209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rsidR="00B25A5C">
        <w:t xml:space="preserve">significance of the criteria </w:t>
      </w:r>
      <w:r>
        <w:t xml:space="preserve">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F12E22" w:rsidRPr="00F12E22">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4670" w:rsidRPr="004A173F" w:rsidRDefault="00064670" w:rsidP="00DF2091">
      <w:pPr>
        <w:pStyle w:val="SIXH2"/>
      </w:pPr>
      <w:r>
        <w:t xml:space="preserve">The scored responses are generally assessed out of a maximum of </w:t>
      </w:r>
      <w:r w:rsidRPr="005A03ED">
        <w:t>four (4).</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5A03ED">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F12E22">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Style w:val="TableGrid"/>
        <w:tblW w:w="13293" w:type="dxa"/>
        <w:tblInd w:w="1368" w:type="dxa"/>
        <w:tblLook w:val="01E0" w:firstRow="1" w:lastRow="1" w:firstColumn="1" w:lastColumn="1" w:noHBand="0" w:noVBand="0"/>
      </w:tblPr>
      <w:tblGrid>
        <w:gridCol w:w="3622"/>
        <w:gridCol w:w="3623"/>
        <w:gridCol w:w="4962"/>
        <w:gridCol w:w="1086"/>
      </w:tblGrid>
      <w:tr w:rsidR="00F276E0" w:rsidRPr="00A24900">
        <w:trPr>
          <w:cantSplit/>
          <w:trHeight w:val="70"/>
          <w:tblHeader/>
        </w:trPr>
        <w:tc>
          <w:tcPr>
            <w:tcW w:w="3622" w:type="dxa"/>
            <w:shd w:val="clear" w:color="auto" w:fill="FF99CC"/>
            <w:vAlign w:val="center"/>
          </w:tcPr>
          <w:p w:rsidR="00F276E0" w:rsidRPr="00A24900" w:rsidRDefault="00F276E0" w:rsidP="00A81FBF">
            <w:pPr>
              <w:pStyle w:val="TableHead"/>
              <w:keepNext/>
            </w:pPr>
            <w:r>
              <w:t>Evaluation Area</w:t>
            </w:r>
          </w:p>
        </w:tc>
        <w:tc>
          <w:tcPr>
            <w:tcW w:w="3623" w:type="dxa"/>
            <w:shd w:val="clear" w:color="auto" w:fill="FF99CC"/>
            <w:vAlign w:val="center"/>
          </w:tcPr>
          <w:p w:rsidR="00F276E0" w:rsidRPr="004468C0" w:rsidRDefault="00F276E0" w:rsidP="00A81FBF">
            <w:pPr>
              <w:pStyle w:val="TableHead"/>
              <w:keepNext/>
            </w:pPr>
            <w:r w:rsidRPr="004468C0">
              <w:t>Evaluation intention</w:t>
            </w:r>
          </w:p>
        </w:tc>
        <w:tc>
          <w:tcPr>
            <w:tcW w:w="4962" w:type="dxa"/>
            <w:shd w:val="clear" w:color="auto" w:fill="FF99CC"/>
            <w:vAlign w:val="center"/>
          </w:tcPr>
          <w:p w:rsidR="00F276E0" w:rsidRPr="004468C0" w:rsidRDefault="00F276E0" w:rsidP="00A81FBF">
            <w:pPr>
              <w:pStyle w:val="TableHead"/>
              <w:keepNext/>
            </w:pPr>
            <w:r w:rsidRPr="004468C0">
              <w:t>Evaluation criteria</w:t>
            </w:r>
          </w:p>
        </w:tc>
        <w:tc>
          <w:tcPr>
            <w:tcW w:w="1086" w:type="dxa"/>
            <w:shd w:val="clear" w:color="auto" w:fill="FF99CC"/>
            <w:vAlign w:val="center"/>
          </w:tcPr>
          <w:p w:rsidR="00F276E0" w:rsidRPr="00A24900" w:rsidRDefault="00F276E0" w:rsidP="00A81FBF">
            <w:pPr>
              <w:pStyle w:val="TableHead"/>
              <w:keepNext/>
              <w:jc w:val="center"/>
            </w:pPr>
            <w:r>
              <w:t>Weight</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Overview</w:t>
            </w:r>
            <w:r>
              <w:br/>
            </w:r>
            <w:r w:rsidRPr="004D5866">
              <w:t>Tenderers must provide a concise summary highlighting the key aspects of the proposal.</w:t>
            </w:r>
          </w:p>
        </w:tc>
        <w:tc>
          <w:tcPr>
            <w:tcW w:w="3623" w:type="dxa"/>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vAlign w:val="center"/>
          </w:tcPr>
          <w:p w:rsidR="00F276E0" w:rsidRPr="004468C0" w:rsidRDefault="00F276E0" w:rsidP="00A81FBF">
            <w:pPr>
              <w:pStyle w:val="Table"/>
            </w:pPr>
            <w:r w:rsidRPr="004468C0">
              <w:t>N/a</w:t>
            </w:r>
          </w:p>
        </w:tc>
        <w:tc>
          <w:tcPr>
            <w:tcW w:w="1086" w:type="dxa"/>
            <w:vAlign w:val="center"/>
          </w:tcPr>
          <w:p w:rsidR="00F276E0" w:rsidRPr="004468C0" w:rsidRDefault="00F276E0" w:rsidP="00A81FBF">
            <w:pPr>
              <w:pStyle w:val="Table"/>
              <w:jc w:val="center"/>
            </w:pPr>
            <w:r w:rsidRPr="004468C0">
              <w:t>N/a</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Leadership</w:t>
            </w:r>
            <w:r>
              <w:rPr>
                <w:b/>
                <w:bCs w:val="0"/>
              </w:rPr>
              <w:br/>
            </w:r>
            <w:r>
              <w:t>Provide details of the qualifications and experience of the individual whose responsibility will be to ensure that the requirement is delivered.</w:t>
            </w:r>
          </w:p>
        </w:tc>
        <w:tc>
          <w:tcPr>
            <w:tcW w:w="3623" w:type="dxa"/>
            <w:vAlign w:val="center"/>
          </w:tcPr>
          <w:p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62" w:type="dxa"/>
            <w:vAlign w:val="center"/>
          </w:tcPr>
          <w:p w:rsidR="00F276E0" w:rsidRPr="004468C0" w:rsidRDefault="00F276E0" w:rsidP="00A81FBF">
            <w:pPr>
              <w:pStyle w:val="Table"/>
            </w:pPr>
            <w:r w:rsidRPr="00CB053B">
              <w:t>Tenderer leadership arrangements are sufficient and suitable to ensure successful delivery</w:t>
            </w:r>
          </w:p>
        </w:tc>
        <w:tc>
          <w:tcPr>
            <w:tcW w:w="1086" w:type="dxa"/>
            <w:vAlign w:val="center"/>
          </w:tcPr>
          <w:p w:rsidR="00F276E0" w:rsidRPr="004468C0" w:rsidRDefault="00F276E0" w:rsidP="00CA05F0">
            <w:pPr>
              <w:pStyle w:val="Table"/>
              <w:jc w:val="center"/>
            </w:pPr>
            <w:r>
              <w:t>1</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Method statement</w:t>
            </w:r>
            <w:r>
              <w:br/>
            </w:r>
            <w:r w:rsidRPr="004D5866">
              <w:t>Describe (with specific reference to the elements of the requirements and the outcomes expected) how it is intended to deliver the requirements of the specification.</w:t>
            </w:r>
          </w:p>
        </w:tc>
        <w:tc>
          <w:tcPr>
            <w:tcW w:w="3623" w:type="dxa"/>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vAlign w:val="center"/>
          </w:tcPr>
          <w:p w:rsidR="00F276E0" w:rsidRPr="0012747E" w:rsidRDefault="00F276E0" w:rsidP="00A81FBF">
            <w:pPr>
              <w:pStyle w:val="Table"/>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vAlign w:val="center"/>
          </w:tcPr>
          <w:p w:rsidR="00F276E0" w:rsidRPr="004468C0" w:rsidRDefault="00CA05F0" w:rsidP="00CA05F0">
            <w:pPr>
              <w:pStyle w:val="Table"/>
              <w:jc w:val="center"/>
            </w:pPr>
            <w:r>
              <w:t>35</w:t>
            </w:r>
            <w:r w:rsidR="00F276E0">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vAlign w:val="center"/>
          </w:tcPr>
          <w:p w:rsidR="00F276E0" w:rsidRPr="00CB053B" w:rsidRDefault="00F276E0" w:rsidP="00A81FBF">
            <w:pPr>
              <w:pStyle w:val="Table"/>
            </w:pPr>
            <w:r w:rsidRPr="00CB053B">
              <w:t>Seeks to establish that the Tenderer has the level and quality of resources to deliver scope of service delivery requirements</w:t>
            </w:r>
          </w:p>
        </w:tc>
        <w:tc>
          <w:tcPr>
            <w:tcW w:w="4962" w:type="dxa"/>
            <w:vAlign w:val="center"/>
          </w:tcPr>
          <w:p w:rsidR="00F276E0" w:rsidRPr="00CB053B" w:rsidRDefault="00F276E0" w:rsidP="00A81FBF">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vAlign w:val="center"/>
          </w:tcPr>
          <w:p w:rsidR="00F276E0" w:rsidRPr="004468C0" w:rsidRDefault="00F276E0" w:rsidP="00CA05F0">
            <w:pPr>
              <w:pStyle w:val="Table"/>
              <w:jc w:val="center"/>
            </w:pPr>
            <w:r>
              <w:t>2</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Exit Strategy &amp; Skills Transfer</w:t>
            </w:r>
            <w:r>
              <w:br/>
              <w:t>Describe the processes and deliverables of the exit phase of the service and how skills will be retained within the Authority.</w:t>
            </w:r>
          </w:p>
        </w:tc>
        <w:tc>
          <w:tcPr>
            <w:tcW w:w="3623" w:type="dxa"/>
            <w:vAlign w:val="center"/>
          </w:tcPr>
          <w:p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62" w:type="dxa"/>
            <w:vAlign w:val="center"/>
          </w:tcPr>
          <w:p w:rsidR="00F276E0" w:rsidRDefault="00F276E0" w:rsidP="00A81FBF">
            <w:pPr>
              <w:pStyle w:val="Table"/>
            </w:pPr>
            <w:r>
              <w:t>The Tenderer knowledge transfer arrangements and exit strategy is credible and can achieve the required outputs</w:t>
            </w:r>
          </w:p>
        </w:tc>
        <w:tc>
          <w:tcPr>
            <w:tcW w:w="1086" w:type="dxa"/>
            <w:vAlign w:val="center"/>
          </w:tcPr>
          <w:p w:rsidR="00F276E0" w:rsidRPr="004468C0" w:rsidRDefault="00CA05F0" w:rsidP="00CA05F0">
            <w:pPr>
              <w:pStyle w:val="Table"/>
              <w:jc w:val="center"/>
            </w:pPr>
            <w:r>
              <w:t>5</w:t>
            </w:r>
            <w:r w:rsidR="00F276E0">
              <w:t>%</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F12E22">
        <w:rPr>
          <w:noProof/>
        </w:rPr>
        <w:t>3</w:t>
      </w:r>
      <w:r w:rsidRPr="00DF2091">
        <w:fldChar w:fldCharType="end"/>
      </w:r>
      <w:bookmarkEnd w:id="20"/>
      <w:r w:rsidR="008E3138" w:rsidRPr="00DF2091">
        <w:t xml:space="preserve"> : </w:t>
      </w:r>
      <w:r w:rsidR="008E3138" w:rsidRPr="004A173F">
        <w:rPr>
          <w:b w:val="0"/>
          <w:bCs w:val="0"/>
        </w:rPr>
        <w:t>Scoring Scheme</w:t>
      </w:r>
    </w:p>
    <w:tbl>
      <w:tblPr>
        <w:tblStyle w:val="TableGrid"/>
        <w:tblW w:w="0" w:type="auto"/>
        <w:tblInd w:w="1368" w:type="dxa"/>
        <w:tblLook w:val="01E0" w:firstRow="1" w:lastRow="1" w:firstColumn="1" w:lastColumn="1" w:noHBand="0" w:noVBand="0"/>
      </w:tblPr>
      <w:tblGrid>
        <w:gridCol w:w="1570"/>
        <w:gridCol w:w="1162"/>
        <w:gridCol w:w="4939"/>
      </w:tblGrid>
      <w:tr w:rsidR="00F276E0" w:rsidRPr="00A24900">
        <w:trPr>
          <w:cantSplit/>
          <w:trHeight w:val="70"/>
          <w:tblHeader/>
        </w:trPr>
        <w:tc>
          <w:tcPr>
            <w:tcW w:w="1570" w:type="dxa"/>
            <w:shd w:val="clear" w:color="auto" w:fill="FF99CC"/>
            <w:vAlign w:val="center"/>
          </w:tcPr>
          <w:p w:rsidR="00F276E0" w:rsidRPr="00A24900" w:rsidRDefault="00F276E0" w:rsidP="00A81FBF">
            <w:pPr>
              <w:pStyle w:val="TableHead"/>
              <w:keepNext/>
            </w:pPr>
            <w:r>
              <w:t>Grade label</w:t>
            </w:r>
          </w:p>
        </w:tc>
        <w:tc>
          <w:tcPr>
            <w:tcW w:w="1162" w:type="dxa"/>
            <w:shd w:val="clear" w:color="auto" w:fill="FF99CC"/>
            <w:vAlign w:val="center"/>
          </w:tcPr>
          <w:p w:rsidR="00F276E0" w:rsidRPr="00A24900" w:rsidRDefault="00F276E0" w:rsidP="00A81FBF">
            <w:pPr>
              <w:pStyle w:val="TableHead"/>
              <w:keepNext/>
            </w:pPr>
            <w:r w:rsidRPr="00A24900">
              <w:t>Grade</w:t>
            </w:r>
          </w:p>
        </w:tc>
        <w:tc>
          <w:tcPr>
            <w:tcW w:w="4939" w:type="dxa"/>
            <w:shd w:val="clear" w:color="auto" w:fill="FF99CC"/>
            <w:vAlign w:val="center"/>
          </w:tcPr>
          <w:p w:rsidR="00F276E0" w:rsidRPr="00A24900" w:rsidRDefault="00F276E0" w:rsidP="00A81FBF">
            <w:pPr>
              <w:pStyle w:val="TableHead"/>
              <w:keepNext/>
            </w:pPr>
            <w:r w:rsidRPr="00A24900">
              <w:t>Definition of grade</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Unacceptable</w:t>
            </w:r>
          </w:p>
        </w:tc>
        <w:tc>
          <w:tcPr>
            <w:tcW w:w="1162" w:type="dxa"/>
            <w:vAlign w:val="center"/>
          </w:tcPr>
          <w:p w:rsidR="00F276E0" w:rsidRPr="00A24900" w:rsidRDefault="00F276E0" w:rsidP="00A81FBF">
            <w:pPr>
              <w:pStyle w:val="Table"/>
              <w:keepNext/>
              <w:jc w:val="center"/>
            </w:pPr>
            <w:r w:rsidRPr="00A24900">
              <w:t>0</w:t>
            </w:r>
          </w:p>
        </w:tc>
        <w:tc>
          <w:tcPr>
            <w:tcW w:w="4939" w:type="dxa"/>
            <w:vAlign w:val="center"/>
          </w:tcPr>
          <w:p w:rsidR="00F276E0" w:rsidRPr="00A24900" w:rsidRDefault="00F276E0" w:rsidP="00A81FBF">
            <w:pPr>
              <w:pStyle w:val="Table"/>
              <w:keepNext/>
            </w:pPr>
            <w:r w:rsidRPr="00A24900">
              <w:t>The response has been omitted, or the Tenderer proposal evidences inadequate (or insufficient) delivery of the requirement</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Weak</w:t>
            </w:r>
          </w:p>
        </w:tc>
        <w:tc>
          <w:tcPr>
            <w:tcW w:w="1162" w:type="dxa"/>
            <w:vAlign w:val="center"/>
          </w:tcPr>
          <w:p w:rsidR="00F276E0" w:rsidRPr="00A24900" w:rsidRDefault="00F276E0" w:rsidP="00A81FBF">
            <w:pPr>
              <w:pStyle w:val="Table"/>
              <w:keepNext/>
              <w:jc w:val="center"/>
            </w:pPr>
            <w:r w:rsidRPr="00A24900">
              <w:t>1</w:t>
            </w:r>
          </w:p>
        </w:tc>
        <w:tc>
          <w:tcPr>
            <w:tcW w:w="4939" w:type="dxa"/>
            <w:vAlign w:val="center"/>
          </w:tcPr>
          <w:p w:rsidR="00F276E0" w:rsidRPr="00A24900" w:rsidRDefault="00F276E0" w:rsidP="00A81FBF">
            <w:pPr>
              <w:pStyle w:val="Table"/>
              <w:keepNext/>
            </w:pPr>
            <w:r w:rsidRPr="00A24900">
              <w:t>The Tenderer proposal has merit, although there is weakness (or inconsistency) as to the full satisfaction of the delivery requirement</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Satisfactory</w:t>
            </w:r>
          </w:p>
        </w:tc>
        <w:tc>
          <w:tcPr>
            <w:tcW w:w="1162" w:type="dxa"/>
            <w:vAlign w:val="center"/>
          </w:tcPr>
          <w:p w:rsidR="00F276E0" w:rsidRPr="00A24900" w:rsidRDefault="00F276E0" w:rsidP="00A81FBF">
            <w:pPr>
              <w:pStyle w:val="Table"/>
              <w:keepNext/>
              <w:jc w:val="center"/>
            </w:pPr>
            <w:r w:rsidRPr="00A24900">
              <w:t>2</w:t>
            </w:r>
          </w:p>
        </w:tc>
        <w:tc>
          <w:tcPr>
            <w:tcW w:w="4939" w:type="dxa"/>
            <w:vAlign w:val="center"/>
          </w:tcPr>
          <w:p w:rsidR="00F276E0" w:rsidRPr="00A24900" w:rsidRDefault="00F276E0" w:rsidP="00A81FBF">
            <w:pPr>
              <w:pStyle w:val="Table"/>
              <w:keepNext/>
            </w:pPr>
            <w:r w:rsidRPr="00A24900">
              <w:t>The Tenderer proposal has a suitable level of detail to assure that a satisfactory delivery of the service requirement is likely.</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Good</w:t>
            </w:r>
          </w:p>
        </w:tc>
        <w:tc>
          <w:tcPr>
            <w:tcW w:w="1162" w:type="dxa"/>
            <w:vAlign w:val="center"/>
          </w:tcPr>
          <w:p w:rsidR="00F276E0" w:rsidRPr="00A24900" w:rsidRDefault="00F276E0" w:rsidP="00A81FBF">
            <w:pPr>
              <w:pStyle w:val="Table"/>
              <w:keepNext/>
              <w:jc w:val="center"/>
            </w:pPr>
            <w:r w:rsidRPr="00A24900">
              <w:t>3</w:t>
            </w:r>
          </w:p>
        </w:tc>
        <w:tc>
          <w:tcPr>
            <w:tcW w:w="4939" w:type="dxa"/>
            <w:vAlign w:val="center"/>
          </w:tcPr>
          <w:p w:rsidR="00F276E0" w:rsidRPr="00A24900" w:rsidRDefault="00F276E0" w:rsidP="00A81FBF">
            <w:pPr>
              <w:pStyle w:val="Table"/>
              <w:keepNext/>
            </w:pPr>
            <w:r w:rsidRPr="00A24900">
              <w:t xml:space="preserve">The Tenderer proposal has evidenced a level of understanding that assures there will be desirable value-add within the solution </w:t>
            </w:r>
            <w:r w:rsidRPr="00A24900">
              <w:rPr>
                <w:b/>
                <w:bCs w:val="0"/>
              </w:rPr>
              <w:t>or</w:t>
            </w:r>
            <w:r w:rsidRPr="00A24900">
              <w:t xml:space="preserve"> superior and desirable (time or quality) delivery outcomes.</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Excellent</w:t>
            </w:r>
          </w:p>
        </w:tc>
        <w:tc>
          <w:tcPr>
            <w:tcW w:w="1162" w:type="dxa"/>
            <w:vAlign w:val="center"/>
          </w:tcPr>
          <w:p w:rsidR="00F276E0" w:rsidRPr="00A24900" w:rsidRDefault="00F276E0" w:rsidP="00A81FBF">
            <w:pPr>
              <w:pStyle w:val="Table"/>
              <w:keepNext/>
              <w:jc w:val="center"/>
            </w:pPr>
            <w:r w:rsidRPr="00A24900">
              <w:t>4</w:t>
            </w:r>
          </w:p>
        </w:tc>
        <w:tc>
          <w:tcPr>
            <w:tcW w:w="4939" w:type="dxa"/>
            <w:vAlign w:val="center"/>
          </w:tcPr>
          <w:p w:rsidR="00F276E0" w:rsidRPr="00A24900" w:rsidRDefault="00F276E0" w:rsidP="00A81FBF">
            <w:pPr>
              <w:pStyle w:val="Table"/>
              <w:keepNext/>
            </w:pPr>
            <w:r w:rsidRPr="00A24900">
              <w:t xml:space="preserve">The Tenderer proposal evidences significant levels of understanding </w:t>
            </w:r>
            <w:r w:rsidRPr="00A24900">
              <w:rPr>
                <w:b/>
                <w:bCs w:val="0"/>
              </w:rPr>
              <w:t>and</w:t>
            </w:r>
            <w:r w:rsidRPr="00A24900">
              <w:t xml:space="preserve"> offers an </w:t>
            </w:r>
            <w:r w:rsidRPr="00A24900">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920464" w:rsidRPr="00033DDB" w:rsidRDefault="00920464" w:rsidP="00033DDB">
      <w:pPr>
        <w:pStyle w:val="StyleBulletedBlue"/>
        <w:rPr>
          <w:b w:val="0"/>
        </w:rPr>
      </w:pPr>
      <w:r w:rsidRPr="00033DDB">
        <w:rPr>
          <w:b w:val="0"/>
        </w:rPr>
        <w:t>Whole of life cost</w:t>
      </w:r>
    </w:p>
    <w:p w:rsidR="00804C80" w:rsidRPr="00033DDB" w:rsidRDefault="00804C80" w:rsidP="00033DDB">
      <w:pPr>
        <w:pStyle w:val="StyleBulletedBlue"/>
        <w:rPr>
          <w:b w:val="0"/>
        </w:rPr>
      </w:pPr>
      <w:r w:rsidRPr="00033DDB">
        <w:rPr>
          <w:b w:val="0"/>
        </w:rPr>
        <w:t>Fixed</w:t>
      </w:r>
      <w:r w:rsidR="0076692D" w:rsidRPr="00033DDB">
        <w:rPr>
          <w:b w:val="0"/>
        </w:rPr>
        <w:t xml:space="preserve"> </w:t>
      </w:r>
      <w:r w:rsidRPr="00033DDB">
        <w:rPr>
          <w:b w:val="0"/>
        </w:rPr>
        <w:t>/</w:t>
      </w:r>
      <w:r w:rsidR="0076692D" w:rsidRPr="00033DDB">
        <w:rPr>
          <w:b w:val="0"/>
        </w:rPr>
        <w:t xml:space="preserve"> </w:t>
      </w:r>
      <w:r w:rsidRPr="00033DDB">
        <w:rPr>
          <w:b w:val="0"/>
        </w:rPr>
        <w:t>Firm cost</w:t>
      </w:r>
    </w:p>
    <w:p w:rsidR="00C93204" w:rsidRDefault="00C93204" w:rsidP="00C93204">
      <w:pPr>
        <w:pStyle w:val="Indented"/>
      </w:pPr>
    </w:p>
    <w:p w:rsidR="00C93204" w:rsidRDefault="00C93204" w:rsidP="004A173F">
      <w:pPr>
        <w:pStyle w:val="SIXH2"/>
      </w:pPr>
      <w:r>
        <w:t>Once the EP is calculated, the following steps are taken:</w:t>
      </w:r>
    </w:p>
    <w:p w:rsidR="00C93204" w:rsidRPr="00033DDB" w:rsidRDefault="00C93204" w:rsidP="00033DDB">
      <w:pPr>
        <w:pStyle w:val="StyleBulletedBlue"/>
        <w:numPr>
          <w:ilvl w:val="0"/>
          <w:numId w:val="51"/>
        </w:numPr>
        <w:rPr>
          <w:b w:val="0"/>
        </w:rPr>
      </w:pPr>
      <w:r w:rsidRPr="00033DDB">
        <w:rPr>
          <w:b w:val="0"/>
        </w:rPr>
        <w:t xml:space="preserve">The average (i.e. the mean) EP across the Tenderers that have achieved the required technical/quality </w:t>
      </w:r>
      <w:r w:rsidR="00920464" w:rsidRPr="00033DDB">
        <w:rPr>
          <w:b w:val="0"/>
        </w:rPr>
        <w:t>threshold</w:t>
      </w:r>
      <w:r w:rsidRPr="00033DDB">
        <w:rPr>
          <w:b w:val="0"/>
        </w:rPr>
        <w:t xml:space="preserve"> is calculated;</w:t>
      </w:r>
    </w:p>
    <w:p w:rsidR="00C93204" w:rsidRPr="00033DDB" w:rsidRDefault="00C93204" w:rsidP="00033DDB">
      <w:pPr>
        <w:pStyle w:val="StyleBulletedBlue"/>
        <w:numPr>
          <w:ilvl w:val="0"/>
          <w:numId w:val="51"/>
        </w:numPr>
        <w:rPr>
          <w:b w:val="0"/>
        </w:rPr>
      </w:pPr>
      <w:r w:rsidRPr="00033DDB">
        <w:rPr>
          <w:b w:val="0"/>
        </w:rPr>
        <w:t xml:space="preserve">The percentage difference between the Tenderer EP and the </w:t>
      </w:r>
      <w:r w:rsidR="00920464" w:rsidRPr="00033DDB">
        <w:rPr>
          <w:b w:val="0"/>
        </w:rPr>
        <w:t>average</w:t>
      </w:r>
      <w:r w:rsidRPr="00033DDB">
        <w:rPr>
          <w:b w:val="0"/>
        </w:rPr>
        <w:t xml:space="preserve"> EP is calculated;</w:t>
      </w:r>
    </w:p>
    <w:p w:rsidR="00C93204" w:rsidRPr="00033DDB" w:rsidRDefault="00C93204" w:rsidP="00033DDB">
      <w:pPr>
        <w:pStyle w:val="StyleBulletedBlue"/>
        <w:numPr>
          <w:ilvl w:val="0"/>
          <w:numId w:val="51"/>
        </w:numPr>
        <w:rPr>
          <w:b w:val="0"/>
        </w:rPr>
      </w:pPr>
      <w:r w:rsidRPr="00033DDB">
        <w:rPr>
          <w:b w:val="0"/>
        </w:rPr>
        <w:t xml:space="preserve">The </w:t>
      </w:r>
      <w:r w:rsidR="002F462F" w:rsidRPr="00033DDB">
        <w:rPr>
          <w:b w:val="0"/>
        </w:rPr>
        <w:t>average</w:t>
      </w:r>
      <w:r w:rsidRPr="00033DDB">
        <w:rPr>
          <w:b w:val="0"/>
        </w:rPr>
        <w:t xml:space="preserve"> EP is assigned an equivalent value of 50-points as a starting point for each Tenderer;</w:t>
      </w:r>
    </w:p>
    <w:p w:rsidR="00C93204" w:rsidRPr="00033DDB" w:rsidRDefault="00C93204" w:rsidP="00033DDB">
      <w:pPr>
        <w:pStyle w:val="StyleBulletedBlue"/>
        <w:numPr>
          <w:ilvl w:val="0"/>
          <w:numId w:val="51"/>
        </w:numPr>
        <w:rPr>
          <w:b w:val="0"/>
        </w:rPr>
      </w:pPr>
      <w:r w:rsidRPr="00033DDB">
        <w:rPr>
          <w:b w:val="0"/>
        </w:rPr>
        <w:t>One point is deducted for each percentage point that a Tenderer’s EP is above the average EP; or</w:t>
      </w:r>
    </w:p>
    <w:p w:rsidR="00C93204" w:rsidRPr="00033DDB" w:rsidRDefault="00C93204" w:rsidP="00033DDB">
      <w:pPr>
        <w:pStyle w:val="StyleBulletedBlue"/>
        <w:numPr>
          <w:ilvl w:val="0"/>
          <w:numId w:val="51"/>
        </w:numPr>
        <w:rPr>
          <w:b w:val="0"/>
        </w:rPr>
      </w:pPr>
      <w:r w:rsidRPr="00033DDB">
        <w:rPr>
          <w:b w:val="0"/>
        </w:rPr>
        <w:t>One point is added for each percentage point that a Tenderer’s EP is below the average EP.</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lastRenderedPageBreak/>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F12E22" w:rsidRPr="00DF2091">
        <w:t xml:space="preserve">Table </w:t>
      </w:r>
      <w:r w:rsidR="00F12E22">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323704" w:rsidRPr="007E7B9C" w:rsidRDefault="00C13A27" w:rsidP="00003B95">
      <w:pPr>
        <w:pStyle w:val="SIXH1"/>
      </w:pPr>
      <w:bookmarkStart w:id="21" w:name="_Ref358883600"/>
      <w:bookmarkStart w:id="22" w:name="Section3_clause6"/>
      <w:r w:rsidRPr="00925860">
        <w:t>Tenderer Clarification Meeting</w:t>
      </w:r>
      <w:bookmarkEnd w:id="21"/>
      <w:bookmarkEnd w:id="22"/>
    </w:p>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dates for accommodating potential Tenderer Clarification Meetings:</w:t>
      </w:r>
    </w:p>
    <w:p w:rsidR="00C13A27" w:rsidRPr="00033DDB" w:rsidRDefault="00003B95" w:rsidP="00033DDB">
      <w:pPr>
        <w:pStyle w:val="StyleBulletedBlue"/>
      </w:pPr>
      <w:r w:rsidRPr="00033DDB">
        <w:t>w/c 12</w:t>
      </w:r>
      <w:r w:rsidRPr="00033DDB">
        <w:rPr>
          <w:vertAlign w:val="superscript"/>
        </w:rPr>
        <w:t>th</w:t>
      </w:r>
      <w:r w:rsidRPr="00033DDB">
        <w:t xml:space="preserve"> or 19</w:t>
      </w:r>
      <w:r w:rsidRPr="00033DDB">
        <w:rPr>
          <w:vertAlign w:val="superscript"/>
        </w:rPr>
        <w:t>th</w:t>
      </w:r>
      <w:r w:rsidRPr="00033DDB">
        <w:t xml:space="preserve"> September 2015</w:t>
      </w:r>
    </w:p>
    <w:p w:rsidR="00C93204" w:rsidRPr="00D4581F" w:rsidRDefault="00C93204" w:rsidP="004A173F">
      <w:pPr>
        <w:pStyle w:val="Indented"/>
      </w:pP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516803" w:rsidP="004A173F">
      <w:pPr>
        <w:pStyle w:val="SIXH2"/>
      </w:pPr>
      <w:r>
        <w:t>The technical evalu</w:t>
      </w:r>
      <w:r w:rsidR="00003B95">
        <w:t xml:space="preserve">ation forms </w:t>
      </w:r>
      <w:r w:rsidRPr="00003B95">
        <w:t>70%,</w:t>
      </w:r>
      <w:r>
        <w:t xml:space="preserve"> whilst the </w:t>
      </w:r>
      <w:r w:rsidR="00607B4D">
        <w:t>p</w:t>
      </w:r>
      <w:r>
        <w:t xml:space="preserve">rice </w:t>
      </w:r>
      <w:r w:rsidR="00607B4D">
        <w:t>e</w:t>
      </w:r>
      <w:r w:rsidR="00003B95">
        <w:t xml:space="preserve">valuation forms </w:t>
      </w:r>
      <w:r w:rsidRPr="00003B95">
        <w:t>30%</w:t>
      </w:r>
      <w:r>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F12E22">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4976FD" w:rsidRPr="00A24900" w:rsidTr="005E6657">
        <w:trPr>
          <w:cantSplit/>
          <w:trHeight w:val="70"/>
          <w:tblHeader/>
          <w:jc w:val="center"/>
        </w:trPr>
        <w:tc>
          <w:tcPr>
            <w:tcW w:w="3783" w:type="dxa"/>
            <w:shd w:val="clear" w:color="auto" w:fill="FF99CC"/>
            <w:vAlign w:val="center"/>
          </w:tcPr>
          <w:p w:rsidR="004976FD" w:rsidRPr="00A24900" w:rsidRDefault="004976FD" w:rsidP="004976FD">
            <w:pPr>
              <w:pStyle w:val="TableHead"/>
              <w:keepNext/>
            </w:pPr>
            <w:r>
              <w:t>Evaluation Area</w:t>
            </w:r>
          </w:p>
        </w:tc>
        <w:tc>
          <w:tcPr>
            <w:tcW w:w="2844" w:type="dxa"/>
            <w:shd w:val="clear" w:color="auto" w:fill="FF99CC"/>
            <w:vAlign w:val="center"/>
          </w:tcPr>
          <w:p w:rsidR="004976FD" w:rsidRPr="00A24900" w:rsidRDefault="004976FD" w:rsidP="004976FD">
            <w:pPr>
              <w:pStyle w:val="TableHead"/>
              <w:keepNext/>
            </w:pPr>
            <w:r>
              <w:t>Calculation</w:t>
            </w:r>
          </w:p>
        </w:tc>
      </w:tr>
      <w:tr w:rsidR="002C08FF" w:rsidTr="005E6657">
        <w:trPr>
          <w:jc w:val="center"/>
        </w:trPr>
        <w:tc>
          <w:tcPr>
            <w:tcW w:w="3783" w:type="dxa"/>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vAlign w:val="center"/>
          </w:tcPr>
          <w:p w:rsidR="002C08FF" w:rsidRPr="004A173F" w:rsidRDefault="00A97AEA" w:rsidP="004A173F">
            <w:pPr>
              <w:pStyle w:val="Table"/>
              <w:jc w:val="right"/>
              <w:rPr>
                <w:sz w:val="28"/>
              </w:rPr>
            </w:pPr>
            <w:r>
              <w:rPr>
                <w:sz w:val="28"/>
              </w:rPr>
              <w:t>6</w:t>
            </w:r>
            <w:r w:rsidR="002C08FF" w:rsidRPr="004A173F">
              <w:rPr>
                <w:sz w:val="28"/>
              </w:rPr>
              <w:t>0</w:t>
            </w:r>
            <w:r w:rsidR="002C08FF">
              <w:rPr>
                <w:sz w:val="28"/>
              </w:rPr>
              <w:t xml:space="preserve"> </w:t>
            </w:r>
            <w:r w:rsidR="002C08FF" w:rsidRPr="006A2812">
              <w:rPr>
                <w:sz w:val="28"/>
              </w:rPr>
              <w:t>x</w:t>
            </w:r>
            <w:r w:rsidR="002C08FF">
              <w:rPr>
                <w:sz w:val="28"/>
              </w:rPr>
              <w:t xml:space="preserve"> </w:t>
            </w:r>
            <w:r w:rsidR="002C08FF" w:rsidRPr="00334404">
              <w:rPr>
                <w:sz w:val="28"/>
              </w:rPr>
              <w:t>70</w:t>
            </w:r>
            <w:r>
              <w:rPr>
                <w:sz w:val="28"/>
              </w:rPr>
              <w:t>%</w:t>
            </w:r>
            <w:r w:rsidR="002C08FF">
              <w:rPr>
                <w:sz w:val="28"/>
              </w:rPr>
              <w:t xml:space="preserve"> = </w:t>
            </w:r>
            <w:r>
              <w:rPr>
                <w:sz w:val="28"/>
              </w:rPr>
              <w:t>42</w:t>
            </w:r>
          </w:p>
        </w:tc>
      </w:tr>
      <w:tr w:rsidR="002C08FF" w:rsidTr="005E6657">
        <w:trPr>
          <w:jc w:val="center"/>
        </w:trPr>
        <w:tc>
          <w:tcPr>
            <w:tcW w:w="3783" w:type="dxa"/>
            <w:tcBorders>
              <w:bottom w:val="single" w:sz="4" w:space="0" w:color="auto"/>
            </w:tcBorders>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vAlign w:val="center"/>
          </w:tcPr>
          <w:p w:rsidR="002C08FF" w:rsidRPr="004A173F" w:rsidRDefault="002C08FF" w:rsidP="004A173F">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sidR="00A97AEA">
              <w:rPr>
                <w:sz w:val="28"/>
              </w:rPr>
              <w:t>%</w:t>
            </w:r>
            <w:r>
              <w:rPr>
                <w:sz w:val="28"/>
              </w:rPr>
              <w:t xml:space="preserve"> = 1</w:t>
            </w:r>
            <w:r w:rsidRPr="00B9799C">
              <w:rPr>
                <w:sz w:val="28"/>
              </w:rPr>
              <w:t>5</w:t>
            </w:r>
          </w:p>
        </w:tc>
      </w:tr>
      <w:tr w:rsidR="002C08FF" w:rsidTr="005E6657">
        <w:trPr>
          <w:jc w:val="center"/>
        </w:trPr>
        <w:tc>
          <w:tcPr>
            <w:tcW w:w="3783" w:type="dxa"/>
            <w:tcBorders>
              <w:right w:val="single" w:sz="4" w:space="0" w:color="auto"/>
            </w:tcBorders>
            <w:vAlign w:val="center"/>
          </w:tcPr>
          <w:p w:rsidR="002C08FF" w:rsidRPr="004A173F" w:rsidRDefault="0001734D" w:rsidP="004A173F">
            <w:pPr>
              <w:pStyle w:val="Table"/>
              <w:rPr>
                <w:sz w:val="22"/>
                <w:szCs w:val="22"/>
              </w:rPr>
            </w:pPr>
            <w:r>
              <w:rPr>
                <w:b/>
                <w:sz w:val="22"/>
                <w:szCs w:val="22"/>
              </w:rPr>
              <w:t xml:space="preserve">Consolidated </w:t>
            </w:r>
            <w:r w:rsidR="002C08FF" w:rsidRPr="004A173F">
              <w:rPr>
                <w:b/>
                <w:sz w:val="22"/>
                <w:szCs w:val="22"/>
              </w:rPr>
              <w:t>Score</w:t>
            </w:r>
          </w:p>
        </w:tc>
        <w:tc>
          <w:tcPr>
            <w:tcW w:w="2844" w:type="dxa"/>
            <w:tcBorders>
              <w:left w:val="single" w:sz="4" w:space="0" w:color="auto"/>
            </w:tcBorders>
          </w:tcPr>
          <w:p w:rsidR="002C08FF" w:rsidRPr="004A173F" w:rsidRDefault="00A97AEA" w:rsidP="004A173F">
            <w:pPr>
              <w:pStyle w:val="Table"/>
              <w:jc w:val="right"/>
              <w:rPr>
                <w:sz w:val="28"/>
              </w:rPr>
            </w:pPr>
            <w:r w:rsidRPr="004A173F">
              <w:rPr>
                <w:sz w:val="28"/>
              </w:rPr>
              <w:t xml:space="preserve">= </w:t>
            </w:r>
            <w:r>
              <w:rPr>
                <w:sz w:val="28"/>
              </w:rPr>
              <w:t>57</w:t>
            </w:r>
          </w:p>
        </w:tc>
      </w:tr>
    </w:tbl>
    <w:p w:rsidR="00AE2165" w:rsidRDefault="00AE2165" w:rsidP="00D4581F">
      <w:pPr>
        <w:pStyle w:val="Indented"/>
      </w:pPr>
    </w:p>
    <w:bookmarkEnd w:id="12"/>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22" w:rsidRDefault="00F12E22">
      <w:r>
        <w:separator/>
      </w:r>
    </w:p>
    <w:p w:rsidR="00F12E22" w:rsidRDefault="00F12E22"/>
  </w:endnote>
  <w:endnote w:type="continuationSeparator" w:id="0">
    <w:p w:rsidR="00F12E22" w:rsidRDefault="00F12E22">
      <w:r>
        <w:continuationSeparator/>
      </w:r>
    </w:p>
    <w:p w:rsidR="00F12E22" w:rsidRDefault="00F1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B25A5C" w:rsidP="0055446D">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Support Decision Making ITT Part A</w:t>
    </w:r>
    <w:r w:rsidR="0001734D" w:rsidRPr="0055446D">
      <w:rPr>
        <w:rFonts w:ascii="Arial Narrow" w:hAnsi="Arial Narrow"/>
        <w:color w:val="808080"/>
        <w:sz w:val="18"/>
        <w:szCs w:val="18"/>
      </w:rPr>
      <w:tab/>
    </w:r>
    <w:r w:rsidR="0001734D" w:rsidRPr="0055446D">
      <w:rPr>
        <w:rFonts w:ascii="Arial Narrow" w:hAnsi="Arial Narrow"/>
        <w:color w:val="808080"/>
        <w:sz w:val="18"/>
        <w:szCs w:val="18"/>
      </w:rPr>
      <w:tab/>
      <w:t xml:space="preserve">Page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PAGE </w:instrText>
    </w:r>
    <w:r w:rsidR="0001734D" w:rsidRPr="0055446D">
      <w:rPr>
        <w:rStyle w:val="PageNumber"/>
        <w:rFonts w:ascii="Arial Narrow" w:hAnsi="Arial Narrow"/>
        <w:color w:val="808080"/>
        <w:sz w:val="18"/>
        <w:szCs w:val="18"/>
      </w:rPr>
      <w:fldChar w:fldCharType="separate"/>
    </w:r>
    <w:r w:rsidR="00B7296A">
      <w:rPr>
        <w:rStyle w:val="PageNumber"/>
        <w:rFonts w:ascii="Arial Narrow" w:hAnsi="Arial Narrow"/>
        <w:noProof/>
        <w:color w:val="808080"/>
        <w:sz w:val="18"/>
        <w:szCs w:val="18"/>
      </w:rPr>
      <w:t>2</w:t>
    </w:r>
    <w:r w:rsidR="0001734D" w:rsidRPr="0055446D">
      <w:rPr>
        <w:rStyle w:val="PageNumber"/>
        <w:rFonts w:ascii="Arial Narrow" w:hAnsi="Arial Narrow"/>
        <w:color w:val="808080"/>
        <w:sz w:val="18"/>
        <w:szCs w:val="18"/>
      </w:rPr>
      <w:fldChar w:fldCharType="end"/>
    </w:r>
    <w:r w:rsidR="0001734D" w:rsidRPr="0055446D">
      <w:rPr>
        <w:rStyle w:val="PageNumber"/>
        <w:rFonts w:ascii="Arial Narrow" w:hAnsi="Arial Narrow"/>
        <w:color w:val="808080"/>
        <w:sz w:val="18"/>
        <w:szCs w:val="18"/>
      </w:rPr>
      <w:t xml:space="preserve"> of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NUMPAGES </w:instrText>
    </w:r>
    <w:r w:rsidR="0001734D" w:rsidRPr="0055446D">
      <w:rPr>
        <w:rStyle w:val="PageNumber"/>
        <w:rFonts w:ascii="Arial Narrow" w:hAnsi="Arial Narrow"/>
        <w:color w:val="808080"/>
        <w:sz w:val="18"/>
        <w:szCs w:val="18"/>
      </w:rPr>
      <w:fldChar w:fldCharType="separate"/>
    </w:r>
    <w:r w:rsidR="00B7296A">
      <w:rPr>
        <w:rStyle w:val="PageNumber"/>
        <w:rFonts w:ascii="Arial Narrow" w:hAnsi="Arial Narrow"/>
        <w:noProof/>
        <w:color w:val="808080"/>
        <w:sz w:val="18"/>
        <w:szCs w:val="18"/>
      </w:rPr>
      <w:t>14</w:t>
    </w:r>
    <w:r w:rsidR="0001734D"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F12E22">
      <w:rPr>
        <w:rStyle w:val="PageNumber"/>
        <w:noProof/>
        <w:sz w:val="18"/>
        <w:szCs w:val="18"/>
      </w:rPr>
      <w:t>3</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22" w:rsidRDefault="00F12E22">
      <w:r>
        <w:separator/>
      </w:r>
    </w:p>
    <w:p w:rsidR="00F12E22" w:rsidRDefault="00F12E22"/>
  </w:footnote>
  <w:footnote w:type="continuationSeparator" w:id="0">
    <w:p w:rsidR="00F12E22" w:rsidRDefault="00F12E22">
      <w:r>
        <w:continuationSeparator/>
      </w:r>
    </w:p>
    <w:p w:rsidR="00F12E22" w:rsidRDefault="00F12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rsidP="004A173F">
    <w:r>
      <w:rPr>
        <w:noProof/>
        <w:lang w:eastAsia="en-GB"/>
      </w:rPr>
      <w:drawing>
        <wp:inline distT="0" distB="0" distL="0" distR="0" wp14:anchorId="7D087BB2" wp14:editId="497E458A">
          <wp:extent cx="3467100" cy="2228850"/>
          <wp:effectExtent l="0" t="0" r="0" b="0"/>
          <wp:docPr id="3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011C01AE"/>
    <w:lvl w:ilvl="0" w:tplc="C782804C">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828A85F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3"/>
  </w:num>
  <w:num w:numId="3">
    <w:abstractNumId w:val="30"/>
  </w:num>
  <w:num w:numId="4">
    <w:abstractNumId w:val="17"/>
  </w:num>
  <w:num w:numId="5">
    <w:abstractNumId w:val="14"/>
  </w:num>
  <w:num w:numId="6">
    <w:abstractNumId w:val="26"/>
  </w:num>
  <w:num w:numId="7">
    <w:abstractNumId w:val="36"/>
  </w:num>
  <w:num w:numId="8">
    <w:abstractNumId w:val="18"/>
  </w:num>
  <w:num w:numId="9">
    <w:abstractNumId w:val="2"/>
  </w:num>
  <w:num w:numId="10">
    <w:abstractNumId w:val="44"/>
  </w:num>
  <w:num w:numId="11">
    <w:abstractNumId w:val="45"/>
  </w:num>
  <w:num w:numId="12">
    <w:abstractNumId w:val="40"/>
  </w:num>
  <w:num w:numId="13">
    <w:abstractNumId w:val="9"/>
  </w:num>
  <w:num w:numId="14">
    <w:abstractNumId w:val="29"/>
  </w:num>
  <w:num w:numId="15">
    <w:abstractNumId w:val="12"/>
  </w:num>
  <w:num w:numId="16">
    <w:abstractNumId w:val="22"/>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10"/>
  </w:num>
  <w:num w:numId="27">
    <w:abstractNumId w:val="23"/>
  </w:num>
  <w:num w:numId="28">
    <w:abstractNumId w:val="28"/>
  </w:num>
  <w:num w:numId="29">
    <w:abstractNumId w:val="25"/>
  </w:num>
  <w:num w:numId="30">
    <w:abstractNumId w:val="7"/>
  </w:num>
  <w:num w:numId="31">
    <w:abstractNumId w:val="3"/>
  </w:num>
  <w:num w:numId="32">
    <w:abstractNumId w:val="21"/>
  </w:num>
  <w:num w:numId="33">
    <w:abstractNumId w:val="37"/>
  </w:num>
  <w:num w:numId="34">
    <w:abstractNumId w:val="43"/>
  </w:num>
  <w:num w:numId="35">
    <w:abstractNumId w:val="24"/>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8"/>
  </w:num>
  <w:num w:numId="46">
    <w:abstractNumId w:val="28"/>
  </w:num>
  <w:num w:numId="47">
    <w:abstractNumId w:val="0"/>
  </w:num>
  <w:num w:numId="48">
    <w:abstractNumId w:val="9"/>
  </w:num>
  <w:num w:numId="49">
    <w:abstractNumId w:val="11"/>
  </w:num>
  <w:num w:numId="50">
    <w:abstractNumId w:val="9"/>
  </w:num>
  <w:num w:numId="51">
    <w:abstractNumId w:val="42"/>
  </w:num>
  <w:num w:numId="52">
    <w:abstractNumId w:val="41"/>
  </w:num>
  <w:num w:numId="53">
    <w:abstractNumId w:val="6"/>
  </w:num>
  <w:num w:numId="54">
    <w:abstractNumId w:val="13"/>
  </w:num>
  <w:num w:numId="55">
    <w:abstractNumId w:val="19"/>
  </w:num>
  <w:num w:numId="56">
    <w:abstractNumId w:val="20"/>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22"/>
    <w:rsid w:val="00000A06"/>
    <w:rsid w:val="00003211"/>
    <w:rsid w:val="00003B95"/>
    <w:rsid w:val="000116F4"/>
    <w:rsid w:val="00012A74"/>
    <w:rsid w:val="0001328F"/>
    <w:rsid w:val="00015085"/>
    <w:rsid w:val="0001734D"/>
    <w:rsid w:val="00026C87"/>
    <w:rsid w:val="0003231B"/>
    <w:rsid w:val="00033DD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5212"/>
    <w:rsid w:val="001D5F92"/>
    <w:rsid w:val="001D7058"/>
    <w:rsid w:val="001E14F1"/>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2D99"/>
    <w:rsid w:val="0056347F"/>
    <w:rsid w:val="00563A91"/>
    <w:rsid w:val="00583608"/>
    <w:rsid w:val="0058534B"/>
    <w:rsid w:val="00585F39"/>
    <w:rsid w:val="00590B21"/>
    <w:rsid w:val="00595FD8"/>
    <w:rsid w:val="005A03ED"/>
    <w:rsid w:val="005A104E"/>
    <w:rsid w:val="005A4059"/>
    <w:rsid w:val="005A4D2A"/>
    <w:rsid w:val="005A56DC"/>
    <w:rsid w:val="005A60DC"/>
    <w:rsid w:val="005A766D"/>
    <w:rsid w:val="005B1AD8"/>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628"/>
    <w:rsid w:val="0070466F"/>
    <w:rsid w:val="0072269A"/>
    <w:rsid w:val="0072277C"/>
    <w:rsid w:val="007245CF"/>
    <w:rsid w:val="00724C39"/>
    <w:rsid w:val="0072776B"/>
    <w:rsid w:val="007308F7"/>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5A5C"/>
    <w:rsid w:val="00B26D71"/>
    <w:rsid w:val="00B315C8"/>
    <w:rsid w:val="00B362D5"/>
    <w:rsid w:val="00B43C82"/>
    <w:rsid w:val="00B4420A"/>
    <w:rsid w:val="00B46034"/>
    <w:rsid w:val="00B512AB"/>
    <w:rsid w:val="00B55605"/>
    <w:rsid w:val="00B55848"/>
    <w:rsid w:val="00B56655"/>
    <w:rsid w:val="00B60220"/>
    <w:rsid w:val="00B60338"/>
    <w:rsid w:val="00B60E8B"/>
    <w:rsid w:val="00B65CF3"/>
    <w:rsid w:val="00B66264"/>
    <w:rsid w:val="00B66DF9"/>
    <w:rsid w:val="00B7296A"/>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5073D"/>
    <w:rsid w:val="00C507CF"/>
    <w:rsid w:val="00C51FB7"/>
    <w:rsid w:val="00C5485A"/>
    <w:rsid w:val="00C54AB6"/>
    <w:rsid w:val="00C56045"/>
    <w:rsid w:val="00C57F77"/>
    <w:rsid w:val="00C6039A"/>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1BDB"/>
    <w:rsid w:val="00E066F8"/>
    <w:rsid w:val="00E10649"/>
    <w:rsid w:val="00E201F0"/>
    <w:rsid w:val="00E248D6"/>
    <w:rsid w:val="00E30B02"/>
    <w:rsid w:val="00E37BA3"/>
    <w:rsid w:val="00E37FD8"/>
    <w:rsid w:val="00E40E51"/>
    <w:rsid w:val="00E4425D"/>
    <w:rsid w:val="00E45340"/>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2E22"/>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B25A5C"/>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033DDB"/>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B25A5C"/>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033DDB"/>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FF2D-AB08-4230-B092-4C61066A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4052</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26264</CharactersWithSpaces>
  <SharedDoc>false</SharedDoc>
  <HLinks>
    <vt:vector size="60" baseType="variant">
      <vt:variant>
        <vt:i4>2228348</vt:i4>
      </vt:variant>
      <vt:variant>
        <vt:i4>82</vt:i4>
      </vt:variant>
      <vt:variant>
        <vt:i4>0</vt:i4>
      </vt:variant>
      <vt:variant>
        <vt:i4>5</vt:i4>
      </vt:variant>
      <vt:variant>
        <vt:lpwstr/>
      </vt:variant>
      <vt:variant>
        <vt:lpwstr>_Hlk342911880	1,30219,30226,4094,Indented,Table 4</vt:lpwstr>
      </vt:variant>
      <vt:variant>
        <vt:i4>1900616</vt:i4>
      </vt:variant>
      <vt:variant>
        <vt:i4>70</vt:i4>
      </vt:variant>
      <vt:variant>
        <vt:i4>0</vt:i4>
      </vt:variant>
      <vt:variant>
        <vt:i4>5</vt:i4>
      </vt:variant>
      <vt:variant>
        <vt:lpwstr/>
      </vt:variant>
      <vt:variant>
        <vt:lpwstr>OLE_LINK2	1,21997,22004,4094,Indented,Table 2</vt:lpwstr>
      </vt:variant>
      <vt:variant>
        <vt:i4>3080310</vt:i4>
      </vt:variant>
      <vt:variant>
        <vt:i4>64</vt:i4>
      </vt:variant>
      <vt:variant>
        <vt:i4>0</vt:i4>
      </vt:variant>
      <vt:variant>
        <vt:i4>5</vt:i4>
      </vt:variant>
      <vt:variant>
        <vt:lpwstr/>
      </vt:variant>
      <vt:variant>
        <vt:lpwstr>_Hlk342911563	1,24452,24459,4094,Indented,Table 3</vt:lpwstr>
      </vt:variant>
      <vt:variant>
        <vt:i4>2424878</vt:i4>
      </vt:variant>
      <vt:variant>
        <vt:i4>55</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52</vt:i4>
      </vt:variant>
      <vt:variant>
        <vt:i4>0</vt:i4>
      </vt:variant>
      <vt:variant>
        <vt:i4>5</vt:i4>
      </vt:variant>
      <vt:variant>
        <vt:lpwstr>http://www.businesslink.gov.uk/contractsfinder</vt:lpwstr>
      </vt:variant>
      <vt:variant>
        <vt:lpwstr/>
      </vt:variant>
      <vt:variant>
        <vt:i4>3211376</vt:i4>
      </vt:variant>
      <vt:variant>
        <vt:i4>49</vt:i4>
      </vt:variant>
      <vt:variant>
        <vt:i4>0</vt:i4>
      </vt:variant>
      <vt:variant>
        <vt:i4>5</vt:i4>
      </vt:variant>
      <vt:variant>
        <vt:lpwstr>http://www.businesslink.gov.uk/contractsfinder</vt:lpwstr>
      </vt:variant>
      <vt:variant>
        <vt:lpwstr/>
      </vt:variant>
      <vt:variant>
        <vt:i4>262215</vt:i4>
      </vt:variant>
      <vt:variant>
        <vt:i4>46</vt:i4>
      </vt:variant>
      <vt:variant>
        <vt:i4>0</vt:i4>
      </vt:variant>
      <vt:variant>
        <vt:i4>5</vt:i4>
      </vt:variant>
      <vt:variant>
        <vt:lpwstr>http://www.promptpaymentcode.org.uk/</vt:lpwstr>
      </vt:variant>
      <vt:variant>
        <vt:lpwstr/>
      </vt:variant>
      <vt:variant>
        <vt:i4>5111856</vt:i4>
      </vt:variant>
      <vt:variant>
        <vt:i4>43</vt:i4>
      </vt:variant>
      <vt:variant>
        <vt:i4>0</vt:i4>
      </vt:variant>
      <vt:variant>
        <vt:i4>5</vt:i4>
      </vt:variant>
      <vt:variant>
        <vt:lpwstr>http://ec.europa.eu/enterprise/policies/sme/facts-figures-analysis/sme-definition/index_en.htm</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Stafford, Simon</dc:creator>
  <cp:lastModifiedBy>Stafford, Simon</cp:lastModifiedBy>
  <cp:revision>7</cp:revision>
  <cp:lastPrinted>2012-12-12T12:46:00Z</cp:lastPrinted>
  <dcterms:created xsi:type="dcterms:W3CDTF">2015-09-02T15:51:00Z</dcterms:created>
  <dcterms:modified xsi:type="dcterms:W3CDTF">2015-09-11T11:47:00Z</dcterms:modified>
</cp:coreProperties>
</file>