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431" w:type="dxa"/>
        <w:tblLayout w:type="fixed"/>
        <w:tblLook w:val="04A0" w:firstRow="1" w:lastRow="0" w:firstColumn="1" w:lastColumn="0" w:noHBand="0" w:noVBand="1"/>
      </w:tblPr>
      <w:tblGrid>
        <w:gridCol w:w="31"/>
        <w:gridCol w:w="679"/>
        <w:gridCol w:w="6095"/>
        <w:gridCol w:w="1260"/>
        <w:gridCol w:w="1575"/>
        <w:gridCol w:w="1276"/>
      </w:tblGrid>
      <w:tr w:rsidR="0061080A" w14:paraId="3EA3490B" w14:textId="2F3B52F9" w:rsidTr="0061080A">
        <w:trPr>
          <w:tblHeader/>
        </w:trPr>
        <w:tc>
          <w:tcPr>
            <w:tcW w:w="710" w:type="dxa"/>
            <w:gridSpan w:val="2"/>
            <w:shd w:val="clear" w:color="auto" w:fill="DBE5F1" w:themeFill="accent1" w:themeFillTint="33"/>
          </w:tcPr>
          <w:p w14:paraId="272E5131" w14:textId="77777777" w:rsidR="0061080A" w:rsidRPr="00AB6F06" w:rsidRDefault="0061080A" w:rsidP="00C002A4">
            <w:pPr>
              <w:rPr>
                <w:b/>
                <w:sz w:val="24"/>
              </w:rPr>
            </w:pPr>
            <w:r w:rsidRPr="00AB6F06">
              <w:rPr>
                <w:b/>
                <w:sz w:val="24"/>
              </w:rPr>
              <w:t>KPI No.</w:t>
            </w:r>
          </w:p>
        </w:tc>
        <w:tc>
          <w:tcPr>
            <w:tcW w:w="6095" w:type="dxa"/>
            <w:shd w:val="clear" w:color="auto" w:fill="DBE5F1" w:themeFill="accent1" w:themeFillTint="33"/>
          </w:tcPr>
          <w:p w14:paraId="36ED9A4B" w14:textId="77777777" w:rsidR="0061080A" w:rsidRPr="00AB6F06" w:rsidRDefault="0061080A" w:rsidP="00C002A4">
            <w:pPr>
              <w:rPr>
                <w:b/>
                <w:sz w:val="24"/>
              </w:rPr>
            </w:pPr>
            <w:r w:rsidRPr="00AB6F06">
              <w:rPr>
                <w:b/>
                <w:sz w:val="24"/>
              </w:rPr>
              <w:t>Description</w:t>
            </w:r>
          </w:p>
        </w:tc>
        <w:tc>
          <w:tcPr>
            <w:tcW w:w="1260" w:type="dxa"/>
            <w:shd w:val="clear" w:color="auto" w:fill="DBE5F1" w:themeFill="accent1" w:themeFillTint="33"/>
          </w:tcPr>
          <w:p w14:paraId="544512C0" w14:textId="77777777" w:rsidR="0061080A" w:rsidRPr="00AB6F06" w:rsidRDefault="0061080A" w:rsidP="00C002A4">
            <w:pPr>
              <w:rPr>
                <w:b/>
                <w:sz w:val="24"/>
              </w:rPr>
            </w:pPr>
            <w:r w:rsidRPr="00AB6F06">
              <w:rPr>
                <w:b/>
                <w:sz w:val="24"/>
              </w:rPr>
              <w:t>Target Threshold</w:t>
            </w:r>
          </w:p>
        </w:tc>
        <w:tc>
          <w:tcPr>
            <w:tcW w:w="1575" w:type="dxa"/>
            <w:shd w:val="clear" w:color="auto" w:fill="DBE5F1" w:themeFill="accent1" w:themeFillTint="33"/>
          </w:tcPr>
          <w:p w14:paraId="78ED31FA" w14:textId="77777777" w:rsidR="0061080A" w:rsidRPr="00AB6F06" w:rsidRDefault="0061080A" w:rsidP="00C002A4">
            <w:pPr>
              <w:rPr>
                <w:b/>
                <w:sz w:val="24"/>
              </w:rPr>
            </w:pPr>
            <w:r w:rsidRPr="00AB6F06">
              <w:rPr>
                <w:b/>
                <w:sz w:val="24"/>
              </w:rPr>
              <w:t>Consequence of Breach</w:t>
            </w:r>
          </w:p>
        </w:tc>
        <w:tc>
          <w:tcPr>
            <w:tcW w:w="1276" w:type="dxa"/>
            <w:shd w:val="clear" w:color="auto" w:fill="DBE5F1" w:themeFill="accent1" w:themeFillTint="33"/>
          </w:tcPr>
          <w:p w14:paraId="11EAF4E6" w14:textId="1E29C445" w:rsidR="0061080A" w:rsidRPr="00AB6F06" w:rsidRDefault="00B95EF0" w:rsidP="00C002A4">
            <w:pPr>
              <w:rPr>
                <w:b/>
                <w:sz w:val="24"/>
              </w:rPr>
            </w:pPr>
            <w:r>
              <w:rPr>
                <w:b/>
                <w:sz w:val="24"/>
              </w:rPr>
              <w:t>Reporting Period</w:t>
            </w:r>
          </w:p>
        </w:tc>
      </w:tr>
      <w:tr w:rsidR="0061080A" w:rsidRPr="00AB6F06" w14:paraId="482ADA00" w14:textId="7DC1D83E" w:rsidTr="0061080A">
        <w:trPr>
          <w:gridBefore w:val="1"/>
          <w:wBefore w:w="31" w:type="dxa"/>
        </w:trPr>
        <w:tc>
          <w:tcPr>
            <w:tcW w:w="9609" w:type="dxa"/>
            <w:gridSpan w:val="4"/>
            <w:shd w:val="clear" w:color="auto" w:fill="C6D9F1" w:themeFill="text2" w:themeFillTint="33"/>
          </w:tcPr>
          <w:p w14:paraId="19360357" w14:textId="77777777" w:rsidR="0061080A" w:rsidRPr="00AB6F06" w:rsidRDefault="0061080A" w:rsidP="00826BCA">
            <w:pPr>
              <w:tabs>
                <w:tab w:val="left" w:pos="1980"/>
              </w:tabs>
              <w:rPr>
                <w:b/>
              </w:rPr>
            </w:pPr>
            <w:r>
              <w:rPr>
                <w:b/>
              </w:rPr>
              <w:t>1.  Complete Pathway Length</w:t>
            </w:r>
          </w:p>
        </w:tc>
        <w:tc>
          <w:tcPr>
            <w:tcW w:w="1276" w:type="dxa"/>
            <w:shd w:val="clear" w:color="auto" w:fill="C6D9F1" w:themeFill="text2" w:themeFillTint="33"/>
          </w:tcPr>
          <w:p w14:paraId="1091C7AD" w14:textId="77777777" w:rsidR="0061080A" w:rsidRDefault="0061080A" w:rsidP="00826BCA">
            <w:pPr>
              <w:tabs>
                <w:tab w:val="left" w:pos="1980"/>
              </w:tabs>
              <w:rPr>
                <w:b/>
              </w:rPr>
            </w:pPr>
          </w:p>
        </w:tc>
      </w:tr>
      <w:tr w:rsidR="007C4D11" w:rsidRPr="00190F6C" w14:paraId="5437985D" w14:textId="77777777" w:rsidTr="0061080A">
        <w:trPr>
          <w:gridBefore w:val="1"/>
          <w:wBefore w:w="31" w:type="dxa"/>
        </w:trPr>
        <w:tc>
          <w:tcPr>
            <w:tcW w:w="679" w:type="dxa"/>
          </w:tcPr>
          <w:p w14:paraId="1967D793" w14:textId="77777777" w:rsidR="007C4D11" w:rsidRDefault="007C4D11" w:rsidP="007C4D11">
            <w:pPr>
              <w:jc w:val="center"/>
            </w:pPr>
            <w:r>
              <w:t>KPI</w:t>
            </w:r>
          </w:p>
          <w:p w14:paraId="51E452B9" w14:textId="77777777" w:rsidR="007C4D11" w:rsidRDefault="007C4D11" w:rsidP="007C4D11">
            <w:pPr>
              <w:jc w:val="center"/>
            </w:pPr>
          </w:p>
        </w:tc>
        <w:tc>
          <w:tcPr>
            <w:tcW w:w="6095" w:type="dxa"/>
          </w:tcPr>
          <w:p w14:paraId="3FC5EB3C" w14:textId="77777777" w:rsidR="007C4D11" w:rsidRDefault="007C4D11" w:rsidP="007C4D11">
            <w:pPr>
              <w:pStyle w:val="Default"/>
              <w:rPr>
                <w:color w:val="auto"/>
                <w:sz w:val="22"/>
                <w:szCs w:val="22"/>
              </w:rPr>
            </w:pPr>
            <w:r>
              <w:rPr>
                <w:color w:val="auto"/>
                <w:sz w:val="22"/>
                <w:szCs w:val="22"/>
              </w:rPr>
              <w:t xml:space="preserve">% of adults who receive their wheelchair within 14 weeks of referral </w:t>
            </w:r>
          </w:p>
          <w:p w14:paraId="3F466E48" w14:textId="77777777" w:rsidR="007C4D11" w:rsidRDefault="007C4D11" w:rsidP="007C4D11">
            <w:pPr>
              <w:pStyle w:val="Default"/>
              <w:rPr>
                <w:color w:val="auto"/>
                <w:sz w:val="22"/>
                <w:szCs w:val="22"/>
              </w:rPr>
            </w:pPr>
          </w:p>
        </w:tc>
        <w:tc>
          <w:tcPr>
            <w:tcW w:w="1260" w:type="dxa"/>
          </w:tcPr>
          <w:p w14:paraId="33537A60" w14:textId="77777777" w:rsidR="007C4D11" w:rsidRDefault="007C4D11" w:rsidP="007C4D11">
            <w:pPr>
              <w:jc w:val="center"/>
            </w:pPr>
            <w:r>
              <w:t>75%</w:t>
            </w:r>
          </w:p>
          <w:p w14:paraId="0C01894A" w14:textId="77777777" w:rsidR="007C4D11" w:rsidRDefault="007C4D11" w:rsidP="007C4D11">
            <w:pPr>
              <w:jc w:val="center"/>
            </w:pPr>
          </w:p>
        </w:tc>
        <w:tc>
          <w:tcPr>
            <w:tcW w:w="1575" w:type="dxa"/>
          </w:tcPr>
          <w:p w14:paraId="31FC9A26" w14:textId="77777777" w:rsidR="007C4D11" w:rsidRDefault="007C4D11" w:rsidP="007C4D11">
            <w:pPr>
              <w:jc w:val="center"/>
            </w:pPr>
          </w:p>
        </w:tc>
        <w:tc>
          <w:tcPr>
            <w:tcW w:w="1276" w:type="dxa"/>
          </w:tcPr>
          <w:p w14:paraId="42B27B79" w14:textId="2DFCA135" w:rsidR="007C4D11" w:rsidRDefault="007C4D11" w:rsidP="007C4D11">
            <w:pPr>
              <w:jc w:val="center"/>
              <w:rPr>
                <w:rFonts w:cstheme="minorHAnsi"/>
                <w:color w:val="000000"/>
                <w:sz w:val="20"/>
                <w:szCs w:val="20"/>
              </w:rPr>
            </w:pPr>
            <w:r>
              <w:rPr>
                <w:rFonts w:cstheme="minorHAnsi"/>
                <w:color w:val="000000"/>
                <w:sz w:val="20"/>
                <w:szCs w:val="20"/>
              </w:rPr>
              <w:t>Monthly</w:t>
            </w:r>
          </w:p>
        </w:tc>
      </w:tr>
      <w:tr w:rsidR="007C4D11" w:rsidRPr="00190F6C" w14:paraId="2ECCC779" w14:textId="77777777" w:rsidTr="0061080A">
        <w:trPr>
          <w:gridBefore w:val="1"/>
          <w:wBefore w:w="31" w:type="dxa"/>
        </w:trPr>
        <w:tc>
          <w:tcPr>
            <w:tcW w:w="679" w:type="dxa"/>
          </w:tcPr>
          <w:p w14:paraId="79C1F042" w14:textId="5AB4698D" w:rsidR="007C4D11" w:rsidRDefault="007C4D11" w:rsidP="007C4D11">
            <w:pPr>
              <w:jc w:val="center"/>
            </w:pPr>
            <w:r>
              <w:t>KPI</w:t>
            </w:r>
          </w:p>
        </w:tc>
        <w:tc>
          <w:tcPr>
            <w:tcW w:w="6095" w:type="dxa"/>
          </w:tcPr>
          <w:p w14:paraId="56422C0D" w14:textId="77777777" w:rsidR="007C4D11" w:rsidRDefault="007C4D11" w:rsidP="007C4D11">
            <w:pPr>
              <w:pStyle w:val="Default"/>
              <w:rPr>
                <w:color w:val="auto"/>
                <w:sz w:val="22"/>
                <w:szCs w:val="22"/>
              </w:rPr>
            </w:pPr>
            <w:r>
              <w:rPr>
                <w:color w:val="auto"/>
                <w:sz w:val="22"/>
                <w:szCs w:val="22"/>
              </w:rPr>
              <w:t xml:space="preserve">% of children who receive their wheelchair within 14 weeks of referral </w:t>
            </w:r>
          </w:p>
          <w:p w14:paraId="202B045F" w14:textId="77777777" w:rsidR="007C4D11" w:rsidRDefault="007C4D11" w:rsidP="007C4D11">
            <w:pPr>
              <w:pStyle w:val="Default"/>
              <w:rPr>
                <w:color w:val="auto"/>
                <w:sz w:val="22"/>
                <w:szCs w:val="22"/>
              </w:rPr>
            </w:pPr>
          </w:p>
        </w:tc>
        <w:tc>
          <w:tcPr>
            <w:tcW w:w="1260" w:type="dxa"/>
          </w:tcPr>
          <w:p w14:paraId="2D5375AC" w14:textId="03BF33A0" w:rsidR="007C4D11" w:rsidRDefault="007C4D11" w:rsidP="007C4D11">
            <w:pPr>
              <w:jc w:val="center"/>
            </w:pPr>
            <w:r>
              <w:t>80%</w:t>
            </w:r>
          </w:p>
        </w:tc>
        <w:tc>
          <w:tcPr>
            <w:tcW w:w="1575" w:type="dxa"/>
          </w:tcPr>
          <w:p w14:paraId="75D6140F" w14:textId="77777777" w:rsidR="007C4D11" w:rsidRDefault="007C4D11" w:rsidP="007C4D11">
            <w:pPr>
              <w:jc w:val="center"/>
            </w:pPr>
          </w:p>
        </w:tc>
        <w:tc>
          <w:tcPr>
            <w:tcW w:w="1276" w:type="dxa"/>
          </w:tcPr>
          <w:p w14:paraId="30CC75B7" w14:textId="464FFA57" w:rsidR="007C4D11" w:rsidRDefault="007C4D11" w:rsidP="007C4D11">
            <w:pPr>
              <w:jc w:val="center"/>
              <w:rPr>
                <w:rFonts w:cstheme="minorHAnsi"/>
                <w:color w:val="000000"/>
                <w:sz w:val="20"/>
                <w:szCs w:val="20"/>
              </w:rPr>
            </w:pPr>
            <w:r>
              <w:rPr>
                <w:rFonts w:cstheme="minorHAnsi"/>
                <w:color w:val="000000"/>
                <w:sz w:val="20"/>
                <w:szCs w:val="20"/>
              </w:rPr>
              <w:t>Monthly</w:t>
            </w:r>
          </w:p>
        </w:tc>
      </w:tr>
      <w:tr w:rsidR="007C4D11" w:rsidRPr="00190F6C" w14:paraId="38053EC3" w14:textId="04B7EA66" w:rsidTr="0061080A">
        <w:trPr>
          <w:gridBefore w:val="1"/>
          <w:wBefore w:w="31" w:type="dxa"/>
        </w:trPr>
        <w:tc>
          <w:tcPr>
            <w:tcW w:w="679" w:type="dxa"/>
          </w:tcPr>
          <w:p w14:paraId="71DE5D09" w14:textId="77777777" w:rsidR="007C4D11" w:rsidRDefault="007C4D11" w:rsidP="007C4D11">
            <w:pPr>
              <w:jc w:val="center"/>
            </w:pPr>
            <w:r>
              <w:t>KPI</w:t>
            </w:r>
          </w:p>
        </w:tc>
        <w:tc>
          <w:tcPr>
            <w:tcW w:w="6095" w:type="dxa"/>
          </w:tcPr>
          <w:p w14:paraId="7AA411B0" w14:textId="77777777" w:rsidR="007C4D11" w:rsidRDefault="007C4D11" w:rsidP="007C4D11">
            <w:pPr>
              <w:pStyle w:val="Default"/>
              <w:rPr>
                <w:color w:val="auto"/>
                <w:sz w:val="22"/>
                <w:szCs w:val="22"/>
              </w:rPr>
            </w:pPr>
            <w:r>
              <w:rPr>
                <w:color w:val="auto"/>
                <w:sz w:val="22"/>
                <w:szCs w:val="22"/>
              </w:rPr>
              <w:t xml:space="preserve">% of adults who receive their wheelchair within 18 weeks of referral </w:t>
            </w:r>
          </w:p>
          <w:p w14:paraId="0347819B" w14:textId="77777777" w:rsidR="007C4D11" w:rsidRPr="00190F6C" w:rsidRDefault="007C4D11" w:rsidP="007C4D11">
            <w:pPr>
              <w:pStyle w:val="Default"/>
              <w:rPr>
                <w:color w:val="auto"/>
                <w:sz w:val="22"/>
                <w:szCs w:val="22"/>
              </w:rPr>
            </w:pPr>
          </w:p>
        </w:tc>
        <w:tc>
          <w:tcPr>
            <w:tcW w:w="1260" w:type="dxa"/>
          </w:tcPr>
          <w:p w14:paraId="6943C3BD" w14:textId="77777777" w:rsidR="007C4D11" w:rsidRDefault="007C4D11" w:rsidP="007C4D11">
            <w:pPr>
              <w:jc w:val="center"/>
            </w:pPr>
            <w:r>
              <w:t>95%</w:t>
            </w:r>
          </w:p>
          <w:p w14:paraId="67B91ED9" w14:textId="77777777" w:rsidR="007C4D11" w:rsidRPr="00190F6C" w:rsidRDefault="007C4D11" w:rsidP="007C4D11">
            <w:pPr>
              <w:jc w:val="center"/>
            </w:pPr>
          </w:p>
        </w:tc>
        <w:tc>
          <w:tcPr>
            <w:tcW w:w="1575" w:type="dxa"/>
          </w:tcPr>
          <w:p w14:paraId="7B281BC4" w14:textId="77777777" w:rsidR="007C4D11" w:rsidRDefault="007C4D11" w:rsidP="007C4D11">
            <w:pPr>
              <w:jc w:val="center"/>
            </w:pPr>
            <w:r>
              <w:t>Exception reporting</w:t>
            </w:r>
          </w:p>
          <w:p w14:paraId="43E15EF9" w14:textId="4CBE226B" w:rsidR="007C4D11" w:rsidRPr="00190F6C" w:rsidRDefault="007C4D11" w:rsidP="007C4D11">
            <w:pPr>
              <w:jc w:val="center"/>
            </w:pPr>
            <w:r w:rsidRPr="000264CD">
              <w:rPr>
                <w:rFonts w:cstheme="minorHAnsi"/>
                <w:color w:val="000000"/>
                <w:sz w:val="20"/>
                <w:szCs w:val="20"/>
              </w:rPr>
              <w:t>Subject to Clause GC9 (Contract Management</w:t>
            </w:r>
          </w:p>
        </w:tc>
        <w:tc>
          <w:tcPr>
            <w:tcW w:w="1276" w:type="dxa"/>
          </w:tcPr>
          <w:p w14:paraId="1EA7F983" w14:textId="0247387A" w:rsidR="007C4D11" w:rsidRDefault="007C4D11" w:rsidP="007C4D11">
            <w:pPr>
              <w:jc w:val="center"/>
            </w:pPr>
            <w:r>
              <w:rPr>
                <w:rFonts w:cstheme="minorHAnsi"/>
                <w:color w:val="000000"/>
                <w:sz w:val="20"/>
                <w:szCs w:val="20"/>
              </w:rPr>
              <w:t>Monthly</w:t>
            </w:r>
          </w:p>
        </w:tc>
      </w:tr>
      <w:tr w:rsidR="007C4D11" w:rsidRPr="00190F6C" w14:paraId="3C19FB86" w14:textId="2D1BE1BF" w:rsidTr="0061080A">
        <w:trPr>
          <w:gridBefore w:val="1"/>
          <w:wBefore w:w="31" w:type="dxa"/>
        </w:trPr>
        <w:tc>
          <w:tcPr>
            <w:tcW w:w="679" w:type="dxa"/>
          </w:tcPr>
          <w:p w14:paraId="3C45A38B" w14:textId="77777777" w:rsidR="007C4D11" w:rsidRDefault="007C4D11" w:rsidP="007C4D11">
            <w:pPr>
              <w:jc w:val="center"/>
            </w:pPr>
            <w:r>
              <w:t>KPI</w:t>
            </w:r>
          </w:p>
        </w:tc>
        <w:tc>
          <w:tcPr>
            <w:tcW w:w="6095" w:type="dxa"/>
          </w:tcPr>
          <w:p w14:paraId="569FEA21" w14:textId="77777777" w:rsidR="007C4D11" w:rsidRDefault="007C4D11" w:rsidP="007C4D11">
            <w:pPr>
              <w:pStyle w:val="Default"/>
              <w:rPr>
                <w:color w:val="auto"/>
                <w:sz w:val="22"/>
                <w:szCs w:val="22"/>
              </w:rPr>
            </w:pPr>
            <w:r>
              <w:rPr>
                <w:color w:val="auto"/>
                <w:sz w:val="22"/>
                <w:szCs w:val="22"/>
              </w:rPr>
              <w:t>% of children who receive their wheelchair within 18 weeks of referral where service user choice was not the cause (breach cause to be determined by commissioner on monthly basis)</w:t>
            </w:r>
          </w:p>
          <w:p w14:paraId="4FE5DDA3" w14:textId="77777777" w:rsidR="007C4D11" w:rsidRDefault="007C4D11" w:rsidP="007C4D11">
            <w:pPr>
              <w:pStyle w:val="Default"/>
              <w:rPr>
                <w:color w:val="auto"/>
                <w:sz w:val="22"/>
                <w:szCs w:val="22"/>
              </w:rPr>
            </w:pPr>
          </w:p>
        </w:tc>
        <w:tc>
          <w:tcPr>
            <w:tcW w:w="1260" w:type="dxa"/>
          </w:tcPr>
          <w:p w14:paraId="40749466" w14:textId="77777777" w:rsidR="007C4D11" w:rsidRDefault="007C4D11" w:rsidP="007C4D11">
            <w:pPr>
              <w:jc w:val="center"/>
            </w:pPr>
            <w:r>
              <w:t>100%</w:t>
            </w:r>
          </w:p>
        </w:tc>
        <w:tc>
          <w:tcPr>
            <w:tcW w:w="1575" w:type="dxa"/>
          </w:tcPr>
          <w:p w14:paraId="0FBAD38D" w14:textId="77777777" w:rsidR="007C4D11" w:rsidRDefault="007C4D11" w:rsidP="007C4D11">
            <w:pPr>
              <w:jc w:val="center"/>
            </w:pPr>
            <w:r>
              <w:t>Exception reporting</w:t>
            </w:r>
          </w:p>
          <w:p w14:paraId="536DF342" w14:textId="0D52799B" w:rsidR="007C4D11" w:rsidRPr="00190F6C" w:rsidRDefault="007C4D11" w:rsidP="007C4D11">
            <w:pPr>
              <w:jc w:val="center"/>
            </w:pPr>
            <w:r w:rsidRPr="000264CD">
              <w:rPr>
                <w:rFonts w:cstheme="minorHAnsi"/>
                <w:color w:val="000000"/>
                <w:sz w:val="20"/>
                <w:szCs w:val="20"/>
              </w:rPr>
              <w:t>Subject to Clause GC9 (Contract Management</w:t>
            </w:r>
          </w:p>
        </w:tc>
        <w:tc>
          <w:tcPr>
            <w:tcW w:w="1276" w:type="dxa"/>
          </w:tcPr>
          <w:p w14:paraId="21B016FC" w14:textId="014E4963" w:rsidR="007C4D11" w:rsidRDefault="007C4D11" w:rsidP="007C4D11">
            <w:pPr>
              <w:jc w:val="center"/>
            </w:pPr>
            <w:r>
              <w:rPr>
                <w:rFonts w:cstheme="minorHAnsi"/>
                <w:color w:val="000000"/>
                <w:sz w:val="20"/>
                <w:szCs w:val="20"/>
              </w:rPr>
              <w:t>Monthly</w:t>
            </w:r>
          </w:p>
        </w:tc>
      </w:tr>
      <w:tr w:rsidR="007C4D11" w:rsidRPr="00190F6C" w14:paraId="58E9C762" w14:textId="7B6E76AB" w:rsidTr="0061080A">
        <w:trPr>
          <w:gridBefore w:val="1"/>
          <w:wBefore w:w="31" w:type="dxa"/>
        </w:trPr>
        <w:tc>
          <w:tcPr>
            <w:tcW w:w="679" w:type="dxa"/>
          </w:tcPr>
          <w:p w14:paraId="4BD327A2" w14:textId="77777777" w:rsidR="007C4D11" w:rsidRDefault="007C4D11" w:rsidP="007C4D11">
            <w:pPr>
              <w:jc w:val="center"/>
            </w:pPr>
            <w:r>
              <w:t>KPI</w:t>
            </w:r>
          </w:p>
        </w:tc>
        <w:tc>
          <w:tcPr>
            <w:tcW w:w="6095" w:type="dxa"/>
          </w:tcPr>
          <w:p w14:paraId="7EA45787" w14:textId="5E2C6F71" w:rsidR="007C4D11" w:rsidRDefault="007C4D11" w:rsidP="007C4D11">
            <w:pPr>
              <w:pStyle w:val="Default"/>
              <w:rPr>
                <w:color w:val="auto"/>
                <w:sz w:val="22"/>
                <w:szCs w:val="22"/>
              </w:rPr>
            </w:pPr>
            <w:r>
              <w:rPr>
                <w:color w:val="auto"/>
                <w:sz w:val="22"/>
                <w:szCs w:val="22"/>
              </w:rPr>
              <w:t xml:space="preserve">% of adults who receive their wheelchair </w:t>
            </w:r>
            <w:r w:rsidRPr="007C4D11">
              <w:rPr>
                <w:color w:val="auto"/>
                <w:sz w:val="22"/>
                <w:szCs w:val="22"/>
              </w:rPr>
              <w:t>over 18 weeks</w:t>
            </w:r>
            <w:r>
              <w:rPr>
                <w:color w:val="auto"/>
                <w:sz w:val="22"/>
                <w:szCs w:val="22"/>
              </w:rPr>
              <w:t xml:space="preserve"> of referral where service user choice was not the cause (breach cause to be determined by commissioner on monthly basis)</w:t>
            </w:r>
          </w:p>
          <w:p w14:paraId="01BEC28B" w14:textId="77777777" w:rsidR="007C4D11" w:rsidRPr="00190F6C" w:rsidRDefault="007C4D11" w:rsidP="007C4D11">
            <w:pPr>
              <w:pStyle w:val="Default"/>
              <w:rPr>
                <w:color w:val="auto"/>
                <w:sz w:val="22"/>
                <w:szCs w:val="22"/>
              </w:rPr>
            </w:pPr>
          </w:p>
        </w:tc>
        <w:tc>
          <w:tcPr>
            <w:tcW w:w="1260" w:type="dxa"/>
          </w:tcPr>
          <w:p w14:paraId="0E3A0293" w14:textId="77777777" w:rsidR="007C4D11" w:rsidRDefault="007C4D11" w:rsidP="007C4D11">
            <w:pPr>
              <w:jc w:val="center"/>
            </w:pPr>
            <w:r>
              <w:t>100%</w:t>
            </w:r>
          </w:p>
          <w:p w14:paraId="62817E18" w14:textId="77777777" w:rsidR="007C4D11" w:rsidRPr="00190F6C" w:rsidRDefault="007C4D11" w:rsidP="007C4D11">
            <w:pPr>
              <w:jc w:val="center"/>
            </w:pPr>
          </w:p>
        </w:tc>
        <w:tc>
          <w:tcPr>
            <w:tcW w:w="1575" w:type="dxa"/>
          </w:tcPr>
          <w:p w14:paraId="3B0275E5" w14:textId="77777777" w:rsidR="007C4D11" w:rsidRDefault="007C4D11" w:rsidP="007C4D11">
            <w:pPr>
              <w:jc w:val="center"/>
            </w:pPr>
            <w:r>
              <w:t>Exception reporting</w:t>
            </w:r>
          </w:p>
          <w:p w14:paraId="1CCF5482" w14:textId="6871AD14" w:rsidR="007C4D11" w:rsidRPr="00190F6C" w:rsidRDefault="007C4D11" w:rsidP="007C4D11">
            <w:pPr>
              <w:jc w:val="center"/>
            </w:pPr>
            <w:r w:rsidRPr="000264CD">
              <w:rPr>
                <w:rFonts w:cstheme="minorHAnsi"/>
                <w:color w:val="000000"/>
                <w:sz w:val="20"/>
                <w:szCs w:val="20"/>
              </w:rPr>
              <w:t>Subject to Clause GC9 (Contract Management</w:t>
            </w:r>
          </w:p>
        </w:tc>
        <w:tc>
          <w:tcPr>
            <w:tcW w:w="1276" w:type="dxa"/>
          </w:tcPr>
          <w:p w14:paraId="57CB7601" w14:textId="3361FCC3" w:rsidR="007C4D11" w:rsidRDefault="007C4D11" w:rsidP="007C4D11">
            <w:pPr>
              <w:jc w:val="center"/>
            </w:pPr>
            <w:r>
              <w:rPr>
                <w:rFonts w:cstheme="minorHAnsi"/>
                <w:color w:val="000000"/>
                <w:sz w:val="20"/>
                <w:szCs w:val="20"/>
              </w:rPr>
              <w:t>Monthly</w:t>
            </w:r>
          </w:p>
        </w:tc>
      </w:tr>
      <w:tr w:rsidR="007C4D11" w:rsidRPr="00357728" w14:paraId="6A76EA06" w14:textId="337AF62E" w:rsidTr="0061080A">
        <w:trPr>
          <w:gridBefore w:val="1"/>
          <w:wBefore w:w="31" w:type="dxa"/>
        </w:trPr>
        <w:tc>
          <w:tcPr>
            <w:tcW w:w="9609" w:type="dxa"/>
            <w:gridSpan w:val="4"/>
            <w:shd w:val="clear" w:color="auto" w:fill="C6D9F1" w:themeFill="text2" w:themeFillTint="33"/>
          </w:tcPr>
          <w:p w14:paraId="1B92D15F" w14:textId="77777777" w:rsidR="007C4D11" w:rsidRPr="00357728" w:rsidRDefault="007C4D11" w:rsidP="007C4D11">
            <w:pPr>
              <w:rPr>
                <w:b/>
              </w:rPr>
            </w:pPr>
            <w:r w:rsidRPr="00357728">
              <w:rPr>
                <w:b/>
              </w:rPr>
              <w:t>2.</w:t>
            </w:r>
            <w:r>
              <w:rPr>
                <w:b/>
              </w:rPr>
              <w:t xml:space="preserve">  Referrals</w:t>
            </w:r>
          </w:p>
        </w:tc>
        <w:tc>
          <w:tcPr>
            <w:tcW w:w="1276" w:type="dxa"/>
            <w:shd w:val="clear" w:color="auto" w:fill="C6D9F1" w:themeFill="text2" w:themeFillTint="33"/>
          </w:tcPr>
          <w:p w14:paraId="0F43192E" w14:textId="77777777" w:rsidR="007C4D11" w:rsidRPr="00357728" w:rsidRDefault="007C4D11" w:rsidP="007C4D11">
            <w:pPr>
              <w:rPr>
                <w:b/>
              </w:rPr>
            </w:pPr>
          </w:p>
        </w:tc>
      </w:tr>
      <w:tr w:rsidR="007C4D11" w14:paraId="55F7115A" w14:textId="1C29C4B7" w:rsidTr="0061080A">
        <w:trPr>
          <w:gridBefore w:val="1"/>
          <w:wBefore w:w="31" w:type="dxa"/>
        </w:trPr>
        <w:tc>
          <w:tcPr>
            <w:tcW w:w="679" w:type="dxa"/>
          </w:tcPr>
          <w:p w14:paraId="6EFCD114" w14:textId="77777777" w:rsidR="007C4D11" w:rsidRDefault="007C4D11" w:rsidP="007C4D11">
            <w:pPr>
              <w:jc w:val="center"/>
            </w:pPr>
            <w:r>
              <w:t>KPI</w:t>
            </w:r>
          </w:p>
          <w:p w14:paraId="73EDD17E" w14:textId="77777777" w:rsidR="007C4D11" w:rsidRDefault="007C4D11" w:rsidP="007C4D11"/>
        </w:tc>
        <w:tc>
          <w:tcPr>
            <w:tcW w:w="6095" w:type="dxa"/>
          </w:tcPr>
          <w:p w14:paraId="058AB7E7" w14:textId="77777777" w:rsidR="007C4D11" w:rsidRDefault="007C4D11" w:rsidP="007C4D11">
            <w:pPr>
              <w:pStyle w:val="Default"/>
              <w:rPr>
                <w:sz w:val="22"/>
                <w:szCs w:val="22"/>
              </w:rPr>
            </w:pPr>
            <w:r>
              <w:rPr>
                <w:sz w:val="22"/>
                <w:szCs w:val="22"/>
              </w:rPr>
              <w:t>Urgent referrals triaged within 1 working days</w:t>
            </w:r>
          </w:p>
          <w:p w14:paraId="35BDC667" w14:textId="77777777" w:rsidR="007C4D11" w:rsidRDefault="007C4D11" w:rsidP="007C4D11">
            <w:pPr>
              <w:pStyle w:val="Default"/>
              <w:rPr>
                <w:sz w:val="22"/>
                <w:szCs w:val="22"/>
              </w:rPr>
            </w:pPr>
          </w:p>
        </w:tc>
        <w:tc>
          <w:tcPr>
            <w:tcW w:w="1260" w:type="dxa"/>
          </w:tcPr>
          <w:p w14:paraId="4C711AB5" w14:textId="77777777" w:rsidR="007C4D11" w:rsidRDefault="007C4D11" w:rsidP="007C4D11">
            <w:pPr>
              <w:jc w:val="center"/>
            </w:pPr>
            <w:r>
              <w:t>95%</w:t>
            </w:r>
          </w:p>
        </w:tc>
        <w:tc>
          <w:tcPr>
            <w:tcW w:w="1575" w:type="dxa"/>
          </w:tcPr>
          <w:p w14:paraId="2A1A81EC" w14:textId="024D9277" w:rsidR="007C4D11" w:rsidRPr="00823622" w:rsidRDefault="007C4D11" w:rsidP="007C4D11">
            <w:pPr>
              <w:jc w:val="center"/>
              <w:rPr>
                <w:sz w:val="20"/>
                <w:szCs w:val="20"/>
              </w:rPr>
            </w:pPr>
            <w:r w:rsidRPr="000264CD">
              <w:rPr>
                <w:rFonts w:cstheme="minorHAnsi"/>
                <w:color w:val="000000"/>
                <w:sz w:val="20"/>
                <w:szCs w:val="20"/>
              </w:rPr>
              <w:t>Subject to Clause GC9 (Contract Management</w:t>
            </w:r>
            <w:r w:rsidRPr="000264CD">
              <w:rPr>
                <w:rFonts w:eastAsia="Times New Roman" w:cstheme="minorHAnsi"/>
                <w:color w:val="000000" w:themeColor="text1"/>
                <w:sz w:val="20"/>
                <w:szCs w:val="20"/>
              </w:rPr>
              <w:t>)</w:t>
            </w:r>
          </w:p>
        </w:tc>
        <w:tc>
          <w:tcPr>
            <w:tcW w:w="1276" w:type="dxa"/>
          </w:tcPr>
          <w:p w14:paraId="096C7381" w14:textId="77FD0DC5" w:rsidR="007C4D11" w:rsidRPr="000264CD" w:rsidRDefault="007C4D11" w:rsidP="007C4D11">
            <w:pPr>
              <w:jc w:val="center"/>
              <w:rPr>
                <w:rFonts w:cstheme="minorHAnsi"/>
                <w:color w:val="000000"/>
                <w:sz w:val="20"/>
                <w:szCs w:val="20"/>
              </w:rPr>
            </w:pPr>
            <w:r>
              <w:rPr>
                <w:rFonts w:cstheme="minorHAnsi"/>
                <w:color w:val="000000"/>
                <w:sz w:val="20"/>
                <w:szCs w:val="20"/>
              </w:rPr>
              <w:t>Monthly</w:t>
            </w:r>
          </w:p>
        </w:tc>
      </w:tr>
      <w:tr w:rsidR="007C4D11" w14:paraId="37FF3065" w14:textId="2097D93B" w:rsidTr="0061080A">
        <w:trPr>
          <w:gridBefore w:val="1"/>
          <w:wBefore w:w="31" w:type="dxa"/>
        </w:trPr>
        <w:tc>
          <w:tcPr>
            <w:tcW w:w="679" w:type="dxa"/>
          </w:tcPr>
          <w:p w14:paraId="026182A4" w14:textId="77777777" w:rsidR="007C4D11" w:rsidRDefault="007C4D11" w:rsidP="007C4D11">
            <w:pPr>
              <w:jc w:val="center"/>
            </w:pPr>
            <w:r>
              <w:t>KPI</w:t>
            </w:r>
          </w:p>
        </w:tc>
        <w:tc>
          <w:tcPr>
            <w:tcW w:w="6095" w:type="dxa"/>
          </w:tcPr>
          <w:p w14:paraId="71DD71FE" w14:textId="77777777" w:rsidR="007C4D11" w:rsidRDefault="007C4D11" w:rsidP="007C4D11">
            <w:pPr>
              <w:pStyle w:val="Default"/>
              <w:rPr>
                <w:sz w:val="22"/>
                <w:szCs w:val="22"/>
              </w:rPr>
            </w:pPr>
            <w:r>
              <w:rPr>
                <w:sz w:val="22"/>
                <w:szCs w:val="22"/>
              </w:rPr>
              <w:t>Routine referrals triaged within 2 working days</w:t>
            </w:r>
          </w:p>
          <w:p w14:paraId="576B01C1" w14:textId="77777777" w:rsidR="007C4D11" w:rsidRDefault="007C4D11" w:rsidP="007C4D11">
            <w:pPr>
              <w:pStyle w:val="Default"/>
              <w:rPr>
                <w:sz w:val="22"/>
                <w:szCs w:val="22"/>
              </w:rPr>
            </w:pPr>
          </w:p>
        </w:tc>
        <w:tc>
          <w:tcPr>
            <w:tcW w:w="1260" w:type="dxa"/>
          </w:tcPr>
          <w:p w14:paraId="3F2F29D9" w14:textId="77777777" w:rsidR="007C4D11" w:rsidRDefault="007C4D11" w:rsidP="007C4D11">
            <w:pPr>
              <w:jc w:val="center"/>
            </w:pPr>
            <w:r>
              <w:t>95%</w:t>
            </w:r>
          </w:p>
        </w:tc>
        <w:tc>
          <w:tcPr>
            <w:tcW w:w="1575" w:type="dxa"/>
          </w:tcPr>
          <w:p w14:paraId="0F65306B" w14:textId="7E88A247" w:rsidR="007C4D11" w:rsidRDefault="007C4D11" w:rsidP="007C4D11">
            <w:pPr>
              <w:jc w:val="center"/>
            </w:pPr>
            <w:r w:rsidRPr="000264CD">
              <w:rPr>
                <w:rFonts w:cstheme="minorHAnsi"/>
                <w:color w:val="000000"/>
                <w:sz w:val="20"/>
                <w:szCs w:val="20"/>
              </w:rPr>
              <w:t xml:space="preserve">Subject to Clause GC9 </w:t>
            </w:r>
            <w:r w:rsidRPr="000264CD">
              <w:rPr>
                <w:rFonts w:cstheme="minorHAnsi"/>
                <w:color w:val="000000"/>
                <w:sz w:val="20"/>
                <w:szCs w:val="20"/>
              </w:rPr>
              <w:lastRenderedPageBreak/>
              <w:t>(Contract Management</w:t>
            </w:r>
            <w:r w:rsidRPr="000264CD">
              <w:rPr>
                <w:rFonts w:eastAsia="Times New Roman" w:cstheme="minorHAnsi"/>
                <w:color w:val="000000" w:themeColor="text1"/>
                <w:sz w:val="20"/>
                <w:szCs w:val="20"/>
              </w:rPr>
              <w:t>)</w:t>
            </w:r>
          </w:p>
        </w:tc>
        <w:tc>
          <w:tcPr>
            <w:tcW w:w="1276" w:type="dxa"/>
          </w:tcPr>
          <w:p w14:paraId="7C757D34" w14:textId="42062F09" w:rsidR="007C4D11" w:rsidRPr="000264CD" w:rsidRDefault="007C4D11" w:rsidP="007C4D11">
            <w:pPr>
              <w:jc w:val="center"/>
              <w:rPr>
                <w:rFonts w:cstheme="minorHAnsi"/>
                <w:color w:val="000000"/>
                <w:sz w:val="20"/>
                <w:szCs w:val="20"/>
              </w:rPr>
            </w:pPr>
            <w:r>
              <w:rPr>
                <w:rFonts w:cstheme="minorHAnsi"/>
                <w:color w:val="000000"/>
                <w:sz w:val="20"/>
                <w:szCs w:val="20"/>
              </w:rPr>
              <w:lastRenderedPageBreak/>
              <w:t>Monthly</w:t>
            </w:r>
          </w:p>
        </w:tc>
      </w:tr>
      <w:tr w:rsidR="007C4D11" w:rsidRPr="00357728" w14:paraId="472D69D9" w14:textId="42512CC0" w:rsidTr="0061080A">
        <w:trPr>
          <w:gridBefore w:val="1"/>
          <w:wBefore w:w="31" w:type="dxa"/>
        </w:trPr>
        <w:tc>
          <w:tcPr>
            <w:tcW w:w="9609" w:type="dxa"/>
            <w:gridSpan w:val="4"/>
            <w:shd w:val="clear" w:color="auto" w:fill="C6D9F1" w:themeFill="text2" w:themeFillTint="33"/>
          </w:tcPr>
          <w:p w14:paraId="53F05D05" w14:textId="77777777" w:rsidR="007C4D11" w:rsidRDefault="007C4D11" w:rsidP="007C4D11">
            <w:pPr>
              <w:jc w:val="center"/>
            </w:pPr>
            <w:r>
              <w:t>KPI</w:t>
            </w:r>
          </w:p>
        </w:tc>
        <w:tc>
          <w:tcPr>
            <w:tcW w:w="1276" w:type="dxa"/>
            <w:shd w:val="clear" w:color="auto" w:fill="C6D9F1" w:themeFill="text2" w:themeFillTint="33"/>
          </w:tcPr>
          <w:p w14:paraId="3F2E9B24" w14:textId="77777777" w:rsidR="007C4D11" w:rsidRDefault="007C4D11" w:rsidP="007C4D11">
            <w:pPr>
              <w:jc w:val="center"/>
            </w:pPr>
          </w:p>
        </w:tc>
      </w:tr>
      <w:tr w:rsidR="007C4D11" w14:paraId="487A397B" w14:textId="7A02824D" w:rsidTr="0061080A">
        <w:trPr>
          <w:gridBefore w:val="1"/>
          <w:wBefore w:w="31" w:type="dxa"/>
        </w:trPr>
        <w:tc>
          <w:tcPr>
            <w:tcW w:w="679" w:type="dxa"/>
          </w:tcPr>
          <w:p w14:paraId="34428C4A" w14:textId="77777777" w:rsidR="007C4D11" w:rsidRDefault="007C4D11" w:rsidP="007C4D11">
            <w:pPr>
              <w:jc w:val="center"/>
            </w:pPr>
            <w:r>
              <w:t>KPI</w:t>
            </w:r>
          </w:p>
        </w:tc>
        <w:tc>
          <w:tcPr>
            <w:tcW w:w="6095" w:type="dxa"/>
          </w:tcPr>
          <w:p w14:paraId="780CC048" w14:textId="77777777" w:rsidR="007C4D11" w:rsidRPr="00633F2D" w:rsidRDefault="007C4D11" w:rsidP="007C4D11">
            <w:pPr>
              <w:pStyle w:val="Default"/>
            </w:pPr>
            <w:r>
              <w:rPr>
                <w:sz w:val="22"/>
                <w:szCs w:val="22"/>
              </w:rPr>
              <w:t>% of 24h fast track assessments undertaken within 1 working day of referral receipt.</w:t>
            </w:r>
          </w:p>
          <w:p w14:paraId="1C397C59" w14:textId="77777777" w:rsidR="007C4D11" w:rsidRDefault="007C4D11" w:rsidP="007C4D11">
            <w:pPr>
              <w:pStyle w:val="Default"/>
              <w:rPr>
                <w:sz w:val="22"/>
                <w:szCs w:val="22"/>
              </w:rPr>
            </w:pPr>
          </w:p>
        </w:tc>
        <w:tc>
          <w:tcPr>
            <w:tcW w:w="1260" w:type="dxa"/>
          </w:tcPr>
          <w:p w14:paraId="64643547" w14:textId="77777777" w:rsidR="007C4D11" w:rsidRPr="007959D0" w:rsidRDefault="007C4D11" w:rsidP="007C4D11">
            <w:pPr>
              <w:jc w:val="center"/>
            </w:pPr>
            <w:r w:rsidRPr="007959D0">
              <w:t>95%</w:t>
            </w:r>
          </w:p>
        </w:tc>
        <w:tc>
          <w:tcPr>
            <w:tcW w:w="1575" w:type="dxa"/>
          </w:tcPr>
          <w:p w14:paraId="735CC18D" w14:textId="42833F1A" w:rsidR="007C4D11" w:rsidRDefault="007C4D11" w:rsidP="007C4D11">
            <w:pPr>
              <w:jc w:val="center"/>
            </w:pPr>
            <w:r w:rsidRPr="00F31F77">
              <w:rPr>
                <w:rFonts w:cstheme="minorHAnsi"/>
                <w:color w:val="000000"/>
                <w:sz w:val="20"/>
                <w:szCs w:val="20"/>
              </w:rPr>
              <w:t>Subject to Clause GC9 (Contract Management</w:t>
            </w:r>
            <w:r w:rsidRPr="00F31F77">
              <w:rPr>
                <w:rFonts w:eastAsia="Times New Roman" w:cstheme="minorHAnsi"/>
                <w:color w:val="000000" w:themeColor="text1"/>
                <w:sz w:val="20"/>
                <w:szCs w:val="20"/>
              </w:rPr>
              <w:t>)</w:t>
            </w:r>
          </w:p>
        </w:tc>
        <w:tc>
          <w:tcPr>
            <w:tcW w:w="1276" w:type="dxa"/>
          </w:tcPr>
          <w:p w14:paraId="4D4DB617" w14:textId="6E100783" w:rsidR="007C4D11" w:rsidRPr="00F31F77" w:rsidRDefault="007C4D11" w:rsidP="007C4D11">
            <w:pPr>
              <w:jc w:val="center"/>
              <w:rPr>
                <w:rFonts w:cstheme="minorHAnsi"/>
                <w:color w:val="000000"/>
                <w:sz w:val="20"/>
                <w:szCs w:val="20"/>
              </w:rPr>
            </w:pPr>
            <w:r>
              <w:rPr>
                <w:rFonts w:cstheme="minorHAnsi"/>
                <w:color w:val="000000"/>
                <w:sz w:val="20"/>
                <w:szCs w:val="20"/>
              </w:rPr>
              <w:t>Monthly</w:t>
            </w:r>
          </w:p>
        </w:tc>
      </w:tr>
      <w:tr w:rsidR="007C4D11" w14:paraId="6A29699A" w14:textId="394F5C69" w:rsidTr="0061080A">
        <w:trPr>
          <w:gridBefore w:val="1"/>
          <w:wBefore w:w="31" w:type="dxa"/>
        </w:trPr>
        <w:tc>
          <w:tcPr>
            <w:tcW w:w="679" w:type="dxa"/>
          </w:tcPr>
          <w:p w14:paraId="13FBF5E2" w14:textId="77777777" w:rsidR="007C4D11" w:rsidRDefault="007C4D11" w:rsidP="007C4D11">
            <w:pPr>
              <w:jc w:val="center"/>
            </w:pPr>
            <w:r>
              <w:t>KPI</w:t>
            </w:r>
          </w:p>
        </w:tc>
        <w:tc>
          <w:tcPr>
            <w:tcW w:w="6095" w:type="dxa"/>
          </w:tcPr>
          <w:p w14:paraId="44149C8B" w14:textId="77777777" w:rsidR="007C4D11" w:rsidRPr="00633F2D" w:rsidRDefault="007C4D11" w:rsidP="007C4D11">
            <w:pPr>
              <w:pStyle w:val="Default"/>
            </w:pPr>
            <w:r>
              <w:rPr>
                <w:sz w:val="22"/>
                <w:szCs w:val="22"/>
              </w:rPr>
              <w:t>% of 5-day fast track assessments undertaken within 5 working day of referral receipt.</w:t>
            </w:r>
          </w:p>
          <w:p w14:paraId="65C6583C" w14:textId="77777777" w:rsidR="007C4D11" w:rsidRDefault="007C4D11" w:rsidP="007C4D11">
            <w:pPr>
              <w:pStyle w:val="Default"/>
              <w:rPr>
                <w:sz w:val="22"/>
                <w:szCs w:val="22"/>
              </w:rPr>
            </w:pPr>
          </w:p>
        </w:tc>
        <w:tc>
          <w:tcPr>
            <w:tcW w:w="1260" w:type="dxa"/>
          </w:tcPr>
          <w:p w14:paraId="0533EA8A" w14:textId="77777777" w:rsidR="007C4D11" w:rsidRPr="007959D0" w:rsidRDefault="007C4D11" w:rsidP="007C4D11">
            <w:pPr>
              <w:jc w:val="center"/>
            </w:pPr>
            <w:r w:rsidRPr="007959D0">
              <w:t>95%</w:t>
            </w:r>
          </w:p>
        </w:tc>
        <w:tc>
          <w:tcPr>
            <w:tcW w:w="1575" w:type="dxa"/>
          </w:tcPr>
          <w:p w14:paraId="33B96376" w14:textId="0C80F769" w:rsidR="007C4D11" w:rsidRPr="00823622" w:rsidRDefault="007C4D11" w:rsidP="007C4D11">
            <w:pPr>
              <w:rPr>
                <w:rFonts w:cstheme="minorHAnsi"/>
                <w:sz w:val="18"/>
                <w:szCs w:val="18"/>
              </w:rPr>
            </w:pPr>
            <w:r w:rsidRPr="00F31F77">
              <w:rPr>
                <w:rFonts w:cstheme="minorHAnsi"/>
                <w:color w:val="000000"/>
                <w:sz w:val="20"/>
                <w:szCs w:val="20"/>
              </w:rPr>
              <w:t>Subject to Clause GC9 (Contract Management</w:t>
            </w:r>
            <w:r w:rsidRPr="00F31F77">
              <w:rPr>
                <w:rFonts w:eastAsia="Times New Roman" w:cstheme="minorHAnsi"/>
                <w:color w:val="000000" w:themeColor="text1"/>
                <w:sz w:val="20"/>
                <w:szCs w:val="20"/>
              </w:rPr>
              <w:t>)</w:t>
            </w:r>
          </w:p>
        </w:tc>
        <w:tc>
          <w:tcPr>
            <w:tcW w:w="1276" w:type="dxa"/>
          </w:tcPr>
          <w:p w14:paraId="3498E9A2" w14:textId="078E02DA" w:rsidR="007C4D11" w:rsidRPr="00F31F77" w:rsidRDefault="007C4D11" w:rsidP="007C4D11">
            <w:pPr>
              <w:rPr>
                <w:rFonts w:cstheme="minorHAnsi"/>
                <w:color w:val="000000"/>
                <w:sz w:val="20"/>
                <w:szCs w:val="20"/>
              </w:rPr>
            </w:pPr>
            <w:r>
              <w:rPr>
                <w:rFonts w:cstheme="minorHAnsi"/>
                <w:color w:val="000000"/>
                <w:sz w:val="20"/>
                <w:szCs w:val="20"/>
              </w:rPr>
              <w:t xml:space="preserve">   Monthly</w:t>
            </w:r>
          </w:p>
        </w:tc>
      </w:tr>
      <w:tr w:rsidR="007C4D11" w14:paraId="01C3235C" w14:textId="6947BC3F" w:rsidTr="0061080A">
        <w:trPr>
          <w:gridBefore w:val="1"/>
          <w:wBefore w:w="31" w:type="dxa"/>
        </w:trPr>
        <w:tc>
          <w:tcPr>
            <w:tcW w:w="679" w:type="dxa"/>
          </w:tcPr>
          <w:p w14:paraId="51C51A93" w14:textId="77777777" w:rsidR="007C4D11" w:rsidRDefault="007C4D11" w:rsidP="007C4D11">
            <w:pPr>
              <w:jc w:val="center"/>
            </w:pPr>
            <w:r>
              <w:t>KPI</w:t>
            </w:r>
          </w:p>
        </w:tc>
        <w:tc>
          <w:tcPr>
            <w:tcW w:w="6095" w:type="dxa"/>
          </w:tcPr>
          <w:p w14:paraId="11996D3F" w14:textId="77777777" w:rsidR="007C4D11" w:rsidRDefault="007C4D11" w:rsidP="007C4D11">
            <w:pPr>
              <w:pStyle w:val="Default"/>
            </w:pPr>
            <w:r>
              <w:rPr>
                <w:sz w:val="22"/>
                <w:szCs w:val="22"/>
              </w:rPr>
              <w:t xml:space="preserve">% of urgent assessments </w:t>
            </w:r>
            <w:r>
              <w:rPr>
                <w:b/>
                <w:sz w:val="22"/>
                <w:szCs w:val="22"/>
              </w:rPr>
              <w:t>offered</w:t>
            </w:r>
            <w:r w:rsidRPr="00633F2D">
              <w:rPr>
                <w:b/>
                <w:sz w:val="22"/>
                <w:szCs w:val="22"/>
              </w:rPr>
              <w:t xml:space="preserve"> an appointment date</w:t>
            </w:r>
            <w:r>
              <w:rPr>
                <w:sz w:val="22"/>
                <w:szCs w:val="22"/>
              </w:rPr>
              <w:t xml:space="preserve"> within 10 working days of referral receipt.</w:t>
            </w:r>
          </w:p>
          <w:p w14:paraId="4600B652" w14:textId="77777777" w:rsidR="007C4D11" w:rsidRDefault="007C4D11" w:rsidP="007C4D11">
            <w:pPr>
              <w:jc w:val="center"/>
            </w:pPr>
          </w:p>
        </w:tc>
        <w:tc>
          <w:tcPr>
            <w:tcW w:w="1260" w:type="dxa"/>
          </w:tcPr>
          <w:p w14:paraId="245F369E" w14:textId="77777777" w:rsidR="007C4D11" w:rsidRDefault="007C4D11" w:rsidP="007C4D11">
            <w:pPr>
              <w:jc w:val="center"/>
            </w:pPr>
            <w:r>
              <w:t>95%</w:t>
            </w:r>
          </w:p>
        </w:tc>
        <w:tc>
          <w:tcPr>
            <w:tcW w:w="1575" w:type="dxa"/>
          </w:tcPr>
          <w:p w14:paraId="73BF022B" w14:textId="7DA40686" w:rsidR="007C4D11" w:rsidRDefault="007C4D11" w:rsidP="007C4D11">
            <w:pPr>
              <w:jc w:val="center"/>
            </w:pPr>
            <w:r w:rsidRPr="00F31F77">
              <w:rPr>
                <w:rFonts w:cstheme="minorHAnsi"/>
                <w:color w:val="000000"/>
                <w:sz w:val="20"/>
                <w:szCs w:val="20"/>
              </w:rPr>
              <w:t>Subject to Clause GC9 (Contract Management</w:t>
            </w:r>
            <w:r w:rsidRPr="00F31F77">
              <w:rPr>
                <w:rFonts w:eastAsia="Times New Roman" w:cstheme="minorHAnsi"/>
                <w:color w:val="000000" w:themeColor="text1"/>
                <w:sz w:val="20"/>
                <w:szCs w:val="20"/>
              </w:rPr>
              <w:t>)</w:t>
            </w:r>
          </w:p>
        </w:tc>
        <w:tc>
          <w:tcPr>
            <w:tcW w:w="1276" w:type="dxa"/>
          </w:tcPr>
          <w:p w14:paraId="000DB946" w14:textId="4A7B978D" w:rsidR="007C4D11" w:rsidRPr="00F31F77" w:rsidRDefault="007C4D11" w:rsidP="007C4D11">
            <w:pPr>
              <w:jc w:val="center"/>
              <w:rPr>
                <w:rFonts w:cstheme="minorHAnsi"/>
                <w:color w:val="000000"/>
                <w:sz w:val="20"/>
                <w:szCs w:val="20"/>
              </w:rPr>
            </w:pPr>
            <w:r>
              <w:rPr>
                <w:rFonts w:cstheme="minorHAnsi"/>
                <w:color w:val="000000"/>
                <w:sz w:val="20"/>
                <w:szCs w:val="20"/>
              </w:rPr>
              <w:t>Monthly</w:t>
            </w:r>
          </w:p>
        </w:tc>
      </w:tr>
      <w:tr w:rsidR="007C4D11" w14:paraId="0544A277" w14:textId="298953A0" w:rsidTr="0061080A">
        <w:trPr>
          <w:gridBefore w:val="1"/>
          <w:wBefore w:w="31" w:type="dxa"/>
        </w:trPr>
        <w:tc>
          <w:tcPr>
            <w:tcW w:w="679" w:type="dxa"/>
          </w:tcPr>
          <w:p w14:paraId="36303E17" w14:textId="77777777" w:rsidR="007C4D11" w:rsidRDefault="007C4D11" w:rsidP="007C4D11">
            <w:pPr>
              <w:jc w:val="center"/>
            </w:pPr>
            <w:r>
              <w:t>KPI</w:t>
            </w:r>
          </w:p>
        </w:tc>
        <w:tc>
          <w:tcPr>
            <w:tcW w:w="6095" w:type="dxa"/>
          </w:tcPr>
          <w:p w14:paraId="73CABEA3" w14:textId="77777777" w:rsidR="007C4D11" w:rsidRDefault="007C4D11" w:rsidP="007C4D11">
            <w:pPr>
              <w:pStyle w:val="Default"/>
            </w:pPr>
            <w:r>
              <w:rPr>
                <w:sz w:val="22"/>
                <w:szCs w:val="22"/>
              </w:rPr>
              <w:t xml:space="preserve">% of urgent assessments </w:t>
            </w:r>
            <w:r>
              <w:rPr>
                <w:b/>
                <w:sz w:val="22"/>
                <w:szCs w:val="22"/>
              </w:rPr>
              <w:t>where appointment occurred</w:t>
            </w:r>
            <w:r>
              <w:rPr>
                <w:sz w:val="22"/>
                <w:szCs w:val="22"/>
              </w:rPr>
              <w:t xml:space="preserve"> within 10 working days of referral receipt.</w:t>
            </w:r>
          </w:p>
          <w:p w14:paraId="44007298" w14:textId="77777777" w:rsidR="007C4D11" w:rsidRDefault="007C4D11" w:rsidP="007C4D11">
            <w:pPr>
              <w:jc w:val="center"/>
            </w:pPr>
          </w:p>
        </w:tc>
        <w:tc>
          <w:tcPr>
            <w:tcW w:w="1260" w:type="dxa"/>
          </w:tcPr>
          <w:p w14:paraId="603902F7" w14:textId="77777777" w:rsidR="007C4D11" w:rsidRDefault="007C4D11" w:rsidP="007C4D11">
            <w:pPr>
              <w:jc w:val="center"/>
            </w:pPr>
            <w:r>
              <w:t>85%</w:t>
            </w:r>
          </w:p>
        </w:tc>
        <w:tc>
          <w:tcPr>
            <w:tcW w:w="1575" w:type="dxa"/>
          </w:tcPr>
          <w:p w14:paraId="06339E18" w14:textId="31FA0AA3" w:rsidR="007C4D11" w:rsidRPr="00823622" w:rsidRDefault="007C4D11" w:rsidP="007C4D11">
            <w:pPr>
              <w:jc w:val="center"/>
              <w:rPr>
                <w:sz w:val="20"/>
                <w:szCs w:val="20"/>
              </w:rPr>
            </w:pPr>
            <w:r w:rsidRPr="00823622">
              <w:rPr>
                <w:rFonts w:cstheme="minorHAnsi"/>
                <w:color w:val="000000"/>
                <w:sz w:val="20"/>
                <w:szCs w:val="20"/>
              </w:rPr>
              <w:t>Subject to Clause GC9 (Contract Management</w:t>
            </w:r>
            <w:r w:rsidRPr="00823622">
              <w:rPr>
                <w:rFonts w:eastAsia="Times New Roman" w:cstheme="minorHAnsi"/>
                <w:color w:val="000000" w:themeColor="text1"/>
                <w:sz w:val="20"/>
                <w:szCs w:val="20"/>
              </w:rPr>
              <w:t>)</w:t>
            </w:r>
          </w:p>
        </w:tc>
        <w:tc>
          <w:tcPr>
            <w:tcW w:w="1276" w:type="dxa"/>
          </w:tcPr>
          <w:p w14:paraId="1459E683" w14:textId="0271CCC6" w:rsidR="007C4D11" w:rsidRPr="00823622" w:rsidRDefault="007C4D11" w:rsidP="007C4D11">
            <w:pPr>
              <w:jc w:val="center"/>
              <w:rPr>
                <w:rFonts w:cstheme="minorHAnsi"/>
                <w:color w:val="000000"/>
                <w:sz w:val="20"/>
                <w:szCs w:val="20"/>
              </w:rPr>
            </w:pPr>
            <w:r>
              <w:rPr>
                <w:rFonts w:cstheme="minorHAnsi"/>
                <w:color w:val="000000"/>
                <w:sz w:val="20"/>
                <w:szCs w:val="20"/>
              </w:rPr>
              <w:t>Monthly</w:t>
            </w:r>
          </w:p>
        </w:tc>
      </w:tr>
      <w:tr w:rsidR="007C4D11" w14:paraId="75456EB1" w14:textId="57ECF858" w:rsidTr="0061080A">
        <w:trPr>
          <w:gridBefore w:val="1"/>
          <w:wBefore w:w="31" w:type="dxa"/>
        </w:trPr>
        <w:tc>
          <w:tcPr>
            <w:tcW w:w="679" w:type="dxa"/>
          </w:tcPr>
          <w:p w14:paraId="351954FF" w14:textId="77777777" w:rsidR="007C4D11" w:rsidRDefault="007C4D11" w:rsidP="007C4D11">
            <w:pPr>
              <w:jc w:val="center"/>
            </w:pPr>
            <w:r>
              <w:t>KPI</w:t>
            </w:r>
          </w:p>
        </w:tc>
        <w:tc>
          <w:tcPr>
            <w:tcW w:w="6095" w:type="dxa"/>
          </w:tcPr>
          <w:p w14:paraId="27DE8318" w14:textId="4690B6F6" w:rsidR="007C4D11" w:rsidRDefault="007C4D11" w:rsidP="007C4D11">
            <w:pPr>
              <w:pStyle w:val="Default"/>
              <w:rPr>
                <w:sz w:val="22"/>
                <w:szCs w:val="22"/>
              </w:rPr>
            </w:pPr>
            <w:r>
              <w:rPr>
                <w:sz w:val="22"/>
                <w:szCs w:val="22"/>
              </w:rPr>
              <w:t xml:space="preserve">% of non-urgent assessments </w:t>
            </w:r>
            <w:r>
              <w:rPr>
                <w:b/>
                <w:sz w:val="22"/>
                <w:szCs w:val="22"/>
              </w:rPr>
              <w:t>offered</w:t>
            </w:r>
            <w:r w:rsidRPr="00633F2D">
              <w:rPr>
                <w:b/>
                <w:sz w:val="22"/>
                <w:szCs w:val="22"/>
              </w:rPr>
              <w:t xml:space="preserve"> an appointment date</w:t>
            </w:r>
            <w:r>
              <w:rPr>
                <w:sz w:val="22"/>
                <w:szCs w:val="22"/>
              </w:rPr>
              <w:t xml:space="preserve"> within 30 working days of referral receipt.</w:t>
            </w:r>
          </w:p>
          <w:tbl>
            <w:tblPr>
              <w:tblW w:w="7000" w:type="dxa"/>
              <w:tblLayout w:type="fixed"/>
              <w:tblLook w:val="04A0" w:firstRow="1" w:lastRow="0" w:firstColumn="1" w:lastColumn="0" w:noHBand="0" w:noVBand="1"/>
            </w:tblPr>
            <w:tblGrid>
              <w:gridCol w:w="2840"/>
              <w:gridCol w:w="4160"/>
            </w:tblGrid>
            <w:tr w:rsidR="007C4D11" w:rsidRPr="00CC5746" w14:paraId="6F085FDA" w14:textId="77777777" w:rsidTr="00596554">
              <w:trPr>
                <w:trHeight w:val="525"/>
              </w:trPr>
              <w:tc>
                <w:tcPr>
                  <w:tcW w:w="2840" w:type="dxa"/>
                  <w:vMerge w:val="restart"/>
                  <w:tcBorders>
                    <w:top w:val="single" w:sz="4" w:space="0" w:color="auto"/>
                    <w:left w:val="single" w:sz="4" w:space="0" w:color="auto"/>
                    <w:bottom w:val="nil"/>
                    <w:right w:val="single" w:sz="4" w:space="0" w:color="auto"/>
                  </w:tcBorders>
                  <w:shd w:val="clear" w:color="auto" w:fill="auto"/>
                  <w:vAlign w:val="center"/>
                  <w:hideMark/>
                </w:tcPr>
                <w:p w14:paraId="0F6E0902" w14:textId="77777777" w:rsidR="007C4D11" w:rsidRPr="00CC5746" w:rsidRDefault="007C4D11" w:rsidP="007C4D11">
                  <w:pPr>
                    <w:spacing w:after="0" w:line="240" w:lineRule="auto"/>
                    <w:jc w:val="center"/>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Waiting times from referral to triage and referral to assessment - Routine</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14:paraId="0B5C4D26" w14:textId="77777777" w:rsidR="007C4D11" w:rsidRPr="00CC5746" w:rsidRDefault="007C4D11" w:rsidP="007C4D11">
                  <w:pPr>
                    <w:spacing w:after="0" w:line="240" w:lineRule="auto"/>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Referral triaged and appointment offered: 2 working days</w:t>
                  </w:r>
                </w:p>
              </w:tc>
            </w:tr>
            <w:tr w:rsidR="007C4D11" w:rsidRPr="00CC5746" w14:paraId="659CC722" w14:textId="77777777" w:rsidTr="00596554">
              <w:trPr>
                <w:trHeight w:val="525"/>
              </w:trPr>
              <w:tc>
                <w:tcPr>
                  <w:tcW w:w="2840" w:type="dxa"/>
                  <w:vMerge/>
                  <w:tcBorders>
                    <w:top w:val="single" w:sz="4" w:space="0" w:color="auto"/>
                    <w:left w:val="single" w:sz="4" w:space="0" w:color="auto"/>
                    <w:bottom w:val="nil"/>
                    <w:right w:val="single" w:sz="4" w:space="0" w:color="auto"/>
                  </w:tcBorders>
                  <w:vAlign w:val="center"/>
                  <w:hideMark/>
                </w:tcPr>
                <w:p w14:paraId="2F521F1D" w14:textId="77777777" w:rsidR="007C4D11" w:rsidRPr="00CC5746" w:rsidRDefault="007C4D11" w:rsidP="007C4D11">
                  <w:pPr>
                    <w:spacing w:after="0" w:line="240" w:lineRule="auto"/>
                    <w:rPr>
                      <w:rFonts w:ascii="Calibri" w:eastAsia="Times New Roman" w:hAnsi="Calibri" w:cs="Calibri"/>
                      <w:color w:val="000000"/>
                      <w:sz w:val="20"/>
                      <w:szCs w:val="20"/>
                      <w:lang w:eastAsia="en-GB"/>
                    </w:rPr>
                  </w:pPr>
                </w:p>
              </w:tc>
              <w:tc>
                <w:tcPr>
                  <w:tcW w:w="4160" w:type="dxa"/>
                  <w:tcBorders>
                    <w:top w:val="nil"/>
                    <w:left w:val="nil"/>
                    <w:bottom w:val="single" w:sz="4" w:space="0" w:color="auto"/>
                    <w:right w:val="single" w:sz="4" w:space="0" w:color="auto"/>
                  </w:tcBorders>
                  <w:shd w:val="clear" w:color="auto" w:fill="auto"/>
                  <w:vAlign w:val="center"/>
                  <w:hideMark/>
                </w:tcPr>
                <w:p w14:paraId="7C806B2E" w14:textId="77777777" w:rsidR="007C4D11" w:rsidRPr="00CC5746" w:rsidRDefault="007C4D11" w:rsidP="007C4D11">
                  <w:pPr>
                    <w:spacing w:after="0" w:line="240" w:lineRule="auto"/>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Assessment: 10 working days</w:t>
                  </w:r>
                </w:p>
              </w:tc>
            </w:tr>
            <w:tr w:rsidR="007C4D11" w:rsidRPr="00CC5746" w14:paraId="27882BAC" w14:textId="77777777" w:rsidTr="00596554">
              <w:trPr>
                <w:trHeight w:val="525"/>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05445" w14:textId="77777777" w:rsidR="007C4D11" w:rsidRPr="00CC5746" w:rsidRDefault="007C4D11" w:rsidP="007C4D11">
                  <w:pPr>
                    <w:spacing w:after="0" w:line="240" w:lineRule="auto"/>
                    <w:jc w:val="center"/>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Low need</w:t>
                  </w:r>
                </w:p>
              </w:tc>
              <w:tc>
                <w:tcPr>
                  <w:tcW w:w="4160" w:type="dxa"/>
                  <w:tcBorders>
                    <w:top w:val="nil"/>
                    <w:left w:val="nil"/>
                    <w:bottom w:val="single" w:sz="4" w:space="0" w:color="auto"/>
                    <w:right w:val="single" w:sz="4" w:space="0" w:color="auto"/>
                  </w:tcBorders>
                  <w:shd w:val="clear" w:color="auto" w:fill="auto"/>
                  <w:vAlign w:val="center"/>
                  <w:hideMark/>
                </w:tcPr>
                <w:p w14:paraId="1DFDAAA5" w14:textId="77777777" w:rsidR="007C4D11" w:rsidRPr="00CC5746" w:rsidRDefault="007C4D11" w:rsidP="007C4D11">
                  <w:pPr>
                    <w:spacing w:after="0" w:line="240" w:lineRule="auto"/>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Assessment: 30 working days</w:t>
                  </w:r>
                </w:p>
              </w:tc>
            </w:tr>
            <w:tr w:rsidR="007C4D11" w:rsidRPr="00CC5746" w14:paraId="752B168C" w14:textId="77777777" w:rsidTr="00596554">
              <w:trPr>
                <w:trHeight w:val="525"/>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E003403" w14:textId="77777777" w:rsidR="007C4D11" w:rsidRPr="00CC5746" w:rsidRDefault="007C4D11" w:rsidP="007C4D11">
                  <w:pPr>
                    <w:spacing w:after="0" w:line="240" w:lineRule="auto"/>
                    <w:jc w:val="center"/>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Medium need</w:t>
                  </w:r>
                </w:p>
              </w:tc>
              <w:tc>
                <w:tcPr>
                  <w:tcW w:w="4160" w:type="dxa"/>
                  <w:tcBorders>
                    <w:top w:val="nil"/>
                    <w:left w:val="nil"/>
                    <w:bottom w:val="single" w:sz="4" w:space="0" w:color="auto"/>
                    <w:right w:val="single" w:sz="4" w:space="0" w:color="auto"/>
                  </w:tcBorders>
                  <w:shd w:val="clear" w:color="auto" w:fill="auto"/>
                  <w:vAlign w:val="center"/>
                  <w:hideMark/>
                </w:tcPr>
                <w:p w14:paraId="58D8185A" w14:textId="77777777" w:rsidR="007C4D11" w:rsidRPr="00CC5746" w:rsidRDefault="007C4D11" w:rsidP="007C4D11">
                  <w:pPr>
                    <w:spacing w:after="0" w:line="240" w:lineRule="auto"/>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Assessment: 30 working days</w:t>
                  </w:r>
                </w:p>
              </w:tc>
            </w:tr>
            <w:tr w:rsidR="007C4D11" w:rsidRPr="00CC5746" w14:paraId="0B32F1D9" w14:textId="77777777" w:rsidTr="00596554">
              <w:trPr>
                <w:trHeight w:val="525"/>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10D019B" w14:textId="77777777" w:rsidR="007C4D11" w:rsidRPr="00CC5746" w:rsidRDefault="007C4D11" w:rsidP="007C4D11">
                  <w:pPr>
                    <w:spacing w:after="0" w:line="240" w:lineRule="auto"/>
                    <w:jc w:val="center"/>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High need</w:t>
                  </w:r>
                </w:p>
              </w:tc>
              <w:tc>
                <w:tcPr>
                  <w:tcW w:w="4160" w:type="dxa"/>
                  <w:tcBorders>
                    <w:top w:val="nil"/>
                    <w:left w:val="nil"/>
                    <w:bottom w:val="single" w:sz="4" w:space="0" w:color="auto"/>
                    <w:right w:val="single" w:sz="4" w:space="0" w:color="auto"/>
                  </w:tcBorders>
                  <w:shd w:val="clear" w:color="auto" w:fill="auto"/>
                  <w:vAlign w:val="center"/>
                  <w:hideMark/>
                </w:tcPr>
                <w:p w14:paraId="3B035DD1" w14:textId="77777777" w:rsidR="007C4D11" w:rsidRPr="00CC5746" w:rsidRDefault="007C4D11" w:rsidP="007C4D11">
                  <w:pPr>
                    <w:spacing w:after="0" w:line="240" w:lineRule="auto"/>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Assessment: 30 working days</w:t>
                  </w:r>
                </w:p>
              </w:tc>
            </w:tr>
            <w:tr w:rsidR="007C4D11" w:rsidRPr="00CC5746" w14:paraId="4A50EB85" w14:textId="77777777" w:rsidTr="00596554">
              <w:trPr>
                <w:trHeight w:val="525"/>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C74B9EB" w14:textId="77777777" w:rsidR="007C4D11" w:rsidRPr="00CC5746" w:rsidRDefault="007C4D11" w:rsidP="007C4D11">
                  <w:pPr>
                    <w:spacing w:after="0" w:line="240" w:lineRule="auto"/>
                    <w:jc w:val="center"/>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lastRenderedPageBreak/>
                    <w:t>Specialist need</w:t>
                  </w:r>
                </w:p>
              </w:tc>
              <w:tc>
                <w:tcPr>
                  <w:tcW w:w="4160" w:type="dxa"/>
                  <w:tcBorders>
                    <w:top w:val="nil"/>
                    <w:left w:val="nil"/>
                    <w:bottom w:val="single" w:sz="4" w:space="0" w:color="auto"/>
                    <w:right w:val="single" w:sz="4" w:space="0" w:color="auto"/>
                  </w:tcBorders>
                  <w:shd w:val="clear" w:color="auto" w:fill="auto"/>
                  <w:vAlign w:val="center"/>
                  <w:hideMark/>
                </w:tcPr>
                <w:p w14:paraId="650D4D07" w14:textId="77777777" w:rsidR="007C4D11" w:rsidRPr="00CC5746" w:rsidRDefault="007C4D11" w:rsidP="007C4D11">
                  <w:pPr>
                    <w:spacing w:after="0" w:line="240" w:lineRule="auto"/>
                    <w:rPr>
                      <w:rFonts w:ascii="Calibri" w:eastAsia="Times New Roman" w:hAnsi="Calibri" w:cs="Calibri"/>
                      <w:color w:val="000000"/>
                      <w:sz w:val="20"/>
                      <w:szCs w:val="20"/>
                      <w:lang w:eastAsia="en-GB"/>
                    </w:rPr>
                  </w:pPr>
                  <w:r w:rsidRPr="00CC5746">
                    <w:rPr>
                      <w:rFonts w:ascii="Calibri" w:eastAsia="Times New Roman" w:hAnsi="Calibri" w:cs="Calibri"/>
                      <w:color w:val="000000"/>
                      <w:sz w:val="20"/>
                      <w:szCs w:val="20"/>
                      <w:lang w:eastAsia="en-GB"/>
                    </w:rPr>
                    <w:t>Assessment: 30 working days</w:t>
                  </w:r>
                </w:p>
              </w:tc>
            </w:tr>
          </w:tbl>
          <w:p w14:paraId="38C7CF70" w14:textId="77777777" w:rsidR="007C4D11" w:rsidRDefault="007C4D11" w:rsidP="007C4D11">
            <w:pPr>
              <w:pStyle w:val="Default"/>
            </w:pPr>
          </w:p>
          <w:p w14:paraId="1E57FC00" w14:textId="77777777" w:rsidR="007C4D11" w:rsidRDefault="007C4D11" w:rsidP="007C4D11">
            <w:pPr>
              <w:jc w:val="center"/>
            </w:pPr>
          </w:p>
        </w:tc>
        <w:tc>
          <w:tcPr>
            <w:tcW w:w="1260" w:type="dxa"/>
          </w:tcPr>
          <w:p w14:paraId="306B3C08" w14:textId="29AB22B3" w:rsidR="007C4D11" w:rsidRDefault="007C4D11" w:rsidP="007C4D11">
            <w:pPr>
              <w:jc w:val="center"/>
            </w:pPr>
            <w:r>
              <w:lastRenderedPageBreak/>
              <w:t>95%</w:t>
            </w:r>
          </w:p>
        </w:tc>
        <w:tc>
          <w:tcPr>
            <w:tcW w:w="1575" w:type="dxa"/>
          </w:tcPr>
          <w:p w14:paraId="75B367B1" w14:textId="77777777" w:rsidR="007C4D11" w:rsidRDefault="007C4D11" w:rsidP="007C4D11">
            <w:pPr>
              <w:jc w:val="center"/>
              <w:rPr>
                <w:rFonts w:cstheme="minorHAnsi"/>
                <w:color w:val="000000"/>
                <w:sz w:val="20"/>
                <w:szCs w:val="20"/>
              </w:rPr>
            </w:pPr>
          </w:p>
          <w:p w14:paraId="08EE1A27" w14:textId="77777777" w:rsidR="007C4D11" w:rsidRDefault="007C4D11" w:rsidP="007C4D11">
            <w:pPr>
              <w:jc w:val="center"/>
              <w:rPr>
                <w:rFonts w:cstheme="minorHAnsi"/>
                <w:color w:val="000000"/>
                <w:sz w:val="20"/>
                <w:szCs w:val="20"/>
              </w:rPr>
            </w:pPr>
          </w:p>
          <w:p w14:paraId="64B6A874" w14:textId="77777777" w:rsidR="007C4D11" w:rsidRDefault="007C4D11" w:rsidP="007C4D11">
            <w:pPr>
              <w:jc w:val="center"/>
              <w:rPr>
                <w:rFonts w:cstheme="minorHAnsi"/>
                <w:color w:val="000000"/>
                <w:sz w:val="20"/>
                <w:szCs w:val="20"/>
              </w:rPr>
            </w:pPr>
          </w:p>
          <w:p w14:paraId="1CEAC2F2" w14:textId="316E04B0" w:rsidR="007C4D11" w:rsidRPr="00823622" w:rsidRDefault="007C4D11" w:rsidP="007C4D11">
            <w:pPr>
              <w:jc w:val="center"/>
              <w:rPr>
                <w:sz w:val="20"/>
                <w:szCs w:val="20"/>
              </w:rPr>
            </w:pPr>
            <w:r w:rsidRPr="00823622">
              <w:rPr>
                <w:rFonts w:cstheme="minorHAnsi"/>
                <w:color w:val="000000"/>
                <w:sz w:val="20"/>
                <w:szCs w:val="20"/>
              </w:rPr>
              <w:t>Subject to Clause GC9 (Contract Management</w:t>
            </w:r>
            <w:r w:rsidRPr="00823622">
              <w:rPr>
                <w:rFonts w:eastAsia="Times New Roman" w:cstheme="minorHAnsi"/>
                <w:color w:val="000000" w:themeColor="text1"/>
                <w:sz w:val="20"/>
                <w:szCs w:val="20"/>
              </w:rPr>
              <w:t>)</w:t>
            </w:r>
          </w:p>
        </w:tc>
        <w:tc>
          <w:tcPr>
            <w:tcW w:w="1276" w:type="dxa"/>
          </w:tcPr>
          <w:p w14:paraId="3900301F" w14:textId="67DC27C5" w:rsidR="007C4D11" w:rsidRDefault="007C4D11" w:rsidP="007C4D11">
            <w:pPr>
              <w:jc w:val="center"/>
              <w:rPr>
                <w:rFonts w:cstheme="minorHAnsi"/>
                <w:color w:val="000000"/>
                <w:sz w:val="20"/>
                <w:szCs w:val="20"/>
              </w:rPr>
            </w:pPr>
            <w:r>
              <w:rPr>
                <w:rFonts w:cstheme="minorHAnsi"/>
                <w:color w:val="000000"/>
                <w:sz w:val="20"/>
                <w:szCs w:val="20"/>
              </w:rPr>
              <w:t>Monthly</w:t>
            </w:r>
          </w:p>
        </w:tc>
      </w:tr>
      <w:tr w:rsidR="007C4D11" w14:paraId="63070430" w14:textId="5742DB2B" w:rsidTr="0061080A">
        <w:trPr>
          <w:gridBefore w:val="1"/>
          <w:wBefore w:w="31" w:type="dxa"/>
        </w:trPr>
        <w:tc>
          <w:tcPr>
            <w:tcW w:w="679" w:type="dxa"/>
          </w:tcPr>
          <w:p w14:paraId="03B45FA9" w14:textId="77777777" w:rsidR="007C4D11" w:rsidRDefault="007C4D11" w:rsidP="007C4D11">
            <w:pPr>
              <w:jc w:val="center"/>
            </w:pPr>
            <w:r>
              <w:t>KPI</w:t>
            </w:r>
          </w:p>
        </w:tc>
        <w:tc>
          <w:tcPr>
            <w:tcW w:w="6095" w:type="dxa"/>
          </w:tcPr>
          <w:p w14:paraId="39C6847A" w14:textId="77777777" w:rsidR="007C4D11" w:rsidRDefault="007C4D11" w:rsidP="007C4D11">
            <w:pPr>
              <w:pStyle w:val="Default"/>
            </w:pPr>
            <w:r>
              <w:rPr>
                <w:sz w:val="22"/>
                <w:szCs w:val="22"/>
              </w:rPr>
              <w:t xml:space="preserve">% of non-urgent assessments </w:t>
            </w:r>
            <w:r>
              <w:rPr>
                <w:b/>
                <w:sz w:val="22"/>
                <w:szCs w:val="22"/>
              </w:rPr>
              <w:t>where appointment occurred</w:t>
            </w:r>
            <w:r>
              <w:rPr>
                <w:sz w:val="22"/>
                <w:szCs w:val="22"/>
              </w:rPr>
              <w:t xml:space="preserve"> within 30 working days of referral receipt.</w:t>
            </w:r>
          </w:p>
          <w:p w14:paraId="0FD50B00" w14:textId="77777777" w:rsidR="007C4D11" w:rsidRDefault="007C4D11" w:rsidP="007C4D11">
            <w:pPr>
              <w:jc w:val="center"/>
            </w:pPr>
          </w:p>
        </w:tc>
        <w:tc>
          <w:tcPr>
            <w:tcW w:w="1260" w:type="dxa"/>
          </w:tcPr>
          <w:p w14:paraId="7B13A7D5" w14:textId="3D299D53" w:rsidR="007C4D11" w:rsidRDefault="007C4D11" w:rsidP="007C4D11">
            <w:pPr>
              <w:jc w:val="center"/>
            </w:pPr>
            <w:r>
              <w:t>85%</w:t>
            </w:r>
          </w:p>
        </w:tc>
        <w:tc>
          <w:tcPr>
            <w:tcW w:w="1575" w:type="dxa"/>
          </w:tcPr>
          <w:p w14:paraId="3C1A965B" w14:textId="0D7A5EC4" w:rsidR="007C4D11" w:rsidRDefault="007C4D11" w:rsidP="007C4D11">
            <w:pPr>
              <w:jc w:val="center"/>
            </w:pPr>
            <w:r w:rsidRPr="00823622">
              <w:rPr>
                <w:rFonts w:cstheme="minorHAnsi"/>
                <w:color w:val="000000"/>
                <w:sz w:val="20"/>
                <w:szCs w:val="20"/>
              </w:rPr>
              <w:t>Subject to Clause GC9 (Contract Management</w:t>
            </w:r>
            <w:r w:rsidRPr="00823622">
              <w:rPr>
                <w:rFonts w:eastAsia="Times New Roman" w:cstheme="minorHAnsi"/>
                <w:color w:val="000000" w:themeColor="text1"/>
                <w:sz w:val="20"/>
                <w:szCs w:val="20"/>
              </w:rPr>
              <w:t>)</w:t>
            </w:r>
          </w:p>
        </w:tc>
        <w:tc>
          <w:tcPr>
            <w:tcW w:w="1276" w:type="dxa"/>
          </w:tcPr>
          <w:p w14:paraId="3ADEEC85" w14:textId="03EEA84E" w:rsidR="007C4D11" w:rsidRPr="00823622" w:rsidRDefault="007C4D11" w:rsidP="007C4D11">
            <w:pPr>
              <w:jc w:val="center"/>
              <w:rPr>
                <w:rFonts w:cstheme="minorHAnsi"/>
                <w:color w:val="000000"/>
                <w:sz w:val="20"/>
                <w:szCs w:val="20"/>
              </w:rPr>
            </w:pPr>
            <w:r>
              <w:rPr>
                <w:rFonts w:cstheme="minorHAnsi"/>
                <w:color w:val="000000"/>
                <w:sz w:val="20"/>
                <w:szCs w:val="20"/>
              </w:rPr>
              <w:t>Monthly</w:t>
            </w:r>
          </w:p>
        </w:tc>
      </w:tr>
      <w:tr w:rsidR="007C4D11" w14:paraId="5740A3E7" w14:textId="15247360" w:rsidTr="0061080A">
        <w:trPr>
          <w:gridBefore w:val="1"/>
          <w:wBefore w:w="31" w:type="dxa"/>
        </w:trPr>
        <w:tc>
          <w:tcPr>
            <w:tcW w:w="9609" w:type="dxa"/>
            <w:gridSpan w:val="4"/>
            <w:shd w:val="clear" w:color="auto" w:fill="C6D9F1" w:themeFill="text2" w:themeFillTint="33"/>
          </w:tcPr>
          <w:p w14:paraId="1F388B31" w14:textId="77777777" w:rsidR="007C4D11" w:rsidRPr="00357728" w:rsidRDefault="007C4D11" w:rsidP="007C4D11">
            <w:pPr>
              <w:rPr>
                <w:b/>
              </w:rPr>
            </w:pPr>
            <w:r>
              <w:rPr>
                <w:b/>
              </w:rPr>
              <w:t>4</w:t>
            </w:r>
            <w:r w:rsidRPr="00357728">
              <w:rPr>
                <w:b/>
              </w:rPr>
              <w:t>.</w:t>
            </w:r>
            <w:r>
              <w:rPr>
                <w:b/>
              </w:rPr>
              <w:t xml:space="preserve">  Outcome of assessment</w:t>
            </w:r>
          </w:p>
        </w:tc>
        <w:tc>
          <w:tcPr>
            <w:tcW w:w="1276" w:type="dxa"/>
            <w:shd w:val="clear" w:color="auto" w:fill="C6D9F1" w:themeFill="text2" w:themeFillTint="33"/>
          </w:tcPr>
          <w:p w14:paraId="326AE12C" w14:textId="77777777" w:rsidR="007C4D11" w:rsidRDefault="007C4D11" w:rsidP="007C4D11">
            <w:pPr>
              <w:rPr>
                <w:b/>
              </w:rPr>
            </w:pPr>
          </w:p>
        </w:tc>
      </w:tr>
      <w:tr w:rsidR="007C4D11" w14:paraId="7A15EE00" w14:textId="494D30C5" w:rsidTr="0061080A">
        <w:trPr>
          <w:gridBefore w:val="1"/>
          <w:wBefore w:w="31" w:type="dxa"/>
          <w:trHeight w:val="1395"/>
        </w:trPr>
        <w:tc>
          <w:tcPr>
            <w:tcW w:w="679" w:type="dxa"/>
          </w:tcPr>
          <w:p w14:paraId="65DCAB3C" w14:textId="77777777" w:rsidR="007C4D11" w:rsidRDefault="007C4D11" w:rsidP="007C4D11">
            <w:pPr>
              <w:jc w:val="center"/>
            </w:pPr>
            <w:r>
              <w:t>KPI</w:t>
            </w:r>
          </w:p>
        </w:tc>
        <w:tc>
          <w:tcPr>
            <w:tcW w:w="6095" w:type="dxa"/>
          </w:tcPr>
          <w:p w14:paraId="5DA2003A" w14:textId="77777777" w:rsidR="007C4D11" w:rsidRDefault="007C4D11" w:rsidP="007C4D11">
            <w:pPr>
              <w:pStyle w:val="Default"/>
            </w:pPr>
            <w:r>
              <w:rPr>
                <w:sz w:val="22"/>
                <w:szCs w:val="22"/>
              </w:rPr>
              <w:t xml:space="preserve">Details of the outcome of the assessment (incl. appropriate clinical information) sent to the Users GP practice and to the referring professional </w:t>
            </w:r>
            <w:r w:rsidRPr="005D12C1">
              <w:rPr>
                <w:sz w:val="22"/>
                <w:szCs w:val="22"/>
              </w:rPr>
              <w:t>within 4 days</w:t>
            </w:r>
          </w:p>
          <w:p w14:paraId="2AEF8C56" w14:textId="77777777" w:rsidR="007C4D11" w:rsidRDefault="007C4D11" w:rsidP="007C4D11">
            <w:pPr>
              <w:jc w:val="center"/>
            </w:pPr>
          </w:p>
        </w:tc>
        <w:tc>
          <w:tcPr>
            <w:tcW w:w="1260" w:type="dxa"/>
          </w:tcPr>
          <w:p w14:paraId="42E77BDC" w14:textId="77777777" w:rsidR="007C4D11" w:rsidRDefault="007C4D11" w:rsidP="007C4D11">
            <w:pPr>
              <w:jc w:val="center"/>
            </w:pPr>
            <w:r>
              <w:t>98%</w:t>
            </w:r>
          </w:p>
        </w:tc>
        <w:tc>
          <w:tcPr>
            <w:tcW w:w="1575" w:type="dxa"/>
          </w:tcPr>
          <w:p w14:paraId="45877EBD" w14:textId="77777777" w:rsidR="007C4D11" w:rsidRDefault="007C4D11" w:rsidP="007C4D11">
            <w:pPr>
              <w:jc w:val="center"/>
            </w:pPr>
          </w:p>
        </w:tc>
        <w:tc>
          <w:tcPr>
            <w:tcW w:w="1276" w:type="dxa"/>
          </w:tcPr>
          <w:p w14:paraId="3154E2F7" w14:textId="0D1C08E5" w:rsidR="007C4D11" w:rsidRDefault="007C4D11" w:rsidP="007C4D11">
            <w:pPr>
              <w:jc w:val="center"/>
            </w:pPr>
            <w:r>
              <w:rPr>
                <w:rFonts w:cstheme="minorHAnsi"/>
                <w:color w:val="000000"/>
                <w:sz w:val="20"/>
                <w:szCs w:val="20"/>
              </w:rPr>
              <w:t>Monthly</w:t>
            </w:r>
          </w:p>
        </w:tc>
      </w:tr>
      <w:tr w:rsidR="007C4D11" w:rsidRPr="00357728" w14:paraId="7A17A215" w14:textId="2093D8B4" w:rsidTr="0061080A">
        <w:trPr>
          <w:gridBefore w:val="1"/>
          <w:wBefore w:w="31" w:type="dxa"/>
        </w:trPr>
        <w:tc>
          <w:tcPr>
            <w:tcW w:w="9609" w:type="dxa"/>
            <w:gridSpan w:val="4"/>
            <w:shd w:val="clear" w:color="auto" w:fill="C6D9F1" w:themeFill="text2" w:themeFillTint="33"/>
          </w:tcPr>
          <w:p w14:paraId="365871EF" w14:textId="77777777" w:rsidR="007C4D11" w:rsidRPr="00357728" w:rsidRDefault="007C4D11" w:rsidP="007C4D11">
            <w:pPr>
              <w:rPr>
                <w:b/>
              </w:rPr>
            </w:pPr>
            <w:r>
              <w:rPr>
                <w:b/>
              </w:rPr>
              <w:t>5</w:t>
            </w:r>
            <w:r w:rsidRPr="00357728">
              <w:rPr>
                <w:b/>
              </w:rPr>
              <w:t>.</w:t>
            </w:r>
            <w:r>
              <w:rPr>
                <w:b/>
              </w:rPr>
              <w:t xml:space="preserve">  Cancellations</w:t>
            </w:r>
          </w:p>
        </w:tc>
        <w:tc>
          <w:tcPr>
            <w:tcW w:w="1276" w:type="dxa"/>
            <w:shd w:val="clear" w:color="auto" w:fill="C6D9F1" w:themeFill="text2" w:themeFillTint="33"/>
          </w:tcPr>
          <w:p w14:paraId="62ED22FE" w14:textId="77777777" w:rsidR="007C4D11" w:rsidRDefault="007C4D11" w:rsidP="007C4D11">
            <w:pPr>
              <w:rPr>
                <w:b/>
              </w:rPr>
            </w:pPr>
          </w:p>
        </w:tc>
      </w:tr>
      <w:tr w:rsidR="007C4D11" w14:paraId="482C5458" w14:textId="3E644D8E" w:rsidTr="0061080A">
        <w:trPr>
          <w:gridBefore w:val="1"/>
          <w:wBefore w:w="31" w:type="dxa"/>
        </w:trPr>
        <w:tc>
          <w:tcPr>
            <w:tcW w:w="679" w:type="dxa"/>
          </w:tcPr>
          <w:p w14:paraId="77B1EBAC" w14:textId="77777777" w:rsidR="007C4D11" w:rsidRDefault="007C4D11" w:rsidP="007C4D11">
            <w:pPr>
              <w:jc w:val="center"/>
            </w:pPr>
            <w:r>
              <w:t>KPI</w:t>
            </w:r>
          </w:p>
        </w:tc>
        <w:tc>
          <w:tcPr>
            <w:tcW w:w="6095" w:type="dxa"/>
          </w:tcPr>
          <w:p w14:paraId="7FAB22FC" w14:textId="77777777" w:rsidR="007C4D11" w:rsidRDefault="007C4D11" w:rsidP="007C4D11">
            <w:pPr>
              <w:pStyle w:val="Default"/>
            </w:pPr>
            <w:r>
              <w:rPr>
                <w:sz w:val="22"/>
                <w:szCs w:val="22"/>
              </w:rPr>
              <w:t>Rate of appointments cancelled by the service and reasons for cancellation.</w:t>
            </w:r>
          </w:p>
          <w:p w14:paraId="636A2757" w14:textId="77777777" w:rsidR="007C4D11" w:rsidRDefault="007C4D11" w:rsidP="007C4D11">
            <w:pPr>
              <w:pStyle w:val="Default"/>
              <w:rPr>
                <w:sz w:val="22"/>
                <w:szCs w:val="22"/>
              </w:rPr>
            </w:pPr>
          </w:p>
        </w:tc>
        <w:tc>
          <w:tcPr>
            <w:tcW w:w="1260" w:type="dxa"/>
          </w:tcPr>
          <w:p w14:paraId="7A740FF1" w14:textId="77777777" w:rsidR="007C4D11" w:rsidRDefault="007C4D11" w:rsidP="007C4D11">
            <w:pPr>
              <w:jc w:val="center"/>
            </w:pPr>
            <w:r>
              <w:t>≤5%</w:t>
            </w:r>
          </w:p>
        </w:tc>
        <w:tc>
          <w:tcPr>
            <w:tcW w:w="1575" w:type="dxa"/>
          </w:tcPr>
          <w:p w14:paraId="51947A80" w14:textId="77777777" w:rsidR="007C4D11" w:rsidRDefault="007C4D11" w:rsidP="007C4D11">
            <w:pPr>
              <w:jc w:val="center"/>
            </w:pPr>
          </w:p>
        </w:tc>
        <w:tc>
          <w:tcPr>
            <w:tcW w:w="1276" w:type="dxa"/>
          </w:tcPr>
          <w:p w14:paraId="29000DEA" w14:textId="75BB75D9" w:rsidR="007C4D11" w:rsidRDefault="007C4D11" w:rsidP="007C4D11">
            <w:pPr>
              <w:jc w:val="center"/>
            </w:pPr>
            <w:r>
              <w:rPr>
                <w:rFonts w:cstheme="minorHAnsi"/>
                <w:color w:val="000000"/>
                <w:sz w:val="20"/>
                <w:szCs w:val="20"/>
              </w:rPr>
              <w:t>Monthly</w:t>
            </w:r>
          </w:p>
        </w:tc>
      </w:tr>
      <w:tr w:rsidR="007C4D11" w14:paraId="0E457E8A" w14:textId="02228EDF" w:rsidTr="0061080A">
        <w:trPr>
          <w:gridBefore w:val="1"/>
          <w:wBefore w:w="31" w:type="dxa"/>
        </w:trPr>
        <w:tc>
          <w:tcPr>
            <w:tcW w:w="679" w:type="dxa"/>
          </w:tcPr>
          <w:p w14:paraId="67AC979F" w14:textId="77777777" w:rsidR="007C4D11" w:rsidRDefault="007C4D11" w:rsidP="007C4D11">
            <w:pPr>
              <w:jc w:val="center"/>
            </w:pPr>
            <w:r>
              <w:t>KPI</w:t>
            </w:r>
          </w:p>
        </w:tc>
        <w:tc>
          <w:tcPr>
            <w:tcW w:w="6095" w:type="dxa"/>
          </w:tcPr>
          <w:p w14:paraId="63419EED" w14:textId="77777777" w:rsidR="007C4D11" w:rsidRDefault="007C4D11" w:rsidP="007C4D11">
            <w:pPr>
              <w:pStyle w:val="Default"/>
            </w:pPr>
            <w:r>
              <w:rPr>
                <w:sz w:val="22"/>
                <w:szCs w:val="22"/>
              </w:rPr>
              <w:t>Rate of did not attends appointment (DNAs).</w:t>
            </w:r>
          </w:p>
          <w:p w14:paraId="677AE713" w14:textId="77777777" w:rsidR="007C4D11" w:rsidRDefault="007C4D11" w:rsidP="007C4D11">
            <w:pPr>
              <w:jc w:val="center"/>
            </w:pPr>
          </w:p>
        </w:tc>
        <w:tc>
          <w:tcPr>
            <w:tcW w:w="1260" w:type="dxa"/>
          </w:tcPr>
          <w:p w14:paraId="70FFC334" w14:textId="77777777" w:rsidR="007C4D11" w:rsidRDefault="007C4D11" w:rsidP="007C4D11">
            <w:pPr>
              <w:jc w:val="center"/>
            </w:pPr>
            <w:r>
              <w:t>≤10%</w:t>
            </w:r>
          </w:p>
        </w:tc>
        <w:tc>
          <w:tcPr>
            <w:tcW w:w="1575" w:type="dxa"/>
          </w:tcPr>
          <w:p w14:paraId="1EF09309" w14:textId="77777777" w:rsidR="007C4D11" w:rsidRDefault="007C4D11" w:rsidP="007C4D11">
            <w:pPr>
              <w:jc w:val="center"/>
            </w:pPr>
          </w:p>
        </w:tc>
        <w:tc>
          <w:tcPr>
            <w:tcW w:w="1276" w:type="dxa"/>
          </w:tcPr>
          <w:p w14:paraId="02CFB1B8" w14:textId="33A50AE8" w:rsidR="007C4D11" w:rsidRDefault="007C4D11" w:rsidP="007C4D11">
            <w:pPr>
              <w:jc w:val="center"/>
            </w:pPr>
            <w:r>
              <w:rPr>
                <w:rFonts w:cstheme="minorHAnsi"/>
                <w:color w:val="000000"/>
                <w:sz w:val="20"/>
                <w:szCs w:val="20"/>
              </w:rPr>
              <w:t>Monthly</w:t>
            </w:r>
          </w:p>
        </w:tc>
      </w:tr>
      <w:tr w:rsidR="007C4D11" w:rsidRPr="00AB6F06" w14:paraId="140CDA4E" w14:textId="51AF1CE8" w:rsidTr="0061080A">
        <w:trPr>
          <w:gridBefore w:val="1"/>
          <w:wBefore w:w="31" w:type="dxa"/>
        </w:trPr>
        <w:tc>
          <w:tcPr>
            <w:tcW w:w="9609" w:type="dxa"/>
            <w:gridSpan w:val="4"/>
            <w:shd w:val="clear" w:color="auto" w:fill="C6D9F1" w:themeFill="text2" w:themeFillTint="33"/>
          </w:tcPr>
          <w:p w14:paraId="23ABE214" w14:textId="77777777" w:rsidR="007C4D11" w:rsidRPr="00AB6F06" w:rsidRDefault="007C4D11" w:rsidP="007C4D11">
            <w:pPr>
              <w:tabs>
                <w:tab w:val="left" w:pos="1980"/>
              </w:tabs>
              <w:rPr>
                <w:b/>
              </w:rPr>
            </w:pPr>
            <w:r>
              <w:rPr>
                <w:b/>
              </w:rPr>
              <w:t xml:space="preserve">6.  Equipment delivery </w:t>
            </w:r>
          </w:p>
        </w:tc>
        <w:tc>
          <w:tcPr>
            <w:tcW w:w="1276" w:type="dxa"/>
            <w:shd w:val="clear" w:color="auto" w:fill="C6D9F1" w:themeFill="text2" w:themeFillTint="33"/>
          </w:tcPr>
          <w:p w14:paraId="45F4BECE" w14:textId="77777777" w:rsidR="007C4D11" w:rsidRDefault="007C4D11" w:rsidP="007C4D11">
            <w:pPr>
              <w:tabs>
                <w:tab w:val="left" w:pos="1980"/>
              </w:tabs>
              <w:rPr>
                <w:b/>
              </w:rPr>
            </w:pPr>
          </w:p>
        </w:tc>
      </w:tr>
      <w:tr w:rsidR="007C4D11" w:rsidRPr="00190F6C" w14:paraId="4215ACA6" w14:textId="5948CC76" w:rsidTr="0061080A">
        <w:trPr>
          <w:gridBefore w:val="1"/>
          <w:wBefore w:w="31" w:type="dxa"/>
        </w:trPr>
        <w:tc>
          <w:tcPr>
            <w:tcW w:w="679" w:type="dxa"/>
          </w:tcPr>
          <w:p w14:paraId="4C1FAF49" w14:textId="77777777" w:rsidR="007C4D11" w:rsidRDefault="007C4D11" w:rsidP="007C4D11">
            <w:pPr>
              <w:jc w:val="center"/>
            </w:pPr>
            <w:r>
              <w:t>KPI</w:t>
            </w:r>
          </w:p>
        </w:tc>
        <w:tc>
          <w:tcPr>
            <w:tcW w:w="6095" w:type="dxa"/>
          </w:tcPr>
          <w:p w14:paraId="76947243" w14:textId="77777777" w:rsidR="007C4D11" w:rsidRDefault="007C4D11" w:rsidP="007C4D11">
            <w:pPr>
              <w:pStyle w:val="Default"/>
              <w:rPr>
                <w:color w:val="auto"/>
                <w:sz w:val="22"/>
                <w:szCs w:val="22"/>
              </w:rPr>
            </w:pPr>
            <w:r>
              <w:rPr>
                <w:color w:val="auto"/>
                <w:sz w:val="22"/>
                <w:szCs w:val="22"/>
              </w:rPr>
              <w:t>% of locally held stock provided within 3 weeks of prescription</w:t>
            </w:r>
          </w:p>
          <w:p w14:paraId="37F06003" w14:textId="77777777" w:rsidR="007C4D11" w:rsidRPr="00190F6C" w:rsidRDefault="007C4D11" w:rsidP="007C4D11">
            <w:pPr>
              <w:pStyle w:val="Default"/>
              <w:rPr>
                <w:color w:val="auto"/>
                <w:sz w:val="22"/>
                <w:szCs w:val="22"/>
              </w:rPr>
            </w:pPr>
          </w:p>
        </w:tc>
        <w:tc>
          <w:tcPr>
            <w:tcW w:w="1260" w:type="dxa"/>
          </w:tcPr>
          <w:p w14:paraId="1BA02DAE" w14:textId="4B35D9EB" w:rsidR="007C4D11" w:rsidRPr="00190F6C" w:rsidRDefault="007C4D11" w:rsidP="007C4D11">
            <w:pPr>
              <w:jc w:val="center"/>
            </w:pPr>
            <w:r>
              <w:t>90%</w:t>
            </w:r>
          </w:p>
        </w:tc>
        <w:tc>
          <w:tcPr>
            <w:tcW w:w="1575" w:type="dxa"/>
          </w:tcPr>
          <w:p w14:paraId="6B0536D6" w14:textId="44DD70AB" w:rsidR="007C4D11" w:rsidRPr="00190F6C" w:rsidRDefault="007C4D11" w:rsidP="007C4D11">
            <w:pPr>
              <w:jc w:val="center"/>
            </w:pPr>
            <w:r w:rsidRPr="00823622">
              <w:rPr>
                <w:rFonts w:cstheme="minorHAnsi"/>
                <w:color w:val="000000"/>
                <w:sz w:val="20"/>
                <w:szCs w:val="20"/>
              </w:rPr>
              <w:t>Subject to Clause GC9 (Contract Management</w:t>
            </w:r>
            <w:r w:rsidRPr="00823622">
              <w:rPr>
                <w:rFonts w:eastAsia="Times New Roman" w:cstheme="minorHAnsi"/>
                <w:color w:val="000000" w:themeColor="text1"/>
                <w:sz w:val="20"/>
                <w:szCs w:val="20"/>
              </w:rPr>
              <w:t>)</w:t>
            </w:r>
          </w:p>
        </w:tc>
        <w:tc>
          <w:tcPr>
            <w:tcW w:w="1276" w:type="dxa"/>
          </w:tcPr>
          <w:p w14:paraId="58D8ACB9" w14:textId="610A9C56" w:rsidR="007C4D11" w:rsidRPr="00823622" w:rsidRDefault="007C4D11" w:rsidP="007C4D11">
            <w:pPr>
              <w:jc w:val="center"/>
              <w:rPr>
                <w:rFonts w:cstheme="minorHAnsi"/>
                <w:color w:val="000000"/>
                <w:sz w:val="20"/>
                <w:szCs w:val="20"/>
              </w:rPr>
            </w:pPr>
            <w:r>
              <w:rPr>
                <w:rFonts w:cstheme="minorHAnsi"/>
                <w:color w:val="000000"/>
                <w:sz w:val="20"/>
                <w:szCs w:val="20"/>
              </w:rPr>
              <w:t>Monthly</w:t>
            </w:r>
          </w:p>
        </w:tc>
      </w:tr>
      <w:tr w:rsidR="007C4D11" w14:paraId="207512FE" w14:textId="0B671797" w:rsidTr="0061080A">
        <w:trPr>
          <w:gridBefore w:val="1"/>
          <w:wBefore w:w="31" w:type="dxa"/>
        </w:trPr>
        <w:tc>
          <w:tcPr>
            <w:tcW w:w="679" w:type="dxa"/>
          </w:tcPr>
          <w:p w14:paraId="548D2E5A" w14:textId="77777777" w:rsidR="007C4D11" w:rsidRDefault="007C4D11" w:rsidP="007C4D11">
            <w:pPr>
              <w:jc w:val="center"/>
            </w:pPr>
            <w:r>
              <w:t>KPI</w:t>
            </w:r>
          </w:p>
        </w:tc>
        <w:tc>
          <w:tcPr>
            <w:tcW w:w="6095" w:type="dxa"/>
          </w:tcPr>
          <w:p w14:paraId="47380890" w14:textId="77777777" w:rsidR="007C4D11" w:rsidRDefault="007C4D11" w:rsidP="007C4D11">
            <w:pPr>
              <w:pStyle w:val="Default"/>
              <w:rPr>
                <w:color w:val="auto"/>
                <w:sz w:val="22"/>
                <w:szCs w:val="22"/>
              </w:rPr>
            </w:pPr>
            <w:r>
              <w:rPr>
                <w:color w:val="auto"/>
                <w:sz w:val="22"/>
                <w:szCs w:val="22"/>
              </w:rPr>
              <w:t>% of ordered stock provided within 6 weeks of prescription</w:t>
            </w:r>
          </w:p>
          <w:p w14:paraId="4BAD5C4C" w14:textId="77777777" w:rsidR="007C4D11" w:rsidRPr="00190F6C" w:rsidRDefault="007C4D11" w:rsidP="007C4D11">
            <w:pPr>
              <w:jc w:val="center"/>
            </w:pPr>
          </w:p>
        </w:tc>
        <w:tc>
          <w:tcPr>
            <w:tcW w:w="1260" w:type="dxa"/>
          </w:tcPr>
          <w:p w14:paraId="54BA9D3C" w14:textId="74BE58B3" w:rsidR="007C4D11" w:rsidRDefault="007C4D11" w:rsidP="007C4D11">
            <w:pPr>
              <w:jc w:val="center"/>
            </w:pPr>
            <w:r>
              <w:t>90%</w:t>
            </w:r>
          </w:p>
        </w:tc>
        <w:tc>
          <w:tcPr>
            <w:tcW w:w="1575" w:type="dxa"/>
          </w:tcPr>
          <w:p w14:paraId="162EE788" w14:textId="4E1E57FA" w:rsidR="007C4D11" w:rsidRDefault="007C4D11" w:rsidP="007C4D11">
            <w:pPr>
              <w:jc w:val="center"/>
            </w:pPr>
            <w:r w:rsidRPr="00823622">
              <w:rPr>
                <w:rFonts w:cstheme="minorHAnsi"/>
                <w:color w:val="000000"/>
                <w:sz w:val="20"/>
                <w:szCs w:val="20"/>
              </w:rPr>
              <w:t>Subject to Clause GC9 (Contract Management</w:t>
            </w:r>
            <w:r w:rsidRPr="00823622">
              <w:rPr>
                <w:rFonts w:eastAsia="Times New Roman" w:cstheme="minorHAnsi"/>
                <w:color w:val="000000" w:themeColor="text1"/>
                <w:sz w:val="20"/>
                <w:szCs w:val="20"/>
              </w:rPr>
              <w:t>)</w:t>
            </w:r>
          </w:p>
        </w:tc>
        <w:tc>
          <w:tcPr>
            <w:tcW w:w="1276" w:type="dxa"/>
          </w:tcPr>
          <w:p w14:paraId="0D00C24B" w14:textId="6F1C8866" w:rsidR="007C4D11" w:rsidRPr="00823622" w:rsidRDefault="007C4D11" w:rsidP="007C4D11">
            <w:pPr>
              <w:jc w:val="center"/>
              <w:rPr>
                <w:rFonts w:cstheme="minorHAnsi"/>
                <w:color w:val="000000"/>
                <w:sz w:val="20"/>
                <w:szCs w:val="20"/>
              </w:rPr>
            </w:pPr>
            <w:r>
              <w:rPr>
                <w:rFonts w:cstheme="minorHAnsi"/>
                <w:color w:val="000000"/>
                <w:sz w:val="20"/>
                <w:szCs w:val="20"/>
              </w:rPr>
              <w:t>Monthly</w:t>
            </w:r>
          </w:p>
        </w:tc>
      </w:tr>
      <w:tr w:rsidR="007C4D11" w14:paraId="093D0CB5" w14:textId="712A60D4" w:rsidTr="0061080A">
        <w:trPr>
          <w:gridBefore w:val="1"/>
          <w:wBefore w:w="31" w:type="dxa"/>
        </w:trPr>
        <w:tc>
          <w:tcPr>
            <w:tcW w:w="679" w:type="dxa"/>
          </w:tcPr>
          <w:p w14:paraId="466651CC" w14:textId="77777777" w:rsidR="007C4D11" w:rsidRDefault="007C4D11" w:rsidP="007C4D11">
            <w:pPr>
              <w:jc w:val="center"/>
            </w:pPr>
            <w:r>
              <w:t>KPI</w:t>
            </w:r>
          </w:p>
        </w:tc>
        <w:tc>
          <w:tcPr>
            <w:tcW w:w="6095" w:type="dxa"/>
          </w:tcPr>
          <w:p w14:paraId="5E5CC970" w14:textId="77777777" w:rsidR="007C4D11" w:rsidRDefault="007C4D11" w:rsidP="007C4D11">
            <w:pPr>
              <w:pStyle w:val="Default"/>
              <w:rPr>
                <w:color w:val="auto"/>
                <w:sz w:val="22"/>
                <w:szCs w:val="22"/>
              </w:rPr>
            </w:pPr>
            <w:r>
              <w:rPr>
                <w:color w:val="auto"/>
                <w:sz w:val="22"/>
                <w:szCs w:val="22"/>
              </w:rPr>
              <w:t>% of bespoke stock provided within 12 weeks of prescription</w:t>
            </w:r>
          </w:p>
          <w:p w14:paraId="28A8AEB9" w14:textId="77777777" w:rsidR="007C4D11" w:rsidRDefault="007C4D11" w:rsidP="007C4D11">
            <w:pPr>
              <w:jc w:val="center"/>
            </w:pPr>
          </w:p>
        </w:tc>
        <w:tc>
          <w:tcPr>
            <w:tcW w:w="1260" w:type="dxa"/>
          </w:tcPr>
          <w:p w14:paraId="6A43AB4C" w14:textId="60987E67" w:rsidR="007C4D11" w:rsidRDefault="007C4D11" w:rsidP="007C4D11">
            <w:pPr>
              <w:jc w:val="center"/>
            </w:pPr>
            <w:r>
              <w:t>90%</w:t>
            </w:r>
          </w:p>
        </w:tc>
        <w:tc>
          <w:tcPr>
            <w:tcW w:w="1575" w:type="dxa"/>
          </w:tcPr>
          <w:p w14:paraId="410F7660" w14:textId="17831947" w:rsidR="007C4D11" w:rsidRDefault="007C4D11" w:rsidP="007C4D11">
            <w:pPr>
              <w:jc w:val="center"/>
            </w:pPr>
            <w:r w:rsidRPr="00823622">
              <w:rPr>
                <w:rFonts w:cstheme="minorHAnsi"/>
                <w:color w:val="000000"/>
                <w:sz w:val="20"/>
                <w:szCs w:val="20"/>
              </w:rPr>
              <w:t xml:space="preserve">Subject to Clause GC9 </w:t>
            </w:r>
            <w:r w:rsidRPr="00823622">
              <w:rPr>
                <w:rFonts w:cstheme="minorHAnsi"/>
                <w:color w:val="000000"/>
                <w:sz w:val="20"/>
                <w:szCs w:val="20"/>
              </w:rPr>
              <w:lastRenderedPageBreak/>
              <w:t>(Contract Management</w:t>
            </w:r>
            <w:r w:rsidRPr="00823622">
              <w:rPr>
                <w:rFonts w:eastAsia="Times New Roman" w:cstheme="minorHAnsi"/>
                <w:color w:val="000000" w:themeColor="text1"/>
                <w:sz w:val="20"/>
                <w:szCs w:val="20"/>
              </w:rPr>
              <w:t>)</w:t>
            </w:r>
          </w:p>
        </w:tc>
        <w:tc>
          <w:tcPr>
            <w:tcW w:w="1276" w:type="dxa"/>
          </w:tcPr>
          <w:p w14:paraId="01D19DF4" w14:textId="34A9A63E" w:rsidR="007C4D11" w:rsidRPr="00823622" w:rsidRDefault="007C4D11" w:rsidP="007C4D11">
            <w:pPr>
              <w:jc w:val="center"/>
              <w:rPr>
                <w:rFonts w:cstheme="minorHAnsi"/>
                <w:color w:val="000000"/>
                <w:sz w:val="20"/>
                <w:szCs w:val="20"/>
              </w:rPr>
            </w:pPr>
            <w:r>
              <w:rPr>
                <w:rFonts w:cstheme="minorHAnsi"/>
                <w:color w:val="000000"/>
                <w:sz w:val="20"/>
                <w:szCs w:val="20"/>
              </w:rPr>
              <w:lastRenderedPageBreak/>
              <w:t>Monthly</w:t>
            </w:r>
          </w:p>
        </w:tc>
      </w:tr>
      <w:tr w:rsidR="007C4D11" w14:paraId="27A14801" w14:textId="61A553B5" w:rsidTr="0061080A">
        <w:trPr>
          <w:gridBefore w:val="1"/>
          <w:wBefore w:w="31" w:type="dxa"/>
        </w:trPr>
        <w:tc>
          <w:tcPr>
            <w:tcW w:w="9609" w:type="dxa"/>
            <w:gridSpan w:val="4"/>
            <w:shd w:val="clear" w:color="auto" w:fill="C6D9F1" w:themeFill="text2" w:themeFillTint="33"/>
          </w:tcPr>
          <w:p w14:paraId="061D2857" w14:textId="77777777" w:rsidR="007C4D11" w:rsidRPr="00357728" w:rsidRDefault="007C4D11" w:rsidP="007C4D11">
            <w:pPr>
              <w:rPr>
                <w:b/>
                <w:color w:val="C00000"/>
              </w:rPr>
            </w:pPr>
            <w:r>
              <w:rPr>
                <w:b/>
              </w:rPr>
              <w:t>7.  Repairs</w:t>
            </w:r>
          </w:p>
        </w:tc>
        <w:tc>
          <w:tcPr>
            <w:tcW w:w="1276" w:type="dxa"/>
            <w:shd w:val="clear" w:color="auto" w:fill="C6D9F1" w:themeFill="text2" w:themeFillTint="33"/>
          </w:tcPr>
          <w:p w14:paraId="1E893E32" w14:textId="77777777" w:rsidR="007C4D11" w:rsidRDefault="007C4D11" w:rsidP="007C4D11">
            <w:pPr>
              <w:rPr>
                <w:b/>
              </w:rPr>
            </w:pPr>
          </w:p>
        </w:tc>
      </w:tr>
      <w:tr w:rsidR="007C4D11" w14:paraId="72C61D51" w14:textId="1223BCD0" w:rsidTr="0061080A">
        <w:trPr>
          <w:gridBefore w:val="1"/>
          <w:wBefore w:w="31" w:type="dxa"/>
        </w:trPr>
        <w:tc>
          <w:tcPr>
            <w:tcW w:w="679" w:type="dxa"/>
          </w:tcPr>
          <w:p w14:paraId="71542341" w14:textId="77777777" w:rsidR="007C4D11" w:rsidRDefault="007C4D11" w:rsidP="007C4D11">
            <w:pPr>
              <w:jc w:val="center"/>
            </w:pPr>
            <w:r>
              <w:t>LQR</w:t>
            </w:r>
          </w:p>
        </w:tc>
        <w:tc>
          <w:tcPr>
            <w:tcW w:w="6095" w:type="dxa"/>
          </w:tcPr>
          <w:p w14:paraId="43D96D19" w14:textId="77777777" w:rsidR="007C4D11" w:rsidRDefault="007C4D11" w:rsidP="007C4D11">
            <w:pPr>
              <w:pStyle w:val="Default"/>
            </w:pPr>
            <w:r>
              <w:rPr>
                <w:sz w:val="22"/>
                <w:szCs w:val="22"/>
              </w:rPr>
              <w:t xml:space="preserve">All service users shall be </w:t>
            </w:r>
            <w:r w:rsidRPr="005455DB">
              <w:rPr>
                <w:b/>
                <w:sz w:val="22"/>
                <w:szCs w:val="22"/>
              </w:rPr>
              <w:t>offered</w:t>
            </w:r>
            <w:r>
              <w:rPr>
                <w:sz w:val="22"/>
                <w:szCs w:val="22"/>
              </w:rPr>
              <w:t xml:space="preserve"> a back-up chair where clinically appropriate.</w:t>
            </w:r>
          </w:p>
          <w:p w14:paraId="073B34EC" w14:textId="77777777" w:rsidR="007C4D11" w:rsidRDefault="007C4D11" w:rsidP="007C4D11">
            <w:pPr>
              <w:jc w:val="center"/>
            </w:pPr>
          </w:p>
        </w:tc>
        <w:tc>
          <w:tcPr>
            <w:tcW w:w="1260" w:type="dxa"/>
          </w:tcPr>
          <w:p w14:paraId="0569F73D" w14:textId="77777777" w:rsidR="007C4D11" w:rsidRDefault="007C4D11" w:rsidP="007C4D11">
            <w:pPr>
              <w:jc w:val="center"/>
            </w:pPr>
            <w:r>
              <w:t>98%</w:t>
            </w:r>
          </w:p>
        </w:tc>
        <w:tc>
          <w:tcPr>
            <w:tcW w:w="1575" w:type="dxa"/>
          </w:tcPr>
          <w:p w14:paraId="4D3E86CC" w14:textId="77777777" w:rsidR="007C4D11" w:rsidRDefault="007C4D11" w:rsidP="007C4D11">
            <w:pPr>
              <w:jc w:val="center"/>
            </w:pPr>
            <w:r>
              <w:t>Exception report</w:t>
            </w:r>
          </w:p>
        </w:tc>
        <w:tc>
          <w:tcPr>
            <w:tcW w:w="1276" w:type="dxa"/>
          </w:tcPr>
          <w:p w14:paraId="000F3755" w14:textId="6B5B75A8" w:rsidR="007C4D11" w:rsidRDefault="007C4D11" w:rsidP="007C4D11">
            <w:pPr>
              <w:jc w:val="center"/>
            </w:pPr>
            <w:r>
              <w:rPr>
                <w:rFonts w:cstheme="minorHAnsi"/>
                <w:color w:val="000000"/>
                <w:sz w:val="20"/>
                <w:szCs w:val="20"/>
              </w:rPr>
              <w:t>Monthly</w:t>
            </w:r>
          </w:p>
        </w:tc>
      </w:tr>
      <w:tr w:rsidR="007C4D11" w14:paraId="1EC69F4C" w14:textId="62CA5B18" w:rsidTr="0061080A">
        <w:trPr>
          <w:gridBefore w:val="1"/>
          <w:wBefore w:w="31" w:type="dxa"/>
        </w:trPr>
        <w:tc>
          <w:tcPr>
            <w:tcW w:w="679" w:type="dxa"/>
          </w:tcPr>
          <w:p w14:paraId="355FAB21" w14:textId="77777777" w:rsidR="007C4D11" w:rsidRDefault="007C4D11" w:rsidP="007C4D11">
            <w:pPr>
              <w:jc w:val="center"/>
            </w:pPr>
            <w:r>
              <w:t>KPI</w:t>
            </w:r>
          </w:p>
        </w:tc>
        <w:tc>
          <w:tcPr>
            <w:tcW w:w="6095" w:type="dxa"/>
          </w:tcPr>
          <w:p w14:paraId="3234F0D3" w14:textId="77777777" w:rsidR="007C4D11" w:rsidRDefault="007C4D11" w:rsidP="007C4D11">
            <w:pPr>
              <w:pStyle w:val="Default"/>
            </w:pPr>
            <w:r>
              <w:rPr>
                <w:sz w:val="22"/>
                <w:szCs w:val="22"/>
              </w:rPr>
              <w:t>% of Emergency repairs carried out within 24 hours.</w:t>
            </w:r>
          </w:p>
          <w:p w14:paraId="34078E58" w14:textId="77777777" w:rsidR="007C4D11" w:rsidRDefault="007C4D11" w:rsidP="007C4D11">
            <w:pPr>
              <w:jc w:val="center"/>
            </w:pPr>
          </w:p>
        </w:tc>
        <w:tc>
          <w:tcPr>
            <w:tcW w:w="1260" w:type="dxa"/>
          </w:tcPr>
          <w:p w14:paraId="20EC8895" w14:textId="77777777" w:rsidR="007C4D11" w:rsidRDefault="007C4D11" w:rsidP="007C4D11">
            <w:pPr>
              <w:jc w:val="center"/>
            </w:pPr>
            <w:r>
              <w:t>95%</w:t>
            </w:r>
          </w:p>
        </w:tc>
        <w:tc>
          <w:tcPr>
            <w:tcW w:w="1575" w:type="dxa"/>
          </w:tcPr>
          <w:p w14:paraId="2D4081F7" w14:textId="53603C63" w:rsidR="007C4D11" w:rsidRDefault="007C4D11" w:rsidP="007C4D11">
            <w:pPr>
              <w:jc w:val="center"/>
            </w:pPr>
            <w:r w:rsidRPr="00823622">
              <w:rPr>
                <w:rFonts w:cstheme="minorHAnsi"/>
                <w:color w:val="000000"/>
                <w:sz w:val="20"/>
                <w:szCs w:val="20"/>
              </w:rPr>
              <w:t>Subject to Clause GC9 (Contract Management</w:t>
            </w:r>
            <w:r w:rsidRPr="00823622">
              <w:rPr>
                <w:rFonts w:eastAsia="Times New Roman" w:cstheme="minorHAnsi"/>
                <w:color w:val="000000" w:themeColor="text1"/>
                <w:sz w:val="20"/>
                <w:szCs w:val="20"/>
              </w:rPr>
              <w:t>)</w:t>
            </w:r>
          </w:p>
        </w:tc>
        <w:tc>
          <w:tcPr>
            <w:tcW w:w="1276" w:type="dxa"/>
          </w:tcPr>
          <w:p w14:paraId="08158FCD" w14:textId="2B9756F9" w:rsidR="007C4D11" w:rsidRPr="00823622" w:rsidRDefault="007C4D11" w:rsidP="007C4D11">
            <w:pPr>
              <w:jc w:val="center"/>
              <w:rPr>
                <w:rFonts w:cstheme="minorHAnsi"/>
                <w:color w:val="000000"/>
                <w:sz w:val="20"/>
                <w:szCs w:val="20"/>
              </w:rPr>
            </w:pPr>
            <w:r>
              <w:rPr>
                <w:rFonts w:cstheme="minorHAnsi"/>
                <w:color w:val="000000"/>
                <w:sz w:val="20"/>
                <w:szCs w:val="20"/>
              </w:rPr>
              <w:t>Monthly</w:t>
            </w:r>
          </w:p>
        </w:tc>
      </w:tr>
      <w:tr w:rsidR="007C4D11" w14:paraId="692AA847" w14:textId="3E3A51B0" w:rsidTr="0061080A">
        <w:trPr>
          <w:gridBefore w:val="1"/>
          <w:wBefore w:w="31" w:type="dxa"/>
        </w:trPr>
        <w:tc>
          <w:tcPr>
            <w:tcW w:w="679" w:type="dxa"/>
          </w:tcPr>
          <w:p w14:paraId="44D9F3C9" w14:textId="77777777" w:rsidR="007C4D11" w:rsidRDefault="007C4D11" w:rsidP="007C4D11">
            <w:pPr>
              <w:jc w:val="center"/>
            </w:pPr>
            <w:r>
              <w:t>KPI</w:t>
            </w:r>
          </w:p>
        </w:tc>
        <w:tc>
          <w:tcPr>
            <w:tcW w:w="6095" w:type="dxa"/>
          </w:tcPr>
          <w:p w14:paraId="786A434D" w14:textId="77777777" w:rsidR="007C4D11" w:rsidRDefault="007C4D11" w:rsidP="007C4D11">
            <w:pPr>
              <w:pStyle w:val="Default"/>
            </w:pPr>
            <w:r>
              <w:rPr>
                <w:sz w:val="22"/>
                <w:szCs w:val="22"/>
              </w:rPr>
              <w:t>% non-emergency repairs carried out within 5 working days</w:t>
            </w:r>
          </w:p>
          <w:p w14:paraId="1FA4E6A6" w14:textId="77777777" w:rsidR="007C4D11" w:rsidRDefault="007C4D11" w:rsidP="007C4D11">
            <w:pPr>
              <w:jc w:val="center"/>
            </w:pPr>
          </w:p>
        </w:tc>
        <w:tc>
          <w:tcPr>
            <w:tcW w:w="1260" w:type="dxa"/>
          </w:tcPr>
          <w:p w14:paraId="14312395" w14:textId="77777777" w:rsidR="007C4D11" w:rsidRDefault="007C4D11" w:rsidP="007C4D11">
            <w:pPr>
              <w:jc w:val="center"/>
            </w:pPr>
            <w:r>
              <w:t>95%</w:t>
            </w:r>
          </w:p>
        </w:tc>
        <w:tc>
          <w:tcPr>
            <w:tcW w:w="1575" w:type="dxa"/>
          </w:tcPr>
          <w:p w14:paraId="3C2EC43A" w14:textId="59C70036" w:rsidR="007C4D11" w:rsidRDefault="007C4D11" w:rsidP="007C4D11">
            <w:pPr>
              <w:jc w:val="center"/>
            </w:pPr>
            <w:r w:rsidRPr="00823622">
              <w:rPr>
                <w:rFonts w:cstheme="minorHAnsi"/>
                <w:color w:val="000000"/>
                <w:sz w:val="20"/>
                <w:szCs w:val="20"/>
              </w:rPr>
              <w:t>Subject to Clause GC9 (Contract Management</w:t>
            </w:r>
            <w:r w:rsidRPr="00823622">
              <w:rPr>
                <w:rFonts w:eastAsia="Times New Roman" w:cstheme="minorHAnsi"/>
                <w:color w:val="000000" w:themeColor="text1"/>
                <w:sz w:val="20"/>
                <w:szCs w:val="20"/>
              </w:rPr>
              <w:t>)</w:t>
            </w:r>
          </w:p>
        </w:tc>
        <w:tc>
          <w:tcPr>
            <w:tcW w:w="1276" w:type="dxa"/>
          </w:tcPr>
          <w:p w14:paraId="5E5C98D7" w14:textId="67F05BEE" w:rsidR="007C4D11" w:rsidRPr="00823622" w:rsidRDefault="007C4D11" w:rsidP="007C4D11">
            <w:pPr>
              <w:jc w:val="center"/>
              <w:rPr>
                <w:rFonts w:cstheme="minorHAnsi"/>
                <w:color w:val="000000"/>
                <w:sz w:val="20"/>
                <w:szCs w:val="20"/>
              </w:rPr>
            </w:pPr>
            <w:r>
              <w:rPr>
                <w:rFonts w:cstheme="minorHAnsi"/>
                <w:color w:val="000000"/>
                <w:sz w:val="20"/>
                <w:szCs w:val="20"/>
              </w:rPr>
              <w:t>Monthly</w:t>
            </w:r>
          </w:p>
        </w:tc>
      </w:tr>
      <w:tr w:rsidR="007C4D11" w14:paraId="5D1C8BD5" w14:textId="21604A06" w:rsidTr="0061080A">
        <w:trPr>
          <w:gridBefore w:val="1"/>
          <w:wBefore w:w="31" w:type="dxa"/>
        </w:trPr>
        <w:tc>
          <w:tcPr>
            <w:tcW w:w="9609" w:type="dxa"/>
            <w:gridSpan w:val="4"/>
            <w:shd w:val="clear" w:color="auto" w:fill="C6D9F1" w:themeFill="text2" w:themeFillTint="33"/>
          </w:tcPr>
          <w:p w14:paraId="2486A960" w14:textId="77777777" w:rsidR="007C4D11" w:rsidRPr="00C9627B" w:rsidRDefault="007C4D11" w:rsidP="007C4D11">
            <w:pPr>
              <w:rPr>
                <w:b/>
              </w:rPr>
            </w:pPr>
            <w:r>
              <w:rPr>
                <w:b/>
              </w:rPr>
              <w:t xml:space="preserve">8.  PWBs and Service User Choice </w:t>
            </w:r>
          </w:p>
        </w:tc>
        <w:tc>
          <w:tcPr>
            <w:tcW w:w="1276" w:type="dxa"/>
            <w:shd w:val="clear" w:color="auto" w:fill="C6D9F1" w:themeFill="text2" w:themeFillTint="33"/>
          </w:tcPr>
          <w:p w14:paraId="06047A76" w14:textId="77777777" w:rsidR="007C4D11" w:rsidRDefault="007C4D11" w:rsidP="007C4D11">
            <w:pPr>
              <w:rPr>
                <w:b/>
              </w:rPr>
            </w:pPr>
          </w:p>
        </w:tc>
      </w:tr>
      <w:tr w:rsidR="007C4D11" w14:paraId="645DBEBD" w14:textId="74DAAFC5" w:rsidTr="0061080A">
        <w:trPr>
          <w:gridBefore w:val="1"/>
          <w:wBefore w:w="31" w:type="dxa"/>
        </w:trPr>
        <w:tc>
          <w:tcPr>
            <w:tcW w:w="679" w:type="dxa"/>
          </w:tcPr>
          <w:p w14:paraId="2B2D60EB" w14:textId="77777777" w:rsidR="007C4D11" w:rsidRDefault="007C4D11" w:rsidP="007C4D11">
            <w:pPr>
              <w:jc w:val="center"/>
            </w:pPr>
            <w:r>
              <w:t>LQR</w:t>
            </w:r>
          </w:p>
        </w:tc>
        <w:tc>
          <w:tcPr>
            <w:tcW w:w="6095" w:type="dxa"/>
          </w:tcPr>
          <w:p w14:paraId="06EBD87D" w14:textId="77777777" w:rsidR="007C4D11" w:rsidRDefault="007C4D11" w:rsidP="007C4D11">
            <w:pPr>
              <w:pStyle w:val="Default"/>
              <w:rPr>
                <w:sz w:val="22"/>
                <w:szCs w:val="22"/>
              </w:rPr>
            </w:pPr>
            <w:r>
              <w:rPr>
                <w:sz w:val="22"/>
                <w:szCs w:val="22"/>
              </w:rPr>
              <w:t>New referrals and reassessments include</w:t>
            </w:r>
            <w:r w:rsidRPr="00190F6C">
              <w:rPr>
                <w:sz w:val="22"/>
                <w:szCs w:val="22"/>
              </w:rPr>
              <w:t xml:space="preserve"> </w:t>
            </w:r>
            <w:r>
              <w:rPr>
                <w:sz w:val="22"/>
                <w:szCs w:val="22"/>
              </w:rPr>
              <w:t xml:space="preserve">a shared </w:t>
            </w:r>
            <w:r w:rsidRPr="00190F6C">
              <w:rPr>
                <w:sz w:val="22"/>
                <w:szCs w:val="22"/>
              </w:rPr>
              <w:t>decision-making conversation in order to promote choice and control</w:t>
            </w:r>
            <w:r>
              <w:rPr>
                <w:sz w:val="22"/>
                <w:szCs w:val="22"/>
              </w:rPr>
              <w:t xml:space="preserve"> (incl. details of PWBs and alternative options available)</w:t>
            </w:r>
          </w:p>
        </w:tc>
        <w:tc>
          <w:tcPr>
            <w:tcW w:w="1260" w:type="dxa"/>
          </w:tcPr>
          <w:p w14:paraId="20DCE0F8" w14:textId="77777777" w:rsidR="007C4D11" w:rsidRDefault="007C4D11" w:rsidP="007C4D11">
            <w:pPr>
              <w:jc w:val="center"/>
            </w:pPr>
            <w:r>
              <w:t>95%</w:t>
            </w:r>
          </w:p>
        </w:tc>
        <w:tc>
          <w:tcPr>
            <w:tcW w:w="1575" w:type="dxa"/>
          </w:tcPr>
          <w:p w14:paraId="54AF4E5A" w14:textId="77777777" w:rsidR="007C4D11" w:rsidRDefault="007C4D11" w:rsidP="007C4D11">
            <w:pPr>
              <w:jc w:val="center"/>
            </w:pPr>
          </w:p>
        </w:tc>
        <w:tc>
          <w:tcPr>
            <w:tcW w:w="1276" w:type="dxa"/>
          </w:tcPr>
          <w:p w14:paraId="04960D89" w14:textId="72D1C568" w:rsidR="007C4D11" w:rsidRDefault="007C4D11" w:rsidP="007C4D11">
            <w:pPr>
              <w:jc w:val="center"/>
            </w:pPr>
            <w:r>
              <w:rPr>
                <w:rFonts w:cstheme="minorHAnsi"/>
                <w:color w:val="000000"/>
                <w:sz w:val="20"/>
                <w:szCs w:val="20"/>
              </w:rPr>
              <w:t>Monthly</w:t>
            </w:r>
          </w:p>
        </w:tc>
      </w:tr>
      <w:tr w:rsidR="007C4D11" w14:paraId="59F8CE1A" w14:textId="0B91E2B7" w:rsidTr="0061080A">
        <w:trPr>
          <w:gridBefore w:val="1"/>
          <w:wBefore w:w="31" w:type="dxa"/>
        </w:trPr>
        <w:tc>
          <w:tcPr>
            <w:tcW w:w="679" w:type="dxa"/>
          </w:tcPr>
          <w:p w14:paraId="7B6B5603" w14:textId="77777777" w:rsidR="007C4D11" w:rsidRDefault="007C4D11" w:rsidP="007C4D11">
            <w:pPr>
              <w:jc w:val="center"/>
            </w:pPr>
            <w:r>
              <w:t>LQR</w:t>
            </w:r>
          </w:p>
        </w:tc>
        <w:tc>
          <w:tcPr>
            <w:tcW w:w="6095" w:type="dxa"/>
          </w:tcPr>
          <w:p w14:paraId="5FCFACDF" w14:textId="77777777" w:rsidR="007C4D11" w:rsidRDefault="007C4D11" w:rsidP="007C4D11">
            <w:pPr>
              <w:pStyle w:val="Default"/>
              <w:rPr>
                <w:sz w:val="22"/>
                <w:szCs w:val="22"/>
              </w:rPr>
            </w:pPr>
            <w:r>
              <w:rPr>
                <w:sz w:val="22"/>
                <w:szCs w:val="22"/>
              </w:rPr>
              <w:t>All</w:t>
            </w:r>
            <w:r w:rsidRPr="00190F6C">
              <w:rPr>
                <w:sz w:val="22"/>
                <w:szCs w:val="22"/>
              </w:rPr>
              <w:t xml:space="preserve"> new referrals and reassessments benefit from </w:t>
            </w:r>
            <w:r>
              <w:rPr>
                <w:sz w:val="22"/>
                <w:szCs w:val="22"/>
              </w:rPr>
              <w:t xml:space="preserve">a </w:t>
            </w:r>
            <w:r w:rsidRPr="00190F6C">
              <w:rPr>
                <w:sz w:val="22"/>
                <w:szCs w:val="22"/>
              </w:rPr>
              <w:t xml:space="preserve">costed personalised care and support plan </w:t>
            </w:r>
          </w:p>
        </w:tc>
        <w:tc>
          <w:tcPr>
            <w:tcW w:w="1260" w:type="dxa"/>
          </w:tcPr>
          <w:p w14:paraId="3D27C38C" w14:textId="77777777" w:rsidR="007C4D11" w:rsidRDefault="007C4D11" w:rsidP="007C4D11">
            <w:pPr>
              <w:jc w:val="center"/>
            </w:pPr>
            <w:r>
              <w:t>95%</w:t>
            </w:r>
          </w:p>
        </w:tc>
        <w:tc>
          <w:tcPr>
            <w:tcW w:w="1575" w:type="dxa"/>
          </w:tcPr>
          <w:p w14:paraId="3985B836" w14:textId="77777777" w:rsidR="007C4D11" w:rsidRDefault="007C4D11" w:rsidP="007C4D11">
            <w:pPr>
              <w:jc w:val="center"/>
            </w:pPr>
          </w:p>
        </w:tc>
        <w:tc>
          <w:tcPr>
            <w:tcW w:w="1276" w:type="dxa"/>
          </w:tcPr>
          <w:p w14:paraId="76B344D1" w14:textId="748F2A21" w:rsidR="007C4D11" w:rsidRDefault="007C4D11" w:rsidP="007C4D11">
            <w:pPr>
              <w:jc w:val="center"/>
            </w:pPr>
            <w:r>
              <w:rPr>
                <w:rFonts w:cstheme="minorHAnsi"/>
                <w:color w:val="000000"/>
                <w:sz w:val="20"/>
                <w:szCs w:val="20"/>
              </w:rPr>
              <w:t>Monthly</w:t>
            </w:r>
          </w:p>
        </w:tc>
      </w:tr>
      <w:tr w:rsidR="007C4D11" w14:paraId="733EBFF5" w14:textId="56640AEC" w:rsidTr="0061080A">
        <w:trPr>
          <w:gridBefore w:val="1"/>
          <w:wBefore w:w="31" w:type="dxa"/>
        </w:trPr>
        <w:tc>
          <w:tcPr>
            <w:tcW w:w="9609" w:type="dxa"/>
            <w:gridSpan w:val="4"/>
            <w:shd w:val="clear" w:color="auto" w:fill="C6D9F1" w:themeFill="text2" w:themeFillTint="33"/>
          </w:tcPr>
          <w:p w14:paraId="39079729" w14:textId="77777777" w:rsidR="007C4D11" w:rsidRPr="008A0572" w:rsidRDefault="007C4D11" w:rsidP="007C4D11">
            <w:pPr>
              <w:rPr>
                <w:b/>
              </w:rPr>
            </w:pPr>
            <w:r>
              <w:rPr>
                <w:b/>
              </w:rPr>
              <w:t>9. Collections</w:t>
            </w:r>
          </w:p>
        </w:tc>
        <w:tc>
          <w:tcPr>
            <w:tcW w:w="1276" w:type="dxa"/>
            <w:shd w:val="clear" w:color="auto" w:fill="C6D9F1" w:themeFill="text2" w:themeFillTint="33"/>
          </w:tcPr>
          <w:p w14:paraId="5703E975" w14:textId="77777777" w:rsidR="007C4D11" w:rsidRDefault="007C4D11" w:rsidP="007C4D11">
            <w:pPr>
              <w:rPr>
                <w:b/>
              </w:rPr>
            </w:pPr>
          </w:p>
        </w:tc>
      </w:tr>
      <w:tr w:rsidR="007C4D11" w14:paraId="2D6850A5" w14:textId="4C2012A8" w:rsidTr="0061080A">
        <w:trPr>
          <w:gridBefore w:val="1"/>
          <w:wBefore w:w="31" w:type="dxa"/>
        </w:trPr>
        <w:tc>
          <w:tcPr>
            <w:tcW w:w="679" w:type="dxa"/>
          </w:tcPr>
          <w:p w14:paraId="4956FF75" w14:textId="77777777" w:rsidR="007C4D11" w:rsidRDefault="007C4D11" w:rsidP="007C4D11">
            <w:pPr>
              <w:jc w:val="center"/>
            </w:pPr>
            <w:r>
              <w:t>KPI</w:t>
            </w:r>
          </w:p>
        </w:tc>
        <w:tc>
          <w:tcPr>
            <w:tcW w:w="6095" w:type="dxa"/>
          </w:tcPr>
          <w:p w14:paraId="2993033F" w14:textId="77777777" w:rsidR="007C4D11" w:rsidRDefault="007C4D11" w:rsidP="007C4D11">
            <w:pPr>
              <w:pStyle w:val="Default"/>
            </w:pPr>
            <w:r>
              <w:rPr>
                <w:sz w:val="22"/>
                <w:szCs w:val="22"/>
              </w:rPr>
              <w:t>Collection of powered and non-powered wheelchairs within 5 working days from user contact</w:t>
            </w:r>
          </w:p>
        </w:tc>
        <w:tc>
          <w:tcPr>
            <w:tcW w:w="1260" w:type="dxa"/>
          </w:tcPr>
          <w:p w14:paraId="07F05644" w14:textId="77777777" w:rsidR="007C4D11" w:rsidRDefault="007C4D11" w:rsidP="007C4D11">
            <w:pPr>
              <w:jc w:val="center"/>
            </w:pPr>
            <w:r>
              <w:t>90%</w:t>
            </w:r>
          </w:p>
        </w:tc>
        <w:tc>
          <w:tcPr>
            <w:tcW w:w="1575" w:type="dxa"/>
          </w:tcPr>
          <w:p w14:paraId="2A2A2208" w14:textId="77777777" w:rsidR="007C4D11" w:rsidRDefault="007C4D11" w:rsidP="007C4D11">
            <w:pPr>
              <w:jc w:val="center"/>
            </w:pPr>
          </w:p>
        </w:tc>
        <w:tc>
          <w:tcPr>
            <w:tcW w:w="1276" w:type="dxa"/>
          </w:tcPr>
          <w:p w14:paraId="0578991E" w14:textId="5DF050CC" w:rsidR="007C4D11" w:rsidRDefault="007C4D11" w:rsidP="007C4D11">
            <w:pPr>
              <w:jc w:val="center"/>
            </w:pPr>
            <w:r>
              <w:rPr>
                <w:rFonts w:cstheme="minorHAnsi"/>
                <w:color w:val="000000"/>
                <w:sz w:val="20"/>
                <w:szCs w:val="20"/>
              </w:rPr>
              <w:t>Monthly</w:t>
            </w:r>
          </w:p>
        </w:tc>
      </w:tr>
      <w:tr w:rsidR="007C4D11" w14:paraId="79723E6D" w14:textId="7E96BE74" w:rsidTr="0061080A">
        <w:trPr>
          <w:gridBefore w:val="1"/>
          <w:wBefore w:w="31" w:type="dxa"/>
        </w:trPr>
        <w:tc>
          <w:tcPr>
            <w:tcW w:w="679" w:type="dxa"/>
          </w:tcPr>
          <w:p w14:paraId="15EA8536" w14:textId="77777777" w:rsidR="007C4D11" w:rsidRDefault="007C4D11" w:rsidP="007C4D11">
            <w:pPr>
              <w:jc w:val="center"/>
            </w:pPr>
            <w:r>
              <w:t>KPI</w:t>
            </w:r>
          </w:p>
        </w:tc>
        <w:tc>
          <w:tcPr>
            <w:tcW w:w="6095" w:type="dxa"/>
          </w:tcPr>
          <w:p w14:paraId="61053617" w14:textId="77777777" w:rsidR="007C4D11" w:rsidRDefault="007C4D11" w:rsidP="007C4D11">
            <w:pPr>
              <w:pStyle w:val="Default"/>
              <w:rPr>
                <w:sz w:val="22"/>
                <w:szCs w:val="22"/>
              </w:rPr>
            </w:pPr>
            <w:r>
              <w:rPr>
                <w:sz w:val="22"/>
                <w:szCs w:val="22"/>
              </w:rPr>
              <w:t>Returned/collected equipment inspected within 1 calendar month from collection</w:t>
            </w:r>
          </w:p>
        </w:tc>
        <w:tc>
          <w:tcPr>
            <w:tcW w:w="1260" w:type="dxa"/>
          </w:tcPr>
          <w:p w14:paraId="1FF90984" w14:textId="77777777" w:rsidR="007C4D11" w:rsidRDefault="007C4D11" w:rsidP="007C4D11">
            <w:pPr>
              <w:jc w:val="center"/>
            </w:pPr>
            <w:r>
              <w:t>100%</w:t>
            </w:r>
          </w:p>
        </w:tc>
        <w:tc>
          <w:tcPr>
            <w:tcW w:w="1575" w:type="dxa"/>
          </w:tcPr>
          <w:p w14:paraId="2FEEDBC7" w14:textId="77777777" w:rsidR="007C4D11" w:rsidRDefault="007C4D11" w:rsidP="007C4D11">
            <w:pPr>
              <w:jc w:val="center"/>
            </w:pPr>
          </w:p>
        </w:tc>
        <w:tc>
          <w:tcPr>
            <w:tcW w:w="1276" w:type="dxa"/>
          </w:tcPr>
          <w:p w14:paraId="78156EEF" w14:textId="67589605" w:rsidR="007C4D11" w:rsidRDefault="007C4D11" w:rsidP="007C4D11">
            <w:pPr>
              <w:jc w:val="center"/>
            </w:pPr>
            <w:r>
              <w:rPr>
                <w:rFonts w:cstheme="minorHAnsi"/>
                <w:color w:val="000000"/>
                <w:sz w:val="20"/>
                <w:szCs w:val="20"/>
              </w:rPr>
              <w:t>Monthly</w:t>
            </w:r>
          </w:p>
        </w:tc>
      </w:tr>
      <w:tr w:rsidR="007C4D11" w14:paraId="7AD1CBC4" w14:textId="694DBE55" w:rsidTr="0061080A">
        <w:trPr>
          <w:gridBefore w:val="1"/>
          <w:wBefore w:w="31" w:type="dxa"/>
        </w:trPr>
        <w:tc>
          <w:tcPr>
            <w:tcW w:w="679" w:type="dxa"/>
          </w:tcPr>
          <w:p w14:paraId="2ED1D356" w14:textId="77777777" w:rsidR="007C4D11" w:rsidRDefault="007C4D11" w:rsidP="007C4D11">
            <w:pPr>
              <w:jc w:val="center"/>
            </w:pPr>
            <w:r>
              <w:t>KPI</w:t>
            </w:r>
          </w:p>
        </w:tc>
        <w:tc>
          <w:tcPr>
            <w:tcW w:w="6095" w:type="dxa"/>
          </w:tcPr>
          <w:p w14:paraId="42A547E9" w14:textId="77777777" w:rsidR="007C4D11" w:rsidRDefault="007C4D11" w:rsidP="007C4D11">
            <w:pPr>
              <w:pStyle w:val="Default"/>
              <w:rPr>
                <w:sz w:val="22"/>
                <w:szCs w:val="22"/>
              </w:rPr>
            </w:pPr>
            <w:r>
              <w:rPr>
                <w:sz w:val="22"/>
                <w:szCs w:val="22"/>
              </w:rPr>
              <w:t>Course of action based on inspection actioned within 1 calendar month following inspection</w:t>
            </w:r>
          </w:p>
        </w:tc>
        <w:tc>
          <w:tcPr>
            <w:tcW w:w="1260" w:type="dxa"/>
          </w:tcPr>
          <w:p w14:paraId="59C47BED" w14:textId="77777777" w:rsidR="007C4D11" w:rsidRDefault="007C4D11" w:rsidP="007C4D11">
            <w:pPr>
              <w:jc w:val="center"/>
            </w:pPr>
            <w:r>
              <w:t>100%</w:t>
            </w:r>
          </w:p>
        </w:tc>
        <w:tc>
          <w:tcPr>
            <w:tcW w:w="1575" w:type="dxa"/>
          </w:tcPr>
          <w:p w14:paraId="61D31B79" w14:textId="77777777" w:rsidR="007C4D11" w:rsidRDefault="007C4D11" w:rsidP="007C4D11">
            <w:pPr>
              <w:jc w:val="center"/>
            </w:pPr>
          </w:p>
        </w:tc>
        <w:tc>
          <w:tcPr>
            <w:tcW w:w="1276" w:type="dxa"/>
          </w:tcPr>
          <w:p w14:paraId="668BB84A" w14:textId="4C803DF1" w:rsidR="007C4D11" w:rsidRDefault="007C4D11" w:rsidP="007C4D11">
            <w:pPr>
              <w:jc w:val="center"/>
            </w:pPr>
            <w:r>
              <w:rPr>
                <w:rFonts w:cstheme="minorHAnsi"/>
                <w:color w:val="000000"/>
                <w:sz w:val="20"/>
                <w:szCs w:val="20"/>
              </w:rPr>
              <w:t>Monthly</w:t>
            </w:r>
          </w:p>
        </w:tc>
      </w:tr>
      <w:tr w:rsidR="007C4D11" w14:paraId="75A839D9" w14:textId="1929E0ED" w:rsidTr="0061080A">
        <w:trPr>
          <w:gridBefore w:val="1"/>
          <w:wBefore w:w="31" w:type="dxa"/>
        </w:trPr>
        <w:tc>
          <w:tcPr>
            <w:tcW w:w="679" w:type="dxa"/>
          </w:tcPr>
          <w:p w14:paraId="5D832419" w14:textId="77777777" w:rsidR="007C4D11" w:rsidRDefault="007C4D11" w:rsidP="007C4D11">
            <w:pPr>
              <w:jc w:val="center"/>
            </w:pPr>
            <w:r>
              <w:t>KPI</w:t>
            </w:r>
          </w:p>
        </w:tc>
        <w:tc>
          <w:tcPr>
            <w:tcW w:w="6095" w:type="dxa"/>
          </w:tcPr>
          <w:p w14:paraId="0B0CC3B4" w14:textId="77777777" w:rsidR="007C4D11" w:rsidRDefault="007C4D11" w:rsidP="007C4D11">
            <w:pPr>
              <w:pStyle w:val="Default"/>
              <w:rPr>
                <w:sz w:val="22"/>
                <w:szCs w:val="22"/>
              </w:rPr>
            </w:pPr>
            <w:r>
              <w:rPr>
                <w:sz w:val="22"/>
                <w:szCs w:val="22"/>
              </w:rPr>
              <w:t>New wheelchair stock to be made operational within 2 working days</w:t>
            </w:r>
          </w:p>
        </w:tc>
        <w:tc>
          <w:tcPr>
            <w:tcW w:w="1260" w:type="dxa"/>
          </w:tcPr>
          <w:p w14:paraId="03BC8418" w14:textId="77777777" w:rsidR="007C4D11" w:rsidRDefault="007C4D11" w:rsidP="007C4D11">
            <w:pPr>
              <w:jc w:val="center"/>
            </w:pPr>
            <w:r>
              <w:t>90%</w:t>
            </w:r>
          </w:p>
        </w:tc>
        <w:tc>
          <w:tcPr>
            <w:tcW w:w="1575" w:type="dxa"/>
          </w:tcPr>
          <w:p w14:paraId="72244CEE" w14:textId="77777777" w:rsidR="007C4D11" w:rsidRDefault="007C4D11" w:rsidP="007C4D11">
            <w:pPr>
              <w:jc w:val="center"/>
            </w:pPr>
          </w:p>
        </w:tc>
        <w:tc>
          <w:tcPr>
            <w:tcW w:w="1276" w:type="dxa"/>
          </w:tcPr>
          <w:p w14:paraId="76A6A91B" w14:textId="6ED5379D" w:rsidR="007C4D11" w:rsidRDefault="007C4D11" w:rsidP="007C4D11">
            <w:pPr>
              <w:jc w:val="center"/>
            </w:pPr>
            <w:r>
              <w:rPr>
                <w:rFonts w:cstheme="minorHAnsi"/>
                <w:color w:val="000000"/>
                <w:sz w:val="20"/>
                <w:szCs w:val="20"/>
              </w:rPr>
              <w:t>Monthly</w:t>
            </w:r>
          </w:p>
        </w:tc>
      </w:tr>
      <w:tr w:rsidR="007C4D11" w:rsidRPr="008A0572" w14:paraId="54ECCF1F" w14:textId="72B255CF" w:rsidTr="0061080A">
        <w:trPr>
          <w:gridBefore w:val="1"/>
          <w:wBefore w:w="31" w:type="dxa"/>
        </w:trPr>
        <w:tc>
          <w:tcPr>
            <w:tcW w:w="9609" w:type="dxa"/>
            <w:gridSpan w:val="4"/>
            <w:shd w:val="clear" w:color="auto" w:fill="C6D9F1" w:themeFill="text2" w:themeFillTint="33"/>
          </w:tcPr>
          <w:p w14:paraId="51C02F8B" w14:textId="77777777" w:rsidR="007C4D11" w:rsidRPr="008A0572" w:rsidRDefault="007C4D11" w:rsidP="007C4D11">
            <w:pPr>
              <w:rPr>
                <w:b/>
              </w:rPr>
            </w:pPr>
            <w:r>
              <w:rPr>
                <w:b/>
              </w:rPr>
              <w:t>10. Complaints and Serious Incidents</w:t>
            </w:r>
          </w:p>
        </w:tc>
        <w:tc>
          <w:tcPr>
            <w:tcW w:w="1276" w:type="dxa"/>
            <w:shd w:val="clear" w:color="auto" w:fill="C6D9F1" w:themeFill="text2" w:themeFillTint="33"/>
          </w:tcPr>
          <w:p w14:paraId="3E92E0B5" w14:textId="77777777" w:rsidR="007C4D11" w:rsidRDefault="007C4D11" w:rsidP="007C4D11">
            <w:pPr>
              <w:rPr>
                <w:b/>
              </w:rPr>
            </w:pPr>
          </w:p>
        </w:tc>
      </w:tr>
      <w:tr w:rsidR="007C4D11" w14:paraId="227A3069" w14:textId="23C358FF" w:rsidTr="0061080A">
        <w:trPr>
          <w:gridBefore w:val="1"/>
          <w:wBefore w:w="31" w:type="dxa"/>
        </w:trPr>
        <w:tc>
          <w:tcPr>
            <w:tcW w:w="679" w:type="dxa"/>
          </w:tcPr>
          <w:p w14:paraId="1BD2BA1F" w14:textId="77777777" w:rsidR="007C4D11" w:rsidRDefault="007C4D11" w:rsidP="007C4D11">
            <w:pPr>
              <w:jc w:val="center"/>
            </w:pPr>
            <w:r w:rsidRPr="009446AC">
              <w:lastRenderedPageBreak/>
              <w:t>LQR</w:t>
            </w:r>
          </w:p>
        </w:tc>
        <w:tc>
          <w:tcPr>
            <w:tcW w:w="6095" w:type="dxa"/>
          </w:tcPr>
          <w:p w14:paraId="7E3AF347" w14:textId="77777777" w:rsidR="007C4D11" w:rsidRPr="004A4414" w:rsidRDefault="007C4D11" w:rsidP="007C4D11">
            <w:pPr>
              <w:rPr>
                <w:rFonts w:cstheme="minorHAnsi"/>
              </w:rPr>
            </w:pPr>
            <w:r w:rsidRPr="004A4414">
              <w:rPr>
                <w:rFonts w:cstheme="minorHAnsi"/>
              </w:rPr>
              <w:t>Complaints</w:t>
            </w:r>
            <w:r>
              <w:rPr>
                <w:rFonts w:cstheme="minorHAnsi"/>
              </w:rPr>
              <w:t xml:space="preserve"> should be</w:t>
            </w:r>
            <w:r w:rsidRPr="004A4414">
              <w:rPr>
                <w:rFonts w:cstheme="minorHAnsi"/>
              </w:rPr>
              <w:t xml:space="preserve"> acknowledged within 3 working days of receipt</w:t>
            </w:r>
            <w:r>
              <w:rPr>
                <w:rFonts w:cstheme="minorHAnsi"/>
              </w:rPr>
              <w:t xml:space="preserve"> in all cases</w:t>
            </w:r>
          </w:p>
        </w:tc>
        <w:tc>
          <w:tcPr>
            <w:tcW w:w="1260" w:type="dxa"/>
          </w:tcPr>
          <w:p w14:paraId="3693D797" w14:textId="77777777" w:rsidR="007C4D11" w:rsidRDefault="007C4D11" w:rsidP="007C4D11">
            <w:pPr>
              <w:jc w:val="center"/>
            </w:pPr>
            <w:r>
              <w:t>100%</w:t>
            </w:r>
          </w:p>
        </w:tc>
        <w:tc>
          <w:tcPr>
            <w:tcW w:w="1575" w:type="dxa"/>
          </w:tcPr>
          <w:p w14:paraId="60C28BCD" w14:textId="77777777" w:rsidR="007C4D11" w:rsidRDefault="007C4D11" w:rsidP="007C4D11">
            <w:pPr>
              <w:jc w:val="center"/>
            </w:pPr>
          </w:p>
        </w:tc>
        <w:tc>
          <w:tcPr>
            <w:tcW w:w="1276" w:type="dxa"/>
          </w:tcPr>
          <w:p w14:paraId="1839EEEE" w14:textId="76CDE6A5" w:rsidR="007C4D11" w:rsidRDefault="007C4D11" w:rsidP="007C4D11">
            <w:pPr>
              <w:jc w:val="center"/>
            </w:pPr>
            <w:r>
              <w:t>Quarterly</w:t>
            </w:r>
          </w:p>
        </w:tc>
      </w:tr>
      <w:tr w:rsidR="007C4D11" w14:paraId="5F3B323D" w14:textId="018FCE19" w:rsidTr="0061080A">
        <w:trPr>
          <w:gridBefore w:val="1"/>
          <w:wBefore w:w="31" w:type="dxa"/>
        </w:trPr>
        <w:tc>
          <w:tcPr>
            <w:tcW w:w="679" w:type="dxa"/>
          </w:tcPr>
          <w:p w14:paraId="449FE610" w14:textId="77777777" w:rsidR="007C4D11" w:rsidRDefault="007C4D11" w:rsidP="007C4D11">
            <w:pPr>
              <w:jc w:val="center"/>
            </w:pPr>
            <w:r w:rsidRPr="009446AC">
              <w:t>LQR</w:t>
            </w:r>
          </w:p>
        </w:tc>
        <w:tc>
          <w:tcPr>
            <w:tcW w:w="6095" w:type="dxa"/>
          </w:tcPr>
          <w:p w14:paraId="4549DD50" w14:textId="7D23C7B7" w:rsidR="007C4D11" w:rsidRPr="004A4414" w:rsidRDefault="007C4D11" w:rsidP="007C4D11">
            <w:pPr>
              <w:rPr>
                <w:rFonts w:cstheme="minorHAnsi"/>
              </w:rPr>
            </w:pPr>
            <w:r w:rsidRPr="004A4414">
              <w:rPr>
                <w:rFonts w:cstheme="minorHAnsi"/>
              </w:rPr>
              <w:t>Complaint made directly to provider organisation should be responded to within 25 work</w:t>
            </w:r>
            <w:r>
              <w:rPr>
                <w:rFonts w:cstheme="minorHAnsi"/>
              </w:rPr>
              <w:t xml:space="preserve">ing </w:t>
            </w:r>
            <w:r w:rsidRPr="004A4414">
              <w:rPr>
                <w:rFonts w:cstheme="minorHAnsi"/>
              </w:rPr>
              <w:t>days of receipt of complaint (or consent where this is required)</w:t>
            </w:r>
          </w:p>
        </w:tc>
        <w:tc>
          <w:tcPr>
            <w:tcW w:w="1260" w:type="dxa"/>
          </w:tcPr>
          <w:p w14:paraId="3DBC1650" w14:textId="77777777" w:rsidR="007C4D11" w:rsidRDefault="007C4D11" w:rsidP="007C4D11">
            <w:pPr>
              <w:jc w:val="center"/>
            </w:pPr>
            <w:r>
              <w:t>95%</w:t>
            </w:r>
          </w:p>
        </w:tc>
        <w:tc>
          <w:tcPr>
            <w:tcW w:w="1575" w:type="dxa"/>
          </w:tcPr>
          <w:p w14:paraId="73B0C324" w14:textId="77777777" w:rsidR="007C4D11" w:rsidRDefault="007C4D11" w:rsidP="007C4D11">
            <w:pPr>
              <w:jc w:val="center"/>
            </w:pPr>
          </w:p>
        </w:tc>
        <w:tc>
          <w:tcPr>
            <w:tcW w:w="1276" w:type="dxa"/>
          </w:tcPr>
          <w:p w14:paraId="04E239F3" w14:textId="1B4A86AE" w:rsidR="007C4D11" w:rsidRDefault="007C4D11" w:rsidP="007C4D11">
            <w:pPr>
              <w:jc w:val="center"/>
            </w:pPr>
            <w:r>
              <w:t>Quarterly</w:t>
            </w:r>
          </w:p>
        </w:tc>
      </w:tr>
      <w:tr w:rsidR="007C4D11" w14:paraId="6984556F" w14:textId="75D5E0D6" w:rsidTr="0061080A">
        <w:trPr>
          <w:gridBefore w:val="1"/>
          <w:wBefore w:w="31" w:type="dxa"/>
        </w:trPr>
        <w:tc>
          <w:tcPr>
            <w:tcW w:w="679" w:type="dxa"/>
          </w:tcPr>
          <w:p w14:paraId="7D03393B" w14:textId="77777777" w:rsidR="007C4D11" w:rsidRDefault="007C4D11" w:rsidP="007C4D11">
            <w:pPr>
              <w:jc w:val="center"/>
            </w:pPr>
            <w:r w:rsidRPr="009446AC">
              <w:t>LQR</w:t>
            </w:r>
          </w:p>
        </w:tc>
        <w:tc>
          <w:tcPr>
            <w:tcW w:w="6095" w:type="dxa"/>
          </w:tcPr>
          <w:p w14:paraId="7FB77BEC" w14:textId="77777777" w:rsidR="007C4D11" w:rsidRPr="004A4414" w:rsidRDefault="007C4D11" w:rsidP="007C4D11">
            <w:pPr>
              <w:rPr>
                <w:rFonts w:cstheme="minorHAnsi"/>
              </w:rPr>
            </w:pPr>
            <w:r w:rsidRPr="004A4414">
              <w:rPr>
                <w:rFonts w:cstheme="minorHAnsi"/>
              </w:rPr>
              <w:t>Serious Incidents reported with 72 hours of incident</w:t>
            </w:r>
            <w:r>
              <w:rPr>
                <w:rFonts w:cstheme="minorHAnsi"/>
              </w:rPr>
              <w:t xml:space="preserve"> and investigation carried out in line with national SI framework</w:t>
            </w:r>
          </w:p>
        </w:tc>
        <w:tc>
          <w:tcPr>
            <w:tcW w:w="1260" w:type="dxa"/>
          </w:tcPr>
          <w:p w14:paraId="3D1A17BA" w14:textId="77777777" w:rsidR="007C4D11" w:rsidRDefault="007C4D11" w:rsidP="007C4D11">
            <w:pPr>
              <w:jc w:val="center"/>
            </w:pPr>
            <w:r>
              <w:t>95%</w:t>
            </w:r>
          </w:p>
        </w:tc>
        <w:tc>
          <w:tcPr>
            <w:tcW w:w="1575" w:type="dxa"/>
          </w:tcPr>
          <w:p w14:paraId="2D0D1250" w14:textId="77777777" w:rsidR="007C4D11" w:rsidRDefault="007C4D11" w:rsidP="007C4D11">
            <w:pPr>
              <w:jc w:val="center"/>
            </w:pPr>
          </w:p>
        </w:tc>
        <w:tc>
          <w:tcPr>
            <w:tcW w:w="1276" w:type="dxa"/>
          </w:tcPr>
          <w:p w14:paraId="291F7AF8" w14:textId="7545CEE0" w:rsidR="007C4D11" w:rsidRDefault="007C4D11" w:rsidP="007C4D11">
            <w:pPr>
              <w:jc w:val="center"/>
            </w:pPr>
            <w:r>
              <w:t>Per incident</w:t>
            </w:r>
          </w:p>
        </w:tc>
      </w:tr>
      <w:tr w:rsidR="007C4D11" w14:paraId="5192E3F9" w14:textId="37BD5509" w:rsidTr="0061080A">
        <w:trPr>
          <w:gridBefore w:val="1"/>
          <w:wBefore w:w="31" w:type="dxa"/>
        </w:trPr>
        <w:tc>
          <w:tcPr>
            <w:tcW w:w="9609" w:type="dxa"/>
            <w:gridSpan w:val="4"/>
            <w:shd w:val="clear" w:color="auto" w:fill="C6D9F1" w:themeFill="text2" w:themeFillTint="33"/>
          </w:tcPr>
          <w:p w14:paraId="14CE8361" w14:textId="77777777" w:rsidR="007C4D11" w:rsidRPr="00EE44B2" w:rsidRDefault="007C4D11" w:rsidP="007C4D11">
            <w:pPr>
              <w:rPr>
                <w:b/>
              </w:rPr>
            </w:pPr>
            <w:r w:rsidRPr="00EE44B2">
              <w:rPr>
                <w:b/>
              </w:rPr>
              <w:t>11. Training</w:t>
            </w:r>
          </w:p>
        </w:tc>
        <w:tc>
          <w:tcPr>
            <w:tcW w:w="1276" w:type="dxa"/>
            <w:shd w:val="clear" w:color="auto" w:fill="C6D9F1" w:themeFill="text2" w:themeFillTint="33"/>
          </w:tcPr>
          <w:p w14:paraId="7574050C" w14:textId="77777777" w:rsidR="007C4D11" w:rsidRPr="00EE44B2" w:rsidRDefault="007C4D11" w:rsidP="007C4D11">
            <w:pPr>
              <w:rPr>
                <w:b/>
              </w:rPr>
            </w:pPr>
          </w:p>
        </w:tc>
      </w:tr>
      <w:tr w:rsidR="007C4D11" w14:paraId="71D5101F" w14:textId="7EF281D6" w:rsidTr="0061080A">
        <w:trPr>
          <w:gridBefore w:val="1"/>
          <w:wBefore w:w="31" w:type="dxa"/>
        </w:trPr>
        <w:tc>
          <w:tcPr>
            <w:tcW w:w="679" w:type="dxa"/>
          </w:tcPr>
          <w:p w14:paraId="0B40A918" w14:textId="77777777" w:rsidR="007C4D11" w:rsidRPr="004A4414" w:rsidRDefault="007C4D11" w:rsidP="007C4D11">
            <w:pPr>
              <w:jc w:val="center"/>
              <w:rPr>
                <w:rFonts w:cstheme="minorHAnsi"/>
              </w:rPr>
            </w:pPr>
            <w:r w:rsidRPr="004A4414">
              <w:rPr>
                <w:rFonts w:cstheme="minorHAnsi"/>
              </w:rPr>
              <w:t>LQR</w:t>
            </w:r>
          </w:p>
        </w:tc>
        <w:tc>
          <w:tcPr>
            <w:tcW w:w="6095" w:type="dxa"/>
            <w:vAlign w:val="center"/>
          </w:tcPr>
          <w:p w14:paraId="4AA3A4D5" w14:textId="77777777" w:rsidR="007C4D11" w:rsidRPr="004A4414" w:rsidRDefault="007C4D11" w:rsidP="007C4D11">
            <w:pPr>
              <w:rPr>
                <w:rFonts w:cstheme="minorHAnsi"/>
              </w:rPr>
            </w:pPr>
            <w:r w:rsidRPr="004A4414">
              <w:rPr>
                <w:rFonts w:cstheme="minorHAnsi"/>
              </w:rPr>
              <w:t>All patients with a learning disability, autism or both are identified and flagged from the point of admission through to discharge and where relevant, have access to highly personalised care, via reasonable adjustments to care pathways</w:t>
            </w:r>
          </w:p>
        </w:tc>
        <w:tc>
          <w:tcPr>
            <w:tcW w:w="1260" w:type="dxa"/>
          </w:tcPr>
          <w:p w14:paraId="02F7522E" w14:textId="77777777" w:rsidR="007C4D11" w:rsidRDefault="007C4D11" w:rsidP="007C4D11">
            <w:pPr>
              <w:jc w:val="center"/>
            </w:pPr>
            <w:r>
              <w:t>100%</w:t>
            </w:r>
          </w:p>
        </w:tc>
        <w:tc>
          <w:tcPr>
            <w:tcW w:w="1575" w:type="dxa"/>
          </w:tcPr>
          <w:p w14:paraId="6518572C" w14:textId="77777777" w:rsidR="007C4D11" w:rsidRDefault="007C4D11" w:rsidP="007C4D11">
            <w:pPr>
              <w:jc w:val="center"/>
            </w:pPr>
          </w:p>
        </w:tc>
        <w:tc>
          <w:tcPr>
            <w:tcW w:w="1276" w:type="dxa"/>
          </w:tcPr>
          <w:p w14:paraId="386BDEE9" w14:textId="54163C9B" w:rsidR="007C4D11" w:rsidRDefault="007C4D11" w:rsidP="007C4D11">
            <w:pPr>
              <w:jc w:val="center"/>
            </w:pPr>
            <w:r>
              <w:t>Quarterly</w:t>
            </w:r>
          </w:p>
        </w:tc>
      </w:tr>
      <w:tr w:rsidR="007C4D11" w14:paraId="672FDEB6" w14:textId="1D536757" w:rsidTr="0061080A">
        <w:trPr>
          <w:gridBefore w:val="1"/>
          <w:wBefore w:w="31" w:type="dxa"/>
        </w:trPr>
        <w:tc>
          <w:tcPr>
            <w:tcW w:w="679" w:type="dxa"/>
            <w:vAlign w:val="center"/>
          </w:tcPr>
          <w:p w14:paraId="15D85DA4" w14:textId="77777777" w:rsidR="007C4D11" w:rsidRPr="004A4414" w:rsidRDefault="007C4D11" w:rsidP="007C4D11">
            <w:pPr>
              <w:jc w:val="center"/>
              <w:rPr>
                <w:rFonts w:cstheme="minorHAnsi"/>
              </w:rPr>
            </w:pPr>
            <w:r w:rsidRPr="004A4414">
              <w:rPr>
                <w:rFonts w:cstheme="minorHAnsi"/>
              </w:rPr>
              <w:t>LQR</w:t>
            </w:r>
          </w:p>
        </w:tc>
        <w:tc>
          <w:tcPr>
            <w:tcW w:w="6095" w:type="dxa"/>
            <w:vAlign w:val="center"/>
          </w:tcPr>
          <w:p w14:paraId="288D111B" w14:textId="77777777" w:rsidR="007C4D11" w:rsidRPr="004A4414" w:rsidRDefault="007C4D11" w:rsidP="007C4D11">
            <w:pPr>
              <w:rPr>
                <w:rFonts w:cstheme="minorHAnsi"/>
              </w:rPr>
            </w:pPr>
            <w:r w:rsidRPr="004A4414">
              <w:rPr>
                <w:rFonts w:cstheme="minorHAnsi"/>
              </w:rPr>
              <w:t>Safeguarding Adults - staff should be trained to relevant level in line with the relevant Adult Intercollegiate Document</w:t>
            </w:r>
          </w:p>
        </w:tc>
        <w:tc>
          <w:tcPr>
            <w:tcW w:w="1260" w:type="dxa"/>
          </w:tcPr>
          <w:p w14:paraId="46D5F8F2" w14:textId="77777777" w:rsidR="007C4D11" w:rsidRDefault="007C4D11" w:rsidP="007C4D11">
            <w:pPr>
              <w:jc w:val="center"/>
            </w:pPr>
            <w:r>
              <w:t>95%</w:t>
            </w:r>
          </w:p>
        </w:tc>
        <w:tc>
          <w:tcPr>
            <w:tcW w:w="1575" w:type="dxa"/>
          </w:tcPr>
          <w:p w14:paraId="19BC4857" w14:textId="77777777" w:rsidR="007C4D11" w:rsidRDefault="007C4D11" w:rsidP="007C4D11">
            <w:pPr>
              <w:jc w:val="center"/>
            </w:pPr>
          </w:p>
        </w:tc>
        <w:tc>
          <w:tcPr>
            <w:tcW w:w="1276" w:type="dxa"/>
          </w:tcPr>
          <w:p w14:paraId="23B02E27" w14:textId="741FD91A" w:rsidR="007C4D11" w:rsidRDefault="007C4D11" w:rsidP="007C4D11">
            <w:pPr>
              <w:jc w:val="center"/>
            </w:pPr>
            <w:r>
              <w:t>Quarterly</w:t>
            </w:r>
          </w:p>
        </w:tc>
      </w:tr>
      <w:tr w:rsidR="007C4D11" w14:paraId="10431E59" w14:textId="38E754D3" w:rsidTr="0061080A">
        <w:trPr>
          <w:gridBefore w:val="1"/>
          <w:wBefore w:w="31" w:type="dxa"/>
        </w:trPr>
        <w:tc>
          <w:tcPr>
            <w:tcW w:w="679" w:type="dxa"/>
            <w:vAlign w:val="center"/>
          </w:tcPr>
          <w:p w14:paraId="327FD34B" w14:textId="77777777" w:rsidR="007C4D11" w:rsidRPr="004A4414" w:rsidRDefault="007C4D11" w:rsidP="007C4D11">
            <w:pPr>
              <w:jc w:val="center"/>
              <w:rPr>
                <w:rFonts w:cstheme="minorHAnsi"/>
              </w:rPr>
            </w:pPr>
            <w:r w:rsidRPr="004A4414">
              <w:rPr>
                <w:rFonts w:cstheme="minorHAnsi"/>
              </w:rPr>
              <w:t>LQR</w:t>
            </w:r>
          </w:p>
        </w:tc>
        <w:tc>
          <w:tcPr>
            <w:tcW w:w="6095" w:type="dxa"/>
            <w:vAlign w:val="center"/>
          </w:tcPr>
          <w:p w14:paraId="6CD9C2A7" w14:textId="77777777" w:rsidR="007C4D11" w:rsidRPr="004A4414" w:rsidRDefault="007C4D11" w:rsidP="007C4D11">
            <w:pPr>
              <w:rPr>
                <w:rFonts w:cstheme="minorHAnsi"/>
              </w:rPr>
            </w:pPr>
            <w:r w:rsidRPr="004A4414">
              <w:rPr>
                <w:rFonts w:cstheme="minorHAnsi"/>
              </w:rPr>
              <w:t>Safeguarding Children - staff should be trained to relevant level in line with the relevant Children's Intercollegiate Document</w:t>
            </w:r>
          </w:p>
        </w:tc>
        <w:tc>
          <w:tcPr>
            <w:tcW w:w="1260" w:type="dxa"/>
          </w:tcPr>
          <w:p w14:paraId="790D7BC6" w14:textId="77777777" w:rsidR="007C4D11" w:rsidRDefault="007C4D11" w:rsidP="007C4D11">
            <w:pPr>
              <w:jc w:val="center"/>
            </w:pPr>
            <w:r>
              <w:t>95%</w:t>
            </w:r>
          </w:p>
        </w:tc>
        <w:tc>
          <w:tcPr>
            <w:tcW w:w="1575" w:type="dxa"/>
          </w:tcPr>
          <w:p w14:paraId="1552458E" w14:textId="77777777" w:rsidR="007C4D11" w:rsidRDefault="007C4D11" w:rsidP="007C4D11">
            <w:pPr>
              <w:jc w:val="center"/>
            </w:pPr>
          </w:p>
        </w:tc>
        <w:tc>
          <w:tcPr>
            <w:tcW w:w="1276" w:type="dxa"/>
          </w:tcPr>
          <w:p w14:paraId="1DAE0782" w14:textId="04D8AFA3" w:rsidR="007C4D11" w:rsidRDefault="007C4D11" w:rsidP="007C4D11">
            <w:pPr>
              <w:jc w:val="center"/>
            </w:pPr>
            <w:r>
              <w:t>Quarterly</w:t>
            </w:r>
          </w:p>
        </w:tc>
      </w:tr>
      <w:tr w:rsidR="007C4D11" w14:paraId="5AE80EE1" w14:textId="3862CC6F" w:rsidTr="0061080A">
        <w:trPr>
          <w:gridBefore w:val="1"/>
          <w:wBefore w:w="31" w:type="dxa"/>
        </w:trPr>
        <w:tc>
          <w:tcPr>
            <w:tcW w:w="679" w:type="dxa"/>
            <w:vAlign w:val="center"/>
          </w:tcPr>
          <w:p w14:paraId="79EFF3ED" w14:textId="77777777" w:rsidR="007C4D11" w:rsidRPr="004A4414" w:rsidRDefault="007C4D11" w:rsidP="007C4D11">
            <w:pPr>
              <w:jc w:val="center"/>
              <w:rPr>
                <w:rFonts w:cstheme="minorHAnsi"/>
              </w:rPr>
            </w:pPr>
            <w:r w:rsidRPr="004A4414">
              <w:rPr>
                <w:rFonts w:cstheme="minorHAnsi"/>
              </w:rPr>
              <w:t>LQR</w:t>
            </w:r>
          </w:p>
        </w:tc>
        <w:tc>
          <w:tcPr>
            <w:tcW w:w="6095" w:type="dxa"/>
            <w:vAlign w:val="center"/>
          </w:tcPr>
          <w:p w14:paraId="056DC2C3" w14:textId="77777777" w:rsidR="007C4D11" w:rsidRPr="004A4414" w:rsidRDefault="007C4D11" w:rsidP="007C4D11">
            <w:pPr>
              <w:rPr>
                <w:rFonts w:cstheme="minorHAnsi"/>
              </w:rPr>
            </w:pPr>
            <w:r w:rsidRPr="004A4414">
              <w:rPr>
                <w:rFonts w:cstheme="minorHAnsi"/>
              </w:rPr>
              <w:t>Safeguarding Adults - Staff should be trained in the Mental Capacity Act, Deprivation of Liberty Safeguards, Prevent Awareness and Modern Slavery</w:t>
            </w:r>
          </w:p>
        </w:tc>
        <w:tc>
          <w:tcPr>
            <w:tcW w:w="1260" w:type="dxa"/>
          </w:tcPr>
          <w:p w14:paraId="5ED56976" w14:textId="77777777" w:rsidR="007C4D11" w:rsidRDefault="007C4D11" w:rsidP="007C4D11">
            <w:pPr>
              <w:jc w:val="center"/>
            </w:pPr>
            <w:r>
              <w:t>95%</w:t>
            </w:r>
          </w:p>
        </w:tc>
        <w:tc>
          <w:tcPr>
            <w:tcW w:w="1575" w:type="dxa"/>
          </w:tcPr>
          <w:p w14:paraId="3C3BBDAB" w14:textId="77777777" w:rsidR="007C4D11" w:rsidRDefault="007C4D11" w:rsidP="007C4D11">
            <w:pPr>
              <w:jc w:val="center"/>
            </w:pPr>
          </w:p>
        </w:tc>
        <w:tc>
          <w:tcPr>
            <w:tcW w:w="1276" w:type="dxa"/>
          </w:tcPr>
          <w:p w14:paraId="41499FBB" w14:textId="07D6B6FE" w:rsidR="007C4D11" w:rsidRDefault="007C4D11" w:rsidP="007C4D11">
            <w:pPr>
              <w:jc w:val="center"/>
            </w:pPr>
            <w:r>
              <w:t>Quarterly</w:t>
            </w:r>
          </w:p>
        </w:tc>
      </w:tr>
      <w:tr w:rsidR="007C4D11" w14:paraId="3E5BEE45" w14:textId="4081A7DE" w:rsidTr="0061080A">
        <w:trPr>
          <w:gridBefore w:val="1"/>
          <w:wBefore w:w="31" w:type="dxa"/>
        </w:trPr>
        <w:tc>
          <w:tcPr>
            <w:tcW w:w="679" w:type="dxa"/>
            <w:vAlign w:val="center"/>
          </w:tcPr>
          <w:p w14:paraId="138FABB4" w14:textId="77777777" w:rsidR="007C4D11" w:rsidRPr="004A4414" w:rsidRDefault="007C4D11" w:rsidP="007C4D11">
            <w:pPr>
              <w:jc w:val="center"/>
              <w:rPr>
                <w:rFonts w:cstheme="minorHAnsi"/>
              </w:rPr>
            </w:pPr>
            <w:r w:rsidRPr="004A4414">
              <w:rPr>
                <w:rFonts w:cstheme="minorHAnsi"/>
              </w:rPr>
              <w:t>LQR</w:t>
            </w:r>
          </w:p>
        </w:tc>
        <w:tc>
          <w:tcPr>
            <w:tcW w:w="6095" w:type="dxa"/>
            <w:vAlign w:val="center"/>
          </w:tcPr>
          <w:p w14:paraId="09BAC354" w14:textId="77777777" w:rsidR="007C4D11" w:rsidRPr="004A4414" w:rsidRDefault="007C4D11" w:rsidP="007C4D11">
            <w:pPr>
              <w:tabs>
                <w:tab w:val="left" w:pos="1307"/>
              </w:tabs>
              <w:rPr>
                <w:rFonts w:cstheme="minorHAnsi"/>
              </w:rPr>
            </w:pPr>
            <w:r w:rsidRPr="004A4414">
              <w:rPr>
                <w:rFonts w:cstheme="minorHAnsi"/>
              </w:rPr>
              <w:tab/>
            </w:r>
          </w:p>
          <w:p w14:paraId="5CE42410" w14:textId="77777777" w:rsidR="007C4D11" w:rsidRPr="004A4414" w:rsidRDefault="007C4D11" w:rsidP="007C4D11">
            <w:pPr>
              <w:rPr>
                <w:rFonts w:cstheme="minorHAnsi"/>
              </w:rPr>
            </w:pPr>
            <w:r w:rsidRPr="004A4414">
              <w:rPr>
                <w:rFonts w:cstheme="minorHAnsi"/>
              </w:rPr>
              <w:t>Safeguarding Children - staff should be trained in Deprivation of Liberty Safeguards, Female Genital Mutilation, Contextual Safeguarding, Modern Slavery and Domestic Abuse</w:t>
            </w:r>
          </w:p>
          <w:p w14:paraId="37485CA5" w14:textId="77777777" w:rsidR="007C4D11" w:rsidRPr="004A4414" w:rsidRDefault="007C4D11" w:rsidP="007C4D11">
            <w:pPr>
              <w:tabs>
                <w:tab w:val="left" w:pos="1307"/>
              </w:tabs>
              <w:rPr>
                <w:rFonts w:cstheme="minorHAnsi"/>
              </w:rPr>
            </w:pPr>
          </w:p>
        </w:tc>
        <w:tc>
          <w:tcPr>
            <w:tcW w:w="1260" w:type="dxa"/>
          </w:tcPr>
          <w:p w14:paraId="6E16EFD1" w14:textId="77777777" w:rsidR="007C4D11" w:rsidRDefault="007C4D11" w:rsidP="007C4D11">
            <w:pPr>
              <w:jc w:val="center"/>
            </w:pPr>
            <w:r>
              <w:t>95%</w:t>
            </w:r>
          </w:p>
        </w:tc>
        <w:tc>
          <w:tcPr>
            <w:tcW w:w="1575" w:type="dxa"/>
          </w:tcPr>
          <w:p w14:paraId="00FB28E1" w14:textId="77777777" w:rsidR="007C4D11" w:rsidRDefault="007C4D11" w:rsidP="007C4D11">
            <w:pPr>
              <w:jc w:val="center"/>
            </w:pPr>
          </w:p>
        </w:tc>
        <w:tc>
          <w:tcPr>
            <w:tcW w:w="1276" w:type="dxa"/>
          </w:tcPr>
          <w:p w14:paraId="4911CECF" w14:textId="5336D948" w:rsidR="007C4D11" w:rsidRDefault="007C4D11" w:rsidP="007C4D11">
            <w:pPr>
              <w:jc w:val="center"/>
            </w:pPr>
            <w:r>
              <w:t>Quarterly</w:t>
            </w:r>
          </w:p>
        </w:tc>
      </w:tr>
      <w:tr w:rsidR="007C4D11" w14:paraId="33B9321F" w14:textId="4B37A8E6" w:rsidTr="0061080A">
        <w:trPr>
          <w:gridBefore w:val="1"/>
          <w:wBefore w:w="31" w:type="dxa"/>
        </w:trPr>
        <w:tc>
          <w:tcPr>
            <w:tcW w:w="679" w:type="dxa"/>
            <w:vAlign w:val="center"/>
          </w:tcPr>
          <w:p w14:paraId="67D09F30" w14:textId="77777777" w:rsidR="007C4D11" w:rsidRPr="004A4414" w:rsidRDefault="007C4D11" w:rsidP="007C4D11">
            <w:pPr>
              <w:jc w:val="center"/>
              <w:rPr>
                <w:rFonts w:cstheme="minorHAnsi"/>
              </w:rPr>
            </w:pPr>
            <w:r w:rsidRPr="004A4414">
              <w:rPr>
                <w:rFonts w:cstheme="minorHAnsi"/>
              </w:rPr>
              <w:t>LQR</w:t>
            </w:r>
          </w:p>
        </w:tc>
        <w:tc>
          <w:tcPr>
            <w:tcW w:w="6095" w:type="dxa"/>
            <w:vAlign w:val="center"/>
          </w:tcPr>
          <w:p w14:paraId="4977DCBD" w14:textId="77777777" w:rsidR="007C4D11" w:rsidRPr="004A4414" w:rsidRDefault="007C4D11" w:rsidP="007C4D11">
            <w:pPr>
              <w:rPr>
                <w:rFonts w:cstheme="minorHAnsi"/>
              </w:rPr>
            </w:pPr>
            <w:r w:rsidRPr="004A4414">
              <w:rPr>
                <w:rFonts w:cstheme="minorHAnsi"/>
              </w:rPr>
              <w:t xml:space="preserve">Registered Sick Children's Nurse or Safeguarding Lead trained to appropriate level, as per the Intercollegiate Document (Direct care of children - </w:t>
            </w:r>
            <w:proofErr w:type="spellStart"/>
            <w:r w:rsidRPr="004A4414">
              <w:rPr>
                <w:rFonts w:cstheme="minorHAnsi"/>
              </w:rPr>
              <w:t>Lvl</w:t>
            </w:r>
            <w:proofErr w:type="spellEnd"/>
            <w:r w:rsidRPr="004A4414">
              <w:rPr>
                <w:rFonts w:cstheme="minorHAnsi"/>
              </w:rPr>
              <w:t xml:space="preserve"> 4, Non-direct care - </w:t>
            </w:r>
            <w:proofErr w:type="spellStart"/>
            <w:r w:rsidRPr="004A4414">
              <w:rPr>
                <w:rFonts w:cstheme="minorHAnsi"/>
              </w:rPr>
              <w:t>Lvl</w:t>
            </w:r>
            <w:proofErr w:type="spellEnd"/>
            <w:r w:rsidRPr="004A4414">
              <w:rPr>
                <w:rFonts w:cstheme="minorHAnsi"/>
              </w:rPr>
              <w:t xml:space="preserve"> 3) </w:t>
            </w:r>
          </w:p>
        </w:tc>
        <w:tc>
          <w:tcPr>
            <w:tcW w:w="1260" w:type="dxa"/>
          </w:tcPr>
          <w:p w14:paraId="165C1282" w14:textId="77777777" w:rsidR="007C4D11" w:rsidRDefault="007C4D11" w:rsidP="007C4D11">
            <w:pPr>
              <w:jc w:val="center"/>
            </w:pPr>
            <w:r>
              <w:t>100%</w:t>
            </w:r>
          </w:p>
        </w:tc>
        <w:tc>
          <w:tcPr>
            <w:tcW w:w="1575" w:type="dxa"/>
          </w:tcPr>
          <w:p w14:paraId="653EC284" w14:textId="77777777" w:rsidR="007C4D11" w:rsidRDefault="007C4D11" w:rsidP="007C4D11">
            <w:pPr>
              <w:jc w:val="center"/>
            </w:pPr>
          </w:p>
        </w:tc>
        <w:tc>
          <w:tcPr>
            <w:tcW w:w="1276" w:type="dxa"/>
          </w:tcPr>
          <w:p w14:paraId="31576742" w14:textId="7A3A8308" w:rsidR="007C4D11" w:rsidRDefault="007C4D11" w:rsidP="007C4D11">
            <w:pPr>
              <w:jc w:val="center"/>
            </w:pPr>
            <w:r>
              <w:t>Quarterly</w:t>
            </w:r>
          </w:p>
        </w:tc>
      </w:tr>
      <w:tr w:rsidR="007C4D11" w14:paraId="6627A60E" w14:textId="01211171" w:rsidTr="0061080A">
        <w:trPr>
          <w:gridBefore w:val="1"/>
          <w:wBefore w:w="31" w:type="dxa"/>
        </w:trPr>
        <w:tc>
          <w:tcPr>
            <w:tcW w:w="679" w:type="dxa"/>
            <w:vAlign w:val="center"/>
          </w:tcPr>
          <w:p w14:paraId="62C4A5E1" w14:textId="77777777" w:rsidR="007C4D11" w:rsidRPr="004A4414" w:rsidRDefault="007C4D11" w:rsidP="007C4D11">
            <w:pPr>
              <w:jc w:val="center"/>
              <w:rPr>
                <w:rFonts w:cstheme="minorHAnsi"/>
              </w:rPr>
            </w:pPr>
            <w:r w:rsidRPr="004A4414">
              <w:rPr>
                <w:rFonts w:cstheme="minorHAnsi"/>
              </w:rPr>
              <w:t>LQR</w:t>
            </w:r>
          </w:p>
        </w:tc>
        <w:tc>
          <w:tcPr>
            <w:tcW w:w="6095" w:type="dxa"/>
            <w:vAlign w:val="center"/>
          </w:tcPr>
          <w:p w14:paraId="2D1C81AE" w14:textId="77777777" w:rsidR="007C4D11" w:rsidRPr="004A4414" w:rsidRDefault="007C4D11" w:rsidP="007C4D11">
            <w:pPr>
              <w:rPr>
                <w:rFonts w:cstheme="minorHAnsi"/>
              </w:rPr>
            </w:pPr>
            <w:r w:rsidRPr="004A4414">
              <w:rPr>
                <w:rFonts w:cstheme="minorHAnsi"/>
              </w:rPr>
              <w:t xml:space="preserve">Staff trained in Infection Prevention and Control (IPC) </w:t>
            </w:r>
          </w:p>
        </w:tc>
        <w:tc>
          <w:tcPr>
            <w:tcW w:w="1260" w:type="dxa"/>
          </w:tcPr>
          <w:p w14:paraId="39A7BAFD" w14:textId="77777777" w:rsidR="007C4D11" w:rsidRDefault="007C4D11" w:rsidP="007C4D11">
            <w:pPr>
              <w:jc w:val="center"/>
            </w:pPr>
            <w:r>
              <w:t>95%</w:t>
            </w:r>
          </w:p>
        </w:tc>
        <w:tc>
          <w:tcPr>
            <w:tcW w:w="1575" w:type="dxa"/>
          </w:tcPr>
          <w:p w14:paraId="72BD6063" w14:textId="77777777" w:rsidR="007C4D11" w:rsidRDefault="007C4D11" w:rsidP="007C4D11">
            <w:pPr>
              <w:jc w:val="center"/>
            </w:pPr>
          </w:p>
        </w:tc>
        <w:tc>
          <w:tcPr>
            <w:tcW w:w="1276" w:type="dxa"/>
          </w:tcPr>
          <w:p w14:paraId="6CA6D3F2" w14:textId="77777777" w:rsidR="007C4D11" w:rsidRDefault="007C4D11" w:rsidP="007C4D11">
            <w:pPr>
              <w:jc w:val="center"/>
            </w:pPr>
          </w:p>
        </w:tc>
      </w:tr>
      <w:tr w:rsidR="007C4D11" w14:paraId="00726526" w14:textId="571DD816" w:rsidTr="0061080A">
        <w:trPr>
          <w:gridBefore w:val="1"/>
          <w:wBefore w:w="31" w:type="dxa"/>
        </w:trPr>
        <w:tc>
          <w:tcPr>
            <w:tcW w:w="9609" w:type="dxa"/>
            <w:gridSpan w:val="4"/>
            <w:shd w:val="clear" w:color="auto" w:fill="C6D9F1" w:themeFill="text2" w:themeFillTint="33"/>
            <w:vAlign w:val="center"/>
          </w:tcPr>
          <w:p w14:paraId="1A1A5D1A" w14:textId="77777777" w:rsidR="007C4D11" w:rsidRPr="00EE44B2" w:rsidRDefault="007C4D11" w:rsidP="007C4D11">
            <w:pPr>
              <w:rPr>
                <w:b/>
              </w:rPr>
            </w:pPr>
            <w:r w:rsidRPr="00EE44B2">
              <w:rPr>
                <w:b/>
              </w:rPr>
              <w:t>12. Patient/Carer Survey</w:t>
            </w:r>
          </w:p>
        </w:tc>
        <w:tc>
          <w:tcPr>
            <w:tcW w:w="1276" w:type="dxa"/>
            <w:shd w:val="clear" w:color="auto" w:fill="C6D9F1" w:themeFill="text2" w:themeFillTint="33"/>
          </w:tcPr>
          <w:p w14:paraId="2EF79C09" w14:textId="77777777" w:rsidR="007C4D11" w:rsidRPr="00EE44B2" w:rsidRDefault="007C4D11" w:rsidP="007C4D11">
            <w:pPr>
              <w:rPr>
                <w:b/>
              </w:rPr>
            </w:pPr>
          </w:p>
        </w:tc>
      </w:tr>
      <w:tr w:rsidR="007C4D11" w14:paraId="75E08ADF" w14:textId="6C29C927" w:rsidTr="0061080A">
        <w:trPr>
          <w:gridBefore w:val="1"/>
          <w:wBefore w:w="31" w:type="dxa"/>
        </w:trPr>
        <w:tc>
          <w:tcPr>
            <w:tcW w:w="679" w:type="dxa"/>
            <w:vAlign w:val="center"/>
          </w:tcPr>
          <w:p w14:paraId="3F9F06D8" w14:textId="77777777" w:rsidR="007C4D11" w:rsidRPr="004A4414" w:rsidRDefault="007C4D11" w:rsidP="007C4D11">
            <w:pPr>
              <w:jc w:val="center"/>
              <w:rPr>
                <w:rFonts w:cstheme="minorHAnsi"/>
              </w:rPr>
            </w:pPr>
            <w:r w:rsidRPr="004A4414">
              <w:rPr>
                <w:rFonts w:cstheme="minorHAnsi"/>
              </w:rPr>
              <w:t>LQR</w:t>
            </w:r>
          </w:p>
        </w:tc>
        <w:tc>
          <w:tcPr>
            <w:tcW w:w="6095" w:type="dxa"/>
          </w:tcPr>
          <w:p w14:paraId="52D67478" w14:textId="77777777" w:rsidR="007C4D11" w:rsidRDefault="007C4D11" w:rsidP="007C4D11">
            <w:r>
              <w:t xml:space="preserve">% of patient who report </w:t>
            </w:r>
          </w:p>
          <w:p w14:paraId="083F0965" w14:textId="77777777" w:rsidR="007C4D11" w:rsidRDefault="007C4D11" w:rsidP="007C4D11">
            <w:pPr>
              <w:pStyle w:val="ListParagraph"/>
            </w:pPr>
          </w:p>
          <w:p w14:paraId="75582D72" w14:textId="77777777" w:rsidR="007C4D11" w:rsidRDefault="007C4D11" w:rsidP="007C4D11">
            <w:pPr>
              <w:pStyle w:val="ListParagraph"/>
              <w:numPr>
                <w:ilvl w:val="1"/>
                <w:numId w:val="9"/>
              </w:numPr>
            </w:pPr>
            <w:r>
              <w:t>They felt informed and involved in the process</w:t>
            </w:r>
          </w:p>
          <w:p w14:paraId="52D472BD" w14:textId="77777777" w:rsidR="007C4D11" w:rsidRDefault="007C4D11" w:rsidP="007C4D11">
            <w:pPr>
              <w:pStyle w:val="ListParagraph"/>
              <w:numPr>
                <w:ilvl w:val="1"/>
                <w:numId w:val="9"/>
              </w:numPr>
            </w:pPr>
            <w:r>
              <w:t>They felt empowered to make personal choices</w:t>
            </w:r>
          </w:p>
          <w:p w14:paraId="3B428E1C" w14:textId="77777777" w:rsidR="007C4D11" w:rsidRDefault="007C4D11" w:rsidP="007C4D11">
            <w:pPr>
              <w:pStyle w:val="ListParagraph"/>
              <w:numPr>
                <w:ilvl w:val="1"/>
                <w:numId w:val="9"/>
              </w:numPr>
            </w:pPr>
            <w:r>
              <w:t>The wheelchair issued met their needs</w:t>
            </w:r>
          </w:p>
          <w:p w14:paraId="03528CA9" w14:textId="77777777" w:rsidR="007C4D11" w:rsidRDefault="007C4D11" w:rsidP="007C4D11">
            <w:pPr>
              <w:pStyle w:val="ListParagraph"/>
              <w:numPr>
                <w:ilvl w:val="1"/>
                <w:numId w:val="9"/>
              </w:numPr>
            </w:pPr>
            <w:r>
              <w:t>Their /independence mobility has increased</w:t>
            </w:r>
          </w:p>
        </w:tc>
        <w:tc>
          <w:tcPr>
            <w:tcW w:w="1260" w:type="dxa"/>
          </w:tcPr>
          <w:p w14:paraId="10EAE39F" w14:textId="77777777" w:rsidR="007C4D11" w:rsidRDefault="007C4D11" w:rsidP="007C4D11">
            <w:pPr>
              <w:jc w:val="center"/>
            </w:pPr>
            <w:r>
              <w:lastRenderedPageBreak/>
              <w:t>95%</w:t>
            </w:r>
          </w:p>
        </w:tc>
        <w:tc>
          <w:tcPr>
            <w:tcW w:w="1575" w:type="dxa"/>
          </w:tcPr>
          <w:p w14:paraId="1E2B1565" w14:textId="77777777" w:rsidR="007C4D11" w:rsidRDefault="007C4D11" w:rsidP="007C4D11">
            <w:pPr>
              <w:jc w:val="center"/>
            </w:pPr>
          </w:p>
        </w:tc>
        <w:tc>
          <w:tcPr>
            <w:tcW w:w="1276" w:type="dxa"/>
          </w:tcPr>
          <w:p w14:paraId="1A16CCBD" w14:textId="6193E514" w:rsidR="007C4D11" w:rsidRDefault="007C4D11" w:rsidP="007C4D11">
            <w:pPr>
              <w:jc w:val="center"/>
            </w:pPr>
            <w:r>
              <w:t>Annually</w:t>
            </w:r>
          </w:p>
        </w:tc>
      </w:tr>
      <w:tr w:rsidR="007C4D11" w14:paraId="30B901A0" w14:textId="77B933F7" w:rsidTr="0061080A">
        <w:trPr>
          <w:gridBefore w:val="1"/>
          <w:wBefore w:w="31" w:type="dxa"/>
        </w:trPr>
        <w:tc>
          <w:tcPr>
            <w:tcW w:w="679" w:type="dxa"/>
            <w:vAlign w:val="center"/>
          </w:tcPr>
          <w:p w14:paraId="423C7C48" w14:textId="77777777" w:rsidR="007C4D11" w:rsidRPr="004A4414" w:rsidRDefault="007C4D11" w:rsidP="007C4D11">
            <w:pPr>
              <w:jc w:val="center"/>
              <w:rPr>
                <w:rFonts w:cstheme="minorHAnsi"/>
              </w:rPr>
            </w:pPr>
            <w:r w:rsidRPr="004A4414">
              <w:rPr>
                <w:rFonts w:cstheme="minorHAnsi"/>
              </w:rPr>
              <w:t>LQR</w:t>
            </w:r>
          </w:p>
        </w:tc>
        <w:tc>
          <w:tcPr>
            <w:tcW w:w="6095" w:type="dxa"/>
          </w:tcPr>
          <w:p w14:paraId="2578A5F5" w14:textId="77777777" w:rsidR="007C4D11" w:rsidRDefault="007C4D11" w:rsidP="007C4D11">
            <w:r>
              <w:t>% of carers who report</w:t>
            </w:r>
          </w:p>
          <w:p w14:paraId="20836CA4" w14:textId="77777777" w:rsidR="007C4D11" w:rsidRDefault="007C4D11" w:rsidP="007C4D11">
            <w:pPr>
              <w:pStyle w:val="ListParagraph"/>
            </w:pPr>
          </w:p>
          <w:p w14:paraId="6CEB91BD" w14:textId="77777777" w:rsidR="007C4D11" w:rsidRDefault="007C4D11" w:rsidP="007C4D11">
            <w:pPr>
              <w:pStyle w:val="ListParagraph"/>
              <w:numPr>
                <w:ilvl w:val="1"/>
                <w:numId w:val="10"/>
              </w:numPr>
            </w:pPr>
            <w:r>
              <w:t>They felt information and involved in the process</w:t>
            </w:r>
          </w:p>
          <w:p w14:paraId="2442E869" w14:textId="77777777" w:rsidR="007C4D11" w:rsidRDefault="007C4D11" w:rsidP="007C4D11">
            <w:pPr>
              <w:pStyle w:val="ListParagraph"/>
              <w:numPr>
                <w:ilvl w:val="1"/>
                <w:numId w:val="10"/>
              </w:numPr>
            </w:pPr>
            <w:r>
              <w:t>They felt empowered to support the service user</w:t>
            </w:r>
          </w:p>
          <w:p w14:paraId="35DADB96" w14:textId="77777777" w:rsidR="007C4D11" w:rsidRDefault="007C4D11" w:rsidP="007C4D11">
            <w:pPr>
              <w:pStyle w:val="ListParagraph"/>
              <w:numPr>
                <w:ilvl w:val="1"/>
                <w:numId w:val="10"/>
              </w:numPr>
            </w:pPr>
            <w:r>
              <w:t>The wheelchair issued supported them to meet the needs of the service user</w:t>
            </w:r>
          </w:p>
          <w:p w14:paraId="2826E25C" w14:textId="77777777" w:rsidR="007C4D11" w:rsidRDefault="007C4D11" w:rsidP="007C4D11"/>
        </w:tc>
        <w:tc>
          <w:tcPr>
            <w:tcW w:w="1260" w:type="dxa"/>
          </w:tcPr>
          <w:p w14:paraId="76C6A73B" w14:textId="77777777" w:rsidR="007C4D11" w:rsidRDefault="007C4D11" w:rsidP="007C4D11">
            <w:pPr>
              <w:jc w:val="center"/>
            </w:pPr>
            <w:r>
              <w:t>95%</w:t>
            </w:r>
          </w:p>
        </w:tc>
        <w:tc>
          <w:tcPr>
            <w:tcW w:w="1575" w:type="dxa"/>
          </w:tcPr>
          <w:p w14:paraId="3E0A6B09" w14:textId="77777777" w:rsidR="007C4D11" w:rsidRDefault="007C4D11" w:rsidP="007C4D11">
            <w:pPr>
              <w:jc w:val="center"/>
            </w:pPr>
          </w:p>
        </w:tc>
        <w:tc>
          <w:tcPr>
            <w:tcW w:w="1276" w:type="dxa"/>
          </w:tcPr>
          <w:p w14:paraId="170B8B9C" w14:textId="380921E5" w:rsidR="007C4D11" w:rsidRDefault="007C4D11" w:rsidP="007C4D11">
            <w:pPr>
              <w:jc w:val="center"/>
            </w:pPr>
            <w:r>
              <w:t>Annually</w:t>
            </w:r>
          </w:p>
        </w:tc>
      </w:tr>
    </w:tbl>
    <w:p w14:paraId="44802A4C" w14:textId="77777777" w:rsidR="009F4FC1" w:rsidRDefault="009F4FC1" w:rsidP="00C002A4">
      <w:pPr>
        <w:jc w:val="center"/>
      </w:pPr>
    </w:p>
    <w:p w14:paraId="03E370EB" w14:textId="77777777" w:rsidR="009F4FC1" w:rsidRPr="001105C1" w:rsidRDefault="009F4FC1" w:rsidP="00714DFD">
      <w:pPr>
        <w:rPr>
          <w:sz w:val="28"/>
        </w:rPr>
      </w:pPr>
    </w:p>
    <w:p w14:paraId="476F898A" w14:textId="77777777" w:rsidR="009F4FC1" w:rsidRDefault="009F4FC1" w:rsidP="00C002A4">
      <w:pPr>
        <w:jc w:val="center"/>
      </w:pPr>
    </w:p>
    <w:sectPr w:rsidR="009F4FC1" w:rsidSect="0061080A">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232DA" w14:textId="77777777" w:rsidR="00A835A9" w:rsidRDefault="00A835A9" w:rsidP="00714DFD">
      <w:pPr>
        <w:spacing w:after="0" w:line="240" w:lineRule="auto"/>
      </w:pPr>
      <w:r>
        <w:separator/>
      </w:r>
    </w:p>
  </w:endnote>
  <w:endnote w:type="continuationSeparator" w:id="0">
    <w:p w14:paraId="5D9A9EE7" w14:textId="77777777" w:rsidR="00A835A9" w:rsidRDefault="00A835A9" w:rsidP="0071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2210392"/>
      <w:docPartObj>
        <w:docPartGallery w:val="Page Numbers (Bottom of Page)"/>
        <w:docPartUnique/>
      </w:docPartObj>
    </w:sdtPr>
    <w:sdtEndPr>
      <w:rPr>
        <w:noProof/>
      </w:rPr>
    </w:sdtEndPr>
    <w:sdtContent>
      <w:p w14:paraId="53D59FFE" w14:textId="77777777" w:rsidR="00714DFD" w:rsidRDefault="00714DFD">
        <w:pPr>
          <w:pStyle w:val="Footer"/>
          <w:jc w:val="right"/>
        </w:pPr>
        <w:r>
          <w:fldChar w:fldCharType="begin"/>
        </w:r>
        <w:r>
          <w:instrText xml:space="preserve"> PAGE   \* MERGEFORMAT </w:instrText>
        </w:r>
        <w:r>
          <w:fldChar w:fldCharType="separate"/>
        </w:r>
        <w:r w:rsidR="007959D0">
          <w:rPr>
            <w:noProof/>
          </w:rPr>
          <w:t>1</w:t>
        </w:r>
        <w:r>
          <w:rPr>
            <w:noProof/>
          </w:rPr>
          <w:fldChar w:fldCharType="end"/>
        </w:r>
      </w:p>
    </w:sdtContent>
  </w:sdt>
  <w:p w14:paraId="4567B9B3" w14:textId="77777777" w:rsidR="00714DFD" w:rsidRDefault="00714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4400A" w14:textId="77777777" w:rsidR="00A835A9" w:rsidRDefault="00A835A9" w:rsidP="00714DFD">
      <w:pPr>
        <w:spacing w:after="0" w:line="240" w:lineRule="auto"/>
      </w:pPr>
      <w:r>
        <w:separator/>
      </w:r>
    </w:p>
  </w:footnote>
  <w:footnote w:type="continuationSeparator" w:id="0">
    <w:p w14:paraId="43BE15AD" w14:textId="77777777" w:rsidR="00A835A9" w:rsidRDefault="00A835A9" w:rsidP="00714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35D94"/>
    <w:multiLevelType w:val="hybridMultilevel"/>
    <w:tmpl w:val="E37484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223C6"/>
    <w:multiLevelType w:val="hybridMultilevel"/>
    <w:tmpl w:val="FDD69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9A1FFE"/>
    <w:multiLevelType w:val="hybridMultilevel"/>
    <w:tmpl w:val="687E4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882A71"/>
    <w:multiLevelType w:val="hybridMultilevel"/>
    <w:tmpl w:val="015C5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693317"/>
    <w:multiLevelType w:val="hybridMultilevel"/>
    <w:tmpl w:val="E37484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C84F96"/>
    <w:multiLevelType w:val="hybridMultilevel"/>
    <w:tmpl w:val="FD729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1A7D86"/>
    <w:multiLevelType w:val="hybridMultilevel"/>
    <w:tmpl w:val="E9F4B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F36B28"/>
    <w:multiLevelType w:val="hybridMultilevel"/>
    <w:tmpl w:val="5596E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35326A"/>
    <w:multiLevelType w:val="hybridMultilevel"/>
    <w:tmpl w:val="258E0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70095"/>
    <w:multiLevelType w:val="hybridMultilevel"/>
    <w:tmpl w:val="777AFD7E"/>
    <w:lvl w:ilvl="0" w:tplc="65D40C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5"/>
  </w:num>
  <w:num w:numId="5">
    <w:abstractNumId w:val="8"/>
  </w:num>
  <w:num w:numId="6">
    <w:abstractNumId w:val="3"/>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A4"/>
    <w:rsid w:val="00055711"/>
    <w:rsid w:val="0008064B"/>
    <w:rsid w:val="000A4419"/>
    <w:rsid w:val="000D3823"/>
    <w:rsid w:val="000D5FCA"/>
    <w:rsid w:val="000D6540"/>
    <w:rsid w:val="000F5723"/>
    <w:rsid w:val="0010187E"/>
    <w:rsid w:val="001105C1"/>
    <w:rsid w:val="00190F6C"/>
    <w:rsid w:val="00193836"/>
    <w:rsid w:val="001C5656"/>
    <w:rsid w:val="001C787E"/>
    <w:rsid w:val="001F2E2B"/>
    <w:rsid w:val="002121FB"/>
    <w:rsid w:val="00222D42"/>
    <w:rsid w:val="00236006"/>
    <w:rsid w:val="00284EFE"/>
    <w:rsid w:val="002A478D"/>
    <w:rsid w:val="002B1443"/>
    <w:rsid w:val="002B2A52"/>
    <w:rsid w:val="002D483D"/>
    <w:rsid w:val="00306B0A"/>
    <w:rsid w:val="00331689"/>
    <w:rsid w:val="003349C6"/>
    <w:rsid w:val="0034560C"/>
    <w:rsid w:val="00357728"/>
    <w:rsid w:val="00360A79"/>
    <w:rsid w:val="00364419"/>
    <w:rsid w:val="00374B82"/>
    <w:rsid w:val="003C265A"/>
    <w:rsid w:val="00413B29"/>
    <w:rsid w:val="00432A70"/>
    <w:rsid w:val="00460912"/>
    <w:rsid w:val="004A4414"/>
    <w:rsid w:val="004A6B83"/>
    <w:rsid w:val="004B13F3"/>
    <w:rsid w:val="00516729"/>
    <w:rsid w:val="00522373"/>
    <w:rsid w:val="00530F64"/>
    <w:rsid w:val="005455DB"/>
    <w:rsid w:val="00553555"/>
    <w:rsid w:val="00555F68"/>
    <w:rsid w:val="00561444"/>
    <w:rsid w:val="00561CC5"/>
    <w:rsid w:val="00596554"/>
    <w:rsid w:val="005D12C1"/>
    <w:rsid w:val="0061080A"/>
    <w:rsid w:val="0062097A"/>
    <w:rsid w:val="00622FD0"/>
    <w:rsid w:val="00633F2D"/>
    <w:rsid w:val="0065274A"/>
    <w:rsid w:val="006629E8"/>
    <w:rsid w:val="006669DC"/>
    <w:rsid w:val="006707A0"/>
    <w:rsid w:val="0067718A"/>
    <w:rsid w:val="006D5DEB"/>
    <w:rsid w:val="006E7C79"/>
    <w:rsid w:val="007110AB"/>
    <w:rsid w:val="00714DFD"/>
    <w:rsid w:val="007408DA"/>
    <w:rsid w:val="007959D0"/>
    <w:rsid w:val="007C03C8"/>
    <w:rsid w:val="007C4D11"/>
    <w:rsid w:val="007E17AA"/>
    <w:rsid w:val="0080731F"/>
    <w:rsid w:val="00823622"/>
    <w:rsid w:val="00826BCA"/>
    <w:rsid w:val="008431C1"/>
    <w:rsid w:val="0086082B"/>
    <w:rsid w:val="0086440C"/>
    <w:rsid w:val="008761FA"/>
    <w:rsid w:val="008A0572"/>
    <w:rsid w:val="009049C9"/>
    <w:rsid w:val="00943953"/>
    <w:rsid w:val="00966305"/>
    <w:rsid w:val="009818B8"/>
    <w:rsid w:val="00993065"/>
    <w:rsid w:val="009D0421"/>
    <w:rsid w:val="009F4FC1"/>
    <w:rsid w:val="00A835A9"/>
    <w:rsid w:val="00A913C5"/>
    <w:rsid w:val="00AB0BFF"/>
    <w:rsid w:val="00AB6F06"/>
    <w:rsid w:val="00AD7EEE"/>
    <w:rsid w:val="00AE3141"/>
    <w:rsid w:val="00AE7C3D"/>
    <w:rsid w:val="00B2315E"/>
    <w:rsid w:val="00B60885"/>
    <w:rsid w:val="00B80369"/>
    <w:rsid w:val="00B86B5D"/>
    <w:rsid w:val="00B95EF0"/>
    <w:rsid w:val="00BA0058"/>
    <w:rsid w:val="00BE495C"/>
    <w:rsid w:val="00C002A4"/>
    <w:rsid w:val="00C21E65"/>
    <w:rsid w:val="00C91957"/>
    <w:rsid w:val="00C91A61"/>
    <w:rsid w:val="00C9627B"/>
    <w:rsid w:val="00CB2041"/>
    <w:rsid w:val="00CB6BEE"/>
    <w:rsid w:val="00CC5746"/>
    <w:rsid w:val="00D1096D"/>
    <w:rsid w:val="00D2168F"/>
    <w:rsid w:val="00D46C3E"/>
    <w:rsid w:val="00D7643D"/>
    <w:rsid w:val="00D81B3B"/>
    <w:rsid w:val="00D82AEA"/>
    <w:rsid w:val="00D878AB"/>
    <w:rsid w:val="00D935D2"/>
    <w:rsid w:val="00DC3245"/>
    <w:rsid w:val="00DC4357"/>
    <w:rsid w:val="00DD1FA4"/>
    <w:rsid w:val="00DD6150"/>
    <w:rsid w:val="00E07491"/>
    <w:rsid w:val="00E135C4"/>
    <w:rsid w:val="00EA0AC8"/>
    <w:rsid w:val="00ED2519"/>
    <w:rsid w:val="00EE44B2"/>
    <w:rsid w:val="00F1632F"/>
    <w:rsid w:val="00F203CF"/>
    <w:rsid w:val="00F600B1"/>
    <w:rsid w:val="00F7725A"/>
    <w:rsid w:val="00F812C7"/>
    <w:rsid w:val="00F820BF"/>
    <w:rsid w:val="00FC777A"/>
    <w:rsid w:val="00FD2066"/>
    <w:rsid w:val="00FD3116"/>
    <w:rsid w:val="00FE2672"/>
    <w:rsid w:val="00FE7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A45D"/>
  <w15:docId w15:val="{DC0C4FCD-5741-4D44-8A0F-5542C970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02A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57728"/>
    <w:pPr>
      <w:ind w:left="720"/>
      <w:contextualSpacing/>
    </w:pPr>
  </w:style>
  <w:style w:type="character" w:styleId="CommentReference">
    <w:name w:val="annotation reference"/>
    <w:basedOn w:val="DefaultParagraphFont"/>
    <w:uiPriority w:val="99"/>
    <w:semiHidden/>
    <w:unhideWhenUsed/>
    <w:rsid w:val="00AB6F06"/>
    <w:rPr>
      <w:sz w:val="16"/>
      <w:szCs w:val="16"/>
    </w:rPr>
  </w:style>
  <w:style w:type="paragraph" w:styleId="CommentText">
    <w:name w:val="annotation text"/>
    <w:basedOn w:val="Normal"/>
    <w:link w:val="CommentTextChar"/>
    <w:uiPriority w:val="99"/>
    <w:semiHidden/>
    <w:unhideWhenUsed/>
    <w:rsid w:val="00AB6F06"/>
    <w:pPr>
      <w:spacing w:line="240" w:lineRule="auto"/>
    </w:pPr>
    <w:rPr>
      <w:sz w:val="20"/>
      <w:szCs w:val="20"/>
    </w:rPr>
  </w:style>
  <w:style w:type="character" w:customStyle="1" w:styleId="CommentTextChar">
    <w:name w:val="Comment Text Char"/>
    <w:basedOn w:val="DefaultParagraphFont"/>
    <w:link w:val="CommentText"/>
    <w:uiPriority w:val="99"/>
    <w:semiHidden/>
    <w:rsid w:val="00AB6F06"/>
    <w:rPr>
      <w:sz w:val="20"/>
      <w:szCs w:val="20"/>
    </w:rPr>
  </w:style>
  <w:style w:type="paragraph" w:styleId="CommentSubject">
    <w:name w:val="annotation subject"/>
    <w:basedOn w:val="CommentText"/>
    <w:next w:val="CommentText"/>
    <w:link w:val="CommentSubjectChar"/>
    <w:uiPriority w:val="99"/>
    <w:semiHidden/>
    <w:unhideWhenUsed/>
    <w:rsid w:val="00AB6F06"/>
    <w:rPr>
      <w:b/>
      <w:bCs/>
    </w:rPr>
  </w:style>
  <w:style w:type="character" w:customStyle="1" w:styleId="CommentSubjectChar">
    <w:name w:val="Comment Subject Char"/>
    <w:basedOn w:val="CommentTextChar"/>
    <w:link w:val="CommentSubject"/>
    <w:uiPriority w:val="99"/>
    <w:semiHidden/>
    <w:rsid w:val="00AB6F06"/>
    <w:rPr>
      <w:b/>
      <w:bCs/>
      <w:sz w:val="20"/>
      <w:szCs w:val="20"/>
    </w:rPr>
  </w:style>
  <w:style w:type="paragraph" w:styleId="BalloonText">
    <w:name w:val="Balloon Text"/>
    <w:basedOn w:val="Normal"/>
    <w:link w:val="BalloonTextChar"/>
    <w:uiPriority w:val="99"/>
    <w:semiHidden/>
    <w:unhideWhenUsed/>
    <w:rsid w:val="00AB6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F06"/>
    <w:rPr>
      <w:rFonts w:ascii="Tahoma" w:hAnsi="Tahoma" w:cs="Tahoma"/>
      <w:sz w:val="16"/>
      <w:szCs w:val="16"/>
    </w:rPr>
  </w:style>
  <w:style w:type="paragraph" w:styleId="Header">
    <w:name w:val="header"/>
    <w:basedOn w:val="Normal"/>
    <w:link w:val="HeaderChar"/>
    <w:uiPriority w:val="99"/>
    <w:unhideWhenUsed/>
    <w:rsid w:val="00714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DFD"/>
  </w:style>
  <w:style w:type="paragraph" w:styleId="Footer">
    <w:name w:val="footer"/>
    <w:basedOn w:val="Normal"/>
    <w:link w:val="FooterChar"/>
    <w:uiPriority w:val="99"/>
    <w:unhideWhenUsed/>
    <w:rsid w:val="00714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14515">
      <w:bodyDiv w:val="1"/>
      <w:marLeft w:val="0"/>
      <w:marRight w:val="0"/>
      <w:marTop w:val="0"/>
      <w:marBottom w:val="0"/>
      <w:divBdr>
        <w:top w:val="none" w:sz="0" w:space="0" w:color="auto"/>
        <w:left w:val="none" w:sz="0" w:space="0" w:color="auto"/>
        <w:bottom w:val="none" w:sz="0" w:space="0" w:color="auto"/>
        <w:right w:val="none" w:sz="0" w:space="0" w:color="auto"/>
      </w:divBdr>
    </w:div>
    <w:div w:id="156849625">
      <w:bodyDiv w:val="1"/>
      <w:marLeft w:val="0"/>
      <w:marRight w:val="0"/>
      <w:marTop w:val="0"/>
      <w:marBottom w:val="0"/>
      <w:divBdr>
        <w:top w:val="none" w:sz="0" w:space="0" w:color="auto"/>
        <w:left w:val="none" w:sz="0" w:space="0" w:color="auto"/>
        <w:bottom w:val="none" w:sz="0" w:space="0" w:color="auto"/>
        <w:right w:val="none" w:sz="0" w:space="0" w:color="auto"/>
      </w:divBdr>
    </w:div>
    <w:div w:id="170266921">
      <w:bodyDiv w:val="1"/>
      <w:marLeft w:val="0"/>
      <w:marRight w:val="0"/>
      <w:marTop w:val="0"/>
      <w:marBottom w:val="0"/>
      <w:divBdr>
        <w:top w:val="none" w:sz="0" w:space="0" w:color="auto"/>
        <w:left w:val="none" w:sz="0" w:space="0" w:color="auto"/>
        <w:bottom w:val="none" w:sz="0" w:space="0" w:color="auto"/>
        <w:right w:val="none" w:sz="0" w:space="0" w:color="auto"/>
      </w:divBdr>
    </w:div>
    <w:div w:id="263617334">
      <w:bodyDiv w:val="1"/>
      <w:marLeft w:val="0"/>
      <w:marRight w:val="0"/>
      <w:marTop w:val="0"/>
      <w:marBottom w:val="0"/>
      <w:divBdr>
        <w:top w:val="none" w:sz="0" w:space="0" w:color="auto"/>
        <w:left w:val="none" w:sz="0" w:space="0" w:color="auto"/>
        <w:bottom w:val="none" w:sz="0" w:space="0" w:color="auto"/>
        <w:right w:val="none" w:sz="0" w:space="0" w:color="auto"/>
      </w:divBdr>
    </w:div>
    <w:div w:id="452947350">
      <w:bodyDiv w:val="1"/>
      <w:marLeft w:val="0"/>
      <w:marRight w:val="0"/>
      <w:marTop w:val="0"/>
      <w:marBottom w:val="0"/>
      <w:divBdr>
        <w:top w:val="none" w:sz="0" w:space="0" w:color="auto"/>
        <w:left w:val="none" w:sz="0" w:space="0" w:color="auto"/>
        <w:bottom w:val="none" w:sz="0" w:space="0" w:color="auto"/>
        <w:right w:val="none" w:sz="0" w:space="0" w:color="auto"/>
      </w:divBdr>
    </w:div>
    <w:div w:id="536091167">
      <w:bodyDiv w:val="1"/>
      <w:marLeft w:val="0"/>
      <w:marRight w:val="0"/>
      <w:marTop w:val="0"/>
      <w:marBottom w:val="0"/>
      <w:divBdr>
        <w:top w:val="none" w:sz="0" w:space="0" w:color="auto"/>
        <w:left w:val="none" w:sz="0" w:space="0" w:color="auto"/>
        <w:bottom w:val="none" w:sz="0" w:space="0" w:color="auto"/>
        <w:right w:val="none" w:sz="0" w:space="0" w:color="auto"/>
      </w:divBdr>
    </w:div>
    <w:div w:id="590546434">
      <w:bodyDiv w:val="1"/>
      <w:marLeft w:val="0"/>
      <w:marRight w:val="0"/>
      <w:marTop w:val="0"/>
      <w:marBottom w:val="0"/>
      <w:divBdr>
        <w:top w:val="none" w:sz="0" w:space="0" w:color="auto"/>
        <w:left w:val="none" w:sz="0" w:space="0" w:color="auto"/>
        <w:bottom w:val="none" w:sz="0" w:space="0" w:color="auto"/>
        <w:right w:val="none" w:sz="0" w:space="0" w:color="auto"/>
      </w:divBdr>
    </w:div>
    <w:div w:id="766461993">
      <w:bodyDiv w:val="1"/>
      <w:marLeft w:val="0"/>
      <w:marRight w:val="0"/>
      <w:marTop w:val="0"/>
      <w:marBottom w:val="0"/>
      <w:divBdr>
        <w:top w:val="none" w:sz="0" w:space="0" w:color="auto"/>
        <w:left w:val="none" w:sz="0" w:space="0" w:color="auto"/>
        <w:bottom w:val="none" w:sz="0" w:space="0" w:color="auto"/>
        <w:right w:val="none" w:sz="0" w:space="0" w:color="auto"/>
      </w:divBdr>
    </w:div>
    <w:div w:id="1569923411">
      <w:bodyDiv w:val="1"/>
      <w:marLeft w:val="0"/>
      <w:marRight w:val="0"/>
      <w:marTop w:val="0"/>
      <w:marBottom w:val="0"/>
      <w:divBdr>
        <w:top w:val="none" w:sz="0" w:space="0" w:color="auto"/>
        <w:left w:val="none" w:sz="0" w:space="0" w:color="auto"/>
        <w:bottom w:val="none" w:sz="0" w:space="0" w:color="auto"/>
        <w:right w:val="none" w:sz="0" w:space="0" w:color="auto"/>
      </w:divBdr>
    </w:div>
    <w:div w:id="1579359604">
      <w:bodyDiv w:val="1"/>
      <w:marLeft w:val="0"/>
      <w:marRight w:val="0"/>
      <w:marTop w:val="0"/>
      <w:marBottom w:val="0"/>
      <w:divBdr>
        <w:top w:val="none" w:sz="0" w:space="0" w:color="auto"/>
        <w:left w:val="none" w:sz="0" w:space="0" w:color="auto"/>
        <w:bottom w:val="none" w:sz="0" w:space="0" w:color="auto"/>
        <w:right w:val="none" w:sz="0" w:space="0" w:color="auto"/>
      </w:divBdr>
    </w:div>
    <w:div w:id="207770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5F9FD-8FD9-48DD-9E12-98B02166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 HBLICT</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Aneesh Deasai</dc:creator>
  <cp:keywords/>
  <dc:description/>
  <cp:lastModifiedBy>ANUMADU, Uchenna (NHS HERTS VALLEYS CCG)</cp:lastModifiedBy>
  <cp:revision>2</cp:revision>
  <dcterms:created xsi:type="dcterms:W3CDTF">2021-07-20T16:29:00Z</dcterms:created>
  <dcterms:modified xsi:type="dcterms:W3CDTF">2021-07-20T16:29:00Z</dcterms:modified>
</cp:coreProperties>
</file>