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8A5E94" w:rsidP="00486BF4">
      <w:pPr>
        <w:pStyle w:val="BodyText"/>
        <w:jc w:val="center"/>
        <w:rPr>
          <w:rFonts w:ascii="Arial" w:hAnsi="Arial" w:cs="Arial"/>
          <w:szCs w:val="24"/>
        </w:rPr>
      </w:pPr>
      <w:r>
        <w:rPr>
          <w:noProof/>
        </w:rPr>
        <w:drawing>
          <wp:inline distT="0" distB="0" distL="0" distR="0" wp14:anchorId="296BC02D" wp14:editId="25B83F76">
            <wp:extent cx="2634018" cy="1183354"/>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9002" cy="1181100"/>
                    </a:xfrm>
                    <a:prstGeom prst="rect">
                      <a:avLst/>
                    </a:prstGeom>
                    <a:noFill/>
                    <a:ln>
                      <a:noFill/>
                    </a:ln>
                  </pic:spPr>
                </pic:pic>
              </a:graphicData>
            </a:graphic>
          </wp:inline>
        </w:drawing>
      </w:r>
    </w:p>
    <w:p w:rsidR="007A2E87" w:rsidRPr="00AA0749" w:rsidRDefault="007A2E87" w:rsidP="00AA0749">
      <w:pPr>
        <w:pStyle w:val="BodyText"/>
        <w:jc w:val="center"/>
        <w:rPr>
          <w:rFonts w:ascii="Arial" w:hAnsi="Arial" w:cs="Arial"/>
          <w:b w:val="0"/>
          <w:szCs w:val="24"/>
        </w:rPr>
      </w:pPr>
    </w:p>
    <w:p w:rsidR="008A5E94" w:rsidRPr="000E313E" w:rsidRDefault="00877CC8" w:rsidP="00AA0749">
      <w:pPr>
        <w:jc w:val="center"/>
        <w:rPr>
          <w:rFonts w:ascii="Arial" w:hAnsi="Arial" w:cs="Arial"/>
          <w:b/>
          <w:caps/>
          <w:sz w:val="28"/>
          <w:szCs w:val="28"/>
        </w:rPr>
      </w:pPr>
      <w:r w:rsidRPr="000E313E">
        <w:rPr>
          <w:rFonts w:ascii="Arial" w:hAnsi="Arial" w:cs="Arial"/>
          <w:b/>
          <w:caps/>
          <w:sz w:val="28"/>
          <w:szCs w:val="28"/>
        </w:rPr>
        <w:t>Tender for</w:t>
      </w:r>
      <w:r w:rsidR="008A5E94" w:rsidRPr="000E313E">
        <w:rPr>
          <w:rFonts w:ascii="Arial" w:hAnsi="Arial" w:cs="Arial"/>
          <w:b/>
          <w:caps/>
          <w:sz w:val="28"/>
          <w:szCs w:val="28"/>
        </w:rPr>
        <w:t xml:space="preserve"> rutland county council district council </w:t>
      </w:r>
    </w:p>
    <w:p w:rsidR="000A4F20" w:rsidRPr="000E313E" w:rsidRDefault="008A5E94" w:rsidP="00AA0749">
      <w:pPr>
        <w:jc w:val="center"/>
        <w:rPr>
          <w:rFonts w:ascii="Arial" w:hAnsi="Arial" w:cs="Arial"/>
          <w:b/>
          <w:caps/>
          <w:sz w:val="28"/>
          <w:szCs w:val="28"/>
        </w:rPr>
      </w:pPr>
      <w:r w:rsidRPr="000E313E">
        <w:rPr>
          <w:rFonts w:ascii="Arial" w:hAnsi="Arial" w:cs="Arial"/>
          <w:b/>
          <w:caps/>
          <w:sz w:val="28"/>
          <w:szCs w:val="28"/>
        </w:rPr>
        <w:t xml:space="preserve">substance misuse </w:t>
      </w:r>
      <w:r w:rsidR="00232A7C">
        <w:rPr>
          <w:rFonts w:ascii="Arial" w:hAnsi="Arial" w:cs="Arial"/>
          <w:b/>
          <w:caps/>
          <w:sz w:val="28"/>
          <w:szCs w:val="28"/>
        </w:rPr>
        <w:t>AND COMMUNITY TREATMENT service</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8A5E94" w:rsidRDefault="001A0E09" w:rsidP="008A5E94">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8A5E94">
        <w:rPr>
          <w:rFonts w:ascii="Arial" w:hAnsi="Arial" w:cs="Arial"/>
          <w:szCs w:val="24"/>
        </w:rPr>
        <w:t>Substance Misuse And Community Treatment Service</w:t>
      </w:r>
      <w:r w:rsidR="008A5E94" w:rsidRPr="00AA074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8A5E94" w:rsidRPr="008A5E94" w:rsidRDefault="008A5E94" w:rsidP="008A5E94">
      <w:pPr>
        <w:pStyle w:val="ListParagraph"/>
        <w:numPr>
          <w:ilvl w:val="0"/>
          <w:numId w:val="2"/>
        </w:numPr>
        <w:spacing w:before="120" w:after="120"/>
        <w:jc w:val="both"/>
        <w:rPr>
          <w:rFonts w:ascii="Arial" w:hAnsi="Arial" w:cs="Arial"/>
          <w:szCs w:val="24"/>
        </w:rPr>
      </w:pPr>
      <w:r w:rsidRPr="008A5E94">
        <w:rPr>
          <w:rFonts w:ascii="Arial" w:hAnsi="Arial" w:cs="Arial"/>
          <w:szCs w:val="24"/>
        </w:rPr>
        <w:t xml:space="preserve">When completed, please return </w:t>
      </w:r>
      <w:r w:rsidRPr="008A5E94">
        <w:rPr>
          <w:rFonts w:ascii="Arial" w:hAnsi="Arial" w:cs="Arial"/>
          <w:b/>
          <w:szCs w:val="24"/>
        </w:rPr>
        <w:t xml:space="preserve">one hard copy and a copy electronically saved on a CD or memory stick </w:t>
      </w:r>
      <w:r w:rsidRPr="008A5E94">
        <w:rPr>
          <w:rFonts w:ascii="Arial" w:hAnsi="Arial" w:cs="Arial"/>
          <w:szCs w:val="24"/>
        </w:rPr>
        <w:t>of</w:t>
      </w:r>
      <w:r w:rsidRPr="008A5E94">
        <w:rPr>
          <w:rFonts w:ascii="Arial" w:hAnsi="Arial" w:cs="Arial"/>
          <w:b/>
          <w:szCs w:val="24"/>
        </w:rPr>
        <w:t xml:space="preserve"> </w:t>
      </w:r>
      <w:r w:rsidRPr="008A5E94">
        <w:rPr>
          <w:rFonts w:ascii="Arial" w:hAnsi="Arial" w:cs="Arial"/>
          <w:szCs w:val="24"/>
        </w:rPr>
        <w:t>the response document (Document Four).</w:t>
      </w:r>
    </w:p>
    <w:p w:rsidR="008A5E94" w:rsidRDefault="008A5E94" w:rsidP="008A5E94">
      <w:pPr>
        <w:pStyle w:val="ListParagraph"/>
        <w:numPr>
          <w:ilvl w:val="0"/>
          <w:numId w:val="2"/>
        </w:numPr>
        <w:spacing w:before="120" w:after="120"/>
        <w:jc w:val="both"/>
        <w:rPr>
          <w:rFonts w:ascii="Arial" w:hAnsi="Arial" w:cs="Arial"/>
          <w:szCs w:val="24"/>
        </w:rPr>
      </w:pPr>
      <w:r w:rsidRPr="008A5E94">
        <w:rPr>
          <w:rFonts w:ascii="Arial" w:hAnsi="Arial" w:cs="Arial"/>
          <w:szCs w:val="24"/>
        </w:rPr>
        <w:t>Please mark envelopes/packages with only “</w:t>
      </w:r>
      <w:r w:rsidRPr="008A5E94">
        <w:rPr>
          <w:rFonts w:ascii="Arial" w:hAnsi="Arial" w:cs="Arial"/>
          <w:b/>
          <w:caps/>
          <w:szCs w:val="24"/>
        </w:rPr>
        <w:t xml:space="preserve">Tender Response: SUBSTANCE MISUSE AND COMMUNITY TREATMENT SERVICE </w:t>
      </w:r>
      <w:r w:rsidRPr="008A5E94">
        <w:rPr>
          <w:rFonts w:ascii="Arial" w:hAnsi="Arial" w:cs="Arial"/>
          <w:b/>
          <w:szCs w:val="24"/>
        </w:rPr>
        <w:t>(Private and Confidential)</w:t>
      </w:r>
      <w:r w:rsidR="00C31C07">
        <w:rPr>
          <w:rFonts w:ascii="Arial" w:hAnsi="Arial" w:cs="Arial"/>
          <w:b/>
          <w:szCs w:val="24"/>
        </w:rPr>
        <w:t xml:space="preserve"> Deadline 12 noon 16 June 2017</w:t>
      </w:r>
      <w:r w:rsidRPr="008A5E94">
        <w:rPr>
          <w:rFonts w:ascii="Arial" w:hAnsi="Arial" w:cs="Arial"/>
          <w:szCs w:val="24"/>
        </w:rPr>
        <w:t>”</w:t>
      </w:r>
      <w:r w:rsidRPr="008A5E94">
        <w:rPr>
          <w:rFonts w:ascii="Arial" w:hAnsi="Arial" w:cs="Arial"/>
          <w:b/>
          <w:szCs w:val="24"/>
        </w:rPr>
        <w:t xml:space="preserve"> </w:t>
      </w:r>
      <w:r w:rsidRPr="008A5E94">
        <w:rPr>
          <w:rFonts w:ascii="Arial" w:hAnsi="Arial" w:cs="Arial"/>
          <w:szCs w:val="24"/>
        </w:rPr>
        <w:t>and with no company markings to:</w:t>
      </w:r>
    </w:p>
    <w:p w:rsidR="00C31C07" w:rsidRPr="008A5E94" w:rsidRDefault="00C31C07" w:rsidP="008A5E94">
      <w:pPr>
        <w:pStyle w:val="ListParagraph"/>
        <w:numPr>
          <w:ilvl w:val="0"/>
          <w:numId w:val="2"/>
        </w:numPr>
        <w:spacing w:before="120" w:after="120"/>
        <w:jc w:val="both"/>
        <w:rPr>
          <w:rFonts w:ascii="Arial" w:hAnsi="Arial" w:cs="Arial"/>
          <w:szCs w:val="24"/>
        </w:rPr>
      </w:pPr>
    </w:p>
    <w:p w:rsidR="008A5E94" w:rsidRPr="008A5E94" w:rsidRDefault="008A5E94" w:rsidP="008A5E94">
      <w:pPr>
        <w:pStyle w:val="ListParagraph"/>
        <w:numPr>
          <w:ilvl w:val="0"/>
          <w:numId w:val="2"/>
        </w:numPr>
        <w:jc w:val="both"/>
        <w:rPr>
          <w:rFonts w:ascii="Arial" w:hAnsi="Arial" w:cs="Arial"/>
          <w:szCs w:val="24"/>
        </w:rPr>
      </w:pPr>
      <w:r w:rsidRPr="008A5E94">
        <w:rPr>
          <w:rFonts w:ascii="Arial" w:hAnsi="Arial"/>
          <w:szCs w:val="24"/>
        </w:rPr>
        <w:t xml:space="preserve">The Chief Executive, Rutland County Council, </w:t>
      </w:r>
      <w:proofErr w:type="spellStart"/>
      <w:r w:rsidRPr="008A5E94">
        <w:rPr>
          <w:rFonts w:ascii="Arial" w:hAnsi="Arial"/>
          <w:szCs w:val="24"/>
        </w:rPr>
        <w:t>Catmose</w:t>
      </w:r>
      <w:proofErr w:type="spellEnd"/>
      <w:r w:rsidRPr="008A5E94">
        <w:rPr>
          <w:rFonts w:ascii="Arial" w:hAnsi="Arial"/>
          <w:szCs w:val="24"/>
        </w:rPr>
        <w:t>, Oakham, Rutland LE5 6HP</w:t>
      </w:r>
    </w:p>
    <w:p w:rsidR="008A5E94" w:rsidRPr="008A5E94" w:rsidRDefault="008A5E94" w:rsidP="00232A7C">
      <w:pPr>
        <w:pStyle w:val="ListParagraph"/>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8A5E94" w:rsidRPr="00AA0749" w:rsidTr="0063795B">
        <w:trPr>
          <w:trHeight w:val="284"/>
          <w:jc w:val="center"/>
        </w:trPr>
        <w:tc>
          <w:tcPr>
            <w:tcW w:w="9289" w:type="dxa"/>
            <w:vAlign w:val="center"/>
          </w:tcPr>
          <w:p w:rsidR="008A5E94" w:rsidRDefault="008A5E94" w:rsidP="0063795B">
            <w:pPr>
              <w:spacing w:before="120" w:after="120"/>
              <w:jc w:val="center"/>
              <w:rPr>
                <w:rFonts w:ascii="Arial" w:hAnsi="Arial" w:cs="Arial"/>
                <w:b/>
                <w:color w:val="FF0000"/>
                <w:szCs w:val="24"/>
              </w:rPr>
            </w:pPr>
            <w:r w:rsidRPr="00AA0749">
              <w:rPr>
                <w:rFonts w:ascii="Arial" w:hAnsi="Arial" w:cs="Arial"/>
                <w:b/>
                <w:szCs w:val="24"/>
              </w:rPr>
              <w:t>To be received not later than</w:t>
            </w:r>
            <w:r>
              <w:rPr>
                <w:rFonts w:ascii="Arial" w:hAnsi="Arial" w:cs="Arial"/>
                <w:b/>
                <w:szCs w:val="24"/>
              </w:rPr>
              <w:t xml:space="preserve"> 12 noon on 16 June 2017</w:t>
            </w:r>
            <w:r w:rsidRPr="001541C3">
              <w:rPr>
                <w:rFonts w:ascii="Arial" w:hAnsi="Arial" w:cs="Arial"/>
                <w:b/>
                <w:szCs w:val="24"/>
              </w:rPr>
              <w:t>.</w:t>
            </w:r>
          </w:p>
          <w:p w:rsidR="008A5E94" w:rsidRPr="00AA0749" w:rsidRDefault="008A5E94" w:rsidP="0063795B">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8A5E94" w:rsidRDefault="008A5E94" w:rsidP="00232A7C">
      <w:pPr>
        <w:pStyle w:val="BodyText"/>
        <w:ind w:left="720"/>
        <w:rPr>
          <w:rFonts w:ascii="Arial" w:hAnsi="Arial" w:cs="Arial"/>
          <w:szCs w:val="24"/>
        </w:rPr>
      </w:pPr>
    </w:p>
    <w:p w:rsidR="008A5E94" w:rsidRPr="00E439A2" w:rsidRDefault="008A5E94" w:rsidP="00232A7C">
      <w:pPr>
        <w:pStyle w:val="BodyText"/>
        <w:ind w:left="720"/>
        <w:jc w:val="center"/>
        <w:rPr>
          <w:rFonts w:ascii="Arial" w:hAnsi="Arial" w:cs="Arial"/>
          <w:szCs w:val="24"/>
          <w:u w:val="single"/>
        </w:rPr>
        <w:sectPr w:rsidR="008A5E94"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PLEASE ENSURE THAT YOU REGISTER YOUR INTEREST WITH THE PROCUREMENT CO</w:t>
      </w:r>
      <w:r>
        <w:rPr>
          <w:rFonts w:ascii="Arial" w:hAnsi="Arial" w:cs="Arial"/>
          <w:szCs w:val="24"/>
          <w:u w:val="single"/>
        </w:rPr>
        <w:t xml:space="preserve">NTACT NAMED IN THIS DOCUMENT </w:t>
      </w:r>
      <w:r w:rsidRPr="00E439A2">
        <w:rPr>
          <w:rFonts w:ascii="Arial" w:hAnsi="Arial" w:cs="Arial"/>
          <w:szCs w:val="24"/>
          <w:u w:val="single"/>
        </w:rPr>
        <w:t xml:space="preserve">IN ORDER TO RECEIVE UPDATES, </w:t>
      </w:r>
      <w:r>
        <w:rPr>
          <w:rFonts w:ascii="Arial" w:hAnsi="Arial" w:cs="Arial"/>
          <w:szCs w:val="24"/>
          <w:u w:val="single"/>
        </w:rPr>
        <w:t xml:space="preserve">TUPE INFORMATION, </w:t>
      </w:r>
      <w:r w:rsidRPr="00E439A2">
        <w:rPr>
          <w:rFonts w:ascii="Arial" w:hAnsi="Arial" w:cs="Arial"/>
          <w:szCs w:val="24"/>
          <w:u w:val="single"/>
        </w:rPr>
        <w:t>QUESTIONS RESPONSES 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CF3B9B"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CF3B9B"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CF3B9B"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CF3B9B"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CF3B9B"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CF3B9B"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CF3B9B"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8A5E94" w:rsidRDefault="008A5E94" w:rsidP="005E3A2F">
      <w:pPr>
        <w:pStyle w:val="ListParagraph"/>
        <w:numPr>
          <w:ilvl w:val="2"/>
          <w:numId w:val="1"/>
        </w:numPr>
        <w:jc w:val="both"/>
        <w:rPr>
          <w:rFonts w:ascii="Arial" w:hAnsi="Arial" w:cs="Arial"/>
          <w:szCs w:val="24"/>
        </w:rPr>
      </w:pPr>
      <w:r w:rsidRPr="00B03692">
        <w:rPr>
          <w:rFonts w:ascii="Arial" w:hAnsi="Arial" w:cs="Arial"/>
          <w:szCs w:val="24"/>
        </w:rPr>
        <w:t>This contract is issued by Rutland County Council (the Council).</w:t>
      </w:r>
    </w:p>
    <w:p w:rsidR="008A5E94"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D26382">
        <w:rPr>
          <w:rFonts w:ascii="Arial" w:hAnsi="Arial" w:cs="Arial"/>
          <w:szCs w:val="24"/>
        </w:rPr>
        <w:t>Rutland County Council has been responsible for commissioning substance misuse treatment services since April 2013</w:t>
      </w:r>
      <w:r>
        <w:rPr>
          <w:rFonts w:ascii="Arial" w:hAnsi="Arial" w:cs="Arial"/>
          <w:szCs w:val="24"/>
        </w:rPr>
        <w:t>.</w:t>
      </w:r>
    </w:p>
    <w:p w:rsidR="008A5E94" w:rsidRPr="00D26382"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The proposal links with Rutland County Council’s strategic objective to ‘create a safer community for all’ and ‘meeting the health and wellbeing needs of the community’.</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The proposal is to procure a substance misuse and community treatment service designed to reduce the substance related harm to individuals, families and communities in Rutland and to support individuals in recovery. The service will be a single integrated substance misuse service, providing a specialist drug and alcohol service for adults and young people; including specialist services for adults and young people within the criminal justice system.</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Substance misuse has far reaching impacts on individual health, fami</w:t>
      </w:r>
      <w:r>
        <w:rPr>
          <w:rFonts w:ascii="Arial" w:hAnsi="Arial" w:cs="Arial"/>
          <w:szCs w:val="24"/>
        </w:rPr>
        <w:t>lies and communities. Evidence-</w:t>
      </w:r>
      <w:r w:rsidRPr="007A0640">
        <w:rPr>
          <w:rFonts w:ascii="Arial" w:hAnsi="Arial" w:cs="Arial"/>
          <w:szCs w:val="24"/>
        </w:rPr>
        <w:t>based interventions to reduce harm have the joint benefits of improving health and wellbeing, cutting crime and saving money. Treatment services should be recovery-orientated, compliant with national guidance and person-centred.</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 xml:space="preserve">An assessment of need has been undertaken. This included assessing prevalence, hospital admissions for alcohol related harm, GP screening and numbers accessing the current treatment service. This indicates that alcohol </w:t>
      </w:r>
      <w:r w:rsidRPr="007A0640">
        <w:rPr>
          <w:rFonts w:ascii="Arial" w:hAnsi="Arial" w:cs="Arial"/>
          <w:szCs w:val="24"/>
        </w:rPr>
        <w:lastRenderedPageBreak/>
        <w:t>misuse is more of a problem in Rutland than drug misuse. However, of those recently accessing treatment about one third have drug related issues.  The current service is also seeing people in older age groups (60 years plus) and this is an increasing trend.</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Reducing substance misuse harm requires a comprehensive approach, which recognises that different levels of intervention are suitable for addressing different levels of need. This includes promotion of health and wellbeing advice for the general population, early identification and brief advice for those with increasing risks and specialist treatment and recovery services for those with dependency. The new Community Wellness Service and local GP Practices are commissioned to provide general advice, screening and brief interventions particularly for alcohol issues and referral to a specialist service for those with more problematic substance use.</w:t>
      </w:r>
    </w:p>
    <w:p w:rsidR="008A5E94" w:rsidRPr="00E35788" w:rsidRDefault="008A5E94" w:rsidP="005E3A2F">
      <w:pPr>
        <w:pStyle w:val="ListParagraph"/>
        <w:jc w:val="both"/>
        <w:rPr>
          <w:rFonts w:ascii="Arial" w:hAnsi="Arial" w:cs="Arial"/>
          <w:szCs w:val="24"/>
        </w:rPr>
      </w:pPr>
    </w:p>
    <w:p w:rsidR="008A5E94" w:rsidRPr="00E35788" w:rsidRDefault="008A5E94" w:rsidP="005E3A2F">
      <w:pPr>
        <w:pStyle w:val="ListParagraph"/>
        <w:numPr>
          <w:ilvl w:val="2"/>
          <w:numId w:val="1"/>
        </w:numPr>
        <w:jc w:val="both"/>
        <w:rPr>
          <w:rFonts w:ascii="Arial" w:hAnsi="Arial" w:cs="Arial"/>
        </w:rPr>
      </w:pPr>
      <w:r w:rsidRPr="00E35788">
        <w:rPr>
          <w:rFonts w:ascii="Arial" w:hAnsi="Arial" w:cs="Arial"/>
        </w:rPr>
        <w:t>The annual funding available will be a maximum of £90,000 per year for the delivery of the entire service as contained within the specification.  The Council cannot guarantee approval of spend above this level.</w:t>
      </w:r>
    </w:p>
    <w:p w:rsidR="008A5E94" w:rsidRPr="00E35788" w:rsidRDefault="008A5E94" w:rsidP="005E3A2F">
      <w:pPr>
        <w:pStyle w:val="ListParagraph"/>
        <w:jc w:val="both"/>
      </w:pPr>
    </w:p>
    <w:p w:rsidR="008A5E94" w:rsidRPr="00E35788" w:rsidRDefault="008A5E94" w:rsidP="005E3A2F">
      <w:pPr>
        <w:pStyle w:val="ListParagraph"/>
        <w:numPr>
          <w:ilvl w:val="2"/>
          <w:numId w:val="1"/>
        </w:numPr>
        <w:jc w:val="both"/>
        <w:rPr>
          <w:rFonts w:ascii="Arial" w:hAnsi="Arial" w:cs="Arial"/>
        </w:rPr>
      </w:pPr>
      <w:r w:rsidRPr="00E35788">
        <w:rPr>
          <w:rFonts w:ascii="Arial" w:hAnsi="Arial" w:cs="Arial"/>
        </w:rPr>
        <w:t xml:space="preserve">The proposed </w:t>
      </w:r>
      <w:r w:rsidRPr="00E35788">
        <w:rPr>
          <w:rFonts w:ascii="Arial" w:hAnsi="Arial" w:cs="Arial"/>
          <w:szCs w:val="24"/>
        </w:rPr>
        <w:t>contract length is 3 years, with the option to extend annually for a further 2</w:t>
      </w:r>
      <w:r w:rsidRPr="00E35788">
        <w:rPr>
          <w:rFonts w:ascii="Arial" w:hAnsi="Arial" w:cs="Arial"/>
          <w:color w:val="FF0000"/>
          <w:szCs w:val="24"/>
        </w:rPr>
        <w:t xml:space="preserve"> </w:t>
      </w:r>
      <w:r w:rsidRPr="00E35788">
        <w:rPr>
          <w:rFonts w:ascii="Arial" w:hAnsi="Arial" w:cs="Arial"/>
          <w:szCs w:val="24"/>
        </w:rPr>
        <w:t xml:space="preserve">years. This will be </w:t>
      </w:r>
      <w:r w:rsidRPr="00E35788">
        <w:rPr>
          <w:rFonts w:ascii="Arial" w:hAnsi="Arial" w:cs="Arial"/>
        </w:rPr>
        <w:t xml:space="preserve">subject to satisfactory performance and business needs and enable need to be reviewed.  The maximum contract period will be 5 years. </w:t>
      </w:r>
    </w:p>
    <w:p w:rsidR="008A5E94" w:rsidRPr="007A0640" w:rsidRDefault="008A5E94" w:rsidP="008A5E94">
      <w:pPr>
        <w:pStyle w:val="ListParagraph"/>
        <w:rPr>
          <w:rFonts w:ascii="Arial" w:hAnsi="Arial" w:cs="Arial"/>
          <w:szCs w:val="24"/>
        </w:rPr>
      </w:pPr>
    </w:p>
    <w:p w:rsidR="008A5E94" w:rsidRPr="00E35788" w:rsidRDefault="008A5E94" w:rsidP="005E3A2F">
      <w:pPr>
        <w:pStyle w:val="ListParagraph"/>
        <w:numPr>
          <w:ilvl w:val="2"/>
          <w:numId w:val="1"/>
        </w:numPr>
        <w:jc w:val="both"/>
        <w:rPr>
          <w:rFonts w:ascii="Arial" w:hAnsi="Arial" w:cs="Arial"/>
        </w:rPr>
      </w:pPr>
      <w:r w:rsidRPr="00E35788">
        <w:rPr>
          <w:rFonts w:ascii="Arial" w:hAnsi="Arial" w:cs="Arial"/>
        </w:rPr>
        <w:t xml:space="preserve">The Council’s plans for commissioning this service over the lifetime of the contract are based on the current level of funding available. The Council is making the assumption that there will be no increase in funding over the duration of the contract and therefore all service costs will need to be managed within current funding levels.   </w:t>
      </w:r>
    </w:p>
    <w:p w:rsidR="008A5E94" w:rsidRDefault="008A5E94" w:rsidP="005E3A2F">
      <w:pPr>
        <w:pStyle w:val="ListParagraph"/>
        <w:spacing w:before="120" w:after="120"/>
        <w:ind w:left="705"/>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 xml:space="preserve">In view of the size of the contract it is recommended that a competitive tendering process be followed for the </w:t>
      </w:r>
      <w:r>
        <w:rPr>
          <w:rFonts w:ascii="Arial" w:hAnsi="Arial" w:cs="Arial"/>
          <w:szCs w:val="24"/>
        </w:rPr>
        <w:t>Council to set out contractual C</w:t>
      </w:r>
      <w:r w:rsidRPr="007A0640">
        <w:rPr>
          <w:rFonts w:ascii="Arial" w:hAnsi="Arial" w:cs="Arial"/>
          <w:szCs w:val="24"/>
        </w:rPr>
        <w:t xml:space="preserve">onditions and the </w:t>
      </w:r>
      <w:r>
        <w:rPr>
          <w:rFonts w:ascii="Arial" w:hAnsi="Arial" w:cs="Arial"/>
          <w:szCs w:val="24"/>
        </w:rPr>
        <w:t>S</w:t>
      </w:r>
      <w:r w:rsidRPr="007A0640">
        <w:rPr>
          <w:rFonts w:ascii="Arial" w:hAnsi="Arial" w:cs="Arial"/>
          <w:szCs w:val="24"/>
        </w:rPr>
        <w:t xml:space="preserve">ervice </w:t>
      </w:r>
      <w:r>
        <w:rPr>
          <w:rFonts w:ascii="Arial" w:hAnsi="Arial" w:cs="Arial"/>
          <w:szCs w:val="24"/>
        </w:rPr>
        <w:t>S</w:t>
      </w:r>
      <w:r w:rsidRPr="007A0640">
        <w:rPr>
          <w:rFonts w:ascii="Arial" w:hAnsi="Arial" w:cs="Arial"/>
          <w:szCs w:val="24"/>
        </w:rPr>
        <w:t xml:space="preserve">pecification. </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 xml:space="preserve">In compliance with the Public Contract Regulations 2015, for public contract opportunities that are advertised with a value between £50,000 and </w:t>
      </w:r>
      <w:r>
        <w:rPr>
          <w:rFonts w:ascii="Arial" w:hAnsi="Arial" w:cs="Arial"/>
          <w:szCs w:val="24"/>
        </w:rPr>
        <w:t xml:space="preserve">for goods and services and </w:t>
      </w:r>
      <w:r w:rsidRPr="007A0640">
        <w:rPr>
          <w:rFonts w:ascii="Arial" w:hAnsi="Arial" w:cs="Arial"/>
          <w:szCs w:val="24"/>
        </w:rPr>
        <w:t>£589,148 that fall under the Light Touch Regime, a single stage tender process is being followed.</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This means that the tender response document combines a Suitability Questionnaire, a set of Tender Evaluation Questions/Pricing Schedule and a Form of Tender.</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The Council</w:t>
      </w:r>
      <w:r>
        <w:rPr>
          <w:rFonts w:ascii="Arial" w:hAnsi="Arial" w:cs="Arial"/>
          <w:szCs w:val="24"/>
        </w:rPr>
        <w:t>, as the C</w:t>
      </w:r>
      <w:r w:rsidRPr="007A0640">
        <w:rPr>
          <w:rFonts w:ascii="Arial" w:hAnsi="Arial" w:cs="Arial"/>
          <w:szCs w:val="24"/>
        </w:rPr>
        <w:t xml:space="preserve">ontract holder, requires that the process of awarding this contract is to involve the circulation of the tender documentation to locally known suppliers who may have the right experience, and advertising on Contracts Finder. </w:t>
      </w:r>
    </w:p>
    <w:p w:rsidR="008A5E94" w:rsidRPr="007A0640" w:rsidRDefault="008A5E94" w:rsidP="005E3A2F">
      <w:pPr>
        <w:pStyle w:val="ListParagraph"/>
        <w:jc w:val="both"/>
        <w:rPr>
          <w:rFonts w:ascii="Arial" w:hAnsi="Arial" w:cs="Arial"/>
          <w:szCs w:val="24"/>
        </w:rPr>
      </w:pPr>
    </w:p>
    <w:p w:rsidR="008A5E94" w:rsidRPr="007A0640" w:rsidRDefault="008A5E94" w:rsidP="005E3A2F">
      <w:pPr>
        <w:pStyle w:val="ListParagraph"/>
        <w:numPr>
          <w:ilvl w:val="2"/>
          <w:numId w:val="1"/>
        </w:numPr>
        <w:spacing w:before="120" w:after="120"/>
        <w:jc w:val="both"/>
        <w:rPr>
          <w:rFonts w:ascii="Arial" w:hAnsi="Arial" w:cs="Arial"/>
          <w:szCs w:val="24"/>
        </w:rPr>
      </w:pPr>
      <w:r>
        <w:rPr>
          <w:rFonts w:ascii="Arial" w:hAnsi="Arial" w:cs="Arial"/>
          <w:szCs w:val="24"/>
        </w:rPr>
        <w:t>The eventual C</w:t>
      </w:r>
      <w:r w:rsidRPr="007A0640">
        <w:rPr>
          <w:rFonts w:ascii="Arial" w:hAnsi="Arial" w:cs="Arial"/>
          <w:szCs w:val="24"/>
        </w:rPr>
        <w:t xml:space="preserve">ontract between the successful tenderer and the Council will consist of the following documents: </w:t>
      </w:r>
    </w:p>
    <w:p w:rsidR="008A5E94" w:rsidRPr="00AA0749" w:rsidRDefault="008A5E94" w:rsidP="008A5E94">
      <w:pPr>
        <w:ind w:left="426" w:hanging="426"/>
        <w:jc w:val="both"/>
        <w:rPr>
          <w:rFonts w:ascii="Arial" w:hAnsi="Arial" w:cs="Arial"/>
          <w:szCs w:val="24"/>
        </w:rPr>
      </w:pPr>
    </w:p>
    <w:p w:rsidR="008A5E94" w:rsidRPr="00AA0749" w:rsidRDefault="008A5E94" w:rsidP="005E3A2F">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3 of this tender developed by the Council.</w:t>
      </w:r>
      <w:r>
        <w:rPr>
          <w:rFonts w:ascii="Arial" w:hAnsi="Arial" w:cs="Arial"/>
          <w:szCs w:val="24"/>
        </w:rPr>
        <w:t xml:space="preserve"> </w:t>
      </w:r>
    </w:p>
    <w:p w:rsidR="008A5E94" w:rsidRPr="001541C3" w:rsidRDefault="008A5E94" w:rsidP="005E3A2F">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4 of this </w:t>
      </w:r>
      <w:r w:rsidRPr="001541C3">
        <w:rPr>
          <w:rFonts w:ascii="Arial" w:hAnsi="Arial" w:cs="Arial"/>
          <w:szCs w:val="24"/>
        </w:rPr>
        <w:t xml:space="preserve">tender – the response document completed by the Bidder. </w:t>
      </w:r>
    </w:p>
    <w:p w:rsidR="008A5E94" w:rsidRDefault="008A5E94" w:rsidP="005E3A2F">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‘Letter of Acceptance’ confirming the conditions of acceptance of the tender.</w:t>
      </w:r>
    </w:p>
    <w:p w:rsidR="008A5E94" w:rsidRDefault="008A5E94" w:rsidP="005E3A2F">
      <w:pPr>
        <w:pStyle w:val="BodyText3"/>
        <w:spacing w:after="0"/>
        <w:jc w:val="both"/>
        <w:rPr>
          <w:rFonts w:ascii="Arial" w:hAnsi="Arial" w:cs="Arial"/>
          <w:sz w:val="24"/>
          <w:szCs w:val="24"/>
        </w:rPr>
      </w:pPr>
    </w:p>
    <w:p w:rsidR="008A5E94" w:rsidRPr="00FE45F7" w:rsidRDefault="008A5E94" w:rsidP="005E3A2F">
      <w:pPr>
        <w:pStyle w:val="ListParagraph"/>
        <w:numPr>
          <w:ilvl w:val="2"/>
          <w:numId w:val="1"/>
        </w:numPr>
        <w:jc w:val="both"/>
        <w:rPr>
          <w:rFonts w:ascii="Arial" w:hAnsi="Arial" w:cs="Arial"/>
        </w:rPr>
      </w:pPr>
      <w:r w:rsidRPr="00FE45F7">
        <w:rPr>
          <w:rFonts w:ascii="Arial" w:hAnsi="Arial" w:cs="Arial"/>
          <w:szCs w:val="24"/>
        </w:rPr>
        <w:t xml:space="preserve">An integrated, recovery orientated Substance Misuse and Community Treatment Service is currently provided </w:t>
      </w:r>
      <w:r w:rsidR="005C7DAD" w:rsidRPr="00FE45F7">
        <w:rPr>
          <w:rFonts w:ascii="Arial" w:hAnsi="Arial" w:cs="Arial"/>
          <w:szCs w:val="24"/>
        </w:rPr>
        <w:t xml:space="preserve">under </w:t>
      </w:r>
      <w:r w:rsidR="005C7DAD">
        <w:rPr>
          <w:rFonts w:ascii="Arial" w:hAnsi="Arial" w:cs="Arial"/>
          <w:szCs w:val="24"/>
        </w:rPr>
        <w:t>a</w:t>
      </w:r>
      <w:r>
        <w:rPr>
          <w:rFonts w:ascii="Arial" w:hAnsi="Arial" w:cs="Arial"/>
          <w:szCs w:val="24"/>
        </w:rPr>
        <w:t xml:space="preserve"> </w:t>
      </w:r>
      <w:r w:rsidRPr="00FE45F7">
        <w:rPr>
          <w:rFonts w:ascii="Arial" w:hAnsi="Arial" w:cs="Arial"/>
          <w:szCs w:val="24"/>
        </w:rPr>
        <w:t>contract</w:t>
      </w:r>
      <w:r>
        <w:rPr>
          <w:rFonts w:ascii="Arial" w:hAnsi="Arial" w:cs="Arial"/>
          <w:szCs w:val="24"/>
        </w:rPr>
        <w:t xml:space="preserve"> due to expire on 30</w:t>
      </w:r>
      <w:r w:rsidRPr="003770B4">
        <w:rPr>
          <w:rFonts w:ascii="Arial" w:hAnsi="Arial" w:cs="Arial"/>
          <w:szCs w:val="24"/>
          <w:vertAlign w:val="superscript"/>
        </w:rPr>
        <w:t>th</w:t>
      </w:r>
      <w:r>
        <w:rPr>
          <w:rFonts w:ascii="Arial" w:hAnsi="Arial" w:cs="Arial"/>
          <w:szCs w:val="24"/>
        </w:rPr>
        <w:t xml:space="preserve"> September 2017</w:t>
      </w:r>
      <w:r w:rsidRPr="00FE45F7">
        <w:rPr>
          <w:rFonts w:ascii="Arial" w:hAnsi="Arial" w:cs="Arial"/>
          <w:szCs w:val="24"/>
        </w:rPr>
        <w:t xml:space="preserve">. This includes assessment </w:t>
      </w:r>
      <w:r>
        <w:rPr>
          <w:rFonts w:ascii="Arial" w:hAnsi="Arial" w:cs="Arial"/>
          <w:szCs w:val="24"/>
        </w:rPr>
        <w:t>and care coordination / liaison,</w:t>
      </w:r>
      <w:r w:rsidRPr="00FE45F7">
        <w:rPr>
          <w:rFonts w:ascii="Arial" w:hAnsi="Arial" w:cs="Arial"/>
          <w:szCs w:val="24"/>
        </w:rPr>
        <w:t xml:space="preserve"> harm reduction and prevention interventions, clinical, pharmacological and psychosocial interventions, community group work programmes, pharmacy liaison and support, peer mentoring and volunteering programmes and advice, and liaison with the wider workforce including those working with children and young people. </w:t>
      </w:r>
    </w:p>
    <w:p w:rsidR="008A5E94" w:rsidRPr="00FE45F7" w:rsidRDefault="008A5E94" w:rsidP="008A5E94">
      <w:pPr>
        <w:pStyle w:val="ListParagraph"/>
        <w:rPr>
          <w:rFonts w:ascii="Arial" w:hAnsi="Arial" w:cs="Arial"/>
          <w:szCs w:val="24"/>
        </w:rPr>
      </w:pPr>
    </w:p>
    <w:p w:rsidR="008A5E94" w:rsidRPr="00FE45F7" w:rsidRDefault="008A5E94" w:rsidP="008A5E94">
      <w:pPr>
        <w:pStyle w:val="ListParagraph"/>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rPr>
      </w:pPr>
    </w:p>
    <w:p w:rsidR="007E7023" w:rsidRDefault="00CF3B9B"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63795B" w:rsidRPr="007E7023" w:rsidRDefault="0063795B" w:rsidP="0063795B">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63795B" w:rsidRPr="009D0617" w:rsidRDefault="0063795B" w:rsidP="0063795B">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Tender documents Issued</w:t>
            </w:r>
          </w:p>
        </w:tc>
        <w:tc>
          <w:tcPr>
            <w:tcW w:w="2311" w:type="pct"/>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22</w:t>
            </w:r>
            <w:r w:rsidRPr="00E5688C">
              <w:rPr>
                <w:rFonts w:ascii="Arial" w:hAnsi="Arial" w:cs="Arial"/>
                <w:b w:val="0"/>
                <w:szCs w:val="24"/>
                <w:vertAlign w:val="superscript"/>
              </w:rPr>
              <w:t>nd</w:t>
            </w:r>
            <w:r w:rsidRPr="00E5688C">
              <w:rPr>
                <w:rFonts w:ascii="Arial" w:hAnsi="Arial" w:cs="Arial"/>
                <w:b w:val="0"/>
                <w:szCs w:val="24"/>
              </w:rPr>
              <w:t xml:space="preserve"> May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Last date to submit questions</w:t>
            </w:r>
          </w:p>
        </w:tc>
        <w:tc>
          <w:tcPr>
            <w:tcW w:w="2311" w:type="pct"/>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2</w:t>
            </w:r>
            <w:r w:rsidRPr="00E5688C">
              <w:rPr>
                <w:rFonts w:ascii="Arial" w:hAnsi="Arial" w:cs="Arial"/>
                <w:b w:val="0"/>
                <w:szCs w:val="24"/>
                <w:vertAlign w:val="superscript"/>
              </w:rPr>
              <w:t>nd</w:t>
            </w:r>
            <w:r w:rsidRPr="00E5688C">
              <w:rPr>
                <w:rFonts w:ascii="Arial" w:hAnsi="Arial" w:cs="Arial"/>
                <w:b w:val="0"/>
                <w:szCs w:val="24"/>
              </w:rPr>
              <w:t xml:space="preserve"> June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 xml:space="preserve">Last date to respond to questions </w:t>
            </w:r>
          </w:p>
        </w:tc>
        <w:tc>
          <w:tcPr>
            <w:tcW w:w="2311" w:type="pct"/>
          </w:tcPr>
          <w:p w:rsidR="0063795B" w:rsidRPr="00E5688C" w:rsidRDefault="0063795B" w:rsidP="0063795B">
            <w:pPr>
              <w:pStyle w:val="BodyText"/>
              <w:spacing w:after="120"/>
              <w:rPr>
                <w:rFonts w:ascii="Arial" w:hAnsi="Arial" w:cs="Arial"/>
                <w:b w:val="0"/>
                <w:szCs w:val="24"/>
              </w:rPr>
            </w:pPr>
            <w:r>
              <w:rPr>
                <w:rFonts w:ascii="Arial" w:hAnsi="Arial" w:cs="Arial"/>
                <w:b w:val="0"/>
                <w:szCs w:val="24"/>
              </w:rPr>
              <w:t>8</w:t>
            </w:r>
            <w:r w:rsidRPr="00E5688C">
              <w:rPr>
                <w:rFonts w:ascii="Arial" w:hAnsi="Arial" w:cs="Arial"/>
                <w:b w:val="0"/>
                <w:szCs w:val="24"/>
                <w:vertAlign w:val="superscript"/>
              </w:rPr>
              <w:t>th</w:t>
            </w:r>
            <w:r w:rsidRPr="00E5688C">
              <w:rPr>
                <w:rFonts w:ascii="Arial" w:hAnsi="Arial" w:cs="Arial"/>
                <w:b w:val="0"/>
                <w:szCs w:val="24"/>
              </w:rPr>
              <w:t xml:space="preserve"> June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Return of tenders</w:t>
            </w:r>
          </w:p>
        </w:tc>
        <w:tc>
          <w:tcPr>
            <w:tcW w:w="2311" w:type="pct"/>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16</w:t>
            </w:r>
            <w:r w:rsidRPr="00E5688C">
              <w:rPr>
                <w:rFonts w:ascii="Arial" w:hAnsi="Arial" w:cs="Arial"/>
                <w:b w:val="0"/>
                <w:szCs w:val="24"/>
                <w:vertAlign w:val="superscript"/>
              </w:rPr>
              <w:t>th</w:t>
            </w:r>
            <w:r w:rsidRPr="00E5688C">
              <w:rPr>
                <w:rFonts w:ascii="Arial" w:hAnsi="Arial" w:cs="Arial"/>
                <w:b w:val="0"/>
                <w:szCs w:val="24"/>
              </w:rPr>
              <w:t xml:space="preserve"> June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Evaluation of tenders</w:t>
            </w:r>
          </w:p>
        </w:tc>
        <w:tc>
          <w:tcPr>
            <w:tcW w:w="2311" w:type="pct"/>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4</w:t>
            </w:r>
            <w:r w:rsidRPr="00E5688C">
              <w:rPr>
                <w:rFonts w:ascii="Arial" w:hAnsi="Arial" w:cs="Arial"/>
                <w:b w:val="0"/>
                <w:szCs w:val="24"/>
                <w:vertAlign w:val="superscript"/>
              </w:rPr>
              <w:t>th</w:t>
            </w:r>
            <w:r w:rsidRPr="00E5688C">
              <w:rPr>
                <w:rFonts w:ascii="Arial" w:hAnsi="Arial" w:cs="Arial"/>
                <w:b w:val="0"/>
                <w:szCs w:val="24"/>
              </w:rPr>
              <w:t xml:space="preserve"> July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Clarification meetings as required</w:t>
            </w:r>
          </w:p>
        </w:tc>
        <w:tc>
          <w:tcPr>
            <w:tcW w:w="2311" w:type="pct"/>
          </w:tcPr>
          <w:p w:rsidR="0063795B" w:rsidRPr="00E5688C" w:rsidRDefault="0063795B" w:rsidP="0063795B">
            <w:pPr>
              <w:pStyle w:val="BodyText"/>
              <w:spacing w:after="120"/>
              <w:rPr>
                <w:rFonts w:ascii="Arial" w:hAnsi="Arial" w:cs="Arial"/>
                <w:b w:val="0"/>
                <w:szCs w:val="24"/>
              </w:rPr>
            </w:pPr>
            <w:r>
              <w:rPr>
                <w:rFonts w:ascii="Arial" w:hAnsi="Arial" w:cs="Arial"/>
                <w:b w:val="0"/>
                <w:szCs w:val="24"/>
              </w:rPr>
              <w:t>13</w:t>
            </w:r>
            <w:r w:rsidRPr="004C6E0E">
              <w:rPr>
                <w:rFonts w:ascii="Arial" w:hAnsi="Arial" w:cs="Arial"/>
                <w:b w:val="0"/>
                <w:szCs w:val="24"/>
                <w:vertAlign w:val="superscript"/>
              </w:rPr>
              <w:t>th</w:t>
            </w:r>
            <w:r>
              <w:rPr>
                <w:rFonts w:ascii="Arial" w:hAnsi="Arial" w:cs="Arial"/>
                <w:b w:val="0"/>
                <w:szCs w:val="24"/>
              </w:rPr>
              <w:t xml:space="preserve"> / </w:t>
            </w:r>
            <w:r w:rsidRPr="00E5688C">
              <w:rPr>
                <w:rFonts w:ascii="Arial" w:hAnsi="Arial" w:cs="Arial"/>
                <w:b w:val="0"/>
                <w:szCs w:val="24"/>
              </w:rPr>
              <w:t>14</w:t>
            </w:r>
            <w:r w:rsidRPr="00E5688C">
              <w:rPr>
                <w:rFonts w:ascii="Arial" w:hAnsi="Arial" w:cs="Arial"/>
                <w:b w:val="0"/>
                <w:szCs w:val="24"/>
                <w:vertAlign w:val="superscript"/>
              </w:rPr>
              <w:t>th</w:t>
            </w:r>
            <w:r w:rsidRPr="00E5688C">
              <w:rPr>
                <w:rFonts w:ascii="Arial" w:hAnsi="Arial" w:cs="Arial"/>
                <w:b w:val="0"/>
                <w:szCs w:val="24"/>
              </w:rPr>
              <w:t xml:space="preserve"> July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Pr>
                <w:rFonts w:ascii="Arial" w:hAnsi="Arial" w:cs="Arial"/>
                <w:b w:val="0"/>
                <w:szCs w:val="24"/>
              </w:rPr>
              <w:t>Provisional preferred bidder identified</w:t>
            </w:r>
          </w:p>
        </w:tc>
        <w:tc>
          <w:tcPr>
            <w:tcW w:w="2311" w:type="pct"/>
          </w:tcPr>
          <w:p w:rsidR="0063795B" w:rsidRPr="00E5688C" w:rsidRDefault="0063795B" w:rsidP="0063795B">
            <w:pPr>
              <w:pStyle w:val="BodyText"/>
              <w:spacing w:after="120"/>
              <w:rPr>
                <w:rFonts w:ascii="Arial" w:hAnsi="Arial" w:cs="Arial"/>
                <w:b w:val="0"/>
                <w:szCs w:val="24"/>
              </w:rPr>
            </w:pPr>
            <w:r>
              <w:rPr>
                <w:rFonts w:ascii="Arial" w:hAnsi="Arial" w:cs="Arial"/>
                <w:b w:val="0"/>
                <w:szCs w:val="24"/>
              </w:rPr>
              <w:t>14</w:t>
            </w:r>
            <w:r w:rsidRPr="00E5688C">
              <w:rPr>
                <w:rFonts w:ascii="Arial" w:hAnsi="Arial" w:cs="Arial"/>
                <w:b w:val="0"/>
                <w:szCs w:val="24"/>
                <w:vertAlign w:val="superscript"/>
              </w:rPr>
              <w:t>th</w:t>
            </w:r>
            <w:r>
              <w:rPr>
                <w:rFonts w:ascii="Arial" w:hAnsi="Arial" w:cs="Arial"/>
                <w:b w:val="0"/>
                <w:szCs w:val="24"/>
              </w:rPr>
              <w:t xml:space="preserve"> July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Default="0063795B" w:rsidP="0063795B">
            <w:pPr>
              <w:pStyle w:val="BodyText"/>
              <w:spacing w:after="120"/>
              <w:rPr>
                <w:rFonts w:ascii="Arial" w:hAnsi="Arial" w:cs="Arial"/>
                <w:b w:val="0"/>
                <w:szCs w:val="24"/>
              </w:rPr>
            </w:pPr>
            <w:r>
              <w:rPr>
                <w:rFonts w:ascii="Arial" w:hAnsi="Arial" w:cs="Arial"/>
                <w:b w:val="0"/>
                <w:szCs w:val="24"/>
              </w:rPr>
              <w:t>Approval of contract award</w:t>
            </w:r>
          </w:p>
        </w:tc>
        <w:tc>
          <w:tcPr>
            <w:tcW w:w="2311" w:type="pct"/>
          </w:tcPr>
          <w:p w:rsidR="0063795B" w:rsidRDefault="0063795B" w:rsidP="0063795B">
            <w:pPr>
              <w:pStyle w:val="BodyText"/>
              <w:spacing w:after="120"/>
              <w:rPr>
                <w:rFonts w:ascii="Arial" w:hAnsi="Arial" w:cs="Arial"/>
                <w:b w:val="0"/>
                <w:szCs w:val="24"/>
              </w:rPr>
            </w:pPr>
            <w:r>
              <w:rPr>
                <w:rFonts w:ascii="Arial" w:hAnsi="Arial" w:cs="Arial"/>
                <w:b w:val="0"/>
                <w:szCs w:val="24"/>
              </w:rPr>
              <w:t>26</w:t>
            </w:r>
            <w:r w:rsidRPr="00AC6396">
              <w:rPr>
                <w:rFonts w:ascii="Arial" w:hAnsi="Arial" w:cs="Arial"/>
                <w:b w:val="0"/>
                <w:szCs w:val="24"/>
                <w:vertAlign w:val="superscript"/>
              </w:rPr>
              <w:t>th</w:t>
            </w:r>
            <w:r>
              <w:rPr>
                <w:rFonts w:ascii="Arial" w:hAnsi="Arial" w:cs="Arial"/>
                <w:b w:val="0"/>
                <w:szCs w:val="24"/>
              </w:rPr>
              <w:t xml:space="preserve"> July 2017</w:t>
            </w:r>
          </w:p>
        </w:tc>
      </w:tr>
      <w:tr w:rsidR="0063795B" w:rsidRPr="003770B4"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3770B4" w:rsidRDefault="0063795B" w:rsidP="0063795B">
            <w:pPr>
              <w:pStyle w:val="BodyText"/>
              <w:spacing w:after="120"/>
              <w:rPr>
                <w:rFonts w:ascii="Arial" w:hAnsi="Arial" w:cs="Arial"/>
                <w:b w:val="0"/>
                <w:szCs w:val="24"/>
              </w:rPr>
            </w:pPr>
            <w:r w:rsidRPr="003770B4">
              <w:rPr>
                <w:rFonts w:ascii="Arial" w:hAnsi="Arial" w:cs="Arial"/>
                <w:b w:val="0"/>
                <w:szCs w:val="24"/>
              </w:rPr>
              <w:t>Standstill commences</w:t>
            </w:r>
          </w:p>
        </w:tc>
        <w:tc>
          <w:tcPr>
            <w:tcW w:w="2311" w:type="pct"/>
          </w:tcPr>
          <w:p w:rsidR="0063795B" w:rsidRPr="003770B4" w:rsidRDefault="0063795B" w:rsidP="0063795B">
            <w:pPr>
              <w:pStyle w:val="BodyText"/>
              <w:spacing w:after="120"/>
              <w:rPr>
                <w:rFonts w:ascii="Arial" w:hAnsi="Arial" w:cs="Arial"/>
                <w:b w:val="0"/>
                <w:szCs w:val="24"/>
              </w:rPr>
            </w:pPr>
            <w:r w:rsidRPr="003770B4">
              <w:rPr>
                <w:rFonts w:ascii="Arial" w:hAnsi="Arial" w:cs="Arial"/>
                <w:b w:val="0"/>
                <w:szCs w:val="24"/>
              </w:rPr>
              <w:t>27</w:t>
            </w:r>
            <w:r w:rsidRPr="003770B4">
              <w:rPr>
                <w:rFonts w:ascii="Arial" w:hAnsi="Arial" w:cs="Arial"/>
                <w:b w:val="0"/>
                <w:szCs w:val="24"/>
                <w:vertAlign w:val="superscript"/>
              </w:rPr>
              <w:t>th</w:t>
            </w:r>
            <w:r w:rsidRPr="003770B4">
              <w:rPr>
                <w:rFonts w:ascii="Arial" w:hAnsi="Arial" w:cs="Arial"/>
                <w:b w:val="0"/>
                <w:szCs w:val="24"/>
              </w:rPr>
              <w:t xml:space="preserve"> July 2017</w:t>
            </w:r>
          </w:p>
        </w:tc>
      </w:tr>
      <w:tr w:rsidR="0063795B" w:rsidRPr="003770B4" w:rsidTr="0063795B">
        <w:trPr>
          <w:trHeight w:val="284"/>
          <w:jc w:val="center"/>
        </w:trPr>
        <w:tc>
          <w:tcPr>
            <w:tcW w:w="379" w:type="pct"/>
            <w:tcBorders>
              <w:right w:val="nil"/>
            </w:tcBorders>
          </w:tcPr>
          <w:p w:rsidR="0063795B" w:rsidRPr="003770B4"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3770B4" w:rsidRDefault="0063795B" w:rsidP="0063795B">
            <w:pPr>
              <w:pStyle w:val="BodyText"/>
              <w:spacing w:after="120"/>
              <w:rPr>
                <w:rFonts w:ascii="Arial" w:hAnsi="Arial" w:cs="Arial"/>
                <w:b w:val="0"/>
                <w:szCs w:val="24"/>
              </w:rPr>
            </w:pPr>
            <w:r w:rsidRPr="003770B4">
              <w:rPr>
                <w:rFonts w:ascii="Arial" w:hAnsi="Arial" w:cs="Arial"/>
                <w:b w:val="0"/>
                <w:szCs w:val="24"/>
              </w:rPr>
              <w:t>Standstill ends</w:t>
            </w:r>
          </w:p>
        </w:tc>
        <w:tc>
          <w:tcPr>
            <w:tcW w:w="2311" w:type="pct"/>
          </w:tcPr>
          <w:p w:rsidR="0063795B" w:rsidRPr="003770B4" w:rsidRDefault="0063795B" w:rsidP="0063795B">
            <w:pPr>
              <w:pStyle w:val="BodyText"/>
              <w:spacing w:after="120"/>
              <w:rPr>
                <w:rFonts w:ascii="Arial" w:hAnsi="Arial" w:cs="Arial"/>
                <w:b w:val="0"/>
                <w:szCs w:val="24"/>
              </w:rPr>
            </w:pPr>
            <w:r w:rsidRPr="003770B4">
              <w:rPr>
                <w:rFonts w:ascii="Arial" w:hAnsi="Arial" w:cs="Arial"/>
                <w:b w:val="0"/>
                <w:szCs w:val="24"/>
              </w:rPr>
              <w:t>7</w:t>
            </w:r>
            <w:r w:rsidRPr="003770B4">
              <w:rPr>
                <w:rFonts w:ascii="Arial" w:hAnsi="Arial" w:cs="Arial"/>
                <w:b w:val="0"/>
                <w:szCs w:val="24"/>
                <w:vertAlign w:val="superscript"/>
              </w:rPr>
              <w:t>th</w:t>
            </w:r>
            <w:r w:rsidRPr="003770B4">
              <w:rPr>
                <w:rFonts w:ascii="Arial" w:hAnsi="Arial" w:cs="Arial"/>
                <w:b w:val="0"/>
                <w:szCs w:val="24"/>
              </w:rPr>
              <w:t xml:space="preserve"> August 2017</w:t>
            </w:r>
          </w:p>
        </w:tc>
      </w:tr>
      <w:tr w:rsidR="0063795B" w:rsidRPr="003770B4" w:rsidTr="0063795B">
        <w:trPr>
          <w:trHeight w:val="284"/>
          <w:jc w:val="center"/>
        </w:trPr>
        <w:tc>
          <w:tcPr>
            <w:tcW w:w="379" w:type="pct"/>
            <w:tcBorders>
              <w:right w:val="nil"/>
            </w:tcBorders>
          </w:tcPr>
          <w:p w:rsidR="0063795B" w:rsidRPr="003770B4"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3770B4" w:rsidRDefault="0063795B" w:rsidP="0063795B">
            <w:pPr>
              <w:pStyle w:val="BodyText"/>
              <w:spacing w:after="120"/>
              <w:rPr>
                <w:rFonts w:ascii="Arial" w:hAnsi="Arial" w:cs="Arial"/>
                <w:b w:val="0"/>
                <w:szCs w:val="24"/>
              </w:rPr>
            </w:pPr>
            <w:r w:rsidRPr="003770B4">
              <w:rPr>
                <w:rFonts w:ascii="Arial" w:hAnsi="Arial" w:cs="Arial"/>
                <w:b w:val="0"/>
                <w:szCs w:val="24"/>
              </w:rPr>
              <w:t>Due diligence</w:t>
            </w:r>
          </w:p>
        </w:tc>
        <w:tc>
          <w:tcPr>
            <w:tcW w:w="2311" w:type="pct"/>
          </w:tcPr>
          <w:p w:rsidR="0063795B" w:rsidRPr="003770B4" w:rsidRDefault="0063795B" w:rsidP="0063795B">
            <w:pPr>
              <w:pStyle w:val="BodyText"/>
              <w:spacing w:after="120"/>
              <w:rPr>
                <w:rFonts w:ascii="Arial" w:hAnsi="Arial" w:cs="Arial"/>
                <w:b w:val="0"/>
                <w:szCs w:val="24"/>
              </w:rPr>
            </w:pPr>
            <w:r w:rsidRPr="003770B4">
              <w:rPr>
                <w:rFonts w:ascii="Arial" w:hAnsi="Arial" w:cs="Arial"/>
                <w:b w:val="0"/>
                <w:szCs w:val="24"/>
              </w:rPr>
              <w:t>By 7</w:t>
            </w:r>
            <w:r w:rsidRPr="003770B4">
              <w:rPr>
                <w:rFonts w:ascii="Arial" w:hAnsi="Arial" w:cs="Arial"/>
                <w:b w:val="0"/>
                <w:szCs w:val="24"/>
                <w:vertAlign w:val="superscript"/>
              </w:rPr>
              <w:t>th</w:t>
            </w:r>
            <w:r w:rsidRPr="003770B4">
              <w:rPr>
                <w:rFonts w:ascii="Arial" w:hAnsi="Arial" w:cs="Arial"/>
                <w:b w:val="0"/>
                <w:szCs w:val="24"/>
              </w:rPr>
              <w:t xml:space="preserve"> August 2017</w:t>
            </w:r>
          </w:p>
        </w:tc>
      </w:tr>
      <w:tr w:rsidR="0063795B" w:rsidRPr="00E5688C" w:rsidTr="0063795B">
        <w:trPr>
          <w:trHeight w:val="284"/>
          <w:jc w:val="center"/>
        </w:trPr>
        <w:tc>
          <w:tcPr>
            <w:tcW w:w="379" w:type="pct"/>
            <w:tcBorders>
              <w:right w:val="nil"/>
            </w:tcBorders>
          </w:tcPr>
          <w:p w:rsidR="0063795B" w:rsidRPr="003770B4"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3770B4" w:rsidRDefault="0063795B" w:rsidP="0063795B">
            <w:pPr>
              <w:pStyle w:val="BodyText"/>
              <w:spacing w:after="120"/>
              <w:rPr>
                <w:rFonts w:ascii="Arial" w:hAnsi="Arial" w:cs="Arial"/>
                <w:b w:val="0"/>
                <w:szCs w:val="24"/>
              </w:rPr>
            </w:pPr>
            <w:r w:rsidRPr="003770B4">
              <w:rPr>
                <w:rFonts w:ascii="Arial" w:hAnsi="Arial" w:cs="Arial"/>
                <w:b w:val="0"/>
                <w:szCs w:val="24"/>
              </w:rPr>
              <w:t>Award of contract</w:t>
            </w:r>
          </w:p>
        </w:tc>
        <w:tc>
          <w:tcPr>
            <w:tcW w:w="2311" w:type="pct"/>
          </w:tcPr>
          <w:p w:rsidR="0063795B" w:rsidRPr="00E5688C" w:rsidRDefault="0063795B" w:rsidP="0063795B">
            <w:pPr>
              <w:pStyle w:val="BodyText"/>
              <w:spacing w:after="120"/>
              <w:rPr>
                <w:rFonts w:ascii="Arial" w:hAnsi="Arial" w:cs="Arial"/>
                <w:b w:val="0"/>
                <w:szCs w:val="24"/>
              </w:rPr>
            </w:pPr>
            <w:r w:rsidRPr="003770B4">
              <w:rPr>
                <w:rFonts w:ascii="Arial" w:hAnsi="Arial" w:cs="Arial"/>
                <w:b w:val="0"/>
                <w:szCs w:val="24"/>
              </w:rPr>
              <w:t>8</w:t>
            </w:r>
            <w:r w:rsidRPr="003770B4">
              <w:rPr>
                <w:rFonts w:ascii="Arial" w:hAnsi="Arial" w:cs="Arial"/>
                <w:b w:val="0"/>
                <w:szCs w:val="24"/>
                <w:vertAlign w:val="superscript"/>
              </w:rPr>
              <w:t>th</w:t>
            </w:r>
            <w:r w:rsidRPr="003770B4">
              <w:rPr>
                <w:rFonts w:ascii="Arial" w:hAnsi="Arial" w:cs="Arial"/>
                <w:b w:val="0"/>
                <w:szCs w:val="24"/>
              </w:rPr>
              <w:t xml:space="preserve"> August 2017</w:t>
            </w:r>
          </w:p>
        </w:tc>
      </w:tr>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 xml:space="preserve">Contract </w:t>
            </w:r>
            <w:r>
              <w:rPr>
                <w:rFonts w:ascii="Arial" w:hAnsi="Arial" w:cs="Arial"/>
                <w:b w:val="0"/>
                <w:szCs w:val="24"/>
              </w:rPr>
              <w:t>commences</w:t>
            </w:r>
          </w:p>
        </w:tc>
        <w:tc>
          <w:tcPr>
            <w:tcW w:w="2311" w:type="pct"/>
          </w:tcPr>
          <w:p w:rsidR="0063795B" w:rsidRPr="00E5688C" w:rsidRDefault="0063795B" w:rsidP="0063795B">
            <w:pPr>
              <w:pStyle w:val="BodyText"/>
              <w:spacing w:after="120"/>
              <w:rPr>
                <w:rFonts w:ascii="Arial" w:hAnsi="Arial" w:cs="Arial"/>
                <w:b w:val="0"/>
                <w:szCs w:val="24"/>
              </w:rPr>
            </w:pPr>
            <w:r>
              <w:rPr>
                <w:rFonts w:ascii="Arial" w:hAnsi="Arial" w:cs="Arial"/>
                <w:b w:val="0"/>
                <w:szCs w:val="24"/>
              </w:rPr>
              <w:t>1</w:t>
            </w:r>
            <w:r w:rsidRPr="000663C0">
              <w:rPr>
                <w:rFonts w:ascii="Arial" w:hAnsi="Arial" w:cs="Arial"/>
                <w:b w:val="0"/>
                <w:szCs w:val="24"/>
                <w:vertAlign w:val="superscript"/>
              </w:rPr>
              <w:t>st</w:t>
            </w:r>
            <w:r>
              <w:rPr>
                <w:rFonts w:ascii="Arial" w:hAnsi="Arial" w:cs="Arial"/>
                <w:b w:val="0"/>
                <w:szCs w:val="24"/>
              </w:rPr>
              <w:t xml:space="preserve"> October 2017</w:t>
            </w:r>
          </w:p>
        </w:tc>
      </w:tr>
    </w:tbl>
    <w:p w:rsidR="0063795B" w:rsidRPr="003A019A" w:rsidRDefault="0063795B" w:rsidP="0063795B">
      <w:pPr>
        <w:ind w:right="862"/>
        <w:rPr>
          <w:rFonts w:ascii="Arial" w:hAnsi="Arial" w:cs="Arial"/>
          <w:szCs w:val="24"/>
        </w:rPr>
      </w:pPr>
    </w:p>
    <w:p w:rsidR="0063795B" w:rsidRPr="003A019A" w:rsidRDefault="0063795B" w:rsidP="0063795B">
      <w:pPr>
        <w:ind w:left="720" w:hanging="720"/>
        <w:jc w:val="both"/>
        <w:rPr>
          <w:rFonts w:ascii="Arial" w:hAnsi="Arial" w:cs="Arial"/>
          <w:szCs w:val="24"/>
          <w:lang w:val="en-US"/>
        </w:rPr>
      </w:pPr>
      <w:r w:rsidRPr="003A019A">
        <w:rPr>
          <w:rFonts w:ascii="Arial" w:hAnsi="Arial" w:cs="Arial"/>
          <w:szCs w:val="24"/>
          <w:lang w:val="en-US"/>
        </w:rPr>
        <w:t xml:space="preserve">1.3.2 </w:t>
      </w:r>
      <w:r w:rsidRPr="003A019A">
        <w:rPr>
          <w:rFonts w:ascii="Arial" w:hAnsi="Arial" w:cs="Arial"/>
          <w:szCs w:val="24"/>
          <w:lang w:val="en-US"/>
        </w:rPr>
        <w:tab/>
        <w:t xml:space="preserve">The Council reserves the right to </w:t>
      </w:r>
      <w:r w:rsidR="00AD11F0">
        <w:rPr>
          <w:rFonts w:ascii="Arial" w:hAnsi="Arial" w:cs="Arial"/>
          <w:szCs w:val="24"/>
          <w:lang w:val="en-US"/>
        </w:rPr>
        <w:t>amend this timetable and steps 5</w:t>
      </w:r>
      <w:r>
        <w:rPr>
          <w:rFonts w:ascii="Arial" w:hAnsi="Arial" w:cs="Arial"/>
          <w:szCs w:val="24"/>
          <w:lang w:val="en-US"/>
        </w:rPr>
        <w:t xml:space="preserve"> to 13 are</w:t>
      </w:r>
      <w:r w:rsidRPr="003A019A">
        <w:rPr>
          <w:rFonts w:ascii="Arial" w:hAnsi="Arial" w:cs="Arial"/>
          <w:szCs w:val="24"/>
          <w:lang w:val="en-US"/>
        </w:rPr>
        <w:t xml:space="preserve"> provided for indicative purposes only. </w:t>
      </w:r>
    </w:p>
    <w:p w:rsidR="0063795B" w:rsidRPr="003A019A" w:rsidRDefault="0063795B" w:rsidP="0063795B">
      <w:pPr>
        <w:ind w:right="862"/>
        <w:jc w:val="both"/>
        <w:rPr>
          <w:rFonts w:ascii="Arial" w:hAnsi="Arial" w:cs="Arial"/>
          <w:szCs w:val="24"/>
          <w:lang w:val="en-US"/>
        </w:rPr>
      </w:pPr>
    </w:p>
    <w:p w:rsidR="0063795B" w:rsidRPr="0055626B" w:rsidRDefault="0063795B" w:rsidP="0063795B">
      <w:pPr>
        <w:pStyle w:val="ListParagraph"/>
        <w:numPr>
          <w:ilvl w:val="2"/>
          <w:numId w:val="15"/>
        </w:numPr>
        <w:jc w:val="both"/>
        <w:rPr>
          <w:rFonts w:ascii="Arial" w:hAnsi="Arial" w:cs="Arial"/>
          <w:szCs w:val="24"/>
          <w:lang w:val="en-US"/>
        </w:rPr>
      </w:pPr>
      <w:r w:rsidRPr="0055626B">
        <w:rPr>
          <w:rFonts w:ascii="Arial" w:hAnsi="Arial" w:cs="Arial"/>
          <w:szCs w:val="24"/>
          <w:lang w:val="en-US"/>
        </w:rPr>
        <w:t>Throughout the evaluation process, the Council reserves the right to seek clarifications from tenderers, where this is considered necessary to achieve a complete understanding of the bids received. 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302E16" w:rsidRDefault="00302E16" w:rsidP="00302E16">
      <w:pPr>
        <w:ind w:left="720" w:hanging="720"/>
        <w:jc w:val="both"/>
        <w:rPr>
          <w:rFonts w:ascii="Arial" w:hAnsi="Arial" w:cs="Arial"/>
          <w:szCs w:val="24"/>
        </w:rPr>
      </w:pPr>
      <w:r>
        <w:rPr>
          <w:rFonts w:ascii="Arial" w:hAnsi="Arial" w:cs="Arial"/>
          <w:szCs w:val="24"/>
        </w:rPr>
        <w:t>1.4.1</w:t>
      </w:r>
      <w:r>
        <w:rPr>
          <w:rFonts w:ascii="Arial" w:hAnsi="Arial" w:cs="Arial"/>
          <w:szCs w:val="24"/>
        </w:rPr>
        <w:tab/>
      </w:r>
      <w:r w:rsidRPr="00AA0749">
        <w:rPr>
          <w:rFonts w:ascii="Arial" w:hAnsi="Arial" w:cs="Arial"/>
          <w:szCs w:val="24"/>
        </w:rPr>
        <w:t xml:space="preserve">Bidders shall treat the details of the tender document as private and confidential. However such information may be disclosed as necessary for the purpose of obtaining </w:t>
      </w:r>
      <w:r>
        <w:rPr>
          <w:rFonts w:ascii="Arial" w:hAnsi="Arial" w:cs="Arial"/>
          <w:szCs w:val="24"/>
        </w:rPr>
        <w:t xml:space="preserve">quotations or insurance quotes. </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All costs associated with the preparation and submission of the response to this Invitation to Tender shall be borne in full by the Bidders. The Council will not be liable, under any circumstances, for any costs or charges incurred in submitting a tender or for the preparation of the Contract with the successful Bidder.</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The Form of Tender in the tender document must be signed by the Bidder. The whole document (Document Four) should be returned to the address shown on the front of this document.</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Any recommendations, reservations or comments pertaining to the information included in the Invitation to Tender documents should be clearly stated.</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No unauthorised alterations or additions should be made to the Form of Tender, or to any other component of the tender document.</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Tenders must not be qualified but must be submitted strictly in accordance with the tender documents. Bidders must not make unauthorised changes to tender documents.</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 xml:space="preserve">Bidders may submit </w:t>
      </w:r>
      <w:r>
        <w:rPr>
          <w:rFonts w:ascii="Arial" w:hAnsi="Arial" w:cs="Arial"/>
          <w:szCs w:val="24"/>
        </w:rPr>
        <w:t>(</w:t>
      </w:r>
      <w:r w:rsidRPr="00D31178">
        <w:rPr>
          <w:rFonts w:ascii="Arial" w:hAnsi="Arial" w:cs="Arial"/>
          <w:szCs w:val="24"/>
        </w:rPr>
        <w:t>an</w:t>
      </w:r>
      <w:r>
        <w:rPr>
          <w:rFonts w:ascii="Arial" w:hAnsi="Arial" w:cs="Arial"/>
          <w:szCs w:val="24"/>
        </w:rPr>
        <w:t>)</w:t>
      </w:r>
      <w:r w:rsidRPr="00D31178">
        <w:rPr>
          <w:rFonts w:ascii="Arial" w:hAnsi="Arial" w:cs="Arial"/>
          <w:szCs w:val="24"/>
        </w:rPr>
        <w:t xml:space="preserve"> alternative bid(s); but must also submit a conforming bid.</w:t>
      </w:r>
    </w:p>
    <w:p w:rsidR="00302E16" w:rsidRPr="00AA0749" w:rsidRDefault="00302E16" w:rsidP="00302E16">
      <w:pPr>
        <w:jc w:val="both"/>
        <w:rPr>
          <w:rFonts w:ascii="Arial" w:hAnsi="Arial" w:cs="Arial"/>
          <w:szCs w:val="24"/>
        </w:rPr>
      </w:pPr>
    </w:p>
    <w:p w:rsidR="00302E16" w:rsidRDefault="00302E16" w:rsidP="00302E16">
      <w:pPr>
        <w:pStyle w:val="ListParagraph"/>
        <w:numPr>
          <w:ilvl w:val="2"/>
          <w:numId w:val="16"/>
        </w:numPr>
        <w:jc w:val="both"/>
        <w:rPr>
          <w:rFonts w:ascii="Arial" w:hAnsi="Arial" w:cs="Arial"/>
          <w:szCs w:val="24"/>
        </w:rPr>
      </w:pPr>
      <w:r w:rsidRPr="00D31178">
        <w:rPr>
          <w:rFonts w:ascii="Arial" w:hAnsi="Arial" w:cs="Arial"/>
          <w:szCs w:val="24"/>
        </w:rPr>
        <w:t xml:space="preserve">The tender submission should include all the information which the Bidder feels necessary for an accurate and equitable evaluation of their proposal. Reference should not be made to previously submitted information and all aspects of the tender request are to be addressed. The submission is to be self-contained. The Bidder should not rely on the Council’s past experience as tender evaluations will be based </w:t>
      </w:r>
      <w:r w:rsidRPr="00D31178">
        <w:rPr>
          <w:rFonts w:ascii="Arial" w:hAnsi="Arial" w:cs="Arial"/>
          <w:szCs w:val="24"/>
          <w:u w:val="single"/>
        </w:rPr>
        <w:t>only</w:t>
      </w:r>
      <w:r w:rsidRPr="00D31178">
        <w:rPr>
          <w:rFonts w:ascii="Arial" w:hAnsi="Arial" w:cs="Arial"/>
          <w:szCs w:val="24"/>
        </w:rPr>
        <w:t xml:space="preserve"> on the information contained within the submission.</w:t>
      </w:r>
    </w:p>
    <w:p w:rsidR="00302E16" w:rsidRPr="00337999" w:rsidRDefault="00302E16" w:rsidP="00302E16">
      <w:pPr>
        <w:pStyle w:val="ListParagraph"/>
        <w:rPr>
          <w:rFonts w:ascii="Arial" w:hAnsi="Arial" w:cs="Arial"/>
          <w:szCs w:val="24"/>
        </w:rPr>
      </w:pPr>
    </w:p>
    <w:p w:rsidR="00302E16" w:rsidRPr="00453D8F" w:rsidRDefault="00302E16" w:rsidP="00302E16">
      <w:pPr>
        <w:pStyle w:val="ListParagraph"/>
        <w:numPr>
          <w:ilvl w:val="2"/>
          <w:numId w:val="16"/>
        </w:numPr>
        <w:jc w:val="both"/>
        <w:rPr>
          <w:rFonts w:ascii="Arial" w:hAnsi="Arial" w:cs="Arial"/>
          <w:szCs w:val="24"/>
        </w:rPr>
      </w:pPr>
      <w:r w:rsidRPr="00453D8F">
        <w:rPr>
          <w:rFonts w:ascii="Arial" w:hAnsi="Arial" w:cs="Arial"/>
          <w:szCs w:val="24"/>
        </w:rPr>
        <w:t xml:space="preserve">For the purposes of the Tender, scoring and evaluation will be based ONLY on the written response to the questions asked. Any </w:t>
      </w:r>
      <w:r>
        <w:rPr>
          <w:rFonts w:ascii="Arial" w:hAnsi="Arial" w:cs="Arial"/>
          <w:szCs w:val="24"/>
        </w:rPr>
        <w:t xml:space="preserve">supporting documentation </w:t>
      </w:r>
      <w:r w:rsidRPr="00453D8F">
        <w:rPr>
          <w:rFonts w:ascii="Arial" w:hAnsi="Arial" w:cs="Arial"/>
          <w:szCs w:val="24"/>
        </w:rPr>
        <w:t xml:space="preserve">may be used as evidence of your response but we WILL NOT use </w:t>
      </w:r>
      <w:r>
        <w:rPr>
          <w:rFonts w:ascii="Arial" w:hAnsi="Arial" w:cs="Arial"/>
          <w:szCs w:val="24"/>
        </w:rPr>
        <w:t xml:space="preserve">these </w:t>
      </w:r>
      <w:r w:rsidRPr="00453D8F">
        <w:rPr>
          <w:rFonts w:ascii="Arial" w:hAnsi="Arial" w:cs="Arial"/>
          <w:szCs w:val="24"/>
        </w:rPr>
        <w:t>supporting documents or information contained therein to evaluate and score your submission.</w:t>
      </w:r>
    </w:p>
    <w:p w:rsidR="00302E16" w:rsidRPr="00D31178" w:rsidRDefault="00302E16" w:rsidP="00302E16">
      <w:pPr>
        <w:pStyle w:val="ListParagraph"/>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Bidders will not be allowed to alter their tenders after the closing date, except that arithmetical errors may be corrected.</w:t>
      </w:r>
    </w:p>
    <w:p w:rsidR="00302E16" w:rsidRPr="00AA0749" w:rsidRDefault="00302E16" w:rsidP="00302E16">
      <w:pPr>
        <w:jc w:val="both"/>
        <w:rPr>
          <w:rFonts w:ascii="Arial" w:hAnsi="Arial" w:cs="Arial"/>
          <w:szCs w:val="24"/>
        </w:rPr>
      </w:pPr>
    </w:p>
    <w:p w:rsidR="00302E16" w:rsidRDefault="00302E16" w:rsidP="00302E16">
      <w:pPr>
        <w:pStyle w:val="ListParagraph"/>
        <w:numPr>
          <w:ilvl w:val="2"/>
          <w:numId w:val="16"/>
        </w:numPr>
        <w:jc w:val="both"/>
        <w:rPr>
          <w:rFonts w:ascii="Arial" w:hAnsi="Arial" w:cs="Arial"/>
          <w:szCs w:val="24"/>
        </w:rPr>
      </w:pPr>
      <w:r w:rsidRPr="00C02EB7">
        <w:rPr>
          <w:rFonts w:ascii="Arial" w:hAnsi="Arial" w:cs="Arial"/>
          <w:szCs w:val="24"/>
        </w:rPr>
        <w:t xml:space="preserve">Any queries arising from the tender documents which may have a bearing on </w:t>
      </w:r>
      <w:r w:rsidRPr="00FE7FD4">
        <w:rPr>
          <w:rFonts w:ascii="Arial" w:hAnsi="Arial" w:cs="Arial"/>
          <w:szCs w:val="24"/>
        </w:rPr>
        <w:t>the offer to be made should be raised with the Council’s contact (</w:t>
      </w:r>
      <w:hyperlink w:anchor="Contacts" w:history="1">
        <w:r w:rsidRPr="00FE7FD4">
          <w:rPr>
            <w:rStyle w:val="Hyperlink"/>
            <w:rFonts w:ascii="Arial" w:hAnsi="Arial" w:cs="Arial"/>
            <w:szCs w:val="24"/>
          </w:rPr>
          <w:t>Section 7</w:t>
        </w:r>
      </w:hyperlink>
      <w:r w:rsidRPr="00FE7FD4">
        <w:rPr>
          <w:rFonts w:ascii="Arial" w:hAnsi="Arial" w:cs="Arial"/>
          <w:szCs w:val="24"/>
        </w:rPr>
        <w:t>) as soon as possible in writing (via email is acceptable) and in any case by 2</w:t>
      </w:r>
      <w:r w:rsidRPr="00FE7FD4">
        <w:rPr>
          <w:rFonts w:ascii="Arial" w:hAnsi="Arial" w:cs="Arial"/>
          <w:szCs w:val="24"/>
          <w:vertAlign w:val="superscript"/>
        </w:rPr>
        <w:t>nd</w:t>
      </w:r>
      <w:r w:rsidRPr="00FE7FD4">
        <w:rPr>
          <w:rFonts w:ascii="Arial" w:hAnsi="Arial" w:cs="Arial"/>
          <w:szCs w:val="24"/>
        </w:rPr>
        <w:t xml:space="preserve"> June 2017.</w:t>
      </w:r>
    </w:p>
    <w:p w:rsidR="00302E16" w:rsidRPr="00337999" w:rsidRDefault="00302E16" w:rsidP="00302E16">
      <w:pPr>
        <w:pStyle w:val="ListParagrap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Tenders and supporting documents must be written in English. Any mistakes or alterations should be initialled by the tenderer.</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Bidders should note that the tender document may include a requirement for element(s) of the goods or services to be completed by a certain date as shown.</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Tenders should arrive at the address shown on the first page not later than 12 noon on the date indicated on the front of this document. Late tenders will not be considered. Fax and email submissions will not be considered even if received before the date indicated.</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The envelope should not bear any indication of the identity of the Bidder either on the envelope or in the franking.</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Bidders must hold their tender open for acceptance for a minimum of ninety (90) days from the date of opening.</w:t>
      </w:r>
    </w:p>
    <w:p w:rsidR="00302E16" w:rsidRPr="00AA0749" w:rsidRDefault="00302E16" w:rsidP="00302E16">
      <w:pPr>
        <w:jc w:val="both"/>
        <w:rPr>
          <w:rFonts w:ascii="Arial" w:hAnsi="Arial" w:cs="Arial"/>
          <w:szCs w:val="24"/>
        </w:rPr>
      </w:pPr>
    </w:p>
    <w:p w:rsidR="00302E16" w:rsidRPr="00C02EB7" w:rsidRDefault="00302E16" w:rsidP="00302E16">
      <w:pPr>
        <w:pStyle w:val="ListParagraph"/>
        <w:numPr>
          <w:ilvl w:val="2"/>
          <w:numId w:val="16"/>
        </w:numPr>
        <w:jc w:val="both"/>
        <w:rPr>
          <w:rFonts w:ascii="Arial" w:hAnsi="Arial" w:cs="Arial"/>
          <w:szCs w:val="24"/>
        </w:rPr>
      </w:pPr>
      <w:r w:rsidRPr="00C02EB7">
        <w:rPr>
          <w:rFonts w:ascii="Arial" w:hAnsi="Arial" w:cs="Arial"/>
          <w:szCs w:val="24"/>
        </w:rPr>
        <w:t>The Council does not bind itself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2"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2"/>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r w:rsidR="00302E16">
        <w:rPr>
          <w:rFonts w:ascii="Arial" w:hAnsi="Arial" w:cs="Arial"/>
          <w:bCs/>
          <w:szCs w:val="24"/>
        </w:rPr>
        <w:t xml:space="preserve">  </w:t>
      </w:r>
      <w:r w:rsidR="00302E16" w:rsidRPr="00931F74">
        <w:rPr>
          <w:rFonts w:ascii="Arial" w:hAnsi="Arial" w:cs="Arial"/>
          <w:bCs/>
          <w:szCs w:val="24"/>
        </w:rPr>
        <w:t xml:space="preserve">Questions from Bidders should be emailed to </w:t>
      </w:r>
      <w:hyperlink r:id="rId13" w:history="1">
        <w:r w:rsidR="00302E16" w:rsidRPr="001D3C61">
          <w:rPr>
            <w:rStyle w:val="Hyperlink"/>
            <w:rFonts w:ascii="Arial" w:hAnsi="Arial" w:cs="Arial"/>
            <w:b/>
            <w:bCs/>
            <w:szCs w:val="24"/>
          </w:rPr>
          <w:t>Contracts@rutland.gov.uk</w:t>
        </w:r>
      </w:hyperlink>
      <w:r w:rsidR="00302E16" w:rsidRPr="005F66A0">
        <w:rPr>
          <w:rFonts w:ascii="Arial" w:hAnsi="Arial" w:cs="Arial"/>
          <w:b/>
          <w:bCs/>
          <w:szCs w:val="24"/>
        </w:rPr>
        <w:t xml:space="preserve"> </w:t>
      </w:r>
      <w:r w:rsidR="00302E16" w:rsidRPr="00AF3E99">
        <w:rPr>
          <w:rFonts w:ascii="Arial" w:hAnsi="Arial" w:cs="Arial"/>
          <w:bCs/>
          <w:szCs w:val="24"/>
        </w:rPr>
        <w:t>marked</w:t>
      </w:r>
      <w:r w:rsidR="00302E16" w:rsidRPr="005F66A0">
        <w:rPr>
          <w:rFonts w:ascii="Arial" w:hAnsi="Arial" w:cs="Arial"/>
          <w:b/>
          <w:bCs/>
          <w:szCs w:val="24"/>
        </w:rPr>
        <w:t xml:space="preserve"> </w:t>
      </w:r>
      <w:r w:rsidR="00302E16">
        <w:rPr>
          <w:rFonts w:ascii="Arial" w:hAnsi="Arial" w:cs="Arial"/>
          <w:b/>
          <w:bCs/>
          <w:szCs w:val="24"/>
        </w:rPr>
        <w:t>Substance Misuse and Community Treatment Service</w:t>
      </w:r>
      <w:r w:rsidR="00302E16" w:rsidRPr="005F66A0">
        <w:rPr>
          <w:rFonts w:ascii="Arial" w:hAnsi="Arial" w:cs="Arial"/>
          <w:b/>
          <w:bCs/>
          <w:szCs w:val="24"/>
        </w:rPr>
        <w:t xml:space="preserve"> for the attention of </w:t>
      </w:r>
      <w:r w:rsidR="00302E16">
        <w:rPr>
          <w:rFonts w:ascii="Arial" w:hAnsi="Arial" w:cs="Arial"/>
          <w:b/>
          <w:bCs/>
          <w:szCs w:val="24"/>
        </w:rPr>
        <w:t>Toni Bawden</w:t>
      </w:r>
      <w:r w:rsidR="00302E16" w:rsidRPr="00931F74">
        <w:rPr>
          <w:rFonts w:ascii="Arial" w:hAnsi="Arial" w:cs="Arial"/>
          <w:bCs/>
          <w:szCs w:val="24"/>
        </w:rPr>
        <w:t>.</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302E16" w:rsidRDefault="00302E16" w:rsidP="00302E16">
      <w:pPr>
        <w:pStyle w:val="ListParagraph"/>
        <w:rPr>
          <w:rFonts w:ascii="Arial" w:hAnsi="Arial" w:cs="Arial"/>
          <w:bCs/>
          <w:szCs w:val="24"/>
        </w:rPr>
      </w:pPr>
    </w:p>
    <w:p w:rsidR="00302E16" w:rsidRPr="00AB242D" w:rsidRDefault="00302E16" w:rsidP="00AB242D">
      <w:pPr>
        <w:pStyle w:val="ListParagraph"/>
        <w:numPr>
          <w:ilvl w:val="0"/>
          <w:numId w:val="7"/>
        </w:numPr>
        <w:jc w:val="both"/>
        <w:rPr>
          <w:rFonts w:ascii="Arial" w:hAnsi="Arial" w:cs="Arial"/>
          <w:bCs/>
          <w:szCs w:val="24"/>
        </w:rPr>
      </w:pPr>
      <w:r w:rsidRPr="00AB242D">
        <w:rPr>
          <w:rFonts w:ascii="Arial" w:hAnsi="Arial" w:cs="Arial"/>
          <w:color w:val="000000"/>
        </w:rPr>
        <w:t xml:space="preserve">At the time of issuing this Invitation to Submit a Tender, the Council has been notified by the existing service provider that they believe TUPE applies. </w:t>
      </w:r>
      <w:r w:rsidRPr="00AB242D">
        <w:rPr>
          <w:rFonts w:ascii="Arial" w:hAnsi="Arial" w:cs="Arial"/>
        </w:rPr>
        <w:t xml:space="preserve">The indicative TUPE list will set out details of the existing employees, their terms and conditions of employment and other relevant details. This information will be sent to bidders as soon as they register their interest with the Contact named in 2.1. The Council takes no responsibility for the accuracy or otherwise of the information it has collated at this stage, which is designed to be indicative only and has not been validated by the Council in any way.  The Council reminds bidders that it is their responsibility to undertake the necessary due diligence in relation to TUPE, and to ensure that the requirements of the TUPE regulations are fully met.  </w:t>
      </w:r>
    </w:p>
    <w:p w:rsidR="00302E16" w:rsidRDefault="00302E16" w:rsidP="00302E16">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1D3609" w:rsidRDefault="001D3609" w:rsidP="005E1A87">
      <w:pPr>
        <w:rPr>
          <w:rFonts w:ascii="Arial" w:hAnsi="Arial" w:cs="Arial"/>
          <w:szCs w:val="24"/>
        </w:rPr>
      </w:pPr>
    </w:p>
    <w:p w:rsidR="003A019A" w:rsidRDefault="00CF3B9B"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3" w:name="Scoring"/>
      <w:r w:rsidRPr="00ED41F1">
        <w:rPr>
          <w:rFonts w:ascii="Arial" w:hAnsi="Arial" w:cs="Arial"/>
          <w:b/>
          <w:szCs w:val="24"/>
          <w:lang w:eastAsia="en-US"/>
        </w:rPr>
        <w:t>SCORING</w:t>
      </w:r>
      <w:bookmarkEnd w:id="3"/>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4"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4"/>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1D695A">
        <w:rPr>
          <w:rFonts w:ascii="Arial" w:hAnsi="Arial" w:cs="Arial"/>
          <w:szCs w:val="24"/>
        </w:rPr>
        <w:t xml:space="preserve"> </w:t>
      </w:r>
      <w:r w:rsidR="001D695A" w:rsidRPr="001D695A">
        <w:rPr>
          <w:rFonts w:ascii="Arial" w:hAnsi="Arial" w:cs="Arial"/>
          <w:szCs w:val="24"/>
        </w:rPr>
        <w:t>and £589,148 for the Light Touch Regime that this contract falls under.</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lastRenderedPageBreak/>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1D695A">
            <w:pPr>
              <w:spacing w:after="20"/>
              <w:jc w:val="both"/>
              <w:rPr>
                <w:rFonts w:ascii="Arial" w:hAnsi="Arial" w:cs="Arial"/>
                <w:sz w:val="23"/>
                <w:szCs w:val="23"/>
              </w:rPr>
            </w:pP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1D695A" w:rsidRDefault="004923E0" w:rsidP="00E415E5">
            <w:pPr>
              <w:spacing w:after="20"/>
              <w:jc w:val="center"/>
              <w:rPr>
                <w:rFonts w:ascii="Arial" w:hAnsi="Arial" w:cs="Arial"/>
                <w:sz w:val="23"/>
                <w:szCs w:val="23"/>
              </w:rPr>
            </w:pPr>
            <w:r w:rsidRPr="001D695A">
              <w:rPr>
                <w:rFonts w:ascii="Arial" w:hAnsi="Arial" w:cs="Arial"/>
                <w:sz w:val="23"/>
                <w:szCs w:val="23"/>
              </w:rPr>
              <w:t>Pass/Fail</w:t>
            </w:r>
          </w:p>
        </w:tc>
        <w:tc>
          <w:tcPr>
            <w:tcW w:w="1633" w:type="dxa"/>
            <w:tcBorders>
              <w:bottom w:val="single" w:sz="4" w:space="0" w:color="auto"/>
            </w:tcBorders>
            <w:vAlign w:val="center"/>
          </w:tcPr>
          <w:p w:rsidR="004923E0" w:rsidRPr="001D695A" w:rsidRDefault="004923E0" w:rsidP="00E415E5">
            <w:pPr>
              <w:spacing w:after="20"/>
              <w:jc w:val="center"/>
              <w:rPr>
                <w:rFonts w:ascii="Arial" w:hAnsi="Arial" w:cs="Arial"/>
                <w:sz w:val="23"/>
                <w:szCs w:val="23"/>
              </w:rPr>
            </w:pPr>
            <w:r w:rsidRPr="001D695A">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9A01C9">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tc>
        <w:tc>
          <w:tcPr>
            <w:tcW w:w="1590" w:type="dxa"/>
            <w:tcBorders>
              <w:bottom w:val="single" w:sz="4" w:space="0" w:color="auto"/>
            </w:tcBorders>
            <w:vAlign w:val="center"/>
          </w:tcPr>
          <w:p w:rsidR="00CD5998" w:rsidRPr="001D695A" w:rsidRDefault="00CD5998" w:rsidP="00E415E5">
            <w:pPr>
              <w:spacing w:after="20"/>
              <w:jc w:val="center"/>
              <w:rPr>
                <w:rFonts w:ascii="Arial" w:hAnsi="Arial" w:cs="Arial"/>
                <w:sz w:val="23"/>
                <w:szCs w:val="23"/>
              </w:rPr>
            </w:pPr>
            <w:r w:rsidRPr="001D695A">
              <w:rPr>
                <w:rFonts w:ascii="Arial" w:hAnsi="Arial" w:cs="Arial"/>
                <w:sz w:val="23"/>
                <w:szCs w:val="23"/>
              </w:rPr>
              <w:t>Pass/Fail</w:t>
            </w:r>
          </w:p>
        </w:tc>
        <w:tc>
          <w:tcPr>
            <w:tcW w:w="1633" w:type="dxa"/>
            <w:tcBorders>
              <w:bottom w:val="single" w:sz="4" w:space="0" w:color="auto"/>
            </w:tcBorders>
            <w:vAlign w:val="center"/>
          </w:tcPr>
          <w:p w:rsidR="00CD5998" w:rsidRPr="001D695A" w:rsidRDefault="00CD5998" w:rsidP="00E415E5">
            <w:pPr>
              <w:spacing w:after="20"/>
              <w:jc w:val="center"/>
              <w:rPr>
                <w:rFonts w:ascii="Arial" w:hAnsi="Arial" w:cs="Arial"/>
                <w:sz w:val="23"/>
                <w:szCs w:val="23"/>
              </w:rPr>
            </w:pPr>
            <w:r w:rsidRPr="001D695A">
              <w:rPr>
                <w:rFonts w:ascii="Arial" w:hAnsi="Arial" w:cs="Arial"/>
                <w:sz w:val="23"/>
                <w:szCs w:val="23"/>
              </w:rPr>
              <w:t>Pass/Fail</w:t>
            </w:r>
          </w:p>
        </w:tc>
      </w:tr>
    </w:tbl>
    <w:p w:rsidR="00B41F9E" w:rsidRDefault="00B41F9E"/>
    <w:p w:rsidR="00B41F9E" w:rsidRDefault="00B41F9E"/>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3B6AB7" w:rsidRDefault="00CD5998" w:rsidP="00E0080E">
            <w:pPr>
              <w:spacing w:after="20"/>
              <w:jc w:val="both"/>
              <w:rPr>
                <w:rFonts w:ascii="Arial" w:hAnsi="Arial" w:cs="Arial"/>
                <w:b/>
                <w:sz w:val="23"/>
                <w:szCs w:val="23"/>
              </w:rPr>
            </w:pPr>
            <w:r w:rsidRPr="003B6AB7">
              <w:rPr>
                <w:rFonts w:ascii="Arial" w:hAnsi="Arial" w:cs="Arial"/>
                <w:b/>
                <w:sz w:val="23"/>
                <w:szCs w:val="23"/>
              </w:rPr>
              <w:t>6.4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3B6AB7" w:rsidRDefault="00354E5F" w:rsidP="00E0080E">
            <w:pPr>
              <w:spacing w:after="20"/>
              <w:jc w:val="both"/>
              <w:rPr>
                <w:rFonts w:ascii="Arial" w:hAnsi="Arial" w:cs="Arial"/>
                <w:sz w:val="23"/>
                <w:szCs w:val="23"/>
              </w:rPr>
            </w:pPr>
            <w:r>
              <w:rPr>
                <w:rFonts w:ascii="Arial" w:hAnsi="Arial" w:cs="Arial"/>
                <w:sz w:val="23"/>
                <w:szCs w:val="23"/>
              </w:rPr>
              <w:t>Equality awards</w:t>
            </w:r>
          </w:p>
          <w:p w:rsidR="00354E5F" w:rsidRPr="00E0080E" w:rsidRDefault="00354E5F" w:rsidP="00E0080E">
            <w:pPr>
              <w:spacing w:after="20"/>
              <w:jc w:val="both"/>
              <w:rPr>
                <w:rFonts w:ascii="Arial" w:hAnsi="Arial" w:cs="Arial"/>
                <w:sz w:val="23"/>
                <w:szCs w:val="23"/>
              </w:rPr>
            </w:pPr>
          </w:p>
        </w:tc>
        <w:tc>
          <w:tcPr>
            <w:tcW w:w="1590" w:type="dxa"/>
            <w:tcBorders>
              <w:bottom w:val="nil"/>
            </w:tcBorders>
            <w:vAlign w:val="center"/>
          </w:tcPr>
          <w:p w:rsidR="00354E5F" w:rsidRPr="001D695A" w:rsidRDefault="00354E5F" w:rsidP="00E0080E">
            <w:pPr>
              <w:spacing w:after="20"/>
              <w:jc w:val="center"/>
              <w:rPr>
                <w:rFonts w:ascii="Arial" w:hAnsi="Arial" w:cs="Arial"/>
                <w:sz w:val="23"/>
                <w:szCs w:val="23"/>
              </w:rPr>
            </w:pPr>
            <w:r w:rsidRPr="001D695A">
              <w:rPr>
                <w:rFonts w:ascii="Arial" w:hAnsi="Arial" w:cs="Arial"/>
                <w:sz w:val="23"/>
                <w:szCs w:val="23"/>
              </w:rPr>
              <w:t>Pass/Fail</w:t>
            </w:r>
          </w:p>
        </w:tc>
        <w:tc>
          <w:tcPr>
            <w:tcW w:w="1633" w:type="dxa"/>
            <w:tcBorders>
              <w:bottom w:val="nil"/>
            </w:tcBorders>
            <w:vAlign w:val="center"/>
          </w:tcPr>
          <w:p w:rsidR="00354E5F" w:rsidRPr="001D695A" w:rsidRDefault="00354E5F" w:rsidP="00E0080E">
            <w:pPr>
              <w:spacing w:after="20"/>
              <w:jc w:val="center"/>
              <w:rPr>
                <w:rFonts w:ascii="Arial" w:hAnsi="Arial" w:cs="Arial"/>
                <w:sz w:val="23"/>
                <w:szCs w:val="23"/>
              </w:rPr>
            </w:pPr>
            <w:r w:rsidRPr="001D695A">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CF3B9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5" w:name="CriteriaforTenders"/>
      <w:r w:rsidRPr="00544CCD">
        <w:rPr>
          <w:rFonts w:ascii="Arial" w:hAnsi="Arial" w:cs="Arial"/>
          <w:b/>
          <w:szCs w:val="24"/>
        </w:rPr>
        <w:t>CRITERIA FOR ASSESSING TENDER RESPONSES</w:t>
      </w:r>
      <w:bookmarkEnd w:id="5"/>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928"/>
        <w:gridCol w:w="2001"/>
        <w:gridCol w:w="2427"/>
      </w:tblGrid>
      <w:tr w:rsidR="00C46AE8" w:rsidRPr="00C46AE8" w:rsidTr="00FA775A">
        <w:trPr>
          <w:trHeight w:val="567"/>
          <w:tblHeader/>
        </w:trPr>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p>
          <w:p w:rsidR="00145541" w:rsidRPr="00145541" w:rsidRDefault="00145541" w:rsidP="00D56948">
            <w:pPr>
              <w:rPr>
                <w:rFonts w:ascii="Arial" w:hAnsi="Arial" w:cs="Arial"/>
                <w:szCs w:val="24"/>
              </w:rPr>
            </w:pPr>
          </w:p>
        </w:tc>
        <w:tc>
          <w:tcPr>
            <w:tcW w:w="2001" w:type="dxa"/>
            <w:tcBorders>
              <w:top w:val="single" w:sz="8" w:space="0" w:color="auto"/>
              <w:left w:val="nil"/>
              <w:right w:val="single" w:sz="8" w:space="0" w:color="auto"/>
            </w:tcBorders>
            <w:vAlign w:val="center"/>
            <w:hideMark/>
          </w:tcPr>
          <w:p w:rsidR="00E408FA" w:rsidRPr="00373D96" w:rsidRDefault="00FA775A" w:rsidP="00A47B22">
            <w:pPr>
              <w:jc w:val="center"/>
              <w:rPr>
                <w:rFonts w:ascii="Arial" w:hAnsi="Arial" w:cs="Arial"/>
                <w:b/>
                <w:szCs w:val="24"/>
              </w:rPr>
            </w:pPr>
            <w:r w:rsidRPr="00373D96">
              <w:rPr>
                <w:rFonts w:ascii="Arial" w:hAnsi="Arial" w:cs="Arial"/>
                <w:b/>
                <w:szCs w:val="24"/>
              </w:rPr>
              <w:t>80</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145541" w:rsidRPr="00373D96" w:rsidRDefault="00373D96" w:rsidP="00A47B22">
            <w:pPr>
              <w:jc w:val="center"/>
              <w:rPr>
                <w:rFonts w:ascii="Arial" w:hAnsi="Arial" w:cs="Arial"/>
                <w:b/>
                <w:szCs w:val="24"/>
              </w:rPr>
            </w:pPr>
            <w:r w:rsidRPr="00373D96">
              <w:rPr>
                <w:rFonts w:ascii="Arial" w:hAnsi="Arial" w:cs="Arial"/>
                <w:b/>
                <w:szCs w:val="24"/>
              </w:rPr>
              <w:t>80%</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CD4A85">
            <w:pPr>
              <w:pStyle w:val="BodyText"/>
              <w:spacing w:after="120"/>
              <w:rPr>
                <w:rFonts w:ascii="Arial" w:hAnsi="Arial" w:cs="Arial"/>
                <w:b w:val="0"/>
                <w:szCs w:val="24"/>
              </w:rPr>
            </w:pPr>
            <w:r w:rsidRPr="00FA775A">
              <w:rPr>
                <w:rFonts w:ascii="Arial" w:hAnsi="Arial" w:cs="Arial"/>
                <w:b w:val="0"/>
                <w:szCs w:val="24"/>
              </w:rPr>
              <w:t>1. Service model and how it meets the specification</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12</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12%</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FA775A">
            <w:pPr>
              <w:pStyle w:val="ListParagraph"/>
              <w:numPr>
                <w:ilvl w:val="0"/>
                <w:numId w:val="18"/>
              </w:numPr>
              <w:spacing w:after="120"/>
              <w:rPr>
                <w:rFonts w:ascii="Arial" w:eastAsia="Calibri" w:hAnsi="Arial" w:cs="Arial"/>
                <w:szCs w:val="24"/>
              </w:rPr>
            </w:pPr>
            <w:r w:rsidRPr="00FA775A">
              <w:rPr>
                <w:rFonts w:ascii="Arial" w:hAnsi="Arial" w:cs="Arial"/>
                <w:szCs w:val="24"/>
              </w:rPr>
              <w:t>Implementation plan and timetable</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16</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16%</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FA775A">
            <w:pPr>
              <w:pStyle w:val="BodyText"/>
              <w:numPr>
                <w:ilvl w:val="0"/>
                <w:numId w:val="18"/>
              </w:numPr>
              <w:spacing w:after="120"/>
              <w:rPr>
                <w:rFonts w:ascii="Arial" w:hAnsi="Arial" w:cs="Arial"/>
                <w:b w:val="0"/>
                <w:szCs w:val="24"/>
              </w:rPr>
            </w:pPr>
            <w:r w:rsidRPr="00FA775A">
              <w:rPr>
                <w:rFonts w:ascii="Arial" w:hAnsi="Arial" w:cs="Arial"/>
                <w:b w:val="0"/>
                <w:szCs w:val="24"/>
              </w:rPr>
              <w:t>Staffing arrangements</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8</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8%</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FA775A">
            <w:pPr>
              <w:pStyle w:val="BodyText"/>
              <w:numPr>
                <w:ilvl w:val="0"/>
                <w:numId w:val="18"/>
              </w:numPr>
              <w:spacing w:after="120"/>
              <w:rPr>
                <w:rFonts w:ascii="Arial" w:hAnsi="Arial" w:cs="Arial"/>
                <w:b w:val="0"/>
                <w:szCs w:val="24"/>
              </w:rPr>
            </w:pPr>
            <w:r w:rsidRPr="00FA775A">
              <w:rPr>
                <w:rFonts w:ascii="Arial" w:hAnsi="Arial" w:cs="Arial"/>
                <w:b w:val="0"/>
                <w:szCs w:val="24"/>
              </w:rPr>
              <w:t>Access to the service - nature and location</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8</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8%</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CD4A85">
            <w:pPr>
              <w:pStyle w:val="BodyText"/>
              <w:spacing w:after="120"/>
              <w:rPr>
                <w:rFonts w:ascii="Arial" w:hAnsi="Arial" w:cs="Arial"/>
                <w:b w:val="0"/>
                <w:szCs w:val="24"/>
              </w:rPr>
            </w:pPr>
            <w:r w:rsidRPr="00FA775A">
              <w:rPr>
                <w:rFonts w:ascii="Arial" w:hAnsi="Arial" w:cs="Arial"/>
                <w:b w:val="0"/>
                <w:szCs w:val="24"/>
              </w:rPr>
              <w:t>5. Clinical and non-clinical  governance</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12</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12%</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CD4A85">
            <w:pPr>
              <w:pStyle w:val="BodyText"/>
              <w:spacing w:after="120"/>
              <w:rPr>
                <w:rFonts w:ascii="Arial" w:hAnsi="Arial" w:cs="Arial"/>
                <w:b w:val="0"/>
                <w:szCs w:val="24"/>
              </w:rPr>
            </w:pPr>
            <w:r w:rsidRPr="00FA775A">
              <w:rPr>
                <w:rFonts w:ascii="Arial" w:hAnsi="Arial" w:cs="Arial"/>
                <w:b w:val="0"/>
                <w:szCs w:val="24"/>
              </w:rPr>
              <w:t>6. Service delivery methods and treatment interventions</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8</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8%</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CD4A85">
            <w:pPr>
              <w:pStyle w:val="BodyText"/>
              <w:spacing w:after="120"/>
              <w:rPr>
                <w:rFonts w:ascii="Arial" w:hAnsi="Arial" w:cs="Arial"/>
                <w:b w:val="0"/>
                <w:szCs w:val="24"/>
              </w:rPr>
            </w:pPr>
            <w:r w:rsidRPr="00FA775A">
              <w:rPr>
                <w:rFonts w:ascii="Arial" w:hAnsi="Arial" w:cs="Arial"/>
                <w:b w:val="0"/>
                <w:szCs w:val="24"/>
              </w:rPr>
              <w:t>7. Meeting needs of different client groups</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4</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4%</w:t>
            </w:r>
          </w:p>
        </w:tc>
      </w:tr>
      <w:tr w:rsidR="00FA775A"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FA775A" w:rsidRPr="00FA775A" w:rsidRDefault="00FA775A" w:rsidP="00CD4A85">
            <w:pPr>
              <w:pStyle w:val="BodyText"/>
              <w:spacing w:after="120"/>
              <w:rPr>
                <w:rFonts w:ascii="Arial" w:hAnsi="Arial" w:cs="Arial"/>
                <w:b w:val="0"/>
                <w:szCs w:val="24"/>
              </w:rPr>
            </w:pPr>
            <w:r w:rsidRPr="00FA775A">
              <w:rPr>
                <w:rFonts w:ascii="Arial" w:hAnsi="Arial" w:cs="Arial"/>
                <w:b w:val="0"/>
                <w:szCs w:val="24"/>
              </w:rPr>
              <w:t>8. Partnerships &amp; joint arrangements  with other agencies</w:t>
            </w:r>
          </w:p>
        </w:tc>
        <w:tc>
          <w:tcPr>
            <w:tcW w:w="2001" w:type="dxa"/>
            <w:tcBorders>
              <w:top w:val="single" w:sz="8" w:space="0" w:color="auto"/>
              <w:left w:val="nil"/>
              <w:right w:val="single" w:sz="8" w:space="0" w:color="auto"/>
            </w:tcBorders>
            <w:vAlign w:val="center"/>
          </w:tcPr>
          <w:p w:rsidR="00FA775A" w:rsidRPr="00FA775A" w:rsidRDefault="00FA775A" w:rsidP="00A47B22">
            <w:pPr>
              <w:jc w:val="center"/>
              <w:rPr>
                <w:rFonts w:ascii="Arial" w:hAnsi="Arial" w:cs="Arial"/>
                <w:szCs w:val="24"/>
              </w:rPr>
            </w:pPr>
            <w:r>
              <w:rPr>
                <w:rFonts w:ascii="Arial" w:hAnsi="Arial" w:cs="Arial"/>
                <w:szCs w:val="24"/>
              </w:rPr>
              <w:t>8</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8%</w:t>
            </w:r>
          </w:p>
        </w:tc>
      </w:tr>
      <w:tr w:rsidR="00FA775A" w:rsidRPr="00FA775A" w:rsidTr="00FA775A">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FA775A" w:rsidRPr="00FA775A" w:rsidRDefault="00FA775A" w:rsidP="00CD4A85">
            <w:pPr>
              <w:pStyle w:val="BodyText"/>
              <w:spacing w:after="120"/>
              <w:rPr>
                <w:rFonts w:ascii="Arial" w:hAnsi="Arial" w:cs="Arial"/>
                <w:b w:val="0"/>
                <w:szCs w:val="24"/>
              </w:rPr>
            </w:pPr>
            <w:r w:rsidRPr="00FA775A">
              <w:rPr>
                <w:rFonts w:ascii="Arial" w:hAnsi="Arial" w:cs="Arial"/>
                <w:b w:val="0"/>
                <w:szCs w:val="24"/>
              </w:rPr>
              <w:t xml:space="preserve">9. Social Value criteria </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Pr>
                <w:rFonts w:ascii="Arial" w:hAnsi="Arial" w:cs="Arial"/>
                <w:szCs w:val="24"/>
              </w:rPr>
              <w:t>4</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FA775A" w:rsidRPr="00FA775A" w:rsidRDefault="00FA775A" w:rsidP="00A47B22">
            <w:pPr>
              <w:jc w:val="center"/>
              <w:rPr>
                <w:rFonts w:ascii="Arial" w:hAnsi="Arial" w:cs="Arial"/>
                <w:szCs w:val="24"/>
              </w:rPr>
            </w:pPr>
            <w:r w:rsidRPr="00FA775A">
              <w:rPr>
                <w:rFonts w:ascii="Arial" w:hAnsi="Arial" w:cs="Arial"/>
                <w:szCs w:val="24"/>
              </w:rPr>
              <w:t>4%</w:t>
            </w:r>
          </w:p>
        </w:tc>
      </w:tr>
      <w:tr w:rsidR="004F04D9" w:rsidRPr="004F04D9" w:rsidTr="00FA775A">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4F04D9" w:rsidRPr="004F04D9" w:rsidRDefault="004F04D9" w:rsidP="00CD4A85">
            <w:pPr>
              <w:pStyle w:val="BodyText"/>
              <w:spacing w:after="120"/>
              <w:rPr>
                <w:rFonts w:ascii="Arial" w:hAnsi="Arial" w:cs="Arial"/>
                <w:szCs w:val="24"/>
              </w:rPr>
            </w:pP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4F04D9" w:rsidRPr="004F04D9" w:rsidRDefault="004F04D9" w:rsidP="00A47B22">
            <w:pPr>
              <w:jc w:val="center"/>
              <w:rPr>
                <w:rFonts w:ascii="Arial" w:hAnsi="Arial" w:cs="Arial"/>
                <w:b/>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4F04D9" w:rsidRPr="004F04D9" w:rsidRDefault="004F04D9" w:rsidP="00A47B22">
            <w:pPr>
              <w:jc w:val="center"/>
              <w:rPr>
                <w:rFonts w:ascii="Arial" w:hAnsi="Arial" w:cs="Arial"/>
                <w:b/>
                <w:szCs w:val="24"/>
              </w:rPr>
            </w:pPr>
          </w:p>
        </w:tc>
      </w:tr>
      <w:tr w:rsidR="00373D96" w:rsidRPr="00C46AE8" w:rsidTr="00FA775A">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373D96" w:rsidRPr="00373D96" w:rsidRDefault="00373D96" w:rsidP="00144641">
            <w:pPr>
              <w:pStyle w:val="BodyText"/>
              <w:spacing w:after="120"/>
              <w:rPr>
                <w:rFonts w:ascii="Arial" w:hAnsi="Arial" w:cs="Arial"/>
              </w:rPr>
            </w:pPr>
            <w:r w:rsidRPr="00373D96">
              <w:rPr>
                <w:rFonts w:ascii="Arial" w:hAnsi="Arial" w:cs="Arial"/>
              </w:rPr>
              <w:t>Price criteria:</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373D96" w:rsidRPr="00EA5FB6" w:rsidRDefault="00373D96"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373D96" w:rsidRDefault="00373D96" w:rsidP="00A47B22">
            <w:pPr>
              <w:jc w:val="center"/>
              <w:rPr>
                <w:rFonts w:ascii="Arial" w:hAnsi="Arial" w:cs="Arial"/>
                <w:szCs w:val="24"/>
              </w:rPr>
            </w:pPr>
          </w:p>
        </w:tc>
      </w:tr>
      <w:tr w:rsidR="00373D96" w:rsidRPr="00C46AE8" w:rsidTr="00FA775A">
        <w:trPr>
          <w:trHeight w:val="284"/>
        </w:trPr>
        <w:tc>
          <w:tcPr>
            <w:tcW w:w="4928" w:type="dxa"/>
            <w:tcBorders>
              <w:top w:val="nil"/>
              <w:left w:val="single" w:sz="8" w:space="0" w:color="auto"/>
              <w:bottom w:val="nil"/>
              <w:right w:val="single" w:sz="8" w:space="0" w:color="auto"/>
            </w:tcBorders>
            <w:tcMar>
              <w:top w:w="0" w:type="dxa"/>
              <w:left w:w="108" w:type="dxa"/>
              <w:bottom w:w="0" w:type="dxa"/>
              <w:right w:w="108" w:type="dxa"/>
            </w:tcMar>
            <w:hideMark/>
          </w:tcPr>
          <w:p w:rsidR="00373D96" w:rsidRDefault="00373D96" w:rsidP="00144641">
            <w:r w:rsidRPr="00C9501A">
              <w:rPr>
                <w:rFonts w:ascii="Arial" w:hAnsi="Arial" w:cs="Arial"/>
              </w:rPr>
              <w:t>Staffing, training, accommodation, management, overheads, prescribing, other</w:t>
            </w:r>
          </w:p>
        </w:tc>
        <w:tc>
          <w:tcPr>
            <w:tcW w:w="2001" w:type="dxa"/>
            <w:tcBorders>
              <w:top w:val="nil"/>
              <w:left w:val="nil"/>
              <w:bottom w:val="nil"/>
              <w:right w:val="single" w:sz="8" w:space="0" w:color="auto"/>
            </w:tcBorders>
            <w:tcMar>
              <w:top w:w="0" w:type="dxa"/>
              <w:left w:w="108" w:type="dxa"/>
              <w:bottom w:w="0" w:type="dxa"/>
              <w:right w:w="108" w:type="dxa"/>
            </w:tcMar>
            <w:vAlign w:val="center"/>
            <w:hideMark/>
          </w:tcPr>
          <w:p w:rsidR="00373D96" w:rsidRPr="006E1A9E" w:rsidRDefault="006E1A9E" w:rsidP="00A47B22">
            <w:pPr>
              <w:jc w:val="center"/>
              <w:rPr>
                <w:rFonts w:ascii="Arial" w:hAnsi="Arial" w:cs="Arial"/>
                <w:b/>
                <w:szCs w:val="24"/>
              </w:rPr>
            </w:pPr>
            <w:r w:rsidRPr="006E1A9E">
              <w:rPr>
                <w:rFonts w:ascii="Arial" w:hAnsi="Arial" w:cs="Arial"/>
                <w:b/>
                <w:szCs w:val="24"/>
              </w:rPr>
              <w:t>20</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373D96" w:rsidRPr="005326ED" w:rsidRDefault="00373D96" w:rsidP="00A47B22">
            <w:pPr>
              <w:jc w:val="center"/>
              <w:rPr>
                <w:rFonts w:ascii="Arial" w:hAnsi="Arial" w:cs="Arial"/>
                <w:szCs w:val="24"/>
              </w:rPr>
            </w:pPr>
            <w:r w:rsidRPr="00373D96">
              <w:rPr>
                <w:rFonts w:ascii="Arial" w:hAnsi="Arial" w:cs="Arial"/>
                <w:szCs w:val="24"/>
              </w:rPr>
              <w:t>20%</w:t>
            </w:r>
          </w:p>
        </w:tc>
      </w:tr>
      <w:tr w:rsidR="00FA775A" w:rsidRPr="00C46AE8" w:rsidTr="00FA775A">
        <w:trPr>
          <w:trHeight w:val="284"/>
        </w:trPr>
        <w:tc>
          <w:tcPr>
            <w:tcW w:w="4928" w:type="dxa"/>
            <w:tcBorders>
              <w:top w:val="nil"/>
              <w:left w:val="single" w:sz="8" w:space="0" w:color="auto"/>
              <w:bottom w:val="nil"/>
              <w:right w:val="single" w:sz="8" w:space="0" w:color="auto"/>
            </w:tcBorders>
            <w:tcMar>
              <w:top w:w="0" w:type="dxa"/>
              <w:left w:w="108" w:type="dxa"/>
              <w:bottom w:w="0" w:type="dxa"/>
              <w:right w:w="108" w:type="dxa"/>
            </w:tcMar>
          </w:tcPr>
          <w:p w:rsidR="00FA775A" w:rsidRDefault="00FA775A" w:rsidP="006B136E">
            <w:pPr>
              <w:tabs>
                <w:tab w:val="left" w:pos="0"/>
              </w:tabs>
              <w:rPr>
                <w:rFonts w:ascii="Arial" w:hAnsi="Arial" w:cs="Arial"/>
                <w:color w:val="FF0000"/>
                <w:szCs w:val="24"/>
              </w:rPr>
            </w:pPr>
          </w:p>
        </w:tc>
        <w:tc>
          <w:tcPr>
            <w:tcW w:w="2001" w:type="dxa"/>
            <w:tcBorders>
              <w:top w:val="nil"/>
              <w:left w:val="nil"/>
              <w:bottom w:val="nil"/>
              <w:right w:val="single" w:sz="8" w:space="0" w:color="auto"/>
            </w:tcBorders>
            <w:tcMar>
              <w:top w:w="0" w:type="dxa"/>
              <w:left w:w="108" w:type="dxa"/>
              <w:bottom w:w="0" w:type="dxa"/>
              <w:right w:w="108" w:type="dxa"/>
            </w:tcMar>
            <w:vAlign w:val="center"/>
          </w:tcPr>
          <w:p w:rsidR="00FA775A" w:rsidRDefault="00FA775A" w:rsidP="00A47B22">
            <w:pPr>
              <w:jc w:val="center"/>
              <w:rPr>
                <w:rFonts w:ascii="Arial" w:hAnsi="Arial" w:cs="Arial"/>
                <w:color w:val="FF0000"/>
                <w:szCs w:val="24"/>
              </w:rPr>
            </w:pPr>
          </w:p>
        </w:tc>
        <w:tc>
          <w:tcPr>
            <w:tcW w:w="2427" w:type="dxa"/>
            <w:tcBorders>
              <w:top w:val="nil"/>
              <w:left w:val="nil"/>
              <w:bottom w:val="nil"/>
              <w:right w:val="single" w:sz="8" w:space="0" w:color="auto"/>
            </w:tcBorders>
            <w:tcMar>
              <w:top w:w="0" w:type="dxa"/>
              <w:left w:w="108" w:type="dxa"/>
              <w:bottom w:w="0" w:type="dxa"/>
              <w:right w:w="108" w:type="dxa"/>
            </w:tcMar>
            <w:vAlign w:val="center"/>
          </w:tcPr>
          <w:p w:rsidR="00FA775A" w:rsidRDefault="00FA775A" w:rsidP="00A47B22">
            <w:pPr>
              <w:jc w:val="center"/>
              <w:rPr>
                <w:rFonts w:ascii="Arial" w:hAnsi="Arial" w:cs="Arial"/>
                <w:color w:val="FF0000"/>
                <w:szCs w:val="24"/>
              </w:rPr>
            </w:pPr>
          </w:p>
        </w:tc>
      </w:tr>
      <w:tr w:rsidR="00FA775A" w:rsidRPr="00C46AE8" w:rsidTr="00FA775A">
        <w:trPr>
          <w:trHeight w:val="284"/>
        </w:trPr>
        <w:tc>
          <w:tcPr>
            <w:tcW w:w="4928" w:type="dxa"/>
            <w:tcBorders>
              <w:top w:val="single" w:sz="8" w:space="0" w:color="auto"/>
            </w:tcBorders>
            <w:tcMar>
              <w:top w:w="0" w:type="dxa"/>
              <w:left w:w="108" w:type="dxa"/>
              <w:bottom w:w="0" w:type="dxa"/>
              <w:right w:w="108" w:type="dxa"/>
            </w:tcMar>
            <w:hideMark/>
          </w:tcPr>
          <w:p w:rsidR="00FA775A" w:rsidRPr="00C46AE8" w:rsidRDefault="00FA775A" w:rsidP="00C46AE8">
            <w:pPr>
              <w:rPr>
                <w:rFonts w:ascii="Arial" w:hAnsi="Arial" w:cs="Arial"/>
                <w:b/>
                <w:bCs/>
                <w:szCs w:val="24"/>
              </w:rPr>
            </w:pPr>
            <w:r w:rsidRPr="00C46AE8">
              <w:rPr>
                <w:rFonts w:ascii="Arial" w:hAnsi="Arial" w:cs="Arial"/>
                <w:b/>
                <w:bCs/>
                <w:szCs w:val="24"/>
              </w:rPr>
              <w:t>Total</w:t>
            </w:r>
          </w:p>
        </w:tc>
        <w:tc>
          <w:tcPr>
            <w:tcW w:w="2001" w:type="dxa"/>
            <w:tcBorders>
              <w:top w:val="single" w:sz="8" w:space="0" w:color="auto"/>
            </w:tcBorders>
            <w:tcMar>
              <w:top w:w="0" w:type="dxa"/>
              <w:left w:w="108" w:type="dxa"/>
              <w:bottom w:w="0" w:type="dxa"/>
              <w:right w:w="108" w:type="dxa"/>
            </w:tcMar>
            <w:vAlign w:val="center"/>
            <w:hideMark/>
          </w:tcPr>
          <w:p w:rsidR="00FA775A" w:rsidRPr="00C46AE8" w:rsidRDefault="00FA775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FA775A" w:rsidRPr="00C46AE8" w:rsidRDefault="008A0AAA" w:rsidP="00C46AE8">
            <w:pPr>
              <w:jc w:val="center"/>
              <w:rPr>
                <w:rFonts w:ascii="Arial" w:hAnsi="Arial" w:cs="Arial"/>
                <w:b/>
                <w:bCs/>
                <w:szCs w:val="24"/>
              </w:rPr>
            </w:pPr>
            <w:r>
              <w:rPr>
                <w:rFonts w:ascii="Arial" w:hAnsi="Arial" w:cs="Arial"/>
                <w:b/>
                <w:bCs/>
                <w:szCs w:val="24"/>
              </w:rPr>
              <w:t>100%</w:t>
            </w: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6" w:name="ITT"/>
      <w:r w:rsidR="00715735" w:rsidRPr="00AA0749">
        <w:rPr>
          <w:rFonts w:ascii="Arial" w:hAnsi="Arial" w:cs="Arial"/>
          <w:b/>
          <w:bCs/>
          <w:szCs w:val="24"/>
        </w:rPr>
        <w:t>INVITATION TO TENDER</w:t>
      </w:r>
      <w:bookmarkEnd w:id="6"/>
    </w:p>
    <w:p w:rsidR="009D0617" w:rsidRDefault="009D0617" w:rsidP="009D0617">
      <w:pPr>
        <w:jc w:val="both"/>
        <w:rPr>
          <w:rFonts w:ascii="Arial" w:hAnsi="Arial" w:cs="Arial"/>
          <w:szCs w:val="24"/>
        </w:rPr>
      </w:pPr>
    </w:p>
    <w:p w:rsidR="00373D96" w:rsidRPr="00AA0749" w:rsidRDefault="00373D96" w:rsidP="00373D96">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one</w:t>
      </w:r>
      <w:r w:rsidRPr="00AA0749">
        <w:rPr>
          <w:rFonts w:ascii="Arial" w:hAnsi="Arial" w:cs="Arial"/>
          <w:b/>
          <w:szCs w:val="24"/>
        </w:rPr>
        <w:t xml:space="preserve"> hard cop</w:t>
      </w:r>
      <w:r>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 or memory stick</w:t>
      </w:r>
      <w:r w:rsidRPr="00AA0749">
        <w:rPr>
          <w:rFonts w:ascii="Arial" w:hAnsi="Arial" w:cs="Arial"/>
          <w:szCs w:val="24"/>
        </w:rPr>
        <w:t xml:space="preserve"> of the response document (</w:t>
      </w:r>
      <w:r>
        <w:rPr>
          <w:rFonts w:ascii="Arial" w:hAnsi="Arial" w:cs="Arial"/>
          <w:szCs w:val="24"/>
        </w:rPr>
        <w:t xml:space="preserve">Document </w:t>
      </w:r>
      <w:r w:rsidRPr="00AA0749">
        <w:rPr>
          <w:rFonts w:ascii="Arial" w:hAnsi="Arial" w:cs="Arial"/>
          <w:szCs w:val="24"/>
        </w:rPr>
        <w:t>Four) to:</w:t>
      </w:r>
    </w:p>
    <w:p w:rsidR="00373D96" w:rsidRPr="009D0617" w:rsidRDefault="00373D96" w:rsidP="00373D96">
      <w:pPr>
        <w:jc w:val="both"/>
        <w:rPr>
          <w:rFonts w:ascii="Arial" w:hAnsi="Arial" w:cs="Arial"/>
          <w:szCs w:val="24"/>
        </w:rPr>
      </w:pPr>
    </w:p>
    <w:p w:rsidR="00373D96" w:rsidRPr="004268B9" w:rsidRDefault="00373D96" w:rsidP="00373D96">
      <w:pPr>
        <w:ind w:left="284"/>
        <w:jc w:val="both"/>
        <w:rPr>
          <w:rFonts w:ascii="Arial" w:hAnsi="Arial"/>
          <w:szCs w:val="24"/>
        </w:rPr>
      </w:pPr>
      <w:r w:rsidRPr="004268B9">
        <w:rPr>
          <w:rFonts w:ascii="Arial" w:hAnsi="Arial"/>
          <w:szCs w:val="24"/>
        </w:rPr>
        <w:t xml:space="preserve">The Chief Executive, Rutland County Council, </w:t>
      </w:r>
      <w:proofErr w:type="spellStart"/>
      <w:r w:rsidRPr="004268B9">
        <w:rPr>
          <w:rFonts w:ascii="Arial" w:hAnsi="Arial"/>
          <w:szCs w:val="24"/>
        </w:rPr>
        <w:t>Catmose</w:t>
      </w:r>
      <w:proofErr w:type="spellEnd"/>
      <w:r w:rsidRPr="004268B9">
        <w:rPr>
          <w:rFonts w:ascii="Arial" w:hAnsi="Arial"/>
          <w:szCs w:val="24"/>
        </w:rPr>
        <w:t>, Oakham, Rutland LE</w:t>
      </w:r>
      <w:r w:rsidR="00CF3B9B">
        <w:rPr>
          <w:rFonts w:ascii="Arial" w:hAnsi="Arial"/>
          <w:szCs w:val="24"/>
        </w:rPr>
        <w:t>1</w:t>
      </w:r>
      <w:bookmarkStart w:id="7" w:name="_GoBack"/>
      <w:bookmarkEnd w:id="7"/>
      <w:r w:rsidRPr="004268B9">
        <w:rPr>
          <w:rFonts w:ascii="Arial" w:hAnsi="Arial"/>
          <w:szCs w:val="24"/>
        </w:rPr>
        <w:t>5 6HP</w:t>
      </w:r>
    </w:p>
    <w:p w:rsidR="00373D96" w:rsidRPr="00F55892" w:rsidRDefault="00373D96" w:rsidP="00373D96">
      <w:pPr>
        <w:jc w:val="both"/>
        <w:rPr>
          <w:rFonts w:ascii="Arial" w:hAnsi="Arial" w:cs="Arial"/>
          <w:szCs w:val="24"/>
        </w:rPr>
      </w:pPr>
      <w:r w:rsidRPr="00F55892" w:rsidDel="0090531A">
        <w:rPr>
          <w:rFonts w:ascii="Arial" w:hAnsi="Arial" w:cs="Arial"/>
          <w:szCs w:val="24"/>
        </w:rPr>
        <w:t xml:space="preserve"> </w:t>
      </w:r>
    </w:p>
    <w:p w:rsidR="00373D96" w:rsidRDefault="00373D96" w:rsidP="00373D96">
      <w:pPr>
        <w:ind w:firstLine="284"/>
        <w:jc w:val="both"/>
        <w:rPr>
          <w:rFonts w:ascii="Arial" w:hAnsi="Arial" w:cs="Arial"/>
          <w:b/>
          <w:szCs w:val="24"/>
          <w:u w:val="single"/>
        </w:rPr>
      </w:pPr>
      <w:r w:rsidRPr="00F55892">
        <w:rPr>
          <w:rFonts w:ascii="Arial" w:hAnsi="Arial" w:cs="Arial"/>
          <w:szCs w:val="24"/>
        </w:rPr>
        <w:t xml:space="preserve">To arrive by </w:t>
      </w:r>
      <w:r w:rsidRPr="00F55892">
        <w:rPr>
          <w:rFonts w:ascii="Arial" w:hAnsi="Arial" w:cs="Arial"/>
          <w:b/>
          <w:szCs w:val="24"/>
          <w:u w:val="single"/>
        </w:rPr>
        <w:t xml:space="preserve">no later than 12 noon on </w:t>
      </w:r>
      <w:r>
        <w:rPr>
          <w:rFonts w:ascii="Arial" w:hAnsi="Arial" w:cs="Arial"/>
          <w:b/>
          <w:szCs w:val="24"/>
          <w:u w:val="single"/>
        </w:rPr>
        <w:t>16 June 2017</w:t>
      </w:r>
      <w:r w:rsidRPr="00F55892">
        <w:rPr>
          <w:rFonts w:ascii="Arial" w:hAnsi="Arial" w:cs="Arial"/>
          <w:b/>
          <w:szCs w:val="24"/>
          <w:u w:val="single"/>
        </w:rPr>
        <w:t xml:space="preserve"> </w:t>
      </w:r>
    </w:p>
    <w:p w:rsidR="00373D96" w:rsidRPr="00F55892" w:rsidRDefault="00373D96" w:rsidP="00373D96">
      <w:pPr>
        <w:ind w:firstLine="284"/>
        <w:jc w:val="both"/>
        <w:rPr>
          <w:rFonts w:ascii="Arial" w:hAnsi="Arial" w:cs="Arial"/>
          <w:b/>
          <w:szCs w:val="24"/>
        </w:rPr>
      </w:pPr>
    </w:p>
    <w:p w:rsidR="00373D96" w:rsidRDefault="00373D96" w:rsidP="00373D96">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Pr>
          <w:rFonts w:ascii="Arial" w:hAnsi="Arial" w:cs="Arial"/>
          <w:b/>
          <w:i/>
          <w:szCs w:val="24"/>
        </w:rPr>
        <w:t xml:space="preserve"> </w:t>
      </w:r>
      <w:r w:rsidRPr="00AA0749">
        <w:rPr>
          <w:rFonts w:ascii="Arial" w:hAnsi="Arial" w:cs="Arial"/>
          <w:b/>
          <w:i/>
          <w:szCs w:val="24"/>
        </w:rPr>
        <w:t>Failure to observe this will mean the disqualification of the tender.</w:t>
      </w:r>
    </w:p>
    <w:p w:rsidR="00373D96" w:rsidRPr="009D0617" w:rsidRDefault="00373D96" w:rsidP="00373D96">
      <w:pPr>
        <w:jc w:val="both"/>
        <w:rPr>
          <w:rFonts w:ascii="Arial" w:hAnsi="Arial" w:cs="Arial"/>
          <w:szCs w:val="24"/>
        </w:rPr>
      </w:pPr>
    </w:p>
    <w:p w:rsidR="00373D96" w:rsidRPr="00AA0749" w:rsidRDefault="00373D96" w:rsidP="00373D96">
      <w:pPr>
        <w:pStyle w:val="BodyText"/>
        <w:jc w:val="both"/>
        <w:rPr>
          <w:rFonts w:ascii="Arial" w:hAnsi="Arial" w:cs="Arial"/>
          <w:szCs w:val="24"/>
        </w:rPr>
      </w:pPr>
      <w:r w:rsidRPr="00AA0749">
        <w:rPr>
          <w:rFonts w:ascii="Arial" w:hAnsi="Arial" w:cs="Arial"/>
          <w:szCs w:val="24"/>
        </w:rPr>
        <w:t>7.</w:t>
      </w:r>
      <w:r w:rsidRPr="00AA0749">
        <w:rPr>
          <w:rFonts w:ascii="Arial" w:hAnsi="Arial" w:cs="Arial"/>
          <w:szCs w:val="24"/>
        </w:rPr>
        <w:tab/>
      </w:r>
      <w:bookmarkStart w:id="8" w:name="Contacts"/>
      <w:r w:rsidRPr="00AA0749">
        <w:rPr>
          <w:rFonts w:ascii="Arial" w:hAnsi="Arial" w:cs="Arial"/>
          <w:szCs w:val="24"/>
        </w:rPr>
        <w:t>CONTACTS</w:t>
      </w:r>
      <w:bookmarkEnd w:id="8"/>
    </w:p>
    <w:p w:rsidR="00373D96" w:rsidRDefault="00373D96" w:rsidP="00373D96">
      <w:pPr>
        <w:autoSpaceDE w:val="0"/>
        <w:autoSpaceDN w:val="0"/>
        <w:adjustRightInd w:val="0"/>
        <w:jc w:val="both"/>
        <w:rPr>
          <w:rFonts w:ascii="Arial" w:hAnsi="Arial" w:cs="Arial"/>
          <w:szCs w:val="24"/>
        </w:rPr>
      </w:pPr>
    </w:p>
    <w:p w:rsidR="00373D96" w:rsidRPr="00AA0749" w:rsidRDefault="00373D96" w:rsidP="00373D96">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tender, please contact: </w:t>
      </w:r>
    </w:p>
    <w:p w:rsidR="00373D96" w:rsidRDefault="00373D96" w:rsidP="00373D96">
      <w:pPr>
        <w:autoSpaceDE w:val="0"/>
        <w:autoSpaceDN w:val="0"/>
        <w:adjustRightInd w:val="0"/>
        <w:jc w:val="both"/>
        <w:rPr>
          <w:rFonts w:ascii="Arial" w:hAnsi="Arial" w:cs="Arial"/>
          <w:szCs w:val="24"/>
        </w:rPr>
      </w:pPr>
    </w:p>
    <w:p w:rsidR="00373D96" w:rsidRPr="004268B9" w:rsidRDefault="00CF3B9B" w:rsidP="00373D96">
      <w:pPr>
        <w:autoSpaceDE w:val="0"/>
        <w:autoSpaceDN w:val="0"/>
        <w:adjustRightInd w:val="0"/>
        <w:ind w:left="284"/>
        <w:jc w:val="both"/>
        <w:rPr>
          <w:rFonts w:ascii="Arial" w:hAnsi="Arial" w:cs="Arial"/>
          <w:szCs w:val="24"/>
        </w:rPr>
      </w:pPr>
      <w:hyperlink r:id="rId14" w:history="1">
        <w:r w:rsidR="00373D96" w:rsidRPr="001D3C61">
          <w:rPr>
            <w:rStyle w:val="Hyperlink"/>
            <w:rFonts w:ascii="Arial" w:hAnsi="Arial" w:cs="Arial"/>
            <w:szCs w:val="24"/>
          </w:rPr>
          <w:t>Contracts@rutland.gov.uk</w:t>
        </w:r>
      </w:hyperlink>
      <w:r w:rsidR="00373D96" w:rsidRPr="004268B9">
        <w:rPr>
          <w:rFonts w:ascii="Arial" w:hAnsi="Arial" w:cs="Arial"/>
          <w:szCs w:val="24"/>
        </w:rPr>
        <w:t xml:space="preserve"> </w:t>
      </w:r>
      <w:r w:rsidR="00373D96">
        <w:rPr>
          <w:rFonts w:ascii="Arial" w:hAnsi="Arial" w:cs="Arial"/>
          <w:szCs w:val="24"/>
        </w:rPr>
        <w:t>marked ‘Substance Misuse and Community Treatment Tender’ for the attention of Toni Bawden.</w:t>
      </w:r>
    </w:p>
    <w:p w:rsidR="00373D96" w:rsidRPr="009D0617" w:rsidRDefault="00373D96" w:rsidP="00373D96">
      <w:pPr>
        <w:autoSpaceDE w:val="0"/>
        <w:autoSpaceDN w:val="0"/>
        <w:adjustRightInd w:val="0"/>
        <w:jc w:val="both"/>
        <w:rPr>
          <w:rFonts w:ascii="Arial" w:hAnsi="Arial" w:cs="Arial"/>
          <w:szCs w:val="24"/>
        </w:rPr>
      </w:pPr>
    </w:p>
    <w:p w:rsidR="00373D96" w:rsidRPr="00AA0749" w:rsidRDefault="00373D96" w:rsidP="00373D96">
      <w:pPr>
        <w:jc w:val="both"/>
        <w:rPr>
          <w:rFonts w:ascii="Arial" w:hAnsi="Arial" w:cs="Arial"/>
          <w:b/>
          <w:i/>
          <w:szCs w:val="24"/>
        </w:rPr>
      </w:pPr>
      <w:r w:rsidRPr="00AA0749">
        <w:rPr>
          <w:rFonts w:ascii="Arial" w:hAnsi="Arial" w:cs="Arial"/>
          <w:b/>
          <w:i/>
          <w:szCs w:val="24"/>
        </w:rPr>
        <w:t>Note that the Council cannot accept the return of completed tender responses by e-mail.</w:t>
      </w:r>
    </w:p>
    <w:p w:rsidR="00373D96" w:rsidRDefault="00373D96" w:rsidP="00373D96">
      <w:pPr>
        <w:jc w:val="both"/>
        <w:rPr>
          <w:rFonts w:ascii="Arial" w:hAnsi="Arial" w:cs="Arial"/>
          <w:szCs w:val="24"/>
        </w:rPr>
      </w:pPr>
    </w:p>
    <w:p w:rsidR="00373D96" w:rsidRDefault="00373D96" w:rsidP="00373D96">
      <w:pPr>
        <w:jc w:val="both"/>
        <w:rPr>
          <w:rFonts w:ascii="Arial" w:hAnsi="Arial" w:cs="Arial"/>
          <w:szCs w:val="24"/>
        </w:rPr>
      </w:pPr>
      <w:r w:rsidRPr="00AA0749">
        <w:rPr>
          <w:rFonts w:ascii="Arial" w:hAnsi="Arial" w:cs="Arial"/>
          <w:szCs w:val="24"/>
        </w:rPr>
        <w:t>If the Council considers any question or request for clarification to be of material significance, both the query and the response will be communicated, in a suitably anonymous form, to all service providers</w:t>
      </w:r>
      <w:r>
        <w:rPr>
          <w:rFonts w:ascii="Arial" w:hAnsi="Arial" w:cs="Arial"/>
          <w:szCs w:val="24"/>
        </w:rPr>
        <w:t xml:space="preserve"> </w:t>
      </w:r>
      <w:r w:rsidRPr="00AA0749">
        <w:rPr>
          <w:rFonts w:ascii="Arial" w:hAnsi="Arial" w:cs="Arial"/>
          <w:szCs w:val="24"/>
        </w:rPr>
        <w:t>/</w:t>
      </w:r>
      <w:r>
        <w:rPr>
          <w:rFonts w:ascii="Arial" w:hAnsi="Arial" w:cs="Arial"/>
          <w:szCs w:val="24"/>
        </w:rPr>
        <w:t xml:space="preserve"> </w:t>
      </w:r>
      <w:r w:rsidRPr="00AA0749">
        <w:rPr>
          <w:rFonts w:ascii="Arial" w:hAnsi="Arial" w:cs="Arial"/>
          <w:szCs w:val="24"/>
        </w:rPr>
        <w:t>suppliers who have responded.</w:t>
      </w:r>
    </w:p>
    <w:p w:rsidR="00373D96" w:rsidRPr="00AA0749" w:rsidRDefault="00373D96" w:rsidP="00373D96">
      <w:pPr>
        <w:jc w:val="both"/>
        <w:rPr>
          <w:rFonts w:ascii="Arial" w:hAnsi="Arial" w:cs="Arial"/>
          <w:szCs w:val="24"/>
        </w:rPr>
      </w:pP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5921B6" w:rsidRPr="00AA0749" w:rsidRDefault="00CF3B9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5B" w:rsidRDefault="0063795B">
      <w:r>
        <w:separator/>
      </w:r>
    </w:p>
  </w:endnote>
  <w:endnote w:type="continuationSeparator" w:id="0">
    <w:p w:rsidR="0063795B" w:rsidRDefault="0063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5B" w:rsidRDefault="0063795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795B" w:rsidRDefault="00637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63795B" w:rsidRPr="00DC26C7" w:rsidRDefault="0063795B"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F3B9B">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F3B9B">
              <w:rPr>
                <w:rFonts w:ascii="Arial" w:hAnsi="Arial" w:cs="Arial"/>
                <w:b/>
                <w:noProof/>
              </w:rPr>
              <w:t>15</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5B" w:rsidRDefault="0063795B">
      <w:r>
        <w:separator/>
      </w:r>
    </w:p>
  </w:footnote>
  <w:footnote w:type="continuationSeparator" w:id="0">
    <w:p w:rsidR="0063795B" w:rsidRDefault="00637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5B" w:rsidRPr="00E439A2" w:rsidRDefault="0063795B"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4B54920"/>
    <w:multiLevelType w:val="multilevel"/>
    <w:tmpl w:val="2F4CF5A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73244BD"/>
    <w:multiLevelType w:val="multilevel"/>
    <w:tmpl w:val="9D3EF54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7980F72"/>
    <w:multiLevelType w:val="hybridMultilevel"/>
    <w:tmpl w:val="07048D86"/>
    <w:lvl w:ilvl="0" w:tplc="3B14F808">
      <w:start w:val="2"/>
      <w:numFmt w:val="decimal"/>
      <w:lvlText w:val="%1."/>
      <w:lvlJc w:val="left"/>
      <w:pPr>
        <w:ind w:left="360" w:hanging="360"/>
      </w:pPr>
      <w:rPr>
        <w:rFonts w:asciiTheme="minorHAnsi" w:eastAsia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4">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FB940F5"/>
    <w:multiLevelType w:val="multilevel"/>
    <w:tmpl w:val="6CCC2A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5"/>
  </w:num>
  <w:num w:numId="3">
    <w:abstractNumId w:val="5"/>
  </w:num>
  <w:num w:numId="4">
    <w:abstractNumId w:val="13"/>
  </w:num>
  <w:num w:numId="5">
    <w:abstractNumId w:val="10"/>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 w:numId="16">
    <w:abstractNumId w:val="9"/>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C7796"/>
    <w:rsid w:val="000D216F"/>
    <w:rsid w:val="000E1960"/>
    <w:rsid w:val="000E313E"/>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695A"/>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32A7C"/>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2E16"/>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3D96"/>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04D9"/>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DAD"/>
    <w:rsid w:val="005C7FCF"/>
    <w:rsid w:val="005D2F1E"/>
    <w:rsid w:val="005E1A87"/>
    <w:rsid w:val="005E216D"/>
    <w:rsid w:val="005E39EE"/>
    <w:rsid w:val="005E3A2F"/>
    <w:rsid w:val="005E3FED"/>
    <w:rsid w:val="005F2A4E"/>
    <w:rsid w:val="005F410F"/>
    <w:rsid w:val="00601A28"/>
    <w:rsid w:val="00607ED6"/>
    <w:rsid w:val="00620765"/>
    <w:rsid w:val="00620A33"/>
    <w:rsid w:val="00631590"/>
    <w:rsid w:val="0063795B"/>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E1A9E"/>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0AAA"/>
    <w:rsid w:val="008A1A0B"/>
    <w:rsid w:val="008A2EC5"/>
    <w:rsid w:val="008A5E94"/>
    <w:rsid w:val="008A7659"/>
    <w:rsid w:val="008B2C6F"/>
    <w:rsid w:val="008B3135"/>
    <w:rsid w:val="008B6F94"/>
    <w:rsid w:val="008C0B77"/>
    <w:rsid w:val="008C68AD"/>
    <w:rsid w:val="008D4ED0"/>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B242D"/>
    <w:rsid w:val="00AC0153"/>
    <w:rsid w:val="00AC115B"/>
    <w:rsid w:val="00AC6B8F"/>
    <w:rsid w:val="00AD11F0"/>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1C07"/>
    <w:rsid w:val="00C37029"/>
    <w:rsid w:val="00C407C2"/>
    <w:rsid w:val="00C448A2"/>
    <w:rsid w:val="00C46AE8"/>
    <w:rsid w:val="00C558AE"/>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3B9B"/>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193C"/>
    <w:rsid w:val="00D66032"/>
    <w:rsid w:val="00D67925"/>
    <w:rsid w:val="00D82950"/>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16E08"/>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A775A"/>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racts@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ntracts@ru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7FE18-47C3-4B82-B31C-81104931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ADD9603F</Template>
  <TotalTime>5</TotalTime>
  <Pages>15</Pages>
  <Words>3457</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22840</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3</cp:revision>
  <cp:lastPrinted>2017-05-18T13:58:00Z</cp:lastPrinted>
  <dcterms:created xsi:type="dcterms:W3CDTF">2017-05-23T07:44:00Z</dcterms:created>
  <dcterms:modified xsi:type="dcterms:W3CDTF">2017-05-23T08:08:00Z</dcterms:modified>
</cp:coreProperties>
</file>