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1"/>
        <w:gridCol w:w="4718"/>
        <w:gridCol w:w="1134"/>
      </w:tblGrid>
      <w:tr w:rsidR="00876836" w14:paraId="153706B1" w14:textId="77777777">
        <w:trPr>
          <w:trHeight w:val="1030"/>
        </w:trPr>
        <w:tc>
          <w:tcPr>
            <w:tcW w:w="92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2BB93" w14:textId="77777777" w:rsidR="00876836" w:rsidRDefault="00EC29DC">
            <w:pPr>
              <w:pStyle w:val="Standard"/>
              <w:widowControl/>
              <w:tabs>
                <w:tab w:val="left" w:pos="-720"/>
              </w:tabs>
              <w:spacing w:before="120" w:after="120" w:line="240" w:lineRule="exact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119AA0" wp14:editId="2B65D16E">
                  <wp:simplePos x="0" y="0"/>
                  <wp:positionH relativeFrom="column">
                    <wp:posOffset>0</wp:posOffset>
                  </wp:positionH>
                  <wp:positionV relativeFrom="page">
                    <wp:posOffset>0</wp:posOffset>
                  </wp:positionV>
                  <wp:extent cx="599760" cy="847439"/>
                  <wp:effectExtent l="0" t="0" r="0" b="0"/>
                  <wp:wrapSquare wrapText="bothSides"/>
                  <wp:docPr id="1768651949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760" cy="847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b/>
                <w:sz w:val="22"/>
                <w:szCs w:val="22"/>
              </w:rPr>
              <w:t>ORDER FORM</w:t>
            </w:r>
          </w:p>
          <w:p w14:paraId="0012E407" w14:textId="77777777" w:rsidR="00876836" w:rsidRDefault="00EC29DC">
            <w:pPr>
              <w:pStyle w:val="Standard"/>
              <w:widowControl/>
              <w:tabs>
                <w:tab w:val="left" w:pos="-720"/>
              </w:tabs>
              <w:spacing w:before="120" w:after="120"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(B1 - For provision of a service (excluding consultants) valued up to £250,000)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28A0D" w14:textId="77777777" w:rsidR="00876836" w:rsidRDefault="00EC29DC">
            <w:pPr>
              <w:pStyle w:val="Standard"/>
              <w:widowControl/>
              <w:tabs>
                <w:tab w:val="left" w:pos="-720"/>
              </w:tabs>
              <w:jc w:val="right"/>
            </w:pPr>
            <w:r>
              <w:rPr>
                <w:noProof/>
              </w:rPr>
              <w:drawing>
                <wp:inline distT="0" distB="0" distL="0" distR="0" wp14:anchorId="7C20329D" wp14:editId="7A42A013">
                  <wp:extent cx="600120" cy="847799"/>
                  <wp:effectExtent l="0" t="0" r="9480" b="9451"/>
                  <wp:docPr id="639638406" name="Picture 639638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120" cy="847799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836" w14:paraId="05A2F7D9" w14:textId="77777777">
        <w:trPr>
          <w:trHeight w:val="447"/>
        </w:trPr>
        <w:tc>
          <w:tcPr>
            <w:tcW w:w="4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8800D" w14:textId="77777777" w:rsidR="00876836" w:rsidRDefault="00EC29DC">
            <w:pPr>
              <w:pStyle w:val="Standard"/>
              <w:widowControl/>
              <w:tabs>
                <w:tab w:val="left" w:pos="-720"/>
              </w:tabs>
              <w:spacing w:before="60" w:after="60" w:line="240" w:lineRule="exact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PURCHASE ORDER No.</w:t>
            </w:r>
          </w:p>
        </w:tc>
        <w:tc>
          <w:tcPr>
            <w:tcW w:w="58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56511" w14:textId="69DADBD8" w:rsidR="00876836" w:rsidRDefault="00EC29DC">
            <w:pPr>
              <w:pStyle w:val="Standard"/>
              <w:widowControl/>
              <w:tabs>
                <w:tab w:val="left" w:pos="-720"/>
              </w:tabs>
              <w:spacing w:before="60" w:after="60" w:line="240" w:lineRule="exact"/>
            </w:pPr>
            <w:r>
              <w:rPr>
                <w:rFonts w:ascii="Calibri" w:hAnsi="Calibri" w:cs="Calibri"/>
                <w:sz w:val="22"/>
                <w:szCs w:val="22"/>
              </w:rPr>
              <w:t>TBC</w:t>
            </w:r>
            <w:r w:rsidR="003D6EE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876836" w14:paraId="28A17A54" w14:textId="77777777">
        <w:trPr>
          <w:trHeight w:val="447"/>
        </w:trPr>
        <w:tc>
          <w:tcPr>
            <w:tcW w:w="4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AFBEC" w14:textId="77777777" w:rsidR="00876836" w:rsidRDefault="00EC29DC">
            <w:pPr>
              <w:pStyle w:val="Standard"/>
              <w:widowControl/>
              <w:tabs>
                <w:tab w:val="left" w:pos="-720"/>
              </w:tabs>
              <w:spacing w:before="60" w:after="60" w:line="240" w:lineRule="exact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DATE:</w:t>
            </w:r>
          </w:p>
        </w:tc>
        <w:tc>
          <w:tcPr>
            <w:tcW w:w="58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F8080" w14:textId="3490560E" w:rsidR="00876836" w:rsidRDefault="00D602EF">
            <w:pPr>
              <w:pStyle w:val="Standard"/>
              <w:widowControl/>
              <w:tabs>
                <w:tab w:val="left" w:pos="-720"/>
              </w:tabs>
              <w:spacing w:before="60" w:after="60" w:line="240" w:lineRule="exact"/>
            </w:pPr>
            <w:r>
              <w:rPr>
                <w:rFonts w:ascii="Calibri" w:hAnsi="Calibri" w:cs="Calibri"/>
                <w:sz w:val="22"/>
                <w:szCs w:val="22"/>
              </w:rPr>
              <w:t>17</w:t>
            </w:r>
            <w:r w:rsidR="00EC29DC">
              <w:rPr>
                <w:rFonts w:ascii="Calibri" w:hAnsi="Calibri" w:cs="Calibri"/>
                <w:sz w:val="22"/>
                <w:szCs w:val="22"/>
              </w:rPr>
              <w:t>/0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="00EC29DC">
              <w:rPr>
                <w:rFonts w:ascii="Calibri" w:hAnsi="Calibri" w:cs="Calibri"/>
                <w:sz w:val="22"/>
                <w:szCs w:val="22"/>
              </w:rPr>
              <w:t>/24</w:t>
            </w:r>
          </w:p>
        </w:tc>
      </w:tr>
    </w:tbl>
    <w:p w14:paraId="55DEBB76" w14:textId="77777777" w:rsidR="00876836" w:rsidRDefault="00EC29DC">
      <w:pPr>
        <w:pStyle w:val="Standard"/>
        <w:widowControl/>
        <w:tabs>
          <w:tab w:val="left" w:pos="-720"/>
        </w:tabs>
        <w:spacing w:before="60" w:after="60" w:line="240" w:lineRule="exact"/>
        <w:ind w:right="-1"/>
        <w:jc w:val="both"/>
      </w:pPr>
      <w:r>
        <w:rPr>
          <w:rFonts w:ascii="Calibri" w:hAnsi="Calibri" w:cs="Calibri"/>
          <w:sz w:val="22"/>
          <w:szCs w:val="22"/>
        </w:rPr>
        <w:t xml:space="preserve">The Client appoints the Provider to perform the Commission subject to and in accordance with the </w:t>
      </w:r>
      <w:r>
        <w:rPr>
          <w:rFonts w:ascii="Calibri" w:hAnsi="Calibri" w:cs="Calibri"/>
          <w:b/>
          <w:sz w:val="22"/>
          <w:szCs w:val="22"/>
        </w:rPr>
        <w:t>Particulars</w:t>
      </w:r>
      <w:r>
        <w:rPr>
          <w:rFonts w:ascii="Calibri" w:hAnsi="Calibri" w:cs="Calibri"/>
          <w:sz w:val="22"/>
          <w:szCs w:val="22"/>
        </w:rPr>
        <w:t xml:space="preserve"> listed below and</w:t>
      </w:r>
    </w:p>
    <w:p w14:paraId="5CCA7AA1" w14:textId="77777777" w:rsidR="00876836" w:rsidRDefault="00EC29DC">
      <w:pPr>
        <w:pStyle w:val="Standard"/>
        <w:widowControl/>
        <w:numPr>
          <w:ilvl w:val="0"/>
          <w:numId w:val="29"/>
        </w:numPr>
        <w:tabs>
          <w:tab w:val="left" w:pos="720"/>
        </w:tabs>
        <w:spacing w:before="60" w:after="60" w:line="240" w:lineRule="exact"/>
        <w:ind w:left="360" w:firstLine="0"/>
        <w:jc w:val="both"/>
      </w:pPr>
      <w:r>
        <w:rPr>
          <w:rFonts w:ascii="Calibri" w:hAnsi="Calibri" w:cs="Calibri"/>
          <w:sz w:val="22"/>
          <w:szCs w:val="22"/>
        </w:rPr>
        <w:t xml:space="preserve">the following sections of </w:t>
      </w:r>
      <w:r>
        <w:rPr>
          <w:rFonts w:ascii="Calibri" w:hAnsi="Calibri" w:cs="Calibri"/>
          <w:i/>
          <w:sz w:val="22"/>
          <w:szCs w:val="22"/>
        </w:rPr>
        <w:t>The City of London Standard Conditions for the Purchase of Goods, Services &amp; Works – September 2022 Edition</w:t>
      </w:r>
      <w:r>
        <w:rPr>
          <w:rFonts w:ascii="Calibri" w:hAnsi="Calibri" w:cs="Calibri"/>
          <w:sz w:val="22"/>
          <w:szCs w:val="22"/>
        </w:rPr>
        <w:t xml:space="preserve">  </w:t>
      </w:r>
      <w:r>
        <w:rPr>
          <w:rStyle w:val="FootnoteReference"/>
        </w:rPr>
        <w:footnoteReference w:id="1"/>
      </w:r>
      <w:r>
        <w:rPr>
          <w:rFonts w:ascii="Calibri" w:hAnsi="Calibri" w:cs="Calibri"/>
          <w:sz w:val="22"/>
          <w:szCs w:val="22"/>
        </w:rPr>
        <w:t xml:space="preserve"> (the “</w:t>
      </w:r>
      <w:r>
        <w:rPr>
          <w:rFonts w:ascii="Calibri" w:hAnsi="Calibri" w:cs="Calibri"/>
          <w:b/>
          <w:sz w:val="22"/>
          <w:szCs w:val="22"/>
        </w:rPr>
        <w:t>Standard Conditions</w:t>
      </w:r>
      <w:r>
        <w:rPr>
          <w:rFonts w:ascii="Calibri" w:hAnsi="Calibri" w:cs="Calibri"/>
          <w:sz w:val="22"/>
          <w:szCs w:val="22"/>
        </w:rPr>
        <w:t>”):</w:t>
      </w:r>
    </w:p>
    <w:p w14:paraId="5ECF4761" w14:textId="77777777" w:rsidR="00876836" w:rsidRDefault="00EC29DC">
      <w:pPr>
        <w:pStyle w:val="Standard"/>
        <w:widowControl/>
        <w:numPr>
          <w:ilvl w:val="1"/>
          <w:numId w:val="11"/>
        </w:numPr>
        <w:tabs>
          <w:tab w:val="left" w:pos="1418"/>
        </w:tabs>
        <w:spacing w:before="60" w:after="60" w:line="240" w:lineRule="exact"/>
        <w:ind w:left="709" w:firstLine="0"/>
        <w:jc w:val="both"/>
      </w:pPr>
      <w:r>
        <w:rPr>
          <w:rFonts w:ascii="Calibri" w:hAnsi="Calibri" w:cs="Calibri"/>
          <w:sz w:val="22"/>
          <w:szCs w:val="22"/>
        </w:rPr>
        <w:t>Module A (General Conditions),</w:t>
      </w:r>
    </w:p>
    <w:p w14:paraId="50F24CB9" w14:textId="77777777" w:rsidR="00876836" w:rsidRDefault="00EC29DC">
      <w:pPr>
        <w:pStyle w:val="Standard"/>
        <w:widowControl/>
        <w:numPr>
          <w:ilvl w:val="1"/>
          <w:numId w:val="11"/>
        </w:numPr>
        <w:tabs>
          <w:tab w:val="left" w:pos="1418"/>
        </w:tabs>
        <w:spacing w:before="60" w:after="60" w:line="240" w:lineRule="exact"/>
        <w:ind w:left="709" w:firstLine="0"/>
        <w:jc w:val="both"/>
      </w:pPr>
      <w:r>
        <w:rPr>
          <w:rFonts w:ascii="Calibri" w:hAnsi="Calibri" w:cs="Calibri"/>
          <w:sz w:val="22"/>
          <w:szCs w:val="22"/>
        </w:rPr>
        <w:t>Module B (Conditions Applicable to a Service), and</w:t>
      </w:r>
    </w:p>
    <w:p w14:paraId="7A76320A" w14:textId="77777777" w:rsidR="00876836" w:rsidRDefault="00EC29DC">
      <w:pPr>
        <w:pStyle w:val="Standard"/>
        <w:widowControl/>
        <w:numPr>
          <w:ilvl w:val="1"/>
          <w:numId w:val="11"/>
        </w:numPr>
        <w:tabs>
          <w:tab w:val="left" w:pos="1418"/>
        </w:tabs>
        <w:spacing w:before="60" w:after="60" w:line="240" w:lineRule="exact"/>
        <w:ind w:left="709" w:firstLine="0"/>
        <w:jc w:val="both"/>
      </w:pPr>
      <w:bookmarkStart w:id="0" w:name="_Hlk109899681"/>
      <w:r>
        <w:rPr>
          <w:rFonts w:ascii="Calibri" w:hAnsi="Calibri" w:cs="Calibri"/>
          <w:sz w:val="22"/>
          <w:szCs w:val="22"/>
        </w:rPr>
        <w:t>Module G (Conditions relating to Data Protection);</w:t>
      </w:r>
      <w:bookmarkEnd w:id="0"/>
      <w:r>
        <w:rPr>
          <w:rFonts w:ascii="Calibri" w:hAnsi="Calibri" w:cs="Calibri"/>
          <w:sz w:val="22"/>
          <w:szCs w:val="22"/>
        </w:rPr>
        <w:t xml:space="preserve"> and</w:t>
      </w:r>
    </w:p>
    <w:p w14:paraId="236AABDC" w14:textId="77777777" w:rsidR="00876836" w:rsidRDefault="00EC29DC">
      <w:pPr>
        <w:pStyle w:val="Standard"/>
        <w:widowControl/>
        <w:numPr>
          <w:ilvl w:val="0"/>
          <w:numId w:val="11"/>
        </w:numPr>
        <w:tabs>
          <w:tab w:val="left" w:pos="720"/>
        </w:tabs>
        <w:spacing w:before="60" w:after="60" w:line="240" w:lineRule="exact"/>
        <w:ind w:left="360" w:firstLine="0"/>
        <w:jc w:val="both"/>
      </w:pPr>
      <w:r>
        <w:rPr>
          <w:rFonts w:ascii="Calibri" w:hAnsi="Calibri" w:cs="Calibri"/>
          <w:sz w:val="22"/>
          <w:szCs w:val="22"/>
        </w:rPr>
        <w:t xml:space="preserve">any </w:t>
      </w:r>
      <w:r>
        <w:rPr>
          <w:rFonts w:ascii="Calibri" w:hAnsi="Calibri" w:cs="Calibri"/>
          <w:i/>
          <w:iCs/>
          <w:sz w:val="22"/>
          <w:szCs w:val="22"/>
        </w:rPr>
        <w:t>further documents</w:t>
      </w:r>
      <w:r>
        <w:rPr>
          <w:rFonts w:ascii="Calibri" w:hAnsi="Calibri" w:cs="Calibri"/>
          <w:sz w:val="22"/>
          <w:szCs w:val="22"/>
        </w:rPr>
        <w:t xml:space="preserve"> listed in the </w:t>
      </w:r>
      <w:r>
        <w:rPr>
          <w:rFonts w:ascii="Calibri" w:hAnsi="Calibri" w:cs="Calibri"/>
          <w:b/>
          <w:sz w:val="22"/>
          <w:szCs w:val="22"/>
        </w:rPr>
        <w:t>Particulars</w:t>
      </w:r>
      <w:r>
        <w:rPr>
          <w:rFonts w:ascii="Calibri" w:hAnsi="Calibri" w:cs="Calibri"/>
          <w:sz w:val="22"/>
          <w:szCs w:val="22"/>
        </w:rPr>
        <w:t>, which form part of this Order.</w:t>
      </w:r>
    </w:p>
    <w:tbl>
      <w:tblPr>
        <w:tblW w:w="1045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8"/>
        <w:gridCol w:w="5956"/>
      </w:tblGrid>
      <w:tr w:rsidR="00876836" w14:paraId="6A13CEAF" w14:textId="77777777" w:rsidTr="003D6EE7">
        <w:tc>
          <w:tcPr>
            <w:tcW w:w="104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FE512" w14:textId="77777777" w:rsidR="00876836" w:rsidRDefault="00EC29DC">
            <w:pPr>
              <w:pStyle w:val="Standard"/>
              <w:widowControl/>
              <w:spacing w:before="60" w:after="60" w:line="240" w:lineRule="exact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PARTICULARS</w:t>
            </w:r>
          </w:p>
        </w:tc>
      </w:tr>
      <w:tr w:rsidR="00876836" w14:paraId="71531555" w14:textId="77777777" w:rsidTr="003D6EE7">
        <w:tc>
          <w:tcPr>
            <w:tcW w:w="4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D060A" w14:textId="77777777" w:rsidR="00876836" w:rsidRDefault="00EC29DC">
            <w:pPr>
              <w:pStyle w:val="Standard"/>
              <w:spacing w:before="60" w:after="60" w:line="240" w:lineRule="exact"/>
            </w:pPr>
            <w:r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Client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is:</w:t>
            </w:r>
          </w:p>
        </w:tc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0D67C6" w14:textId="77777777" w:rsidR="00876836" w:rsidRDefault="00EC29DC">
            <w:pPr>
              <w:pStyle w:val="Standard"/>
              <w:spacing w:before="60" w:after="60" w:line="240" w:lineRule="exact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The Mayor and Commonalty and Citizens of the City of London of PO Box 270, Guildhall, London EC2P 2EJ</w:t>
            </w:r>
          </w:p>
        </w:tc>
      </w:tr>
      <w:tr w:rsidR="00876836" w14:paraId="50C37A23" w14:textId="77777777" w:rsidTr="003D6EE7">
        <w:tc>
          <w:tcPr>
            <w:tcW w:w="4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64821" w14:textId="77777777" w:rsidR="00876836" w:rsidRDefault="00EC29DC">
            <w:pPr>
              <w:pStyle w:val="Standard"/>
              <w:spacing w:before="60" w:after="60" w:line="240" w:lineRule="exact"/>
            </w:pPr>
            <w:r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Provider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is:</w:t>
            </w:r>
          </w:p>
        </w:tc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E9E358" w14:textId="77777777" w:rsidR="00876836" w:rsidRDefault="00EC29DC">
            <w:pPr>
              <w:pStyle w:val="Standard"/>
              <w:spacing w:before="60" w:after="60" w:line="240" w:lineRule="exact"/>
              <w:jc w:val="both"/>
            </w:pPr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[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]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(Company no. </w:t>
            </w:r>
            <w:r>
              <w:rPr>
                <w:rFonts w:ascii="Calibri" w:hAnsi="Calibri" w:cs="Calibri"/>
                <w:color w:val="C00000"/>
                <w:sz w:val="22"/>
                <w:szCs w:val="22"/>
              </w:rPr>
              <w:t>[</w:t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color w:val="C00000"/>
                <w:sz w:val="22"/>
                <w:szCs w:val="22"/>
              </w:rPr>
              <w:t>]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) of </w:t>
            </w:r>
            <w:r>
              <w:rPr>
                <w:rFonts w:ascii="Calibri" w:hAnsi="Calibri" w:cs="Calibri"/>
                <w:color w:val="C00000"/>
                <w:sz w:val="22"/>
                <w:szCs w:val="22"/>
              </w:rPr>
              <w:t>[</w:t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color w:val="C00000"/>
                <w:sz w:val="22"/>
                <w:szCs w:val="22"/>
              </w:rPr>
              <w:t>]</w:t>
            </w:r>
          </w:p>
        </w:tc>
      </w:tr>
      <w:tr w:rsidR="00876836" w14:paraId="5FB59598" w14:textId="77777777" w:rsidTr="003D6EE7">
        <w:tc>
          <w:tcPr>
            <w:tcW w:w="4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18261" w14:textId="77777777" w:rsidR="00876836" w:rsidRDefault="00EC29DC">
            <w:pPr>
              <w:pStyle w:val="Standard"/>
              <w:spacing w:before="60" w:after="60" w:line="240" w:lineRule="exact"/>
            </w:pPr>
            <w:r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Commission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is:</w:t>
            </w:r>
          </w:p>
        </w:tc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63B221" w14:textId="3F454460" w:rsidR="00876836" w:rsidRDefault="00EC29DC">
            <w:pPr>
              <w:pStyle w:val="Standard"/>
              <w:spacing w:before="60" w:after="60" w:line="240" w:lineRule="exact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Jumpstart To Success –  employability support programme for 50 Young People (must be eligible for funding under the GLA UKSPF funding rules) with 30 min. progressing into a positive outcome.</w:t>
            </w:r>
          </w:p>
        </w:tc>
      </w:tr>
      <w:tr w:rsidR="00876836" w14:paraId="7CE6FEB6" w14:textId="77777777" w:rsidTr="003D6EE7">
        <w:tc>
          <w:tcPr>
            <w:tcW w:w="4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8E0DA" w14:textId="77777777" w:rsidR="00876836" w:rsidRDefault="00EC29DC">
            <w:pPr>
              <w:pStyle w:val="Standard"/>
              <w:spacing w:before="60" w:after="60" w:line="240" w:lineRule="exact"/>
            </w:pPr>
            <w:r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Supervising Officer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is:</w:t>
            </w:r>
          </w:p>
        </w:tc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16F5F8" w14:textId="77777777" w:rsidR="00876836" w:rsidRDefault="00EC29DC">
            <w:pPr>
              <w:pStyle w:val="Standard"/>
              <w:spacing w:before="60" w:after="60" w:line="240" w:lineRule="exact"/>
            </w:pPr>
            <w:r>
              <w:rPr>
                <w:rFonts w:ascii="Calibri" w:hAnsi="Calibri" w:cs="Calibri"/>
                <w:sz w:val="22"/>
                <w:szCs w:val="22"/>
              </w:rPr>
              <w:t>Simon Tate</w:t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876836" w14:paraId="75CCEB4E" w14:textId="77777777" w:rsidTr="003D6EE7">
        <w:tc>
          <w:tcPr>
            <w:tcW w:w="4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813B" w14:textId="77777777" w:rsidR="00876836" w:rsidRDefault="00EC29DC">
            <w:pPr>
              <w:pStyle w:val="Standard"/>
              <w:spacing w:before="60" w:after="60" w:line="240" w:lineRule="exact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Standard Condition 3.1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The Price is:</w:t>
            </w:r>
          </w:p>
        </w:tc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588AAE" w14:textId="77777777" w:rsidR="00876836" w:rsidRDefault="00EC29DC">
            <w:pPr>
              <w:pStyle w:val="Standard"/>
              <w:spacing w:before="60" w:after="60" w:line="240" w:lineRule="exact"/>
            </w:pPr>
            <w:r>
              <w:rPr>
                <w:rFonts w:ascii="Calibri" w:hAnsi="Calibri" w:cs="Calibri"/>
                <w:sz w:val="22"/>
                <w:szCs w:val="22"/>
              </w:rPr>
              <w:t>£60,000.00 exclusive of VAT, subject to adjustment in accordance with the Standard Conditions</w:t>
            </w:r>
          </w:p>
        </w:tc>
      </w:tr>
      <w:tr w:rsidR="00876836" w14:paraId="35791E02" w14:textId="77777777" w:rsidTr="003D6EE7">
        <w:tc>
          <w:tcPr>
            <w:tcW w:w="4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C1515" w14:textId="77777777" w:rsidR="00876836" w:rsidRDefault="00EC29DC">
            <w:pPr>
              <w:pStyle w:val="Standard"/>
              <w:spacing w:before="60" w:after="60" w:line="240" w:lineRule="exact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Standard Condition 3.3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Interim payments on account will be made at the following intervals:</w:t>
            </w:r>
          </w:p>
        </w:tc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71A94F" w14:textId="77777777" w:rsidR="00876836" w:rsidRDefault="00EC29DC">
            <w:pPr>
              <w:pStyle w:val="Standard"/>
              <w:spacing w:before="60" w:after="60" w:line="240" w:lineRule="exact"/>
            </w:pPr>
            <w:r>
              <w:rPr>
                <w:rFonts w:ascii="Calibri" w:hAnsi="Calibri" w:cs="Calibri"/>
                <w:sz w:val="22"/>
                <w:szCs w:val="22"/>
              </w:rPr>
              <w:t>Up to monthly based on performance and quality check compliance</w:t>
            </w:r>
          </w:p>
        </w:tc>
      </w:tr>
      <w:tr w:rsidR="00876836" w14:paraId="70A83E7C" w14:textId="77777777" w:rsidTr="003D6EE7">
        <w:tc>
          <w:tcPr>
            <w:tcW w:w="4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0F232" w14:textId="77777777" w:rsidR="00876836" w:rsidRDefault="00EC29DC">
            <w:pPr>
              <w:pStyle w:val="Standard"/>
              <w:spacing w:before="60" w:after="60" w:line="240" w:lineRule="exact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Standard Condition 5.2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The insurances required will be for a sum of not less than:</w:t>
            </w:r>
          </w:p>
        </w:tc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D815DF" w14:textId="77777777" w:rsidR="00876836" w:rsidRDefault="00EC29DC">
            <w:pPr>
              <w:pStyle w:val="Standard"/>
              <w:widowControl/>
              <w:numPr>
                <w:ilvl w:val="0"/>
                <w:numId w:val="30"/>
              </w:numPr>
              <w:spacing w:before="60" w:after="60" w:line="240" w:lineRule="exact"/>
              <w:ind w:left="281" w:hanging="219"/>
            </w:pPr>
            <w:r>
              <w:rPr>
                <w:rFonts w:ascii="Calibri" w:hAnsi="Calibri" w:cs="Calibri"/>
                <w:sz w:val="22"/>
                <w:szCs w:val="22"/>
              </w:rPr>
              <w:t>£1,000,000 each and every claim for Professional Indemnity</w:t>
            </w:r>
          </w:p>
          <w:p w14:paraId="27CBDE36" w14:textId="77777777" w:rsidR="00876836" w:rsidRDefault="00EC29DC">
            <w:pPr>
              <w:pStyle w:val="Standard"/>
              <w:widowControl/>
              <w:numPr>
                <w:ilvl w:val="0"/>
                <w:numId w:val="27"/>
              </w:numPr>
              <w:spacing w:before="60" w:after="60" w:line="240" w:lineRule="exact"/>
              <w:ind w:left="281" w:hanging="219"/>
            </w:pPr>
            <w:r>
              <w:rPr>
                <w:rFonts w:ascii="Calibri" w:hAnsi="Calibri" w:cs="Calibri"/>
                <w:sz w:val="22"/>
                <w:szCs w:val="22"/>
              </w:rPr>
              <w:t>£10,000,000 for Public Liability; and</w:t>
            </w:r>
          </w:p>
          <w:p w14:paraId="5318920F" w14:textId="77777777" w:rsidR="00876836" w:rsidRDefault="00EC29DC">
            <w:pPr>
              <w:pStyle w:val="Standard"/>
              <w:widowControl/>
              <w:numPr>
                <w:ilvl w:val="0"/>
                <w:numId w:val="27"/>
              </w:numPr>
              <w:spacing w:before="60" w:after="60" w:line="240" w:lineRule="exact"/>
              <w:ind w:left="281" w:hanging="219"/>
            </w:pPr>
            <w:r>
              <w:rPr>
                <w:rFonts w:ascii="Calibri" w:hAnsi="Calibri" w:cs="Calibri"/>
                <w:sz w:val="22"/>
                <w:szCs w:val="22"/>
              </w:rPr>
              <w:t>the minimum level required by law for Employers Liability</w:t>
            </w:r>
          </w:p>
        </w:tc>
      </w:tr>
      <w:tr w:rsidR="00876836" w14:paraId="203E5586" w14:textId="77777777" w:rsidTr="003D6EE7">
        <w:tc>
          <w:tcPr>
            <w:tcW w:w="4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2109D" w14:textId="77777777" w:rsidR="00876836" w:rsidRDefault="00EC29DC">
            <w:pPr>
              <w:pStyle w:val="Standard"/>
              <w:spacing w:before="60" w:after="60" w:line="240" w:lineRule="exact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Standard Condition 6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Intellectual Property Rights:</w:t>
            </w:r>
          </w:p>
        </w:tc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F40A5D" w14:textId="77777777" w:rsidR="00876836" w:rsidRDefault="00EC29DC">
            <w:pPr>
              <w:pStyle w:val="Standard"/>
              <w:spacing w:before="60" w:after="60" w:line="240" w:lineRule="exact"/>
            </w:pPr>
            <w:r>
              <w:rPr>
                <w:rFonts w:ascii="Calibri" w:hAnsi="Calibri" w:cs="Calibri"/>
                <w:sz w:val="22"/>
                <w:szCs w:val="22"/>
              </w:rPr>
              <w:t>Standard Condition 6.2</w:t>
            </w:r>
            <w:r>
              <w:rPr>
                <w:rFonts w:ascii="Calibri" w:hAnsi="Calibri" w:cs="Calibri"/>
                <w:color w:val="C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applies</w:t>
            </w:r>
          </w:p>
        </w:tc>
      </w:tr>
      <w:tr w:rsidR="00876836" w14:paraId="42A26820" w14:textId="77777777" w:rsidTr="003D6EE7">
        <w:tc>
          <w:tcPr>
            <w:tcW w:w="4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3BC74" w14:textId="77777777" w:rsidR="00876836" w:rsidRDefault="00EC29DC">
            <w:pPr>
              <w:pStyle w:val="Standard"/>
              <w:spacing w:before="60" w:after="60" w:line="240" w:lineRule="exact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Standard Condition 16.1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Community Benefit:</w:t>
            </w:r>
          </w:p>
        </w:tc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4163E8" w14:textId="77777777" w:rsidR="00876836" w:rsidRDefault="00EC29DC">
            <w:pPr>
              <w:pStyle w:val="Standard"/>
              <w:spacing w:before="60" w:after="60" w:line="240" w:lineRule="exact"/>
            </w:pPr>
            <w:r>
              <w:rPr>
                <w:rFonts w:ascii="Calibri" w:hAnsi="Calibri" w:cs="Calibri"/>
                <w:sz w:val="22"/>
                <w:szCs w:val="22"/>
              </w:rPr>
              <w:t>Does not apply</w:t>
            </w:r>
          </w:p>
        </w:tc>
      </w:tr>
      <w:tr w:rsidR="00876836" w14:paraId="07E3CB83" w14:textId="77777777" w:rsidTr="003D6EE7">
        <w:tc>
          <w:tcPr>
            <w:tcW w:w="4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17597" w14:textId="77777777" w:rsidR="00876836" w:rsidRDefault="00EC29DC">
            <w:pPr>
              <w:pStyle w:val="Standard"/>
              <w:widowControl/>
              <w:spacing w:before="60" w:after="60" w:line="240" w:lineRule="exact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Standard Condition 20.1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The duration for which the Commission is to be performed is:</w:t>
            </w:r>
          </w:p>
        </w:tc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8921D5" w14:textId="25ED5937" w:rsidR="00876836" w:rsidRDefault="00D602EF">
            <w:pPr>
              <w:pStyle w:val="Standard"/>
              <w:widowControl/>
              <w:spacing w:before="60" w:after="60" w:line="240" w:lineRule="exact"/>
            </w:pPr>
            <w:r>
              <w:rPr>
                <w:rFonts w:ascii="Calibri" w:hAnsi="Calibri" w:cs="Calibri"/>
                <w:sz w:val="22"/>
                <w:szCs w:val="22"/>
              </w:rPr>
              <w:t>August</w:t>
            </w:r>
            <w:r w:rsidR="00EC29DC">
              <w:rPr>
                <w:rFonts w:ascii="Calibri" w:hAnsi="Calibri" w:cs="Calibri"/>
                <w:sz w:val="22"/>
                <w:szCs w:val="22"/>
              </w:rPr>
              <w:t xml:space="preserve"> 2024 – 31</w:t>
            </w:r>
            <w:r w:rsidR="00EC29DC">
              <w:rPr>
                <w:rFonts w:ascii="Calibri" w:hAnsi="Calibri" w:cs="Calibri"/>
                <w:sz w:val="22"/>
                <w:szCs w:val="22"/>
                <w:vertAlign w:val="superscript"/>
              </w:rPr>
              <w:t>st</w:t>
            </w:r>
            <w:r w:rsidR="00EC29DC">
              <w:rPr>
                <w:rFonts w:ascii="Calibri" w:hAnsi="Calibri" w:cs="Calibri"/>
                <w:sz w:val="22"/>
                <w:szCs w:val="22"/>
              </w:rPr>
              <w:t xml:space="preserve"> March 2025</w:t>
            </w:r>
          </w:p>
        </w:tc>
      </w:tr>
      <w:tr w:rsidR="00876836" w14:paraId="3A7A9FD6" w14:textId="77777777" w:rsidTr="003D6EE7">
        <w:tc>
          <w:tcPr>
            <w:tcW w:w="4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31FFB" w14:textId="77777777" w:rsidR="00876836" w:rsidRDefault="00EC29DC">
            <w:pPr>
              <w:pStyle w:val="Standard"/>
              <w:widowControl/>
              <w:spacing w:before="60" w:after="60" w:line="240" w:lineRule="exact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Standard Condition 20.2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Performance standards:</w:t>
            </w:r>
          </w:p>
        </w:tc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EEAD4A" w14:textId="77777777" w:rsidR="00876836" w:rsidRDefault="00EC29DC">
            <w:pPr>
              <w:pStyle w:val="Standard"/>
              <w:widowControl/>
              <w:spacing w:before="60" w:after="60" w:line="240" w:lineRule="exact"/>
            </w:pPr>
            <w:r>
              <w:rPr>
                <w:rFonts w:ascii="Calibri" w:hAnsi="Calibri" w:cs="Calibri"/>
                <w:sz w:val="22"/>
                <w:szCs w:val="22"/>
              </w:rPr>
              <w:t>Delivery will demonstrate high quality delivery – both through quality observation of sessions and reflective participant feedback, paperwork compliance</w:t>
            </w:r>
          </w:p>
        </w:tc>
      </w:tr>
      <w:tr w:rsidR="00876836" w14:paraId="240392DE" w14:textId="77777777" w:rsidTr="003D6EE7">
        <w:tc>
          <w:tcPr>
            <w:tcW w:w="4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2B82D" w14:textId="77777777" w:rsidR="00876836" w:rsidRDefault="00EC29DC">
            <w:pPr>
              <w:pStyle w:val="Standard"/>
              <w:widowControl/>
              <w:spacing w:before="60" w:after="60" w:line="240" w:lineRule="exact"/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Standard Condition 21.1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Staff check requirements:</w:t>
            </w:r>
          </w:p>
        </w:tc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704B3F" w14:textId="77777777" w:rsidR="00876836" w:rsidRDefault="00EC29DC">
            <w:pPr>
              <w:pStyle w:val="Standard"/>
              <w:widowControl/>
              <w:spacing w:before="60" w:after="60" w:line="240" w:lineRule="exact"/>
            </w:pPr>
            <w:r>
              <w:rPr>
                <w:rFonts w:ascii="Calibri" w:hAnsi="Calibri" w:cs="Calibri"/>
                <w:sz w:val="22"/>
                <w:szCs w:val="22"/>
              </w:rPr>
              <w:t>Successful tenderer will be required to demonstrate appropriate DBS checks for all intended delivery staff</w:t>
            </w:r>
          </w:p>
        </w:tc>
      </w:tr>
      <w:tr w:rsidR="00876836" w14:paraId="1C8474F9" w14:textId="77777777" w:rsidTr="003D6EE7">
        <w:tc>
          <w:tcPr>
            <w:tcW w:w="449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62677" w14:textId="77777777" w:rsidR="00876836" w:rsidRDefault="00EC29DC">
            <w:pPr>
              <w:pStyle w:val="Standard"/>
              <w:keepNext/>
              <w:widowControl/>
              <w:tabs>
                <w:tab w:val="right" w:pos="4207"/>
              </w:tabs>
              <w:spacing w:before="60" w:after="60" w:line="240" w:lineRule="exact"/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Module G -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Conditions relating to Data Protection: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>
              <w:rPr>
                <w:rFonts w:ascii="Calibri" w:hAnsi="Calibri" w:cs="Calibri"/>
                <w:b/>
                <w:sz w:val="22"/>
                <w:szCs w:val="22"/>
              </w:rPr>
              <w:t>Standard Condition 40:</w:t>
            </w:r>
          </w:p>
        </w:tc>
        <w:tc>
          <w:tcPr>
            <w:tcW w:w="595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9E7893" w14:textId="77777777" w:rsidR="00876836" w:rsidRDefault="00EC29DC">
            <w:pPr>
              <w:pStyle w:val="Standard"/>
              <w:widowControl/>
              <w:spacing w:after="60" w:line="240" w:lineRule="exact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Controller to Controller transfers: </w:t>
            </w:r>
            <w:r>
              <w:rPr>
                <w:rFonts w:ascii="Calibri" w:hAnsi="Calibri" w:cs="Calibri"/>
                <w:color w:val="C00000"/>
                <w:sz w:val="22"/>
                <w:szCs w:val="22"/>
              </w:rPr>
              <w:t>[applies]</w:t>
            </w:r>
          </w:p>
        </w:tc>
      </w:tr>
      <w:tr w:rsidR="00876836" w14:paraId="7D982E40" w14:textId="77777777" w:rsidTr="003D6EE7">
        <w:tc>
          <w:tcPr>
            <w:tcW w:w="449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83892" w14:textId="77777777" w:rsidR="00876836" w:rsidRDefault="00EC29DC">
            <w:pPr>
              <w:pStyle w:val="Standard"/>
              <w:widowControl/>
              <w:spacing w:after="60" w:line="240" w:lineRule="exact"/>
              <w:jc w:val="right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Standard Condition 41:</w:t>
            </w:r>
          </w:p>
        </w:tc>
        <w:tc>
          <w:tcPr>
            <w:tcW w:w="5956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EEF0CA" w14:textId="77777777" w:rsidR="00876836" w:rsidRDefault="00EC29DC">
            <w:pPr>
              <w:pStyle w:val="Standard"/>
              <w:widowControl/>
              <w:spacing w:after="60" w:line="240" w:lineRule="exact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Data Processing on behalf of the Client: </w:t>
            </w:r>
            <w:r>
              <w:rPr>
                <w:rFonts w:ascii="Calibri" w:hAnsi="Calibri" w:cs="Calibri"/>
                <w:color w:val="C00000"/>
                <w:sz w:val="22"/>
                <w:szCs w:val="22"/>
              </w:rPr>
              <w:t>[applies].</w:t>
            </w:r>
          </w:p>
        </w:tc>
      </w:tr>
      <w:tr w:rsidR="00876836" w14:paraId="14E2363E" w14:textId="77777777" w:rsidTr="003D6EE7">
        <w:tc>
          <w:tcPr>
            <w:tcW w:w="44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34848" w14:textId="77777777" w:rsidR="00876836" w:rsidRDefault="00EC29DC">
            <w:pPr>
              <w:pStyle w:val="Standard"/>
              <w:widowControl/>
              <w:spacing w:after="60" w:line="240" w:lineRule="exact"/>
              <w:jc w:val="right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Standard Condition 42:</w:t>
            </w:r>
          </w:p>
        </w:tc>
        <w:tc>
          <w:tcPr>
            <w:tcW w:w="59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68D5E4" w14:textId="77777777" w:rsidR="00876836" w:rsidRDefault="00EC29DC">
            <w:pPr>
              <w:pStyle w:val="Standard"/>
              <w:widowControl/>
              <w:spacing w:after="60" w:line="240" w:lineRule="exact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Does not apply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.</w:t>
            </w:r>
          </w:p>
        </w:tc>
      </w:tr>
      <w:tr w:rsidR="00876836" w:rsidRPr="00D602EF" w14:paraId="2D754E83" w14:textId="77777777" w:rsidTr="003D6EE7">
        <w:tc>
          <w:tcPr>
            <w:tcW w:w="4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794A8" w14:textId="77777777" w:rsidR="00876836" w:rsidRDefault="00EC29DC">
            <w:pPr>
              <w:pStyle w:val="Standard"/>
              <w:widowControl/>
              <w:spacing w:before="60" w:after="60" w:line="240" w:lineRule="exact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further documents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which are attached to, and form part of this Order are:</w:t>
            </w:r>
          </w:p>
          <w:p w14:paraId="661ECA58" w14:textId="77777777" w:rsidR="00876836" w:rsidRDefault="00876836">
            <w:pPr>
              <w:pStyle w:val="Standard"/>
              <w:widowControl/>
              <w:spacing w:before="60" w:after="60" w:line="24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457F97" w14:textId="77777777" w:rsidR="00876836" w:rsidRDefault="00EC29DC">
            <w:pPr>
              <w:pStyle w:val="Standard"/>
              <w:widowControl/>
              <w:spacing w:before="60" w:after="60" w:line="240" w:lineRule="exact"/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[ITT/RFQ]</w:t>
            </w:r>
          </w:p>
          <w:p w14:paraId="733C93BA" w14:textId="77777777" w:rsidR="00876836" w:rsidRDefault="00EC29DC">
            <w:pPr>
              <w:pStyle w:val="Standard"/>
              <w:widowControl/>
              <w:spacing w:before="60" w:after="60" w:line="240" w:lineRule="exact"/>
            </w:pPr>
            <w:r>
              <w:rPr>
                <w:rFonts w:ascii="Calibri" w:hAnsi="Calibri" w:cs="Calibri"/>
                <w:sz w:val="22"/>
                <w:szCs w:val="22"/>
              </w:rPr>
              <w:t>[Specification/Service Scope]</w:t>
            </w:r>
          </w:p>
          <w:p w14:paraId="75FC3889" w14:textId="77777777" w:rsidR="00876836" w:rsidRDefault="00EC29DC">
            <w:pPr>
              <w:pStyle w:val="Standard"/>
              <w:widowControl/>
              <w:spacing w:before="60" w:after="60" w:line="240" w:lineRule="exact"/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[KPIs/Service Level Agreement]</w:t>
            </w:r>
          </w:p>
          <w:p w14:paraId="6811C43F" w14:textId="77777777" w:rsidR="00876836" w:rsidRDefault="00EC29DC">
            <w:pPr>
              <w:pStyle w:val="Standard"/>
              <w:widowControl/>
              <w:spacing w:before="60" w:after="60" w:line="240" w:lineRule="exact"/>
            </w:pPr>
            <w:r>
              <w:rPr>
                <w:rFonts w:ascii="Calibri" w:hAnsi="Calibri" w:cs="Calibri"/>
                <w:sz w:val="22"/>
                <w:szCs w:val="22"/>
              </w:rPr>
              <w:t>[TUPE information and Supplemental Conditions]</w:t>
            </w:r>
          </w:p>
          <w:p w14:paraId="0CA2950F" w14:textId="77777777" w:rsidR="00876836" w:rsidRDefault="00EC29DC">
            <w:pPr>
              <w:pStyle w:val="Standard"/>
              <w:widowControl/>
              <w:spacing w:before="60" w:after="60" w:line="240" w:lineRule="exact"/>
            </w:pPr>
            <w:r>
              <w:rPr>
                <w:rFonts w:ascii="Calibri" w:hAnsi="Calibri" w:cs="Calibri"/>
                <w:sz w:val="22"/>
                <w:szCs w:val="22"/>
              </w:rPr>
              <w:t>[completed Data Processing Authorisation Form]</w:t>
            </w:r>
          </w:p>
          <w:p w14:paraId="543D10B4" w14:textId="77777777" w:rsidR="00876836" w:rsidRPr="0094541B" w:rsidRDefault="00EC29DC">
            <w:pPr>
              <w:pStyle w:val="Standard"/>
              <w:widowControl/>
              <w:spacing w:before="60" w:after="60" w:line="240" w:lineRule="exact"/>
              <w:jc w:val="both"/>
              <w:rPr>
                <w:lang w:val="fr-FR"/>
              </w:rPr>
            </w:pPr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[Price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fr-FR"/>
              </w:rPr>
              <w:t>Response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fr-FR"/>
              </w:rPr>
              <w:t>]</w:t>
            </w:r>
          </w:p>
          <w:p w14:paraId="45B6A255" w14:textId="77777777" w:rsidR="00876836" w:rsidRPr="0094541B" w:rsidRDefault="00EC29DC">
            <w:pPr>
              <w:pStyle w:val="Standard"/>
              <w:widowControl/>
              <w:spacing w:before="60" w:after="60" w:line="240" w:lineRule="exact"/>
              <w:jc w:val="both"/>
              <w:rPr>
                <w:lang w:val="fr-FR"/>
              </w:rPr>
            </w:pPr>
            <w:r>
              <w:rPr>
                <w:rFonts w:ascii="Calibri" w:hAnsi="Calibri" w:cs="Calibri"/>
                <w:sz w:val="22"/>
                <w:szCs w:val="22"/>
                <w:lang w:val="fr-FR"/>
              </w:rPr>
              <w:t>[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fr-FR"/>
              </w:rPr>
              <w:t>Technical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fr-FR"/>
              </w:rPr>
              <w:t>Response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fr-FR"/>
              </w:rPr>
              <w:t>]</w:t>
            </w:r>
          </w:p>
          <w:p w14:paraId="0A7E61A9" w14:textId="77777777" w:rsidR="00876836" w:rsidRPr="0094541B" w:rsidRDefault="00EC29DC">
            <w:pPr>
              <w:pStyle w:val="Standard"/>
              <w:widowControl/>
              <w:spacing w:before="60" w:after="60" w:line="240" w:lineRule="exact"/>
              <w:rPr>
                <w:lang w:val="fr-FR"/>
              </w:rPr>
            </w:pPr>
            <w:r>
              <w:rPr>
                <w:rFonts w:ascii="Calibri" w:hAnsi="Calibri" w:cs="Calibri"/>
                <w:sz w:val="22"/>
                <w:szCs w:val="22"/>
                <w:lang w:val="fr-FR"/>
              </w:rPr>
              <w:t>[</w:t>
            </w:r>
            <w:r>
              <w:rPr>
                <w:rFonts w:ascii="Calibri" w:hAnsi="Calibri" w:cs="Calibri"/>
                <w:i/>
                <w:iCs/>
                <w:sz w:val="22"/>
                <w:szCs w:val="22"/>
                <w:lang w:val="fr-FR"/>
              </w:rPr>
              <w:t>etc.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ab/>
              <w:t>]</w:t>
            </w:r>
          </w:p>
        </w:tc>
      </w:tr>
    </w:tbl>
    <w:p w14:paraId="0851C153" w14:textId="77777777" w:rsidR="00876836" w:rsidRDefault="00EC29DC">
      <w:pPr>
        <w:pStyle w:val="Standard"/>
        <w:keepNext/>
        <w:widowControl/>
        <w:spacing w:before="120" w:after="120" w:line="240" w:lineRule="exact"/>
        <w:ind w:right="141"/>
        <w:jc w:val="both"/>
      </w:pPr>
      <w:r>
        <w:rPr>
          <w:rFonts w:ascii="Calibri" w:hAnsi="Calibri" w:cs="Calibri"/>
          <w:sz w:val="22"/>
          <w:szCs w:val="22"/>
        </w:rPr>
        <w:lastRenderedPageBreak/>
        <w:t>By signing this Order below the Client and the Provider confirm acceptance of the terms and conditions applying to this Order with effect from the date indicated above.</w:t>
      </w:r>
    </w:p>
    <w:tbl>
      <w:tblPr>
        <w:tblW w:w="1045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89"/>
        <w:gridCol w:w="6065"/>
      </w:tblGrid>
      <w:tr w:rsidR="00876836" w14:paraId="1FC96EF5" w14:textId="77777777">
        <w:tc>
          <w:tcPr>
            <w:tcW w:w="4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23670" w14:textId="77777777" w:rsidR="00876836" w:rsidRDefault="00EC29DC">
            <w:pPr>
              <w:pStyle w:val="Standard"/>
              <w:keepNext/>
              <w:widowControl/>
              <w:spacing w:before="360" w:line="240" w:lineRule="exact"/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SIGNED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for and on behalf of the Client by:</w:t>
            </w:r>
          </w:p>
        </w:tc>
        <w:tc>
          <w:tcPr>
            <w:tcW w:w="6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F43C0" w14:textId="0B0BC9D4" w:rsidR="00876836" w:rsidRDefault="00EC29DC">
            <w:pPr>
              <w:pStyle w:val="Standard"/>
              <w:keepNext/>
              <w:widowControl/>
              <w:spacing w:before="360" w:line="240" w:lineRule="exact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</w:t>
            </w:r>
          </w:p>
          <w:p w14:paraId="6BF6E727" w14:textId="3C482DC9" w:rsidR="00876836" w:rsidRDefault="00EC29DC">
            <w:pPr>
              <w:pStyle w:val="Standard"/>
              <w:keepNext/>
              <w:widowControl/>
              <w:spacing w:before="240" w:line="240" w:lineRule="exact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Name: </w:t>
            </w:r>
          </w:p>
          <w:p w14:paraId="7A0EAB2A" w14:textId="77777777" w:rsidR="00876836" w:rsidRDefault="00EC29DC" w:rsidP="00313788">
            <w:pPr>
              <w:pStyle w:val="Standard"/>
              <w:keepNext/>
              <w:widowControl/>
              <w:spacing w:before="240" w:line="240" w:lineRule="exact"/>
            </w:pPr>
            <w:r>
              <w:rPr>
                <w:rFonts w:ascii="Calibri" w:hAnsi="Calibri" w:cs="Calibri"/>
                <w:sz w:val="22"/>
                <w:szCs w:val="22"/>
              </w:rPr>
              <w:t>Title: External Programmes Manager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</w:p>
        </w:tc>
      </w:tr>
      <w:tr w:rsidR="00876836" w14:paraId="05CEB202" w14:textId="77777777">
        <w:tc>
          <w:tcPr>
            <w:tcW w:w="4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27ADC" w14:textId="77777777" w:rsidR="00876836" w:rsidRDefault="00EC29DC">
            <w:pPr>
              <w:pStyle w:val="Standard"/>
              <w:widowControl/>
              <w:spacing w:before="360" w:line="240" w:lineRule="exact"/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SIGNED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for and on behalf of the Provider by:</w:t>
            </w:r>
          </w:p>
        </w:tc>
        <w:tc>
          <w:tcPr>
            <w:tcW w:w="6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FF2D6" w14:textId="77777777" w:rsidR="00876836" w:rsidRDefault="00EC29DC">
            <w:pPr>
              <w:pStyle w:val="Standard"/>
              <w:widowControl/>
              <w:spacing w:before="360" w:line="240" w:lineRule="exact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</w:t>
            </w:r>
          </w:p>
          <w:p w14:paraId="4BB3B5F6" w14:textId="77777777" w:rsidR="00876836" w:rsidRDefault="00EC29DC">
            <w:pPr>
              <w:pStyle w:val="Standard"/>
              <w:widowControl/>
              <w:spacing w:before="240" w:line="240" w:lineRule="exact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Name:</w:t>
            </w:r>
          </w:p>
          <w:p w14:paraId="48587D60" w14:textId="77777777" w:rsidR="00876836" w:rsidRDefault="00EC29DC">
            <w:pPr>
              <w:pStyle w:val="Standard"/>
              <w:widowControl/>
              <w:spacing w:before="240" w:line="240" w:lineRule="exact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Title: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</w:p>
        </w:tc>
      </w:tr>
    </w:tbl>
    <w:p w14:paraId="658F99F1" w14:textId="77777777" w:rsidR="00876836" w:rsidRDefault="00876836">
      <w:pPr>
        <w:pStyle w:val="Standard"/>
        <w:widowControl/>
      </w:pPr>
    </w:p>
    <w:sectPr w:rsidR="00876836">
      <w:footerReference w:type="even" r:id="rId8"/>
      <w:footerReference w:type="default" r:id="rId9"/>
      <w:footerReference w:type="first" r:id="rId10"/>
      <w:pgSz w:w="11906" w:h="16838"/>
      <w:pgMar w:top="720" w:right="720" w:bottom="720" w:left="720" w:header="720" w:footer="5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C6C61" w14:textId="77777777" w:rsidR="00AB31C0" w:rsidRDefault="00AB31C0">
      <w:r>
        <w:separator/>
      </w:r>
    </w:p>
  </w:endnote>
  <w:endnote w:type="continuationSeparator" w:id="0">
    <w:p w14:paraId="41401A8D" w14:textId="77777777" w:rsidR="00AB31C0" w:rsidRDefault="00AB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877D9" w14:textId="77777777" w:rsidR="006A0FB2" w:rsidRDefault="00EC29DC">
    <w:pPr>
      <w:pStyle w:val="Foo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1" w:name="_Hlk506899442"/>
  <w:p w14:paraId="2E0D57EE" w14:textId="10D17ED5" w:rsidR="006A0FB2" w:rsidRDefault="00EC29DC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94541B">
      <w:rPr>
        <w:noProof/>
      </w:rPr>
      <w:t>3</w:t>
    </w:r>
    <w:r>
      <w:fldChar w:fldCharType="end"/>
    </w:r>
  </w:p>
  <w:bookmarkEnd w:id="1"/>
  <w:p w14:paraId="50F31FD3" w14:textId="77777777" w:rsidR="006A0FB2" w:rsidRDefault="006A0F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3DE91" w14:textId="77777777" w:rsidR="006A0FB2" w:rsidRDefault="00EC29DC">
    <w:pPr>
      <w:pStyle w:val="Foo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5AEE3186" w14:textId="77777777" w:rsidR="006A0FB2" w:rsidRDefault="006A0F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4E58F" w14:textId="77777777" w:rsidR="00AB31C0" w:rsidRDefault="00AB31C0">
      <w:r>
        <w:rPr>
          <w:color w:val="000000"/>
        </w:rPr>
        <w:separator/>
      </w:r>
    </w:p>
  </w:footnote>
  <w:footnote w:type="continuationSeparator" w:id="0">
    <w:p w14:paraId="12B08063" w14:textId="77777777" w:rsidR="00AB31C0" w:rsidRDefault="00AB31C0">
      <w:r>
        <w:continuationSeparator/>
      </w:r>
    </w:p>
  </w:footnote>
  <w:footnote w:id="1">
    <w:p w14:paraId="1991E7ED" w14:textId="77777777" w:rsidR="00876836" w:rsidRDefault="00EC29DC">
      <w:pPr>
        <w:pStyle w:val="FootnoteText"/>
        <w:ind w:left="360" w:hanging="360"/>
      </w:pPr>
      <w:r>
        <w:rPr>
          <w:rStyle w:val="FootnoteReference"/>
        </w:rPr>
        <w:footnoteRef/>
      </w:r>
      <w:r>
        <w:rPr>
          <w:rFonts w:ascii="Calibri" w:hAnsi="Calibri" w:cs="Calibri"/>
        </w:rPr>
        <w:tab/>
      </w:r>
      <w:r>
        <w:rPr>
          <w:rFonts w:ascii="Calibri" w:hAnsi="Calibri" w:cs="Calibri"/>
          <w:sz w:val="16"/>
          <w:szCs w:val="16"/>
        </w:rPr>
        <w:t xml:space="preserve">The Standard Conditions can be viewed at: </w:t>
      </w:r>
      <w:hyperlink r:id="rId1" w:history="1">
        <w:r>
          <w:rPr>
            <w:rFonts w:ascii="Calibri" w:hAnsi="Calibri" w:cs="Calibri"/>
            <w:sz w:val="16"/>
            <w:szCs w:val="16"/>
          </w:rPr>
          <w:t>https://www.cityoflondon.gov.uk/business/tenders-and-procurement/Pages/Terms.aspx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37DB8"/>
    <w:multiLevelType w:val="multilevel"/>
    <w:tmpl w:val="B910474A"/>
    <w:styleLink w:val="WWNum2"/>
    <w:lvl w:ilvl="0">
      <w:start w:val="1"/>
      <w:numFmt w:val="lowerLetter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" w15:restartNumberingAfterBreak="0">
    <w:nsid w:val="08234997"/>
    <w:multiLevelType w:val="multilevel"/>
    <w:tmpl w:val="F9FE40E8"/>
    <w:styleLink w:val="WWNum10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0C3F778F"/>
    <w:multiLevelType w:val="multilevel"/>
    <w:tmpl w:val="0742C172"/>
    <w:styleLink w:val="WWNum12"/>
    <w:lvl w:ilvl="0">
      <w:start w:val="1"/>
      <w:numFmt w:val="decimal"/>
      <w:lvlText w:val="%1."/>
      <w:lvlJc w:val="left"/>
      <w:pPr>
        <w:ind w:left="720" w:hanging="720"/>
      </w:pPr>
      <w:rPr>
        <w:u w:val="none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2267B5A"/>
    <w:multiLevelType w:val="multilevel"/>
    <w:tmpl w:val="1B18C096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F914DE"/>
    <w:multiLevelType w:val="multilevel"/>
    <w:tmpl w:val="665663B6"/>
    <w:styleLink w:val="WWNum6"/>
    <w:lvl w:ilvl="0">
      <w:start w:val="1"/>
      <w:numFmt w:val="lowerLetter"/>
      <w:lvlText w:val="(%1)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1633583B"/>
    <w:multiLevelType w:val="multilevel"/>
    <w:tmpl w:val="2440FD38"/>
    <w:styleLink w:val="WWNum15"/>
    <w:lvl w:ilvl="0">
      <w:start w:val="1"/>
      <w:numFmt w:val="lowerLetter"/>
      <w:lvlText w:val="(%1)"/>
      <w:lvlJc w:val="lef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9E47647"/>
    <w:multiLevelType w:val="multilevel"/>
    <w:tmpl w:val="B53C3DF6"/>
    <w:styleLink w:val="WWNum25"/>
    <w:lvl w:ilvl="0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1B0549CC"/>
    <w:multiLevelType w:val="multilevel"/>
    <w:tmpl w:val="A636E61E"/>
    <w:styleLink w:val="WWNum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F52C41"/>
    <w:multiLevelType w:val="multilevel"/>
    <w:tmpl w:val="FB54472A"/>
    <w:styleLink w:val="WWNum9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36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9" w15:restartNumberingAfterBreak="0">
    <w:nsid w:val="28532C02"/>
    <w:multiLevelType w:val="multilevel"/>
    <w:tmpl w:val="1CC4CAF2"/>
    <w:styleLink w:val="WWNum4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331F648D"/>
    <w:multiLevelType w:val="multilevel"/>
    <w:tmpl w:val="A8901D74"/>
    <w:styleLink w:val="WWNum26"/>
    <w:lvl w:ilvl="0">
      <w:start w:val="1"/>
      <w:numFmt w:val="lowerLetter"/>
      <w:lvlText w:val="(%1)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38584DED"/>
    <w:multiLevelType w:val="multilevel"/>
    <w:tmpl w:val="6F9C0EAE"/>
    <w:styleLink w:val="WWNum1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022197C"/>
    <w:multiLevelType w:val="multilevel"/>
    <w:tmpl w:val="D472C96C"/>
    <w:styleLink w:val="WWNum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0873ECE"/>
    <w:multiLevelType w:val="multilevel"/>
    <w:tmpl w:val="5E3216EA"/>
    <w:styleLink w:val="WWNum16"/>
    <w:lvl w:ilvl="0">
      <w:start w:val="1"/>
      <w:numFmt w:val="lowerLetter"/>
      <w:lvlText w:val="(%1)"/>
      <w:lvlJc w:val="lef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438E56E3"/>
    <w:multiLevelType w:val="multilevel"/>
    <w:tmpl w:val="1A1864FC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004786"/>
    <w:multiLevelType w:val="multilevel"/>
    <w:tmpl w:val="27008C80"/>
    <w:styleLink w:val="WWNum19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decimal"/>
      <w:lvlText w:val="%1.%2"/>
      <w:lvlJc w:val="left"/>
      <w:pPr>
        <w:ind w:left="1571" w:hanging="7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4B524D96"/>
    <w:multiLevelType w:val="multilevel"/>
    <w:tmpl w:val="6DFCE592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4C907488"/>
    <w:multiLevelType w:val="multilevel"/>
    <w:tmpl w:val="AF4C6F12"/>
    <w:styleLink w:val="WW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714B3"/>
    <w:multiLevelType w:val="multilevel"/>
    <w:tmpl w:val="AFF86630"/>
    <w:styleLink w:val="WWNum17"/>
    <w:lvl w:ilvl="0">
      <w:start w:val="1"/>
      <w:numFmt w:val="lowerLetter"/>
      <w:lvlText w:val="(%1)"/>
      <w:lvlJc w:val="lef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509E75C1"/>
    <w:multiLevelType w:val="multilevel"/>
    <w:tmpl w:val="85629B68"/>
    <w:styleLink w:val="WWNum7"/>
    <w:lvl w:ilvl="0">
      <w:start w:val="1"/>
      <w:numFmt w:val="lowerLetter"/>
      <w:lvlText w:val="(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9781066"/>
    <w:multiLevelType w:val="multilevel"/>
    <w:tmpl w:val="73CA9F7E"/>
    <w:styleLink w:val="WWNum1"/>
    <w:lvl w:ilvl="0">
      <w:start w:val="1"/>
      <w:numFmt w:val="lowerLetter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1" w15:restartNumberingAfterBreak="0">
    <w:nsid w:val="65676560"/>
    <w:multiLevelType w:val="multilevel"/>
    <w:tmpl w:val="E2349A2A"/>
    <w:styleLink w:val="WWNum23"/>
    <w:lvl w:ilvl="0">
      <w:numFmt w:val="bullet"/>
      <w:lvlText w:val=""/>
      <w:lvlJc w:val="left"/>
      <w:pPr>
        <w:ind w:left="11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22" w15:restartNumberingAfterBreak="0">
    <w:nsid w:val="658B5C6B"/>
    <w:multiLevelType w:val="multilevel"/>
    <w:tmpl w:val="90F475BA"/>
    <w:styleLink w:val="WWNum5"/>
    <w:lvl w:ilvl="0">
      <w:start w:val="1"/>
      <w:numFmt w:val="lowerLetter"/>
      <w:lvlText w:val="(%1)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3" w15:restartNumberingAfterBreak="0">
    <w:nsid w:val="6691044F"/>
    <w:multiLevelType w:val="multilevel"/>
    <w:tmpl w:val="EF4A8BD4"/>
    <w:styleLink w:val="WWNum21"/>
    <w:lvl w:ilvl="0">
      <w:start w:val="1"/>
      <w:numFmt w:val="lowerLetter"/>
      <w:lvlText w:val="(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1.%2.%3."/>
      <w:lvlJc w:val="right"/>
      <w:pPr>
        <w:ind w:left="3218" w:hanging="180"/>
      </w:pPr>
    </w:lvl>
    <w:lvl w:ilvl="3">
      <w:start w:val="1"/>
      <w:numFmt w:val="decimal"/>
      <w:lvlText w:val="%1.%2.%3.%4."/>
      <w:lvlJc w:val="left"/>
      <w:pPr>
        <w:ind w:left="3938" w:hanging="360"/>
      </w:pPr>
    </w:lvl>
    <w:lvl w:ilvl="4">
      <w:start w:val="1"/>
      <w:numFmt w:val="lowerLetter"/>
      <w:lvlText w:val="%1.%2.%3.%4.%5."/>
      <w:lvlJc w:val="left"/>
      <w:pPr>
        <w:ind w:left="4658" w:hanging="360"/>
      </w:pPr>
    </w:lvl>
    <w:lvl w:ilvl="5">
      <w:start w:val="1"/>
      <w:numFmt w:val="lowerRoman"/>
      <w:lvlText w:val="%1.%2.%3.%4.%5.%6."/>
      <w:lvlJc w:val="right"/>
      <w:pPr>
        <w:ind w:left="5378" w:hanging="180"/>
      </w:pPr>
    </w:lvl>
    <w:lvl w:ilvl="6">
      <w:start w:val="1"/>
      <w:numFmt w:val="decimal"/>
      <w:lvlText w:val="%1.%2.%3.%4.%5.%6.%7."/>
      <w:lvlJc w:val="left"/>
      <w:pPr>
        <w:ind w:left="6098" w:hanging="360"/>
      </w:pPr>
    </w:lvl>
    <w:lvl w:ilvl="7">
      <w:start w:val="1"/>
      <w:numFmt w:val="lowerLetter"/>
      <w:lvlText w:val="%1.%2.%3.%4.%5.%6.%7.%8."/>
      <w:lvlJc w:val="left"/>
      <w:pPr>
        <w:ind w:left="6818" w:hanging="360"/>
      </w:pPr>
    </w:lvl>
    <w:lvl w:ilvl="8">
      <w:start w:val="1"/>
      <w:numFmt w:val="lowerRoman"/>
      <w:lvlText w:val="%1.%2.%3.%4.%5.%6.%7.%8.%9."/>
      <w:lvlJc w:val="right"/>
      <w:pPr>
        <w:ind w:left="7538" w:hanging="180"/>
      </w:pPr>
    </w:lvl>
  </w:abstractNum>
  <w:abstractNum w:abstractNumId="24" w15:restartNumberingAfterBreak="0">
    <w:nsid w:val="67A578EA"/>
    <w:multiLevelType w:val="multilevel"/>
    <w:tmpl w:val="FD402B46"/>
    <w:styleLink w:val="WWNum2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6D7A26CA"/>
    <w:multiLevelType w:val="multilevel"/>
    <w:tmpl w:val="88824362"/>
    <w:styleLink w:val="WWNum20"/>
    <w:lvl w:ilvl="0">
      <w:start w:val="1"/>
      <w:numFmt w:val="lowerLetter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730F5AC0"/>
    <w:multiLevelType w:val="multilevel"/>
    <w:tmpl w:val="A394DB72"/>
    <w:styleLink w:val="WWNum22"/>
    <w:lvl w:ilvl="0">
      <w:start w:val="1"/>
      <w:numFmt w:val="lowerLetter"/>
      <w:lvlText w:val="(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1.%2.%3."/>
      <w:lvlJc w:val="right"/>
      <w:pPr>
        <w:ind w:left="3218" w:hanging="180"/>
      </w:pPr>
    </w:lvl>
    <w:lvl w:ilvl="3">
      <w:start w:val="1"/>
      <w:numFmt w:val="decimal"/>
      <w:lvlText w:val="%1.%2.%3.%4."/>
      <w:lvlJc w:val="left"/>
      <w:pPr>
        <w:ind w:left="3938" w:hanging="360"/>
      </w:pPr>
    </w:lvl>
    <w:lvl w:ilvl="4">
      <w:start w:val="1"/>
      <w:numFmt w:val="lowerLetter"/>
      <w:lvlText w:val="%1.%2.%3.%4.%5."/>
      <w:lvlJc w:val="left"/>
      <w:pPr>
        <w:ind w:left="4658" w:hanging="360"/>
      </w:pPr>
    </w:lvl>
    <w:lvl w:ilvl="5">
      <w:start w:val="1"/>
      <w:numFmt w:val="lowerRoman"/>
      <w:lvlText w:val="%1.%2.%3.%4.%5.%6."/>
      <w:lvlJc w:val="right"/>
      <w:pPr>
        <w:ind w:left="5378" w:hanging="180"/>
      </w:pPr>
    </w:lvl>
    <w:lvl w:ilvl="6">
      <w:start w:val="1"/>
      <w:numFmt w:val="decimal"/>
      <w:lvlText w:val="%1.%2.%3.%4.%5.%6.%7."/>
      <w:lvlJc w:val="left"/>
      <w:pPr>
        <w:ind w:left="6098" w:hanging="360"/>
      </w:pPr>
    </w:lvl>
    <w:lvl w:ilvl="7">
      <w:start w:val="1"/>
      <w:numFmt w:val="lowerLetter"/>
      <w:lvlText w:val="%1.%2.%3.%4.%5.%6.%7.%8."/>
      <w:lvlJc w:val="left"/>
      <w:pPr>
        <w:ind w:left="6818" w:hanging="360"/>
      </w:pPr>
    </w:lvl>
    <w:lvl w:ilvl="8">
      <w:start w:val="1"/>
      <w:numFmt w:val="lowerRoman"/>
      <w:lvlText w:val="%1.%2.%3.%4.%5.%6.%7.%8.%9."/>
      <w:lvlJc w:val="right"/>
      <w:pPr>
        <w:ind w:left="7538" w:hanging="180"/>
      </w:pPr>
    </w:lvl>
  </w:abstractNum>
  <w:abstractNum w:abstractNumId="27" w15:restartNumberingAfterBreak="0">
    <w:nsid w:val="793F46E1"/>
    <w:multiLevelType w:val="multilevel"/>
    <w:tmpl w:val="ACA22E88"/>
    <w:styleLink w:val="WWNum8"/>
    <w:lvl w:ilvl="0">
      <w:start w:val="1"/>
      <w:numFmt w:val="lowerLetter"/>
      <w:lvlText w:val="(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13143448">
    <w:abstractNumId w:val="20"/>
  </w:num>
  <w:num w:numId="2" w16cid:durableId="402411109">
    <w:abstractNumId w:val="0"/>
  </w:num>
  <w:num w:numId="3" w16cid:durableId="1142574576">
    <w:abstractNumId w:val="14"/>
  </w:num>
  <w:num w:numId="4" w16cid:durableId="399602254">
    <w:abstractNumId w:val="9"/>
  </w:num>
  <w:num w:numId="5" w16cid:durableId="1676374997">
    <w:abstractNumId w:val="22"/>
  </w:num>
  <w:num w:numId="6" w16cid:durableId="1248616372">
    <w:abstractNumId w:val="4"/>
  </w:num>
  <w:num w:numId="7" w16cid:durableId="955677096">
    <w:abstractNumId w:val="19"/>
  </w:num>
  <w:num w:numId="8" w16cid:durableId="1259830137">
    <w:abstractNumId w:val="27"/>
  </w:num>
  <w:num w:numId="9" w16cid:durableId="1278635131">
    <w:abstractNumId w:val="8"/>
  </w:num>
  <w:num w:numId="10" w16cid:durableId="1292831985">
    <w:abstractNumId w:val="1"/>
  </w:num>
  <w:num w:numId="11" w16cid:durableId="842360592">
    <w:abstractNumId w:val="11"/>
  </w:num>
  <w:num w:numId="12" w16cid:durableId="1672945822">
    <w:abstractNumId w:val="2"/>
  </w:num>
  <w:num w:numId="13" w16cid:durableId="1453669368">
    <w:abstractNumId w:val="3"/>
  </w:num>
  <w:num w:numId="14" w16cid:durableId="1245341713">
    <w:abstractNumId w:val="17"/>
  </w:num>
  <w:num w:numId="15" w16cid:durableId="1881553945">
    <w:abstractNumId w:val="5"/>
  </w:num>
  <w:num w:numId="16" w16cid:durableId="978148880">
    <w:abstractNumId w:val="13"/>
  </w:num>
  <w:num w:numId="17" w16cid:durableId="1608543861">
    <w:abstractNumId w:val="18"/>
  </w:num>
  <w:num w:numId="18" w16cid:durableId="1693267335">
    <w:abstractNumId w:val="16"/>
  </w:num>
  <w:num w:numId="19" w16cid:durableId="1169519399">
    <w:abstractNumId w:val="15"/>
  </w:num>
  <w:num w:numId="20" w16cid:durableId="1318071577">
    <w:abstractNumId w:val="25"/>
  </w:num>
  <w:num w:numId="21" w16cid:durableId="1444181002">
    <w:abstractNumId w:val="23"/>
  </w:num>
  <w:num w:numId="22" w16cid:durableId="480734097">
    <w:abstractNumId w:val="26"/>
  </w:num>
  <w:num w:numId="23" w16cid:durableId="1476331867">
    <w:abstractNumId w:val="21"/>
  </w:num>
  <w:num w:numId="24" w16cid:durableId="1298680520">
    <w:abstractNumId w:val="7"/>
  </w:num>
  <w:num w:numId="25" w16cid:durableId="1121345206">
    <w:abstractNumId w:val="6"/>
  </w:num>
  <w:num w:numId="26" w16cid:durableId="582183228">
    <w:abstractNumId w:val="10"/>
  </w:num>
  <w:num w:numId="27" w16cid:durableId="1020396855">
    <w:abstractNumId w:val="24"/>
  </w:num>
  <w:num w:numId="28" w16cid:durableId="1864324224">
    <w:abstractNumId w:val="12"/>
  </w:num>
  <w:num w:numId="29" w16cid:durableId="1016270048">
    <w:abstractNumId w:val="11"/>
  </w:num>
  <w:num w:numId="30" w16cid:durableId="62477085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836"/>
    <w:rsid w:val="00313788"/>
    <w:rsid w:val="003D6EE7"/>
    <w:rsid w:val="006A0FB2"/>
    <w:rsid w:val="00876836"/>
    <w:rsid w:val="0094541B"/>
    <w:rsid w:val="009876EA"/>
    <w:rsid w:val="00AB31C0"/>
    <w:rsid w:val="00B366BE"/>
    <w:rsid w:val="00D602EF"/>
    <w:rsid w:val="00E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83CCF"/>
  <w15:docId w15:val="{4786AC1A-8D76-4935-BF54-9F74CD1E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3"/>
        <w:lang w:val="en-GB" w:eastAsia="en-GB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widowControl/>
    </w:pPr>
    <w:rPr>
      <w:b/>
      <w:spacing w:val="-2"/>
      <w:szCs w:val="20"/>
    </w:r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styleId="Footer">
    <w:name w:val="footer"/>
    <w:basedOn w:val="Standard"/>
    <w:pPr>
      <w:suppressLineNumbers/>
      <w:tabs>
        <w:tab w:val="center" w:pos="4153"/>
        <w:tab w:val="right" w:pos="8306"/>
      </w:tabs>
    </w:pPr>
  </w:style>
  <w:style w:type="paragraph" w:styleId="Header">
    <w:name w:val="header"/>
    <w:basedOn w:val="Standard"/>
    <w:pPr>
      <w:suppressLineNumbers/>
      <w:tabs>
        <w:tab w:val="center" w:pos="4513"/>
        <w:tab w:val="right" w:pos="9026"/>
      </w:tabs>
    </w:pPr>
  </w:style>
  <w:style w:type="paragraph" w:styleId="FootnoteText">
    <w:name w:val="footnote text"/>
    <w:basedOn w:val="Standard"/>
    <w:pPr>
      <w:widowControl/>
      <w:spacing w:before="240"/>
      <w:jc w:val="both"/>
    </w:pPr>
    <w:rPr>
      <w:sz w:val="20"/>
      <w:szCs w:val="20"/>
    </w:rPr>
  </w:style>
  <w:style w:type="paragraph" w:styleId="Revision">
    <w:name w:val="Revision"/>
    <w:pPr>
      <w:widowControl/>
    </w:pPr>
    <w:rPr>
      <w:sz w:val="24"/>
      <w:szCs w:val="24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customStyle="1" w:styleId="HeaderChar">
    <w:name w:val="Header Char"/>
    <w:rPr>
      <w:sz w:val="24"/>
      <w:szCs w:val="24"/>
    </w:rPr>
  </w:style>
  <w:style w:type="character" w:customStyle="1" w:styleId="BodyTextChar">
    <w:name w:val="Body Text Char"/>
    <w:rPr>
      <w:b/>
      <w:spacing w:val="-2"/>
      <w:sz w:val="24"/>
    </w:rPr>
  </w:style>
  <w:style w:type="character" w:customStyle="1" w:styleId="FootnoteTextChar">
    <w:name w:val="Footnote Text Char"/>
    <w:rPr>
      <w:kern w:val="3"/>
    </w:rPr>
  </w:style>
  <w:style w:type="character" w:styleId="FootnoteReference">
    <w:name w:val="footnote reference"/>
    <w:rPr>
      <w:position w:val="0"/>
      <w:vertAlign w:val="superscript"/>
    </w:rPr>
  </w:style>
  <w:style w:type="character" w:styleId="UnresolvedMention">
    <w:name w:val="Unresolved Mention"/>
    <w:rPr>
      <w:color w:val="808080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i w:val="0"/>
    </w:rPr>
  </w:style>
  <w:style w:type="character" w:customStyle="1" w:styleId="ListLabel5">
    <w:name w:val="ListLabel 5"/>
    <w:rPr>
      <w:b w:val="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  <w:style w:type="numbering" w:customStyle="1" w:styleId="WWNum13">
    <w:name w:val="WWNum13"/>
    <w:basedOn w:val="NoList"/>
    <w:pPr>
      <w:numPr>
        <w:numId w:val="13"/>
      </w:numPr>
    </w:pPr>
  </w:style>
  <w:style w:type="numbering" w:customStyle="1" w:styleId="WWNum14">
    <w:name w:val="WWNum14"/>
    <w:basedOn w:val="NoList"/>
    <w:pPr>
      <w:numPr>
        <w:numId w:val="14"/>
      </w:numPr>
    </w:pPr>
  </w:style>
  <w:style w:type="numbering" w:customStyle="1" w:styleId="WWNum15">
    <w:name w:val="WWNum15"/>
    <w:basedOn w:val="NoList"/>
    <w:pPr>
      <w:numPr>
        <w:numId w:val="15"/>
      </w:numPr>
    </w:pPr>
  </w:style>
  <w:style w:type="numbering" w:customStyle="1" w:styleId="WWNum16">
    <w:name w:val="WWNum16"/>
    <w:basedOn w:val="NoList"/>
    <w:pPr>
      <w:numPr>
        <w:numId w:val="16"/>
      </w:numPr>
    </w:pPr>
  </w:style>
  <w:style w:type="numbering" w:customStyle="1" w:styleId="WWNum17">
    <w:name w:val="WWNum17"/>
    <w:basedOn w:val="NoList"/>
    <w:pPr>
      <w:numPr>
        <w:numId w:val="17"/>
      </w:numPr>
    </w:pPr>
  </w:style>
  <w:style w:type="numbering" w:customStyle="1" w:styleId="WWNum18">
    <w:name w:val="WWNum18"/>
    <w:basedOn w:val="NoList"/>
    <w:pPr>
      <w:numPr>
        <w:numId w:val="18"/>
      </w:numPr>
    </w:pPr>
  </w:style>
  <w:style w:type="numbering" w:customStyle="1" w:styleId="WWNum19">
    <w:name w:val="WWNum19"/>
    <w:basedOn w:val="NoList"/>
    <w:pPr>
      <w:numPr>
        <w:numId w:val="19"/>
      </w:numPr>
    </w:pPr>
  </w:style>
  <w:style w:type="numbering" w:customStyle="1" w:styleId="WWNum20">
    <w:name w:val="WWNum20"/>
    <w:basedOn w:val="NoList"/>
    <w:pPr>
      <w:numPr>
        <w:numId w:val="20"/>
      </w:numPr>
    </w:pPr>
  </w:style>
  <w:style w:type="numbering" w:customStyle="1" w:styleId="WWNum21">
    <w:name w:val="WWNum21"/>
    <w:basedOn w:val="NoList"/>
    <w:pPr>
      <w:numPr>
        <w:numId w:val="21"/>
      </w:numPr>
    </w:pPr>
  </w:style>
  <w:style w:type="numbering" w:customStyle="1" w:styleId="WWNum22">
    <w:name w:val="WWNum22"/>
    <w:basedOn w:val="NoList"/>
    <w:pPr>
      <w:numPr>
        <w:numId w:val="22"/>
      </w:numPr>
    </w:pPr>
  </w:style>
  <w:style w:type="numbering" w:customStyle="1" w:styleId="WWNum23">
    <w:name w:val="WWNum23"/>
    <w:basedOn w:val="NoList"/>
    <w:pPr>
      <w:numPr>
        <w:numId w:val="23"/>
      </w:numPr>
    </w:pPr>
  </w:style>
  <w:style w:type="numbering" w:customStyle="1" w:styleId="WWNum24">
    <w:name w:val="WWNum24"/>
    <w:basedOn w:val="NoList"/>
    <w:pPr>
      <w:numPr>
        <w:numId w:val="24"/>
      </w:numPr>
    </w:pPr>
  </w:style>
  <w:style w:type="numbering" w:customStyle="1" w:styleId="WWNum25">
    <w:name w:val="WWNum25"/>
    <w:basedOn w:val="NoList"/>
    <w:pPr>
      <w:numPr>
        <w:numId w:val="25"/>
      </w:numPr>
    </w:pPr>
  </w:style>
  <w:style w:type="numbering" w:customStyle="1" w:styleId="WWNum26">
    <w:name w:val="WWNum26"/>
    <w:basedOn w:val="NoList"/>
    <w:pPr>
      <w:numPr>
        <w:numId w:val="26"/>
      </w:numPr>
    </w:pPr>
  </w:style>
  <w:style w:type="numbering" w:customStyle="1" w:styleId="WWNum27">
    <w:name w:val="WWNum27"/>
    <w:basedOn w:val="NoList"/>
    <w:pPr>
      <w:numPr>
        <w:numId w:val="27"/>
      </w:numPr>
    </w:pPr>
  </w:style>
  <w:style w:type="numbering" w:customStyle="1" w:styleId="WWNum28">
    <w:name w:val="WWNum28"/>
    <w:basedOn w:val="NoList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ityoflondon.gov.uk/business/tenders-and-procurement/Pages/Term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B1</dc:title>
  <dc:subject> </dc:subject>
  <dc:creator>Tate, Simon</dc:creator>
  <cp:keywords/>
  <cp:lastModifiedBy>Tate, Simon</cp:lastModifiedBy>
  <cp:revision>8</cp:revision>
  <cp:lastPrinted>2016-01-26T16:29:00Z</cp:lastPrinted>
  <dcterms:created xsi:type="dcterms:W3CDTF">2024-05-31T11:14:00Z</dcterms:created>
  <dcterms:modified xsi:type="dcterms:W3CDTF">2024-07-17T13:36:00Z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City of London Corporation</vt:lpwstr>
  </property>
  <property fmtid="{D5CDD505-2E9C-101B-9397-08002B2CF9AE}" pid="4" name="DocSecurity">
    <vt:r8>2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8eca86e8-6fb5-45dd-bb08-a8d185fa5301_Enabled">
    <vt:lpwstr>true</vt:lpwstr>
  </property>
  <property fmtid="{D5CDD505-2E9C-101B-9397-08002B2CF9AE}" pid="10" name="MSIP_Label_8eca86e8-6fb5-45dd-bb08-a8d185fa5301_SetDate">
    <vt:lpwstr>2024-05-31T11:14:39Z</vt:lpwstr>
  </property>
  <property fmtid="{D5CDD505-2E9C-101B-9397-08002B2CF9AE}" pid="11" name="MSIP_Label_8eca86e8-6fb5-45dd-bb08-a8d185fa5301_Method">
    <vt:lpwstr>Standard</vt:lpwstr>
  </property>
  <property fmtid="{D5CDD505-2E9C-101B-9397-08002B2CF9AE}" pid="12" name="MSIP_Label_8eca86e8-6fb5-45dd-bb08-a8d185fa5301_Name">
    <vt:lpwstr>Official</vt:lpwstr>
  </property>
  <property fmtid="{D5CDD505-2E9C-101B-9397-08002B2CF9AE}" pid="13" name="MSIP_Label_8eca86e8-6fb5-45dd-bb08-a8d185fa5301_SiteId">
    <vt:lpwstr>9fe658cd-b3cd-4056-8519-3222ffa96be8</vt:lpwstr>
  </property>
  <property fmtid="{D5CDD505-2E9C-101B-9397-08002B2CF9AE}" pid="14" name="MSIP_Label_8eca86e8-6fb5-45dd-bb08-a8d185fa5301_ActionId">
    <vt:lpwstr>7fc876e4-985a-4b04-8651-0d73fc67e758</vt:lpwstr>
  </property>
  <property fmtid="{D5CDD505-2E9C-101B-9397-08002B2CF9AE}" pid="15" name="MSIP_Label_8eca86e8-6fb5-45dd-bb08-a8d185fa5301_ContentBits">
    <vt:lpwstr>0</vt:lpwstr>
  </property>
</Properties>
</file>