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E5F69" w14:textId="77777777" w:rsidR="00621F30" w:rsidRDefault="00B46F6C">
      <w:pPr>
        <w:pStyle w:val="Heading1"/>
      </w:pPr>
      <w:bookmarkStart w:id="0" w:name="_pe1yr57usgie"/>
      <w:bookmarkEnd w:id="0"/>
      <w:r>
        <w:t>Framework Schedule 3 (Framework Prices)</w:t>
      </w:r>
    </w:p>
    <w:p w14:paraId="1C3EEEF4" w14:textId="77777777" w:rsidR="00621F30" w:rsidRDefault="00B46F6C">
      <w:pPr>
        <w:pStyle w:val="Heading3"/>
        <w:numPr>
          <w:ilvl w:val="0"/>
          <w:numId w:val="2"/>
        </w:numPr>
      </w:pPr>
      <w:bookmarkStart w:id="1" w:name="_gjdgxs"/>
      <w:bookmarkEnd w:id="1"/>
      <w:r>
        <w:t>How Framework Prices are used to calculate Call-Off Charges</w:t>
      </w:r>
    </w:p>
    <w:p w14:paraId="3561B5C6" w14:textId="77777777" w:rsidR="00621F30" w:rsidRDefault="00B46F6C">
      <w:pPr>
        <w:pStyle w:val="Standard"/>
        <w:widowControl/>
        <w:numPr>
          <w:ilvl w:val="1"/>
          <w:numId w:val="1"/>
        </w:numPr>
        <w:tabs>
          <w:tab w:val="left" w:pos="1843"/>
        </w:tabs>
        <w:spacing w:before="120" w:after="120" w:line="240" w:lineRule="auto"/>
        <w:ind w:left="1134" w:hanging="504"/>
      </w:pPr>
      <w:r>
        <w:rPr>
          <w:rFonts w:ascii="Arial" w:eastAsia="Arial" w:hAnsi="Arial" w:cs="Arial"/>
          <w:color w:val="000000"/>
          <w:sz w:val="24"/>
          <w:szCs w:val="24"/>
        </w:rPr>
        <w:t>The Framework Prices:</w:t>
      </w:r>
    </w:p>
    <w:p w14:paraId="00872A13" w14:textId="77777777" w:rsidR="00621F30" w:rsidRDefault="00B46F6C">
      <w:pPr>
        <w:pStyle w:val="Standard"/>
        <w:widowControl/>
        <w:numPr>
          <w:ilvl w:val="2"/>
          <w:numId w:val="1"/>
        </w:numPr>
        <w:tabs>
          <w:tab w:val="left" w:pos="3420"/>
          <w:tab w:val="left" w:pos="3965"/>
          <w:tab w:val="left" w:pos="4107"/>
        </w:tabs>
        <w:spacing w:before="120" w:after="120" w:line="240" w:lineRule="auto"/>
        <w:ind w:left="1980" w:hanging="846"/>
      </w:pPr>
      <w:r>
        <w:rPr>
          <w:rFonts w:ascii="Arial" w:eastAsia="Arial" w:hAnsi="Arial" w:cs="Arial"/>
          <w:color w:val="000000"/>
          <w:sz w:val="24"/>
          <w:szCs w:val="24"/>
        </w:rPr>
        <w:t>will be used as the basis for the charges (and are maximums that the Supplier may charge) under each Call Off Contract; and</w:t>
      </w:r>
    </w:p>
    <w:p w14:paraId="5C65D6C5" w14:textId="77777777" w:rsidR="00621F30" w:rsidRDefault="00B46F6C">
      <w:pPr>
        <w:pStyle w:val="Standard"/>
        <w:widowControl/>
        <w:numPr>
          <w:ilvl w:val="2"/>
          <w:numId w:val="1"/>
        </w:numPr>
        <w:tabs>
          <w:tab w:val="left" w:pos="3965"/>
          <w:tab w:val="left" w:pos="4107"/>
        </w:tabs>
        <w:spacing w:before="120" w:after="120" w:line="240" w:lineRule="auto"/>
        <w:ind w:left="1980" w:hanging="846"/>
      </w:pPr>
      <w:r>
        <w:rPr>
          <w:rFonts w:ascii="Arial" w:eastAsia="Arial" w:hAnsi="Arial" w:cs="Arial"/>
          <w:color w:val="000000"/>
          <w:sz w:val="24"/>
          <w:szCs w:val="24"/>
        </w:rPr>
        <w:t>cannot be increased except as in accordance with this Schedule.</w:t>
      </w:r>
    </w:p>
    <w:p w14:paraId="49ED226D" w14:textId="77777777" w:rsidR="00621F30" w:rsidRDefault="00B46F6C">
      <w:pPr>
        <w:pStyle w:val="Standard"/>
        <w:widowControl/>
        <w:numPr>
          <w:ilvl w:val="1"/>
          <w:numId w:val="1"/>
        </w:numPr>
        <w:tabs>
          <w:tab w:val="left" w:pos="1843"/>
        </w:tabs>
        <w:spacing w:before="120" w:after="120" w:line="240" w:lineRule="auto"/>
        <w:ind w:left="1134" w:hanging="504"/>
      </w:pPr>
      <w:r>
        <w:rPr>
          <w:rFonts w:ascii="Arial" w:eastAsia="Arial" w:hAnsi="Arial" w:cs="Arial"/>
          <w:color w:val="000000"/>
          <w:sz w:val="24"/>
          <w:szCs w:val="24"/>
        </w:rPr>
        <w:t>The Charges:</w:t>
      </w:r>
    </w:p>
    <w:p w14:paraId="294E9341" w14:textId="77777777" w:rsidR="00621F30" w:rsidRDefault="00B46F6C">
      <w:pPr>
        <w:pStyle w:val="Standard"/>
        <w:widowControl/>
        <w:numPr>
          <w:ilvl w:val="2"/>
          <w:numId w:val="1"/>
        </w:numPr>
        <w:tabs>
          <w:tab w:val="left" w:pos="3965"/>
          <w:tab w:val="left" w:pos="4107"/>
        </w:tabs>
        <w:spacing w:before="120" w:after="120" w:line="240" w:lineRule="auto"/>
        <w:ind w:left="1980" w:hanging="846"/>
      </w:pPr>
      <w:r>
        <w:rPr>
          <w:rFonts w:ascii="Arial" w:eastAsia="Arial" w:hAnsi="Arial" w:cs="Arial"/>
          <w:color w:val="000000"/>
          <w:sz w:val="24"/>
          <w:szCs w:val="24"/>
        </w:rPr>
        <w:t>shall be calculated in accordance with the terms of the Call Off Contract and in particular in accordance with the terms of the Order Form;</w:t>
      </w:r>
    </w:p>
    <w:p w14:paraId="4673EE6B" w14:textId="77777777" w:rsidR="00621F30" w:rsidRDefault="00B46F6C">
      <w:pPr>
        <w:pStyle w:val="Standard"/>
        <w:widowControl/>
        <w:numPr>
          <w:ilvl w:val="2"/>
          <w:numId w:val="1"/>
        </w:numPr>
        <w:tabs>
          <w:tab w:val="left" w:pos="3965"/>
          <w:tab w:val="left" w:pos="4107"/>
        </w:tabs>
        <w:spacing w:before="120" w:after="120" w:line="240" w:lineRule="auto"/>
        <w:ind w:left="1980" w:hanging="846"/>
      </w:pPr>
      <w:r>
        <w:rPr>
          <w:rFonts w:ascii="Arial" w:eastAsia="Arial" w:hAnsi="Arial" w:cs="Arial"/>
          <w:color w:val="000000"/>
          <w:sz w:val="24"/>
          <w:szCs w:val="24"/>
        </w:rPr>
        <w:t>cannot be increased except as specifically permitted by the Call Off Contract and in particular shall not be subject to Indexation</w:t>
      </w:r>
      <w:r>
        <w:rPr>
          <w:rFonts w:ascii="Arial" w:eastAsia="Arial" w:hAnsi="Arial" w:cs="Arial"/>
          <w:sz w:val="24"/>
          <w:szCs w:val="24"/>
        </w:rPr>
        <w:t>.</w:t>
      </w:r>
    </w:p>
    <w:p w14:paraId="688E557C" w14:textId="77777777" w:rsidR="00621F30" w:rsidRDefault="00621F30">
      <w:pPr>
        <w:pStyle w:val="Standard"/>
        <w:widowControl/>
        <w:tabs>
          <w:tab w:val="left" w:pos="3965"/>
          <w:tab w:val="left" w:pos="4107"/>
        </w:tabs>
        <w:spacing w:before="120" w:after="120" w:line="240" w:lineRule="auto"/>
        <w:ind w:left="1980" w:hanging="1372"/>
        <w:rPr>
          <w:rFonts w:ascii="Arial" w:eastAsia="Arial" w:hAnsi="Arial" w:cs="Arial"/>
          <w:color w:val="000000"/>
          <w:sz w:val="24"/>
          <w:szCs w:val="24"/>
        </w:rPr>
      </w:pPr>
    </w:p>
    <w:p w14:paraId="3772755A" w14:textId="77777777" w:rsidR="00621F30" w:rsidRDefault="00B46F6C">
      <w:pPr>
        <w:pStyle w:val="Heading3"/>
        <w:numPr>
          <w:ilvl w:val="0"/>
          <w:numId w:val="1"/>
        </w:numPr>
      </w:pPr>
      <w:bookmarkStart w:id="2" w:name="_95rfjzlg5pa"/>
      <w:bookmarkEnd w:id="2"/>
      <w:r>
        <w:t>How Framework Prices are calculated</w:t>
      </w:r>
    </w:p>
    <w:p w14:paraId="3D0CC879" w14:textId="77777777" w:rsidR="00621F30" w:rsidRDefault="00B46F6C">
      <w:pPr>
        <w:pStyle w:val="Standard"/>
        <w:widowControl/>
        <w:numPr>
          <w:ilvl w:val="1"/>
          <w:numId w:val="1"/>
        </w:numPr>
        <w:tabs>
          <w:tab w:val="left" w:pos="1843"/>
        </w:tabs>
        <w:spacing w:before="120" w:after="120" w:line="240" w:lineRule="auto"/>
        <w:ind w:left="1134" w:hanging="504"/>
      </w:pPr>
      <w:r>
        <w:rPr>
          <w:rFonts w:ascii="Arial" w:eastAsia="Arial" w:hAnsi="Arial" w:cs="Arial"/>
          <w:color w:val="000000"/>
          <w:sz w:val="24"/>
          <w:szCs w:val="24"/>
        </w:rPr>
        <w:t>The pricing mechanisms and prices set out in Annex 1 shall be available for use in calculation of Framework Prices in Call Off Contracts.</w:t>
      </w:r>
    </w:p>
    <w:p w14:paraId="2E73AE70" w14:textId="77777777" w:rsidR="00621F30" w:rsidRDefault="00B46F6C">
      <w:pPr>
        <w:pStyle w:val="Heading3"/>
        <w:numPr>
          <w:ilvl w:val="0"/>
          <w:numId w:val="1"/>
        </w:numPr>
      </w:pPr>
      <w:bookmarkStart w:id="3" w:name="_30j0zll"/>
      <w:bookmarkEnd w:id="3"/>
      <w:r>
        <w:t xml:space="preserve"> Costs and expenses</w:t>
      </w:r>
    </w:p>
    <w:p w14:paraId="26F7C86B" w14:textId="77777777" w:rsidR="00621F30" w:rsidRDefault="00B46F6C">
      <w:pPr>
        <w:pStyle w:val="Standard"/>
        <w:widowControl/>
        <w:numPr>
          <w:ilvl w:val="1"/>
          <w:numId w:val="1"/>
        </w:numPr>
        <w:tabs>
          <w:tab w:val="left" w:pos="1843"/>
        </w:tabs>
        <w:spacing w:before="120" w:after="120" w:line="240" w:lineRule="auto"/>
        <w:ind w:left="1134" w:hanging="504"/>
      </w:pPr>
      <w:r>
        <w:rPr>
          <w:rFonts w:ascii="Arial" w:eastAsia="Arial" w:hAnsi="Arial" w:cs="Arial"/>
          <w:sz w:val="24"/>
          <w:szCs w:val="24"/>
        </w:rPr>
        <w:t>Except as expressly set out in paragraph 4 (Reimbursable Expenses) of this Framework Schedule 3, the Framework Prices shall include all costs and expenses relating to the Services provided to the Buyer and/or the Suppliers performance of its obligations under any Call Off Contracts and no further amounts shall be payable by a Buyer to the Supplier in respect of such performance, including in respect of matters such as:</w:t>
      </w:r>
    </w:p>
    <w:p w14:paraId="0AD08086" w14:textId="77777777" w:rsidR="00621F30" w:rsidRDefault="00B46F6C">
      <w:pPr>
        <w:pStyle w:val="Standard"/>
        <w:widowControl/>
        <w:numPr>
          <w:ilvl w:val="2"/>
          <w:numId w:val="1"/>
        </w:numPr>
        <w:tabs>
          <w:tab w:val="left" w:pos="3964"/>
          <w:tab w:val="left" w:pos="3969"/>
          <w:tab w:val="left" w:pos="4111"/>
        </w:tabs>
        <w:spacing w:before="120" w:after="120" w:line="240" w:lineRule="auto"/>
        <w:ind w:left="1984" w:hanging="850"/>
      </w:pPr>
      <w:r>
        <w:rPr>
          <w:rFonts w:ascii="Arial" w:eastAsia="Arial" w:hAnsi="Arial" w:cs="Arial"/>
          <w:sz w:val="24"/>
          <w:szCs w:val="24"/>
        </w:rPr>
        <w:t>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BDF4B60" w14:textId="77777777" w:rsidR="00621F30" w:rsidRDefault="00B46F6C">
      <w:pPr>
        <w:pStyle w:val="Standard"/>
        <w:widowControl/>
        <w:numPr>
          <w:ilvl w:val="2"/>
          <w:numId w:val="1"/>
        </w:numPr>
        <w:tabs>
          <w:tab w:val="left" w:pos="3960"/>
          <w:tab w:val="left" w:pos="3965"/>
          <w:tab w:val="left" w:pos="4107"/>
        </w:tabs>
        <w:spacing w:before="120" w:after="120" w:line="240" w:lineRule="auto"/>
        <w:ind w:left="1980" w:hanging="846"/>
      </w:pPr>
      <w:r>
        <w:rPr>
          <w:rFonts w:ascii="Arial" w:eastAsia="Arial" w:hAnsi="Arial" w:cs="Arial"/>
          <w:sz w:val="24"/>
          <w:szCs w:val="24"/>
        </w:rPr>
        <w:t>any amount for any services provided or costs incurred by the Supplier prior to the commencement date of any Call Off Contract.; or</w:t>
      </w:r>
    </w:p>
    <w:p w14:paraId="405B92A4" w14:textId="77777777" w:rsidR="00621F30" w:rsidRDefault="00B46F6C">
      <w:pPr>
        <w:pStyle w:val="Standard"/>
        <w:widowControl/>
        <w:numPr>
          <w:ilvl w:val="2"/>
          <w:numId w:val="1"/>
        </w:numPr>
        <w:tabs>
          <w:tab w:val="left" w:pos="3960"/>
          <w:tab w:val="left" w:pos="3965"/>
          <w:tab w:val="left" w:pos="4107"/>
        </w:tabs>
        <w:spacing w:before="120" w:after="120" w:line="240" w:lineRule="auto"/>
        <w:ind w:left="1980" w:hanging="846"/>
      </w:pPr>
      <w:r>
        <w:rPr>
          <w:rFonts w:ascii="Arial" w:eastAsia="Arial" w:hAnsi="Arial" w:cs="Arial"/>
          <w:color w:val="000000"/>
          <w:sz w:val="24"/>
          <w:szCs w:val="24"/>
        </w:rPr>
        <w:t>costs incurred prior to the commencement of any Call Off Contract.</w:t>
      </w:r>
    </w:p>
    <w:p w14:paraId="141585A8" w14:textId="77777777" w:rsidR="00621F30" w:rsidRDefault="00621F30">
      <w:pPr>
        <w:pStyle w:val="Standard"/>
        <w:widowControl/>
        <w:tabs>
          <w:tab w:val="left" w:pos="2624"/>
          <w:tab w:val="left" w:pos="2629"/>
          <w:tab w:val="left" w:pos="2771"/>
        </w:tabs>
        <w:spacing w:before="120" w:after="120" w:line="240" w:lineRule="auto"/>
        <w:ind w:left="644"/>
        <w:rPr>
          <w:rFonts w:ascii="Arial" w:eastAsia="Arial" w:hAnsi="Arial" w:cs="Arial"/>
          <w:sz w:val="24"/>
          <w:szCs w:val="24"/>
        </w:rPr>
      </w:pPr>
    </w:p>
    <w:p w14:paraId="18B53CF9" w14:textId="77777777" w:rsidR="00621F30" w:rsidRDefault="00621F30">
      <w:pPr>
        <w:pStyle w:val="Standard"/>
        <w:widowControl/>
        <w:tabs>
          <w:tab w:val="left" w:pos="2624"/>
          <w:tab w:val="left" w:pos="2629"/>
          <w:tab w:val="left" w:pos="2771"/>
        </w:tabs>
        <w:spacing w:before="120" w:after="120" w:line="240" w:lineRule="auto"/>
        <w:ind w:left="644"/>
        <w:rPr>
          <w:rFonts w:ascii="Arial" w:eastAsia="Arial" w:hAnsi="Arial" w:cs="Arial"/>
          <w:sz w:val="24"/>
          <w:szCs w:val="24"/>
        </w:rPr>
      </w:pPr>
    </w:p>
    <w:p w14:paraId="7BF0E61C" w14:textId="77777777" w:rsidR="00621F30" w:rsidRDefault="00B46F6C">
      <w:pPr>
        <w:pStyle w:val="Heading3"/>
        <w:numPr>
          <w:ilvl w:val="0"/>
          <w:numId w:val="1"/>
        </w:numPr>
      </w:pPr>
      <w:bookmarkStart w:id="4" w:name="_ahs9wl2kfesy"/>
      <w:bookmarkEnd w:id="4"/>
      <w:r>
        <w:t>Reimbursable expenses</w:t>
      </w:r>
    </w:p>
    <w:p w14:paraId="63B8AF37" w14:textId="77777777" w:rsidR="00621F30" w:rsidRDefault="00B46F6C">
      <w:pPr>
        <w:pStyle w:val="Standard"/>
        <w:numPr>
          <w:ilvl w:val="1"/>
          <w:numId w:val="1"/>
        </w:numPr>
        <w:tabs>
          <w:tab w:val="left" w:pos="-1146"/>
        </w:tabs>
        <w:spacing w:before="120" w:after="240" w:line="240" w:lineRule="auto"/>
        <w:ind w:hanging="359"/>
        <w:jc w:val="both"/>
      </w:pPr>
      <w:r>
        <w:rPr>
          <w:rFonts w:ascii="Arial" w:eastAsia="Arial" w:hAnsi="Arial" w:cs="Arial"/>
          <w:sz w:val="24"/>
          <w:szCs w:val="24"/>
        </w:rPr>
        <w:t xml:space="preserve">Where Services are to be provided to the Buyer under any Call Off Contract on the basis of Framework Prices submitted by the Supplier to CCS using the Time </w:t>
      </w:r>
      <w:r>
        <w:rPr>
          <w:rFonts w:ascii="Arial" w:eastAsia="Arial" w:hAnsi="Arial" w:cs="Arial"/>
          <w:sz w:val="24"/>
          <w:szCs w:val="24"/>
        </w:rPr>
        <w:lastRenderedPageBreak/>
        <w:t>and Materials pricing mechanism set out in Annex 1, the Supplier shall be entitled to be reimbursed by the Buyer for Reimbursable Expenses (in addition to being paid the relevant Charges under the respective Call Off Contracts), provided that such Reimbursable Expenses are supported by Supporting Documentation. The Buyer shall provide a copy of their current expenses policy to the Supplier upon request.</w:t>
      </w:r>
    </w:p>
    <w:p w14:paraId="3F26B250" w14:textId="77777777" w:rsidR="00621F30" w:rsidRDefault="00B46F6C">
      <w:pPr>
        <w:pStyle w:val="Heading3"/>
        <w:numPr>
          <w:ilvl w:val="0"/>
          <w:numId w:val="1"/>
        </w:numPr>
      </w:pPr>
      <w:bookmarkStart w:id="5" w:name="_2nfhgsjzvw1u"/>
      <w:bookmarkEnd w:id="5"/>
      <w:r>
        <w:t>Other events that allow the Supplier to change the Framework Prices</w:t>
      </w:r>
    </w:p>
    <w:p w14:paraId="4A937F07" w14:textId="77777777" w:rsidR="00621F30" w:rsidRDefault="00B46F6C">
      <w:pPr>
        <w:pStyle w:val="Standard"/>
        <w:numPr>
          <w:ilvl w:val="1"/>
          <w:numId w:val="1"/>
        </w:numPr>
        <w:tabs>
          <w:tab w:val="left" w:pos="-579"/>
        </w:tabs>
        <w:spacing w:before="120" w:after="120" w:line="240" w:lineRule="auto"/>
        <w:ind w:hanging="359"/>
      </w:pPr>
      <w:r>
        <w:rPr>
          <w:rFonts w:ascii="Arial" w:eastAsia="Arial" w:hAnsi="Arial" w:cs="Arial"/>
          <w:sz w:val="24"/>
          <w:szCs w:val="24"/>
        </w:rPr>
        <w:t>The Framework Prices can also be varied (and Annex 1 will be updated accordingly) due to:</w:t>
      </w:r>
    </w:p>
    <w:p w14:paraId="177D12D3" w14:textId="77777777" w:rsidR="00621F30" w:rsidRDefault="00B46F6C">
      <w:pPr>
        <w:pStyle w:val="Standard"/>
        <w:numPr>
          <w:ilvl w:val="2"/>
          <w:numId w:val="1"/>
        </w:numPr>
        <w:tabs>
          <w:tab w:val="left" w:pos="1985"/>
          <w:tab w:val="left" w:pos="2127"/>
        </w:tabs>
        <w:spacing w:before="120" w:after="120" w:line="240" w:lineRule="auto"/>
        <w:ind w:left="0" w:firstLine="142"/>
      </w:pPr>
      <w:r>
        <w:rPr>
          <w:rFonts w:ascii="Arial" w:eastAsia="Arial" w:hAnsi="Arial" w:cs="Arial"/>
          <w:sz w:val="24"/>
          <w:szCs w:val="24"/>
        </w:rPr>
        <w:t>a Specific Change in Law in accordance with Clause 24;</w:t>
      </w:r>
    </w:p>
    <w:p w14:paraId="3447F5FB" w14:textId="77777777" w:rsidR="00621F30" w:rsidRDefault="00B46F6C">
      <w:pPr>
        <w:pStyle w:val="Standard"/>
        <w:numPr>
          <w:ilvl w:val="2"/>
          <w:numId w:val="1"/>
        </w:numPr>
        <w:tabs>
          <w:tab w:val="left" w:pos="1985"/>
          <w:tab w:val="left" w:pos="2127"/>
        </w:tabs>
        <w:spacing w:before="120" w:after="120" w:line="240" w:lineRule="auto"/>
        <w:ind w:left="0" w:firstLine="142"/>
      </w:pPr>
      <w:r>
        <w:rPr>
          <w:rFonts w:ascii="Arial" w:eastAsia="Arial" w:hAnsi="Arial" w:cs="Arial"/>
          <w:sz w:val="24"/>
          <w:szCs w:val="24"/>
        </w:rPr>
        <w:t>a review in accordance with insurance requirements in Clause 13;</w:t>
      </w:r>
    </w:p>
    <w:p w14:paraId="47B4630B" w14:textId="77777777" w:rsidR="00621F30" w:rsidRDefault="00B46F6C">
      <w:pPr>
        <w:pStyle w:val="Standard"/>
        <w:numPr>
          <w:ilvl w:val="2"/>
          <w:numId w:val="1"/>
        </w:numPr>
        <w:tabs>
          <w:tab w:val="left" w:pos="1985"/>
          <w:tab w:val="left" w:pos="2127"/>
        </w:tabs>
        <w:spacing w:before="120" w:after="120" w:line="240" w:lineRule="auto"/>
        <w:ind w:left="0" w:firstLine="142"/>
      </w:pPr>
      <w:r>
        <w:rPr>
          <w:rFonts w:ascii="Arial" w:eastAsia="Arial" w:hAnsi="Arial" w:cs="Arial"/>
          <w:sz w:val="24"/>
          <w:szCs w:val="24"/>
        </w:rPr>
        <w:t>a benchmarking review in accordance with Call Off Schedule 16 (Benchmarking): and</w:t>
      </w:r>
    </w:p>
    <w:p w14:paraId="6E48740F" w14:textId="77777777" w:rsidR="00621F30" w:rsidRDefault="00B46F6C">
      <w:pPr>
        <w:pStyle w:val="Standard"/>
        <w:numPr>
          <w:ilvl w:val="2"/>
          <w:numId w:val="1"/>
        </w:numPr>
        <w:tabs>
          <w:tab w:val="left" w:pos="1985"/>
          <w:tab w:val="left" w:pos="2127"/>
        </w:tabs>
        <w:spacing w:before="120" w:after="120" w:line="240" w:lineRule="auto"/>
        <w:ind w:left="0" w:firstLine="142"/>
      </w:pPr>
      <w:r>
        <w:rPr>
          <w:rFonts w:ascii="Arial" w:eastAsia="Arial" w:hAnsi="Arial" w:cs="Arial"/>
          <w:sz w:val="24"/>
          <w:szCs w:val="24"/>
        </w:rPr>
        <w:t>a request from the Supplier, which it can make at any time, to decrease the Framework Prices.</w:t>
      </w:r>
    </w:p>
    <w:p w14:paraId="6C996632" w14:textId="77777777" w:rsidR="00621F30" w:rsidRDefault="00621F30">
      <w:pPr>
        <w:pStyle w:val="Standard"/>
        <w:tabs>
          <w:tab w:val="left" w:pos="2593"/>
          <w:tab w:val="left" w:pos="2735"/>
        </w:tabs>
        <w:spacing w:before="120" w:after="120" w:line="240" w:lineRule="auto"/>
        <w:ind w:left="608"/>
        <w:rPr>
          <w:rFonts w:ascii="Arial" w:eastAsia="Arial" w:hAnsi="Arial" w:cs="Arial"/>
          <w:sz w:val="24"/>
          <w:szCs w:val="24"/>
        </w:rPr>
      </w:pPr>
    </w:p>
    <w:p w14:paraId="53F28B04" w14:textId="77777777" w:rsidR="00621F30" w:rsidRDefault="00B46F6C">
      <w:pPr>
        <w:pStyle w:val="Heading3"/>
        <w:numPr>
          <w:ilvl w:val="0"/>
          <w:numId w:val="1"/>
        </w:numPr>
      </w:pPr>
      <w:bookmarkStart w:id="6" w:name="_4a67u4j2b4ff"/>
      <w:bookmarkEnd w:id="6"/>
      <w:r>
        <w:t xml:space="preserve">Not Used  </w:t>
      </w:r>
    </w:p>
    <w:p w14:paraId="1ACC063A" w14:textId="77777777" w:rsidR="00621F30" w:rsidRDefault="00B46F6C">
      <w:pPr>
        <w:pStyle w:val="Heading3"/>
        <w:numPr>
          <w:ilvl w:val="0"/>
          <w:numId w:val="1"/>
        </w:numPr>
      </w:pPr>
      <w:bookmarkStart w:id="7" w:name="_n4l3vqjv5f2i"/>
      <w:bookmarkEnd w:id="7"/>
      <w:r>
        <w:t>When you will be reimbursed for travel and subsistence</w:t>
      </w:r>
    </w:p>
    <w:p w14:paraId="20179685" w14:textId="77777777" w:rsidR="00621F30" w:rsidRDefault="00B46F6C">
      <w:pPr>
        <w:pStyle w:val="Standard"/>
        <w:numPr>
          <w:ilvl w:val="1"/>
          <w:numId w:val="1"/>
        </w:numPr>
        <w:tabs>
          <w:tab w:val="left" w:pos="-579"/>
        </w:tabs>
        <w:spacing w:before="120" w:after="120" w:line="240" w:lineRule="auto"/>
        <w:ind w:hanging="359"/>
      </w:pPr>
      <w:r>
        <w:rPr>
          <w:rFonts w:ascii="Arial" w:eastAsia="Arial" w:hAnsi="Arial" w:cs="Arial"/>
          <w:sz w:val="24"/>
          <w:szCs w:val="24"/>
        </w:rPr>
        <w:t>Expenses shall only be recoverable where:</w:t>
      </w:r>
    </w:p>
    <w:p w14:paraId="43F62FAD" w14:textId="77777777" w:rsidR="00621F30" w:rsidRDefault="00B46F6C">
      <w:pPr>
        <w:pStyle w:val="Standard"/>
        <w:numPr>
          <w:ilvl w:val="2"/>
          <w:numId w:val="1"/>
        </w:numPr>
        <w:tabs>
          <w:tab w:val="left" w:pos="1980"/>
          <w:tab w:val="left" w:pos="1985"/>
          <w:tab w:val="left" w:pos="2127"/>
        </w:tabs>
        <w:spacing w:before="120" w:after="120" w:line="240" w:lineRule="auto"/>
        <w:ind w:left="0" w:firstLine="142"/>
      </w:pPr>
      <w:r>
        <w:rPr>
          <w:rFonts w:ascii="Arial" w:eastAsia="Arial" w:hAnsi="Arial" w:cs="Arial"/>
          <w:sz w:val="24"/>
          <w:szCs w:val="24"/>
        </w:rPr>
        <w:t>any of the pricing mechanisms listed in Annex 1 is used; and</w:t>
      </w:r>
    </w:p>
    <w:p w14:paraId="568FE500" w14:textId="77777777" w:rsidR="00621F30" w:rsidRDefault="00B46F6C">
      <w:pPr>
        <w:pStyle w:val="Standard"/>
        <w:numPr>
          <w:ilvl w:val="2"/>
          <w:numId w:val="1"/>
        </w:numPr>
        <w:tabs>
          <w:tab w:val="left" w:pos="1980"/>
          <w:tab w:val="left" w:pos="1985"/>
          <w:tab w:val="left" w:pos="2127"/>
        </w:tabs>
        <w:spacing w:before="120" w:after="120" w:line="240" w:lineRule="auto"/>
        <w:ind w:left="0" w:firstLine="142"/>
      </w:pPr>
      <w:r>
        <w:rPr>
          <w:rFonts w:ascii="Arial" w:eastAsia="Arial" w:hAnsi="Arial" w:cs="Arial"/>
          <w:sz w:val="24"/>
          <w:szCs w:val="24"/>
        </w:rPr>
        <w:t>the Order Form states that recovery is permitted; and</w:t>
      </w:r>
    </w:p>
    <w:p w14:paraId="69511314" w14:textId="77777777" w:rsidR="00621F30" w:rsidRDefault="00B46F6C">
      <w:pPr>
        <w:pStyle w:val="Standard"/>
        <w:numPr>
          <w:ilvl w:val="2"/>
          <w:numId w:val="1"/>
        </w:numPr>
        <w:tabs>
          <w:tab w:val="left" w:pos="1980"/>
          <w:tab w:val="left" w:pos="1985"/>
          <w:tab w:val="left" w:pos="2127"/>
        </w:tabs>
        <w:spacing w:before="120" w:after="120" w:line="240" w:lineRule="auto"/>
        <w:ind w:left="0" w:firstLine="142"/>
      </w:pPr>
      <w:r>
        <w:rPr>
          <w:rFonts w:ascii="Arial" w:eastAsia="Arial" w:hAnsi="Arial" w:cs="Arial"/>
          <w:sz w:val="24"/>
          <w:szCs w:val="24"/>
        </w:rPr>
        <w:t>they are Reimbursable Expenses and are supported by Supporting Documentation.</w:t>
      </w:r>
    </w:p>
    <w:p w14:paraId="6655DD8D" w14:textId="77777777" w:rsidR="00621F30" w:rsidRDefault="00B46F6C">
      <w:pPr>
        <w:pStyle w:val="Standard"/>
        <w:numPr>
          <w:ilvl w:val="1"/>
          <w:numId w:val="1"/>
        </w:numPr>
        <w:tabs>
          <w:tab w:val="left" w:pos="-579"/>
        </w:tabs>
        <w:spacing w:before="120" w:after="120" w:line="240" w:lineRule="auto"/>
        <w:ind w:hanging="359"/>
      </w:pPr>
      <w:bookmarkStart w:id="8" w:name="_1fob9te"/>
      <w:bookmarkEnd w:id="8"/>
      <w:r>
        <w:rPr>
          <w:rFonts w:ascii="Arial" w:eastAsia="Arial" w:hAnsi="Arial" w:cs="Arial"/>
          <w:sz w:val="24"/>
          <w:szCs w:val="24"/>
        </w:rPr>
        <w:t>For the purposes of paragraph 7.1 of this Schedule, a “</w:t>
      </w:r>
      <w:r>
        <w:rPr>
          <w:rFonts w:ascii="Arial" w:eastAsia="Arial" w:hAnsi="Arial" w:cs="Arial"/>
          <w:b/>
          <w:sz w:val="24"/>
          <w:szCs w:val="24"/>
        </w:rPr>
        <w:t>Time and Materials pricing mechanism</w:t>
      </w:r>
      <w:r>
        <w:rPr>
          <w:rFonts w:ascii="Arial" w:eastAsia="Arial" w:hAnsi="Arial" w:cs="Arial"/>
          <w:sz w:val="24"/>
          <w:szCs w:val="24"/>
        </w:rPr>
        <w:t>” means a pricing mechanism whereby the Buyer agrees to pay the Supplier based upon the work performed by the Supplier's Staff, and for materials used in the project, no matter how much work is required to complete the project. In the event that a Call-Off Contract uses this pricing mechanism the price shall be based upon the prices detailed in Table 1 of Annex 1 to Framework Schedule 3.</w:t>
      </w:r>
    </w:p>
    <w:p w14:paraId="07214AA9" w14:textId="77777777" w:rsidR="00621F30" w:rsidRDefault="00B46F6C">
      <w:pPr>
        <w:pStyle w:val="Heading1"/>
        <w:tabs>
          <w:tab w:val="left" w:pos="142"/>
        </w:tabs>
        <w:spacing w:before="120" w:after="240"/>
        <w:jc w:val="both"/>
      </w:pPr>
      <w:bookmarkStart w:id="9" w:name="_3znysh7"/>
      <w:bookmarkStart w:id="10" w:name="_1xk130brpuqv"/>
      <w:bookmarkEnd w:id="9"/>
      <w:bookmarkEnd w:id="10"/>
      <w:r>
        <w:t>Annex 1: Rates and Prices</w:t>
      </w:r>
    </w:p>
    <w:p w14:paraId="2339E01B" w14:textId="77777777" w:rsidR="00621F30" w:rsidRDefault="00B46F6C">
      <w:pPr>
        <w:pStyle w:val="Standard"/>
        <w:keepNext/>
        <w:widowControl/>
        <w:spacing w:before="240" w:after="240" w:line="240" w:lineRule="auto"/>
      </w:pPr>
      <w:r>
        <w:rPr>
          <w:rFonts w:ascii="Arial" w:eastAsia="Arial" w:hAnsi="Arial" w:cs="Arial"/>
          <w:b/>
          <w:color w:val="000000"/>
          <w:sz w:val="24"/>
          <w:szCs w:val="24"/>
        </w:rPr>
        <w:t>Table 1: Time and Materials</w:t>
      </w:r>
    </w:p>
    <w:p w14:paraId="7E5733D0" w14:textId="77777777" w:rsidR="00621F30" w:rsidRDefault="00B46F6C">
      <w:pPr>
        <w:pStyle w:val="Standard"/>
        <w:keepNext/>
        <w:widowControl/>
        <w:spacing w:before="240" w:after="240" w:line="240" w:lineRule="auto"/>
      </w:pPr>
      <w:r>
        <w:rPr>
          <w:rFonts w:ascii="Arial" w:eastAsia="Arial" w:hAnsi="Arial" w:cs="Arial"/>
          <w:color w:val="000000"/>
          <w:sz w:val="24"/>
          <w:szCs w:val="24"/>
        </w:rPr>
        <w:t>The Supplier (and its Sub-Contractor) shall not be entitled to include any uplift for risks or contingencies within its day rates</w:t>
      </w:r>
    </w:p>
    <w:p w14:paraId="726BA1C1" w14:textId="77777777" w:rsidR="00621F30" w:rsidRDefault="00B46F6C">
      <w:pPr>
        <w:pStyle w:val="Standard"/>
        <w:widowControl/>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The rates below shall not be subject to variation by way of Indexation</w:t>
      </w:r>
    </w:p>
    <w:p w14:paraId="2629583C" w14:textId="77777777" w:rsidR="00621F30" w:rsidRDefault="00621F30">
      <w:pPr>
        <w:pStyle w:val="Standard"/>
        <w:widowControl/>
        <w:spacing w:before="240" w:after="120" w:line="240" w:lineRule="auto"/>
        <w:rPr>
          <w:rFonts w:ascii="Arial" w:eastAsia="Arial" w:hAnsi="Arial" w:cs="Arial"/>
          <w:color w:val="000000"/>
          <w:sz w:val="24"/>
          <w:szCs w:val="24"/>
        </w:rPr>
      </w:pPr>
    </w:p>
    <w:p w14:paraId="1B2AB7A9" w14:textId="25A5C1CD" w:rsidR="00621F30" w:rsidRDefault="00621F30">
      <w:pPr>
        <w:pStyle w:val="Standard"/>
        <w:widowControl/>
        <w:spacing w:before="240" w:after="120" w:line="240" w:lineRule="auto"/>
      </w:pPr>
    </w:p>
    <w:p w14:paraId="50D49B45" w14:textId="77777777" w:rsidR="00621F30" w:rsidRDefault="00621F30">
      <w:pPr>
        <w:pStyle w:val="Standard"/>
        <w:keepNext/>
        <w:spacing w:before="240" w:after="240" w:line="240" w:lineRule="auto"/>
      </w:pPr>
    </w:p>
    <w:sectPr w:rsidR="00621F30">
      <w:headerReference w:type="default" r:id="rId12"/>
      <w:footerReference w:type="default" r:id="rId13"/>
      <w:pgSz w:w="11906" w:h="16838"/>
      <w:pgMar w:top="1888"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6B294" w14:textId="77777777" w:rsidR="00B46F6C" w:rsidRDefault="00B46F6C">
      <w:r>
        <w:separator/>
      </w:r>
    </w:p>
  </w:endnote>
  <w:endnote w:type="continuationSeparator" w:id="0">
    <w:p w14:paraId="40E1CF0A" w14:textId="77777777" w:rsidR="00B46F6C" w:rsidRDefault="00B46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7F69B" w14:textId="77777777" w:rsidR="00B46F6C" w:rsidRDefault="00B46F6C">
    <w:pPr>
      <w:pStyle w:val="Standard"/>
      <w:spacing w:after="0" w:line="240" w:lineRule="auto"/>
    </w:pPr>
    <w:r>
      <w:t>Framework Ref: RM6187</w:t>
    </w:r>
  </w:p>
  <w:p w14:paraId="648C8FD1" w14:textId="77777777" w:rsidR="00B46F6C" w:rsidRDefault="00B46F6C">
    <w:pPr>
      <w:pStyle w:val="Standard"/>
      <w:spacing w:after="0" w:line="240" w:lineRule="auto"/>
    </w:pPr>
    <w:r>
      <w:t>Model Version: v3.7</w:t>
    </w:r>
  </w:p>
  <w:p w14:paraId="7F763A56" w14:textId="77777777" w:rsidR="00B46F6C" w:rsidRDefault="00B46F6C">
    <w:pPr>
      <w:pStyle w:val="Standard"/>
      <w:spacing w:line="240" w:lineRule="auto"/>
      <w:jc w:val="right"/>
    </w:pPr>
    <w:r>
      <w:fldChar w:fldCharType="begin"/>
    </w:r>
    <w:r>
      <w:instrText xml:space="preserve"> PAGE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531B1" w14:textId="77777777" w:rsidR="00B46F6C" w:rsidRDefault="00B46F6C">
      <w:r>
        <w:rPr>
          <w:color w:val="000000"/>
        </w:rPr>
        <w:separator/>
      </w:r>
    </w:p>
  </w:footnote>
  <w:footnote w:type="continuationSeparator" w:id="0">
    <w:p w14:paraId="05776D9D" w14:textId="77777777" w:rsidR="00B46F6C" w:rsidRDefault="00B46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D6DF" w14:textId="77777777" w:rsidR="00B46F6C" w:rsidRDefault="00B46F6C">
    <w:pPr>
      <w:pStyle w:val="Standard"/>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82076"/>
    <w:multiLevelType w:val="multilevel"/>
    <w:tmpl w:val="F432E55A"/>
    <w:styleLink w:val="WWNum1"/>
    <w:lvl w:ilvl="0">
      <w:start w:val="1"/>
      <w:numFmt w:val="decimal"/>
      <w:lvlText w:val="%1."/>
      <w:lvlJc w:val="left"/>
      <w:pPr>
        <w:ind w:left="360" w:hanging="360"/>
      </w:pPr>
      <w:rPr>
        <w:rFonts w:eastAsia="Calibri" w:cs="Calibri"/>
        <w:b/>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990" w:firstLine="143"/>
      </w:pPr>
      <w:rPr>
        <w:rFonts w:eastAsia="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3272" w:hanging="720"/>
      </w:pPr>
      <w:rPr>
        <w:b w:val="0"/>
        <w:i w:val="0"/>
        <w:caps w:val="0"/>
        <w:smallCaps w:val="0"/>
        <w:strike w:val="0"/>
        <w:dstrike w:val="0"/>
        <w:color w:val="000000"/>
        <w:position w:val="0"/>
        <w:sz w:val="22"/>
        <w:szCs w:val="22"/>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23212945">
    <w:abstractNumId w:val="0"/>
  </w:num>
  <w:num w:numId="2" w16cid:durableId="15241728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F30"/>
    <w:rsid w:val="00621F30"/>
    <w:rsid w:val="00A17E24"/>
    <w:rsid w:val="00B46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9943B"/>
  <w15:docId w15:val="{3061322C-C905-450F-9E52-50AA98DF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unhideWhenUsed/>
    <w:qFormat/>
    <w:pPr>
      <w:keepNext/>
      <w:keepLines/>
      <w:tabs>
        <w:tab w:val="left" w:pos="502"/>
      </w:tabs>
      <w:spacing w:before="120" w:after="240"/>
      <w:ind w:left="360"/>
      <w:jc w:val="both"/>
      <w:outlineLvl w:val="2"/>
    </w:pPr>
    <w:rPr>
      <w:rFonts w:ascii="Arial" w:eastAsia="Arial" w:hAnsi="Arial" w:cs="Arial"/>
      <w:b/>
      <w:sz w:val="24"/>
      <w:szCs w:val="24"/>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Calibri" w:cs="Calibri"/>
      <w:b/>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numbering" w:customStyle="1" w:styleId="WWNum1">
    <w:name w:val="WW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3d396e58dce2d5bb2fe16deee496e2a7">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548e93ae17b2367fdd5c0cc32f09a038"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https://educationgovuk.sharepoint.com/sites/fc/b/_layouts/15/DocIdRedir.aspx?ID=756UUDZ5763E-10-90057</Url>
      <Description>756UUDZ5763E-10-90057</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756UUDZ5763E-10-90057</_dlc_Doc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8B17B-0F8C-4B78-BF47-B5CADDC7430D}">
  <ds:schemaRefs>
    <ds:schemaRef ds:uri="http://schemas.microsoft.com/sharepoint/events"/>
  </ds:schemaRefs>
</ds:datastoreItem>
</file>

<file path=customXml/itemProps2.xml><?xml version="1.0" encoding="utf-8"?>
<ds:datastoreItem xmlns:ds="http://schemas.openxmlformats.org/officeDocument/2006/customXml" ds:itemID="{C28CBC97-DD75-4A36-9142-06B3E591906A}">
  <ds:schemaRefs>
    <ds:schemaRef ds:uri="Microsoft.SharePoint.Taxonomy.ContentTypeSync"/>
  </ds:schemaRefs>
</ds:datastoreItem>
</file>

<file path=customXml/itemProps3.xml><?xml version="1.0" encoding="utf-8"?>
<ds:datastoreItem xmlns:ds="http://schemas.openxmlformats.org/officeDocument/2006/customXml" ds:itemID="{7DB1295D-E44C-424E-B10B-41D90F782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5D429-8AD7-4B0B-B33B-65BC6621E50C}">
  <ds:schemaRefs>
    <ds:schemaRef ds:uri="http://schemas.microsoft.com/office/2006/metadata/properties"/>
    <ds:schemaRef ds:uri="http://schemas.microsoft.com/office/infopath/2007/PartnerControls"/>
    <ds:schemaRef ds:uri="8c566321-f672-4e06-a901-b5e72b4c4357"/>
    <ds:schemaRef ds:uri="477d3add-e5e4-4dbe-8192-a924f632f389"/>
  </ds:schemaRefs>
</ds:datastoreItem>
</file>

<file path=customXml/itemProps5.xml><?xml version="1.0" encoding="utf-8"?>
<ds:datastoreItem xmlns:ds="http://schemas.openxmlformats.org/officeDocument/2006/customXml" ds:itemID="{02186D8D-1D75-4120-B532-17DB508A1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BRAISBY, Sherie</dc:creator>
  <cp:lastModifiedBy>BRAISBY, Sherie</cp:lastModifiedBy>
  <cp:revision>3</cp:revision>
  <dcterms:created xsi:type="dcterms:W3CDTF">2023-09-08T16:13:00Z</dcterms:created>
  <dcterms:modified xsi:type="dcterms:W3CDTF">2023-10-13T16:53:00Z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0x010100545E941595ED5448BA61900FDDAFF31300BF563BD1745CCC458678E3EC7EBEC54C</vt:lpwstr>
  </property>
  <property fmtid="{D5CDD505-2E9C-101B-9397-08002B2CF9AE}" pid="3" name="m3464fb77d5f4a078037b7983461d2bf">
    <vt:lpwstr>DfE|a484111e-5b24-4ad9-9778-c536c8c88985</vt:lpwstr>
  </property>
  <property fmtid="{D5CDD505-2E9C-101B-9397-08002B2CF9AE}" pid="4" name="i1fd525364bf42c0bebd91981dd12b57">
    <vt:lpwstr>Official|0884c477-2e62-47ea-b19c-5af6e91124c5</vt:lpwstr>
  </property>
  <property fmtid="{D5CDD505-2E9C-101B-9397-08002B2CF9AE}" pid="5" name="bdb4bf46bd7b4b8388cee21cc10128ea">
    <vt:lpwstr>DfE|cc08a6d4-dfde-4d0f-bd85-069ebcef80d5</vt:lpwstr>
  </property>
  <property fmtid="{D5CDD505-2E9C-101B-9397-08002B2CF9AE}" pid="6" name="_dlc_DocIdItemGuid">
    <vt:lpwstr>28e2c9eb-ff72-4797-92a0-f9e35c184117</vt:lpwstr>
  </property>
  <property fmtid="{D5CDD505-2E9C-101B-9397-08002B2CF9AE}" pid="7" name="DfeOrganisationalUnit">
    <vt:i4>2</vt:i4>
  </property>
  <property fmtid="{D5CDD505-2E9C-101B-9397-08002B2CF9AE}" pid="8" name="DfeRights:ProtectiveMarking">
    <vt:i4>1</vt:i4>
  </property>
  <property fmtid="{D5CDD505-2E9C-101B-9397-08002B2CF9AE}" pid="9" name="DfeOwner">
    <vt:i4>3</vt:i4>
  </property>
</Properties>
</file>