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08CA6" w14:textId="77777777" w:rsidR="00F5272E" w:rsidRPr="00000018" w:rsidRDefault="00F5272E" w:rsidP="00D46E7C">
      <w:pPr>
        <w:pStyle w:val="Bullet2"/>
        <w:numPr>
          <w:ilvl w:val="0"/>
          <w:numId w:val="0"/>
        </w:numPr>
        <w:ind w:left="1080"/>
      </w:pPr>
    </w:p>
    <w:p w14:paraId="24108C8E" w14:textId="77777777" w:rsidR="00E40586" w:rsidRDefault="00E40586" w:rsidP="00CF2489"/>
    <w:p w14:paraId="29ECEBAB" w14:textId="77777777" w:rsidR="00E40586" w:rsidRPr="00000018" w:rsidRDefault="00626AD5" w:rsidP="00BB21DC">
      <w:pPr>
        <w:spacing w:before="0" w:after="0" w:line="240" w:lineRule="auto"/>
      </w:pPr>
      <w:r w:rsidRPr="00626AD5">
        <w:rPr>
          <w:noProof/>
        </w:rPr>
        <w:drawing>
          <wp:inline distT="0" distB="0" distL="0" distR="0" wp14:anchorId="277A16CB" wp14:editId="11C927A4">
            <wp:extent cx="651510" cy="167640"/>
            <wp:effectExtent l="19050" t="0" r="0" b="0"/>
            <wp:docPr id="1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rise_engie.png"/>
                    <pic:cNvPicPr/>
                  </pic:nvPicPr>
                  <pic:blipFill rotWithShape="1">
                    <a:blip r:embed="rId12" cstate="print">
                      <a:extLst>
                        <a:ext uri="{28A0092B-C50C-407E-A947-70E740481C1C}">
                          <a14:useLocalDpi xmlns:a14="http://schemas.microsoft.com/office/drawing/2010/main" val="0"/>
                        </a:ext>
                      </a:extLst>
                    </a:blip>
                    <a:srcRect l="6294" t="45371" r="84450" b="45865"/>
                    <a:stretch/>
                  </pic:blipFill>
                  <pic:spPr bwMode="auto">
                    <a:xfrm>
                      <a:off x="0" y="0"/>
                      <a:ext cx="651510" cy="167640"/>
                    </a:xfrm>
                    <a:prstGeom prst="rect">
                      <a:avLst/>
                    </a:prstGeom>
                    <a:ln>
                      <a:noFill/>
                    </a:ln>
                    <a:extLst>
                      <a:ext uri="{53640926-AAD7-44D8-BBD7-CCE9431645EC}">
                        <a14:shadowObscured xmlns:a14="http://schemas.microsoft.com/office/drawing/2010/main"/>
                      </a:ext>
                    </a:extLst>
                  </pic:spPr>
                </pic:pic>
              </a:graphicData>
            </a:graphic>
          </wp:inline>
        </w:drawing>
      </w:r>
    </w:p>
    <w:p w14:paraId="3CFC16AD" w14:textId="1336BA28" w:rsidR="00A44766" w:rsidRPr="00BB21DC" w:rsidRDefault="007D223E" w:rsidP="00BB21DC">
      <w:pPr>
        <w:pStyle w:val="Heading1"/>
        <w:spacing w:line="240" w:lineRule="auto"/>
        <w:contextualSpacing/>
        <w:rPr>
          <w:sz w:val="40"/>
          <w:szCs w:val="36"/>
        </w:rPr>
      </w:pPr>
      <w:r>
        <w:rPr>
          <w:sz w:val="40"/>
          <w:szCs w:val="36"/>
        </w:rPr>
        <w:t xml:space="preserve">Title of Works </w:t>
      </w:r>
    </w:p>
    <w:p w14:paraId="2DFEB8B3" w14:textId="77777777" w:rsidR="008E2D14" w:rsidRDefault="00626AD5" w:rsidP="00BB21DC">
      <w:pPr>
        <w:spacing w:before="0" w:after="0" w:line="240" w:lineRule="auto"/>
        <w:rPr>
          <w:noProof/>
        </w:rPr>
      </w:pPr>
      <w:r w:rsidRPr="00626AD5">
        <w:rPr>
          <w:noProof/>
        </w:rPr>
        <w:drawing>
          <wp:inline distT="0" distB="0" distL="0" distR="0" wp14:anchorId="6D027366" wp14:editId="1212126F">
            <wp:extent cx="651510" cy="167640"/>
            <wp:effectExtent l="19050" t="0" r="0" b="0"/>
            <wp:docPr id="1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rise_engie.png"/>
                    <pic:cNvPicPr/>
                  </pic:nvPicPr>
                  <pic:blipFill rotWithShape="1">
                    <a:blip r:embed="rId12" cstate="print">
                      <a:extLst>
                        <a:ext uri="{28A0092B-C50C-407E-A947-70E740481C1C}">
                          <a14:useLocalDpi xmlns:a14="http://schemas.microsoft.com/office/drawing/2010/main" val="0"/>
                        </a:ext>
                      </a:extLst>
                    </a:blip>
                    <a:srcRect l="6294" t="45371" r="84450" b="45865"/>
                    <a:stretch/>
                  </pic:blipFill>
                  <pic:spPr bwMode="auto">
                    <a:xfrm flipV="1">
                      <a:off x="0" y="0"/>
                      <a:ext cx="651510" cy="167640"/>
                    </a:xfrm>
                    <a:prstGeom prst="rect">
                      <a:avLst/>
                    </a:prstGeom>
                    <a:ln>
                      <a:noFill/>
                    </a:ln>
                    <a:extLst>
                      <a:ext uri="{53640926-AAD7-44D8-BBD7-CCE9431645EC}">
                        <a14:shadowObscured xmlns:a14="http://schemas.microsoft.com/office/drawing/2010/main"/>
                      </a:ext>
                    </a:extLst>
                  </pic:spPr>
                </pic:pic>
              </a:graphicData>
            </a:graphic>
          </wp:inline>
        </w:drawing>
      </w:r>
    </w:p>
    <w:p w14:paraId="123F4A81" w14:textId="77777777" w:rsidR="00291BA1" w:rsidRPr="00DB3BCA" w:rsidRDefault="00291BA1" w:rsidP="00DB3BCA">
      <w:pPr>
        <w:pStyle w:val="Heading2"/>
      </w:pPr>
      <w:r w:rsidRPr="00DB3BCA">
        <w:t>Project Information</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C249E4" w:rsidRPr="00625249" w14:paraId="380BB62F" w14:textId="77777777" w:rsidTr="0087600A">
        <w:trPr>
          <w:trHeight w:val="70"/>
        </w:trPr>
        <w:tc>
          <w:tcPr>
            <w:tcW w:w="2268" w:type="dxa"/>
            <w:shd w:val="clear" w:color="auto" w:fill="auto"/>
            <w:noWrap/>
            <w:vAlign w:val="center"/>
            <w:hideMark/>
          </w:tcPr>
          <w:p w14:paraId="2119F8E1" w14:textId="2B1563EA" w:rsidR="00C249E4" w:rsidRPr="00175C9D" w:rsidRDefault="00C249E4" w:rsidP="00CF2489">
            <w:pPr>
              <w:spacing w:before="0" w:after="0"/>
              <w:contextualSpacing/>
              <w:rPr>
                <w:b/>
              </w:rPr>
            </w:pPr>
            <w:r w:rsidRPr="00175C9D">
              <w:rPr>
                <w:b/>
              </w:rPr>
              <w:t>Category</w:t>
            </w:r>
          </w:p>
        </w:tc>
        <w:tc>
          <w:tcPr>
            <w:tcW w:w="7655" w:type="dxa"/>
            <w:vAlign w:val="center"/>
          </w:tcPr>
          <w:p w14:paraId="744C8EB5" w14:textId="559B6F34" w:rsidR="00C249E4" w:rsidRPr="00625249" w:rsidRDefault="00324D38" w:rsidP="00CF2489">
            <w:pPr>
              <w:spacing w:before="0" w:after="0"/>
              <w:contextualSpacing/>
            </w:pPr>
            <w:r>
              <w:t>Asbestos</w:t>
            </w:r>
          </w:p>
        </w:tc>
      </w:tr>
      <w:tr w:rsidR="00C249E4" w:rsidRPr="00625249" w14:paraId="21CDCC48" w14:textId="77777777" w:rsidTr="00212D3D">
        <w:trPr>
          <w:trHeight w:val="369"/>
        </w:trPr>
        <w:tc>
          <w:tcPr>
            <w:tcW w:w="2268" w:type="dxa"/>
            <w:shd w:val="clear" w:color="auto" w:fill="auto"/>
            <w:noWrap/>
            <w:vAlign w:val="center"/>
            <w:hideMark/>
          </w:tcPr>
          <w:p w14:paraId="3458E970" w14:textId="77777777" w:rsidR="00C249E4" w:rsidRPr="00175C9D" w:rsidRDefault="00C249E4" w:rsidP="00CF2489">
            <w:pPr>
              <w:spacing w:before="0" w:after="0"/>
              <w:contextualSpacing/>
              <w:rPr>
                <w:b/>
              </w:rPr>
            </w:pPr>
            <w:r w:rsidRPr="00175C9D">
              <w:rPr>
                <w:b/>
              </w:rPr>
              <w:t>Project Name</w:t>
            </w:r>
          </w:p>
        </w:tc>
        <w:tc>
          <w:tcPr>
            <w:tcW w:w="7655" w:type="dxa"/>
            <w:vAlign w:val="center"/>
          </w:tcPr>
          <w:p w14:paraId="63B4953A" w14:textId="2A3712D3" w:rsidR="00C249E4" w:rsidRPr="00625249" w:rsidRDefault="002E4024" w:rsidP="00CF2489">
            <w:pPr>
              <w:spacing w:before="0" w:after="0"/>
              <w:contextualSpacing/>
            </w:pPr>
            <w:r>
              <w:t>HMCTS</w:t>
            </w:r>
          </w:p>
        </w:tc>
      </w:tr>
      <w:tr w:rsidR="00A44766" w:rsidRPr="00625249" w14:paraId="5B51F6D2" w14:textId="77777777" w:rsidTr="00212D3D">
        <w:trPr>
          <w:trHeight w:val="369"/>
        </w:trPr>
        <w:tc>
          <w:tcPr>
            <w:tcW w:w="2268" w:type="dxa"/>
            <w:shd w:val="clear" w:color="auto" w:fill="auto"/>
            <w:noWrap/>
            <w:vAlign w:val="center"/>
            <w:hideMark/>
          </w:tcPr>
          <w:p w14:paraId="6F22A372" w14:textId="77777777" w:rsidR="00A44766" w:rsidRPr="00175C9D" w:rsidRDefault="00A44766" w:rsidP="00CF2489">
            <w:pPr>
              <w:spacing w:before="0" w:after="0"/>
              <w:contextualSpacing/>
              <w:rPr>
                <w:b/>
              </w:rPr>
            </w:pPr>
            <w:r w:rsidRPr="00175C9D">
              <w:rPr>
                <w:b/>
              </w:rPr>
              <w:t>Site Address</w:t>
            </w:r>
          </w:p>
        </w:tc>
        <w:tc>
          <w:tcPr>
            <w:tcW w:w="7655" w:type="dxa"/>
            <w:vAlign w:val="center"/>
          </w:tcPr>
          <w:p w14:paraId="1EE53C96" w14:textId="35C90E8E" w:rsidR="00A44766" w:rsidRPr="00625249" w:rsidRDefault="002E4024" w:rsidP="00CF2489">
            <w:pPr>
              <w:spacing w:before="0" w:after="0"/>
              <w:contextualSpacing/>
            </w:pPr>
            <w:r>
              <w:t>Multiple</w:t>
            </w:r>
          </w:p>
        </w:tc>
      </w:tr>
      <w:tr w:rsidR="00280D8E" w:rsidRPr="00625249" w14:paraId="04B456A5" w14:textId="77777777" w:rsidTr="00212D3D">
        <w:trPr>
          <w:trHeight w:val="369"/>
        </w:trPr>
        <w:tc>
          <w:tcPr>
            <w:tcW w:w="2268" w:type="dxa"/>
            <w:shd w:val="clear" w:color="auto" w:fill="auto"/>
            <w:noWrap/>
            <w:vAlign w:val="center"/>
          </w:tcPr>
          <w:p w14:paraId="07D93ADA" w14:textId="4ACB682D" w:rsidR="00280D8E" w:rsidRPr="00175C9D" w:rsidRDefault="00280D8E" w:rsidP="00CF2489">
            <w:pPr>
              <w:spacing w:before="0" w:after="0"/>
              <w:contextualSpacing/>
              <w:rPr>
                <w:b/>
              </w:rPr>
            </w:pPr>
            <w:r>
              <w:rPr>
                <w:b/>
              </w:rPr>
              <w:t>Contract Finder Reference</w:t>
            </w:r>
          </w:p>
        </w:tc>
        <w:tc>
          <w:tcPr>
            <w:tcW w:w="7655" w:type="dxa"/>
            <w:vAlign w:val="center"/>
          </w:tcPr>
          <w:p w14:paraId="33B36848" w14:textId="77777777" w:rsidR="00280D8E" w:rsidRDefault="00280D8E" w:rsidP="00CF2489">
            <w:pPr>
              <w:spacing w:before="0" w:after="0"/>
              <w:contextualSpacing/>
            </w:pPr>
          </w:p>
        </w:tc>
      </w:tr>
    </w:tbl>
    <w:p w14:paraId="459907AF" w14:textId="35485818" w:rsidR="005F1B97" w:rsidRDefault="005F1B97" w:rsidP="00DB3BCA">
      <w:pPr>
        <w:pStyle w:val="Heading2"/>
      </w:pPr>
      <w:r>
        <w:t>Introduction</w:t>
      </w:r>
    </w:p>
    <w:p w14:paraId="341B7844" w14:textId="77777777" w:rsidR="006E4C8E" w:rsidRPr="003A3341" w:rsidRDefault="006E4C8E" w:rsidP="006E4C8E">
      <w:r>
        <w:t>ENGIE</w:t>
      </w:r>
      <w:r w:rsidRPr="003A3341">
        <w:t xml:space="preserve">,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1CE18818" w14:textId="77777777" w:rsidR="006E4C8E" w:rsidRPr="003A3341" w:rsidRDefault="006E4C8E" w:rsidP="006E4C8E"/>
    <w:p w14:paraId="132ECDD3" w14:textId="77777777" w:rsidR="006E4C8E" w:rsidRPr="003A3341" w:rsidRDefault="006E4C8E" w:rsidP="006E4C8E">
      <w:r>
        <w:t>ENGIE</w:t>
      </w:r>
      <w:r w:rsidRPr="003A3341">
        <w:t xml:space="preserve"> UK in the United Kingdom and Republic of Ireland has a turnover of £</w:t>
      </w:r>
      <w:r>
        <w:t>3</w:t>
      </w:r>
      <w:r w:rsidRPr="003A3341">
        <w:t xml:space="preserve"> billion and employs over 1</w:t>
      </w:r>
      <w:r>
        <w:t>7</w:t>
      </w:r>
      <w:r w:rsidRPr="003A3341">
        <w:t xml:space="preserve">,000 people. </w:t>
      </w:r>
      <w:r>
        <w:t>ENGIE</w:t>
      </w:r>
      <w:r w:rsidRPr="003A3341">
        <w:t xml:space="preserve"> UK operates on 14,000 customer sites throughout the UK &amp; ROI, totalling over 23.6 million sqm of managed space.</w:t>
      </w:r>
    </w:p>
    <w:p w14:paraId="059AC79C" w14:textId="77777777" w:rsidR="006E4C8E" w:rsidRPr="003A3341" w:rsidRDefault="006E4C8E" w:rsidP="006E4C8E"/>
    <w:p w14:paraId="1DE868BE" w14:textId="77777777" w:rsidR="006E4C8E" w:rsidRPr="003A3341" w:rsidRDefault="006E4C8E" w:rsidP="006E4C8E">
      <w:r w:rsidRPr="003A3341">
        <w:t>Sustainability and innovation are both core to our values, and as such it is essential that we are able to both excel at and demonstrate capability in these fields as part of everything we do as a business.</w:t>
      </w:r>
    </w:p>
    <w:p w14:paraId="0EBEABD2" w14:textId="1CF1C5F9" w:rsidR="00BA778F" w:rsidRDefault="00BA778F" w:rsidP="00A74BED">
      <w:pPr>
        <w:spacing w:line="240" w:lineRule="auto"/>
      </w:pPr>
      <w:r>
        <w:t>Describe project works</w:t>
      </w:r>
    </w:p>
    <w:p w14:paraId="77B2FA0B" w14:textId="77777777" w:rsidR="00BA778F" w:rsidRDefault="00BA778F" w:rsidP="00A74BED">
      <w:pPr>
        <w:spacing w:line="240" w:lineRule="auto"/>
      </w:pPr>
    </w:p>
    <w:p w14:paraId="6CFB7301" w14:textId="68A63184" w:rsidR="00A94C9E" w:rsidRDefault="00A94C9E" w:rsidP="00DB3BCA">
      <w:pPr>
        <w:pStyle w:val="Heading2"/>
      </w:pPr>
      <w:r>
        <w:t>Supporting Documents &amp; Drawings</w:t>
      </w:r>
    </w:p>
    <w:p w14:paraId="47EC158F" w14:textId="024498D5" w:rsidR="0005489D" w:rsidRDefault="00BA778F" w:rsidP="00BA778F">
      <w:r>
        <w:t xml:space="preserve">As per </w:t>
      </w:r>
      <w:r w:rsidR="00BE77A7">
        <w:t>Coupa event (leave blank if there are no drawings)</w:t>
      </w:r>
    </w:p>
    <w:p w14:paraId="1CA7DFC6" w14:textId="6F4071D7" w:rsidR="0060235E" w:rsidRDefault="0060235E" w:rsidP="00BA778F"/>
    <w:p w14:paraId="165C3DD1" w14:textId="6BBC4660" w:rsidR="0060235E" w:rsidRDefault="0060235E" w:rsidP="00BA778F"/>
    <w:p w14:paraId="30E4CDB5" w14:textId="54B463E8" w:rsidR="0060235E" w:rsidRDefault="0060235E" w:rsidP="00BA778F"/>
    <w:p w14:paraId="27699C3E" w14:textId="199BABA6" w:rsidR="0060235E" w:rsidRDefault="0060235E" w:rsidP="00BA778F"/>
    <w:p w14:paraId="0414D0D5" w14:textId="2D9C2078" w:rsidR="0060235E" w:rsidRDefault="0060235E" w:rsidP="00BA778F"/>
    <w:p w14:paraId="5996720F" w14:textId="7BA29AD0" w:rsidR="0060235E" w:rsidRDefault="0060235E" w:rsidP="00BA778F"/>
    <w:p w14:paraId="281A16F3" w14:textId="0BEF25A6" w:rsidR="0060235E" w:rsidRDefault="0060235E" w:rsidP="00BA778F"/>
    <w:p w14:paraId="23494C39" w14:textId="1C7BC0F5" w:rsidR="0060235E" w:rsidRDefault="0060235E" w:rsidP="00BA778F"/>
    <w:p w14:paraId="711AF906" w14:textId="77777777" w:rsidR="0060235E" w:rsidRDefault="0060235E" w:rsidP="00BA778F"/>
    <w:p w14:paraId="07ED62E9" w14:textId="1B3479EE" w:rsidR="003E05EA" w:rsidRDefault="00885CA6" w:rsidP="00DB3BCA">
      <w:pPr>
        <w:pStyle w:val="Heading2"/>
      </w:pPr>
      <w:r w:rsidRPr="003E05EA">
        <w:lastRenderedPageBreak/>
        <w:t>Scope of Works</w:t>
      </w:r>
    </w:p>
    <w:p w14:paraId="2CD3EF69" w14:textId="34F935B2" w:rsidR="002921EB" w:rsidRDefault="002921EB" w:rsidP="002921EB">
      <w:pPr>
        <w:ind w:left="720"/>
      </w:pPr>
      <w:r>
        <w:t>ENGIE require the undertaking of Asbestos Reinspection Surveys to be carried out to 25</w:t>
      </w:r>
      <w:r w:rsidR="00BC1959">
        <w:t>2</w:t>
      </w:r>
      <w:r>
        <w:t xml:space="preserve"> buildings across the estate.  </w:t>
      </w:r>
    </w:p>
    <w:p w14:paraId="59945CB2" w14:textId="77777777" w:rsidR="002921EB" w:rsidRDefault="002921EB" w:rsidP="002921EB">
      <w:pPr>
        <w:ind w:left="720"/>
      </w:pPr>
      <w:r>
        <w:t>The surveying organisation shall be accredited through the United Kingdom Accreditation Service (UKAS) to the following standard:</w:t>
      </w:r>
    </w:p>
    <w:p w14:paraId="2BB4F26E" w14:textId="77777777" w:rsidR="002921EB" w:rsidRDefault="002921EB" w:rsidP="001B15F7">
      <w:pPr>
        <w:pStyle w:val="ListParagraph"/>
        <w:numPr>
          <w:ilvl w:val="0"/>
          <w:numId w:val="10"/>
        </w:numPr>
        <w:spacing w:before="0" w:after="200"/>
        <w:jc w:val="left"/>
      </w:pPr>
      <w:r w:rsidRPr="00A81828">
        <w:t>ISO/IEC 17020:2012 specifies requirements for the competence of bodies performing inspection and for the impartiality and consistency of their inspection activities.</w:t>
      </w:r>
    </w:p>
    <w:p w14:paraId="57C530AA" w14:textId="31DFA164" w:rsidR="002921EB" w:rsidRDefault="002921EB" w:rsidP="001B15F7">
      <w:pPr>
        <w:pStyle w:val="ListParagraph"/>
        <w:numPr>
          <w:ilvl w:val="0"/>
          <w:numId w:val="10"/>
        </w:numPr>
        <w:spacing w:before="0" w:after="200"/>
        <w:jc w:val="left"/>
      </w:pPr>
      <w:r w:rsidRPr="00A81828">
        <w:t>ISO/IEC 17025:2005 specifies the general requirements for the competence to carry out tests and/or calibrations, including sampling</w:t>
      </w:r>
      <w:r>
        <w:t>.</w:t>
      </w:r>
    </w:p>
    <w:p w14:paraId="11C62891" w14:textId="77777777" w:rsidR="00602513" w:rsidRPr="001C50A7" w:rsidRDefault="00602513" w:rsidP="00602513">
      <w:pPr>
        <w:spacing w:before="0" w:after="200"/>
        <w:ind w:left="720"/>
        <w:jc w:val="left"/>
      </w:pPr>
      <w:r w:rsidRPr="001C50A7">
        <w:t>Surveys will cover 3 main elements:</w:t>
      </w:r>
    </w:p>
    <w:p w14:paraId="2C64B810" w14:textId="3B4D5620" w:rsidR="00602513" w:rsidRPr="001C50A7" w:rsidRDefault="00602513" w:rsidP="001B15F7">
      <w:pPr>
        <w:pStyle w:val="ListParagraph"/>
        <w:numPr>
          <w:ilvl w:val="0"/>
          <w:numId w:val="13"/>
        </w:numPr>
        <w:spacing w:before="0" w:after="200"/>
        <w:jc w:val="left"/>
      </w:pPr>
      <w:r w:rsidRPr="001C50A7">
        <w:t xml:space="preserve">Locate and record the location, </w:t>
      </w:r>
      <w:r w:rsidR="00815D2E" w:rsidRPr="001C50A7">
        <w:t>extent,</w:t>
      </w:r>
      <w:r w:rsidRPr="001C50A7">
        <w:t xml:space="preserve"> and product type of any presumed or known Asbestos Containing Materials (ACM's).</w:t>
      </w:r>
    </w:p>
    <w:p w14:paraId="3149BB1A" w14:textId="136DA7E0" w:rsidR="00602513" w:rsidRPr="001C50A7" w:rsidRDefault="00602513" w:rsidP="001B15F7">
      <w:pPr>
        <w:pStyle w:val="ListParagraph"/>
        <w:numPr>
          <w:ilvl w:val="0"/>
          <w:numId w:val="13"/>
        </w:numPr>
        <w:spacing w:before="0" w:after="200"/>
        <w:jc w:val="left"/>
      </w:pPr>
      <w:r w:rsidRPr="001C50A7">
        <w:t xml:space="preserve">Inspect and record information on the accessibility, </w:t>
      </w:r>
      <w:r w:rsidR="00815D2E" w:rsidRPr="001C50A7">
        <w:t>condition,</w:t>
      </w:r>
      <w:r w:rsidRPr="001C50A7">
        <w:t xml:space="preserve"> and surface treatment of any presumed or known ACM's.</w:t>
      </w:r>
    </w:p>
    <w:p w14:paraId="6B3F41DB" w14:textId="186430EF" w:rsidR="00602513" w:rsidRPr="001C50A7" w:rsidRDefault="00602513" w:rsidP="001B15F7">
      <w:pPr>
        <w:pStyle w:val="ListParagraph"/>
        <w:numPr>
          <w:ilvl w:val="0"/>
          <w:numId w:val="13"/>
        </w:numPr>
        <w:spacing w:before="0" w:after="200"/>
        <w:jc w:val="left"/>
      </w:pPr>
      <w:r w:rsidRPr="001C50A7">
        <w:t>Determine and record the asbestos type, by collecting representative samples of suspect materials for laboratory identification.</w:t>
      </w:r>
    </w:p>
    <w:p w14:paraId="42E8C745" w14:textId="7F720C04" w:rsidR="002921EB" w:rsidRDefault="002921EB" w:rsidP="00815D2E">
      <w:pPr>
        <w:ind w:left="720"/>
      </w:pPr>
      <w:r>
        <w:t xml:space="preserve">The purpose of these surveys is to locate and describe all positive Asbestos Containing Materials (ACM) checking the condition of the items to identify any damage or deterioration that may pose a potential risk to the </w:t>
      </w:r>
      <w:r w:rsidR="004137EB">
        <w:t>building’s</w:t>
      </w:r>
      <w:r>
        <w:t xml:space="preserve"> occupiers. </w:t>
      </w:r>
    </w:p>
    <w:p w14:paraId="77316FEA" w14:textId="77777777" w:rsidR="002921EB" w:rsidRDefault="002921EB" w:rsidP="001B15F7">
      <w:pPr>
        <w:pStyle w:val="ListParagraph"/>
        <w:numPr>
          <w:ilvl w:val="1"/>
          <w:numId w:val="8"/>
        </w:numPr>
        <w:spacing w:before="0" w:after="200"/>
        <w:jc w:val="left"/>
      </w:pPr>
      <w:r>
        <w:t xml:space="preserve">ENGIE require each item to have a material risk assessment and a priority risk assessment attached with a recommendation for future monitoring /management. </w:t>
      </w:r>
    </w:p>
    <w:p w14:paraId="3E9F59A5" w14:textId="77777777" w:rsidR="002921EB" w:rsidRDefault="002921EB" w:rsidP="001B15F7">
      <w:pPr>
        <w:pStyle w:val="ListParagraph"/>
        <w:numPr>
          <w:ilvl w:val="1"/>
          <w:numId w:val="8"/>
        </w:numPr>
        <w:spacing w:before="0" w:after="200"/>
        <w:jc w:val="left"/>
      </w:pPr>
      <w:r>
        <w:t>ENGIE require all duplicate items across separate reports to be emerged into one item referencing all previous reports.</w:t>
      </w:r>
    </w:p>
    <w:p w14:paraId="023EEFAE" w14:textId="77777777" w:rsidR="002921EB" w:rsidRDefault="002921EB" w:rsidP="001B15F7">
      <w:pPr>
        <w:pStyle w:val="ListParagraph"/>
        <w:numPr>
          <w:ilvl w:val="1"/>
          <w:numId w:val="8"/>
        </w:numPr>
        <w:spacing w:before="0" w:after="200"/>
        <w:jc w:val="left"/>
      </w:pPr>
      <w:r>
        <w:t>ENGIE require all removed items to be evidenced in the report documenting all previous removal information if available.</w:t>
      </w:r>
    </w:p>
    <w:p w14:paraId="437D866E" w14:textId="77777777" w:rsidR="002921EB" w:rsidRDefault="002921EB" w:rsidP="001B15F7">
      <w:pPr>
        <w:pStyle w:val="ListParagraph"/>
        <w:numPr>
          <w:ilvl w:val="1"/>
          <w:numId w:val="8"/>
        </w:numPr>
        <w:spacing w:before="0" w:after="200"/>
        <w:jc w:val="left"/>
      </w:pPr>
      <w:r>
        <w:t>ENGIE require all previously no accessed areas to be evidenced and presumed asbestos containing in the report.</w:t>
      </w:r>
    </w:p>
    <w:p w14:paraId="419B07D9" w14:textId="77777777" w:rsidR="002921EB" w:rsidRDefault="002921EB" w:rsidP="001B15F7">
      <w:pPr>
        <w:pStyle w:val="ListParagraph"/>
        <w:numPr>
          <w:ilvl w:val="1"/>
          <w:numId w:val="8"/>
        </w:numPr>
        <w:spacing w:before="0" w:after="200"/>
        <w:jc w:val="left"/>
      </w:pPr>
      <w:r>
        <w:t>ENGIE require all provided blank plans to be accurately marked up with current ACM’s. The survey should use the room references in the blank plans.</w:t>
      </w:r>
    </w:p>
    <w:p w14:paraId="6798B039" w14:textId="77777777" w:rsidR="002921EB" w:rsidRDefault="002921EB" w:rsidP="001B15F7">
      <w:pPr>
        <w:pStyle w:val="ListParagraph"/>
        <w:numPr>
          <w:ilvl w:val="1"/>
          <w:numId w:val="8"/>
        </w:numPr>
        <w:spacing w:before="0" w:after="200"/>
        <w:jc w:val="left"/>
      </w:pPr>
      <w:r>
        <w:t>ENGIE require a PDF copy of the reports and in addition all data provided in CSV format for ENGIE to upload into ENGIE CAFM system.</w:t>
      </w:r>
    </w:p>
    <w:p w14:paraId="67AD5E23" w14:textId="70CDE5BC" w:rsidR="002921EB" w:rsidRPr="00815D2E" w:rsidRDefault="002921EB" w:rsidP="001B15F7">
      <w:pPr>
        <w:pStyle w:val="ListParagraph"/>
        <w:numPr>
          <w:ilvl w:val="1"/>
          <w:numId w:val="8"/>
        </w:numPr>
        <w:spacing w:before="0" w:after="200"/>
        <w:jc w:val="left"/>
      </w:pPr>
      <w:r>
        <w:t xml:space="preserve">ENGIE require all additional suspect materials that may be spotted on the reinspection to be sampled. Suspect materials in previously removed areas should be sampled. </w:t>
      </w:r>
      <w:r w:rsidRPr="0044223E">
        <w:rPr>
          <w:b/>
          <w:i/>
          <w:u w:val="single"/>
        </w:rPr>
        <w:t>A cost for additional samples should be included as an extra within the tender.</w:t>
      </w:r>
    </w:p>
    <w:p w14:paraId="01013FFB" w14:textId="4D2979F9" w:rsidR="002921EB" w:rsidRPr="001C50A7" w:rsidRDefault="00815D2E" w:rsidP="001B15F7">
      <w:pPr>
        <w:pStyle w:val="ListParagraph"/>
        <w:numPr>
          <w:ilvl w:val="1"/>
          <w:numId w:val="8"/>
        </w:numPr>
        <w:spacing w:before="0" w:after="200"/>
        <w:jc w:val="left"/>
      </w:pPr>
      <w:r w:rsidRPr="001C50A7">
        <w:t>ENGIE require the information from the reinspection reports to contain sufficient information for the contractor to provide a remedial quotation from, to be broken down into labour, materials and access equipment. The remedial quotation should be submitted at the same time as the reinspection report.</w:t>
      </w:r>
    </w:p>
    <w:p w14:paraId="4B393028" w14:textId="77777777" w:rsidR="001B15F7" w:rsidRPr="001B15F7" w:rsidRDefault="001B15F7" w:rsidP="001B15F7">
      <w:pPr>
        <w:pStyle w:val="ListParagraph"/>
        <w:spacing w:before="0" w:after="200"/>
        <w:ind w:left="1440"/>
        <w:jc w:val="left"/>
        <w:rPr>
          <w:color w:val="0070C0"/>
        </w:rPr>
      </w:pPr>
    </w:p>
    <w:p w14:paraId="28003CCD" w14:textId="77777777" w:rsidR="002921EB" w:rsidRDefault="002921EB" w:rsidP="001B15F7">
      <w:pPr>
        <w:pStyle w:val="ListParagraph"/>
        <w:numPr>
          <w:ilvl w:val="0"/>
          <w:numId w:val="9"/>
        </w:numPr>
        <w:spacing w:before="0" w:after="200"/>
        <w:jc w:val="left"/>
        <w:rPr>
          <w:b/>
          <w:u w:val="single"/>
        </w:rPr>
      </w:pPr>
      <w:r w:rsidRPr="002530BF">
        <w:rPr>
          <w:b/>
          <w:u w:val="single"/>
        </w:rPr>
        <w:t>TIMETABLE REQUIREMENTS</w:t>
      </w:r>
    </w:p>
    <w:p w14:paraId="2C295C4B" w14:textId="34BE1D75" w:rsidR="002921EB" w:rsidRDefault="002921EB" w:rsidP="002921EB">
      <w:r>
        <w:t xml:space="preserve">ENGIE require the tender proposals from the contractor within </w:t>
      </w:r>
      <w:r w:rsidR="00C4625E">
        <w:t>20</w:t>
      </w:r>
      <w:r>
        <w:t xml:space="preserve"> days from the issue date and should include: </w:t>
      </w:r>
    </w:p>
    <w:p w14:paraId="49C663BA" w14:textId="77777777" w:rsidR="002921EB" w:rsidRDefault="002921EB" w:rsidP="001B15F7">
      <w:pPr>
        <w:pStyle w:val="ListParagraph"/>
        <w:numPr>
          <w:ilvl w:val="0"/>
          <w:numId w:val="11"/>
        </w:numPr>
        <w:spacing w:before="0" w:after="200"/>
        <w:jc w:val="left"/>
      </w:pPr>
      <w:r>
        <w:t>Break down of cost per site as well as the total figure. This is due to ENGIE purchase order process.</w:t>
      </w:r>
    </w:p>
    <w:p w14:paraId="5AECBAC9" w14:textId="77777777" w:rsidR="002921EB" w:rsidRDefault="002921EB" w:rsidP="001B15F7">
      <w:pPr>
        <w:pStyle w:val="ListParagraph"/>
        <w:numPr>
          <w:ilvl w:val="0"/>
          <w:numId w:val="11"/>
        </w:numPr>
        <w:spacing w:before="0" w:after="200"/>
        <w:jc w:val="left"/>
      </w:pPr>
      <w:r>
        <w:t>Proposed turnaround time for report issue.</w:t>
      </w:r>
    </w:p>
    <w:p w14:paraId="4C566E3C" w14:textId="6F079450" w:rsidR="002921EB" w:rsidRDefault="002921EB" w:rsidP="001B15F7">
      <w:pPr>
        <w:pStyle w:val="ListParagraph"/>
        <w:numPr>
          <w:ilvl w:val="0"/>
          <w:numId w:val="11"/>
        </w:numPr>
        <w:spacing w:before="0" w:after="200"/>
        <w:jc w:val="left"/>
      </w:pPr>
      <w:r>
        <w:t>Schedule along with proposed dates for each reinspection, so access can be arranged with the sites.</w:t>
      </w:r>
    </w:p>
    <w:p w14:paraId="2ACFE4CA" w14:textId="77777777" w:rsidR="002921EB" w:rsidRDefault="002921EB" w:rsidP="002921EB">
      <w:pPr>
        <w:pStyle w:val="ListParagraph"/>
      </w:pPr>
    </w:p>
    <w:p w14:paraId="0488EFEE" w14:textId="77777777" w:rsidR="002921EB" w:rsidRDefault="002921EB" w:rsidP="001B15F7">
      <w:pPr>
        <w:pStyle w:val="ListParagraph"/>
        <w:numPr>
          <w:ilvl w:val="0"/>
          <w:numId w:val="9"/>
        </w:numPr>
        <w:spacing w:before="0" w:after="200"/>
        <w:jc w:val="left"/>
        <w:rPr>
          <w:b/>
          <w:u w:val="single"/>
        </w:rPr>
      </w:pPr>
      <w:r w:rsidRPr="0034513B">
        <w:rPr>
          <w:b/>
          <w:u w:val="single"/>
        </w:rPr>
        <w:t>Existing Building Information</w:t>
      </w:r>
    </w:p>
    <w:p w14:paraId="14692912" w14:textId="7B23C4FD" w:rsidR="002921EB" w:rsidRDefault="002921EB" w:rsidP="002921EB">
      <w:r>
        <w:t xml:space="preserve">A list of the sites requiring </w:t>
      </w:r>
      <w:r w:rsidR="00B64D0D">
        <w:t>reinspection’s</w:t>
      </w:r>
      <w:r>
        <w:t xml:space="preserve"> along with a breakdown of ACM’s per site will be issued along with this tender document. (Number of ACM’s per site is inclusive of no accessed areas)</w:t>
      </w:r>
    </w:p>
    <w:p w14:paraId="385716CD" w14:textId="427960F6" w:rsidR="003A4D89" w:rsidRDefault="002921EB" w:rsidP="002921EB">
      <w:r>
        <w:lastRenderedPageBreak/>
        <w:t>All previous survey and removal documentation will be provided to the awarded contractor in the form of PDF copies</w:t>
      </w:r>
      <w:r w:rsidR="003A4D89">
        <w:t>.</w:t>
      </w:r>
    </w:p>
    <w:p w14:paraId="25F9CB00" w14:textId="77777777" w:rsidR="002921EB" w:rsidRDefault="002921EB" w:rsidP="001B15F7">
      <w:pPr>
        <w:pStyle w:val="ListParagraph"/>
        <w:numPr>
          <w:ilvl w:val="0"/>
          <w:numId w:val="9"/>
        </w:numPr>
        <w:spacing w:before="0" w:after="200"/>
        <w:jc w:val="left"/>
        <w:rPr>
          <w:b/>
          <w:u w:val="single"/>
        </w:rPr>
      </w:pPr>
      <w:r w:rsidRPr="0034513B">
        <w:rPr>
          <w:b/>
          <w:u w:val="single"/>
        </w:rPr>
        <w:t>Emergency Procedures</w:t>
      </w:r>
    </w:p>
    <w:p w14:paraId="7AED7CF6" w14:textId="4331ACC1" w:rsidR="002921EB" w:rsidRDefault="002921EB" w:rsidP="002921EB">
      <w:r>
        <w:t xml:space="preserve">Should the surveyor identify any items that are damaged or in a significantly poor condition, the surveyor must inform </w:t>
      </w:r>
      <w:r w:rsidR="003A4D89">
        <w:t xml:space="preserve">Engie, immediately. </w:t>
      </w:r>
    </w:p>
    <w:p w14:paraId="414F6981" w14:textId="1A47C8AA" w:rsidR="002921EB" w:rsidRDefault="002921EB" w:rsidP="002921EB">
      <w:r>
        <w:t>Until action can be taken by</w:t>
      </w:r>
      <w:r w:rsidR="003A4D89">
        <w:t xml:space="preserve"> Engie</w:t>
      </w:r>
      <w:r>
        <w:t>, the surveyor must advise on restricting access to the room or area until permanent control measures and air tests has been completed/organised by</w:t>
      </w:r>
      <w:r w:rsidR="003A4D89">
        <w:t xml:space="preserve"> Engie</w:t>
      </w:r>
      <w:r>
        <w:t>.</w:t>
      </w:r>
    </w:p>
    <w:p w14:paraId="1E8F641D" w14:textId="17644E04" w:rsidR="002921EB" w:rsidRDefault="002921EB" w:rsidP="001B15F7">
      <w:pPr>
        <w:pStyle w:val="ListParagraph"/>
        <w:numPr>
          <w:ilvl w:val="0"/>
          <w:numId w:val="9"/>
        </w:numPr>
        <w:spacing w:before="0" w:after="200"/>
        <w:jc w:val="left"/>
        <w:rPr>
          <w:b/>
          <w:u w:val="single"/>
        </w:rPr>
      </w:pPr>
      <w:r w:rsidRPr="00833748">
        <w:rPr>
          <w:b/>
          <w:u w:val="single"/>
        </w:rPr>
        <w:t>List Of Documents To Be Returned With Tender</w:t>
      </w:r>
    </w:p>
    <w:p w14:paraId="7E119D3B" w14:textId="77777777" w:rsidR="003A4D89" w:rsidRDefault="003A4D89" w:rsidP="003A4D89">
      <w:pPr>
        <w:pStyle w:val="ListParagraph"/>
        <w:spacing w:before="0" w:after="200"/>
        <w:ind w:left="360"/>
        <w:jc w:val="left"/>
        <w:rPr>
          <w:b/>
          <w:u w:val="single"/>
        </w:rPr>
      </w:pPr>
    </w:p>
    <w:p w14:paraId="7E0075BD" w14:textId="77777777" w:rsidR="002921EB" w:rsidRPr="00833748" w:rsidRDefault="002921EB" w:rsidP="001B15F7">
      <w:pPr>
        <w:pStyle w:val="ListParagraph"/>
        <w:numPr>
          <w:ilvl w:val="0"/>
          <w:numId w:val="12"/>
        </w:numPr>
        <w:spacing w:before="0" w:after="200"/>
        <w:jc w:val="left"/>
        <w:rPr>
          <w:b/>
          <w:u w:val="single"/>
        </w:rPr>
      </w:pPr>
      <w:r>
        <w:t>Pricing summary (per site and total cost)</w:t>
      </w:r>
    </w:p>
    <w:p w14:paraId="72B1BF41" w14:textId="77777777" w:rsidR="002921EB" w:rsidRPr="00833748" w:rsidRDefault="002921EB" w:rsidP="001B15F7">
      <w:pPr>
        <w:pStyle w:val="ListParagraph"/>
        <w:numPr>
          <w:ilvl w:val="0"/>
          <w:numId w:val="12"/>
        </w:numPr>
        <w:spacing w:before="0" w:after="200"/>
        <w:jc w:val="left"/>
        <w:rPr>
          <w:b/>
          <w:u w:val="single"/>
        </w:rPr>
      </w:pPr>
      <w:r>
        <w:t xml:space="preserve">Schedule/Programme </w:t>
      </w:r>
    </w:p>
    <w:p w14:paraId="28031A86" w14:textId="77777777" w:rsidR="002921EB" w:rsidRPr="00833748" w:rsidRDefault="002921EB" w:rsidP="001B15F7">
      <w:pPr>
        <w:pStyle w:val="ListParagraph"/>
        <w:numPr>
          <w:ilvl w:val="0"/>
          <w:numId w:val="12"/>
        </w:numPr>
        <w:spacing w:before="0" w:after="200"/>
        <w:jc w:val="left"/>
        <w:rPr>
          <w:b/>
          <w:u w:val="single"/>
        </w:rPr>
      </w:pPr>
      <w:r>
        <w:t>UKAS accreditation</w:t>
      </w:r>
    </w:p>
    <w:p w14:paraId="1A1D4E8A" w14:textId="77777777" w:rsidR="002921EB" w:rsidRPr="00833748" w:rsidRDefault="002921EB" w:rsidP="001B15F7">
      <w:pPr>
        <w:pStyle w:val="ListParagraph"/>
        <w:numPr>
          <w:ilvl w:val="0"/>
          <w:numId w:val="12"/>
        </w:numPr>
        <w:spacing w:before="0" w:after="200"/>
        <w:jc w:val="left"/>
        <w:rPr>
          <w:b/>
          <w:u w:val="single"/>
        </w:rPr>
      </w:pPr>
      <w:r>
        <w:t>RAMS for proposed works</w:t>
      </w:r>
    </w:p>
    <w:p w14:paraId="715ABF06" w14:textId="77777777" w:rsidR="002921EB" w:rsidRPr="00833748" w:rsidRDefault="002921EB" w:rsidP="001B15F7">
      <w:pPr>
        <w:pStyle w:val="ListParagraph"/>
        <w:numPr>
          <w:ilvl w:val="0"/>
          <w:numId w:val="12"/>
        </w:numPr>
        <w:spacing w:before="0" w:after="200"/>
        <w:jc w:val="left"/>
        <w:rPr>
          <w:b/>
          <w:u w:val="single"/>
        </w:rPr>
      </w:pPr>
      <w:r>
        <w:t>Public &amp; Employers Liability Insurances</w:t>
      </w:r>
    </w:p>
    <w:p w14:paraId="415F408A" w14:textId="77777777" w:rsidR="002921EB" w:rsidRPr="001729B0" w:rsidRDefault="002921EB" w:rsidP="001B15F7">
      <w:pPr>
        <w:pStyle w:val="ListParagraph"/>
        <w:numPr>
          <w:ilvl w:val="0"/>
          <w:numId w:val="12"/>
        </w:numPr>
        <w:spacing w:before="0" w:after="200"/>
        <w:jc w:val="left"/>
        <w:rPr>
          <w:b/>
          <w:u w:val="single"/>
        </w:rPr>
      </w:pPr>
      <w:r>
        <w:t>Enhanced DBS for nominated surveyors</w:t>
      </w:r>
    </w:p>
    <w:p w14:paraId="7E3BD59B" w14:textId="338E017D" w:rsidR="002921EB" w:rsidRPr="001729B0" w:rsidRDefault="002921EB" w:rsidP="001B15F7">
      <w:pPr>
        <w:pStyle w:val="ListParagraph"/>
        <w:numPr>
          <w:ilvl w:val="0"/>
          <w:numId w:val="12"/>
        </w:numPr>
        <w:spacing w:before="0" w:after="200"/>
        <w:jc w:val="left"/>
        <w:rPr>
          <w:b/>
          <w:u w:val="single"/>
        </w:rPr>
      </w:pPr>
      <w:r>
        <w:t>Examples of previous reinspection works undertaken in Local Authority</w:t>
      </w:r>
      <w:r w:rsidR="00A52AE5">
        <w:t>/Government</w:t>
      </w:r>
      <w:r>
        <w:t xml:space="preserve"> environment</w:t>
      </w:r>
    </w:p>
    <w:p w14:paraId="587E9597" w14:textId="77777777" w:rsidR="002921EB" w:rsidRPr="00833748" w:rsidRDefault="002921EB" w:rsidP="001B15F7">
      <w:pPr>
        <w:pStyle w:val="ListParagraph"/>
        <w:numPr>
          <w:ilvl w:val="0"/>
          <w:numId w:val="12"/>
        </w:numPr>
        <w:spacing w:before="0" w:after="200"/>
        <w:jc w:val="left"/>
        <w:rPr>
          <w:b/>
          <w:u w:val="single"/>
        </w:rPr>
      </w:pPr>
      <w:r>
        <w:t>Details of any Prosecutions/Prohibition notices.</w:t>
      </w:r>
    </w:p>
    <w:p w14:paraId="479ABF08" w14:textId="060DC546" w:rsidR="00602513" w:rsidRPr="00602513" w:rsidRDefault="00602513" w:rsidP="00602513">
      <w:pPr>
        <w:pStyle w:val="Numbering"/>
        <w:numPr>
          <w:ilvl w:val="0"/>
          <w:numId w:val="0"/>
        </w:numPr>
        <w:ind w:left="717" w:hanging="360"/>
        <w:rPr>
          <w:color w:val="00AAFF"/>
          <w:sz w:val="32"/>
          <w:szCs w:val="28"/>
        </w:rPr>
      </w:pPr>
      <w:r w:rsidRPr="00602513">
        <w:rPr>
          <w:color w:val="00AAFF"/>
          <w:sz w:val="32"/>
          <w:szCs w:val="28"/>
        </w:rPr>
        <w:t>Specifications and Standards</w:t>
      </w:r>
    </w:p>
    <w:p w14:paraId="6941751C" w14:textId="2B1640FB" w:rsidR="006641B8" w:rsidRPr="001C50A7" w:rsidRDefault="00602513" w:rsidP="00602513">
      <w:r w:rsidRPr="001C50A7">
        <w:t xml:space="preserve">All services to be instructed under this contract shall be carried out in accordance with all relevant legislation, including but not limited to the Control of Asbestos Regulations 2012, the CDM Regulations and the provisions of the Health and Safety at Work Act 1974 all as may be amended, </w:t>
      </w:r>
      <w:r w:rsidR="006641B8" w:rsidRPr="001C50A7">
        <w:t>updated,</w:t>
      </w:r>
      <w:r w:rsidRPr="001C50A7">
        <w:t xml:space="preserve"> or supplemented from time-to-time. The work will also be carried out in accordance with the relevant approved codes of practice issued by the Health and Safety Executive (HSE). Where there is any conflict between any relevant legislation and/or codes of practice and the terms and conditions of any </w:t>
      </w:r>
      <w:r w:rsidR="006641B8" w:rsidRPr="001C50A7">
        <w:t xml:space="preserve">work </w:t>
      </w:r>
      <w:r w:rsidRPr="001C50A7">
        <w:t>issued under this</w:t>
      </w:r>
      <w:r w:rsidR="006641B8" w:rsidRPr="001C50A7">
        <w:t xml:space="preserve"> c</w:t>
      </w:r>
      <w:r w:rsidRPr="001C50A7">
        <w:t xml:space="preserve">ontract, the </w:t>
      </w:r>
      <w:r w:rsidR="006641B8" w:rsidRPr="001C50A7">
        <w:t>contractor</w:t>
      </w:r>
      <w:r w:rsidRPr="001C50A7">
        <w:t xml:space="preserve"> shall draw this to the attention of </w:t>
      </w:r>
      <w:r w:rsidR="006641B8" w:rsidRPr="001C50A7">
        <w:t>ENGIE</w:t>
      </w:r>
      <w:r w:rsidRPr="001C50A7">
        <w:t xml:space="preserve">. </w:t>
      </w:r>
    </w:p>
    <w:p w14:paraId="3B9C2693" w14:textId="487C7280" w:rsidR="00602513" w:rsidRPr="001C50A7" w:rsidRDefault="00602513" w:rsidP="00602513">
      <w:r w:rsidRPr="001C50A7">
        <w:t xml:space="preserve">Surveys shall be carried out in accordance with Control of Asbestos Regulations 2012: </w:t>
      </w:r>
    </w:p>
    <w:p w14:paraId="14D2638F" w14:textId="23D45F17" w:rsidR="00602513" w:rsidRPr="001C50A7" w:rsidRDefault="00602513" w:rsidP="001B15F7">
      <w:pPr>
        <w:pStyle w:val="ListParagraph"/>
        <w:numPr>
          <w:ilvl w:val="0"/>
          <w:numId w:val="12"/>
        </w:numPr>
      </w:pPr>
      <w:r w:rsidRPr="001C50A7">
        <w:t xml:space="preserve">HSG264 "Asbestos: The Survey Guide" (2010) printed and published by the Health and Safety Executive ISBN 978 0 7176 6385 9; and </w:t>
      </w:r>
    </w:p>
    <w:p w14:paraId="53473EFB" w14:textId="358DF9AE" w:rsidR="00602513" w:rsidRPr="001C50A7" w:rsidRDefault="00602513" w:rsidP="001B15F7">
      <w:pPr>
        <w:pStyle w:val="ListParagraph"/>
        <w:numPr>
          <w:ilvl w:val="0"/>
          <w:numId w:val="12"/>
        </w:numPr>
      </w:pPr>
      <w:r w:rsidRPr="001C50A7">
        <w:t>HSG248 "Asbestos: The analysts' guide for sampling, analysis and clearance procedures" (2005) printed and published by the Health and Safety Executive ISBN: 9780717628759.</w:t>
      </w:r>
    </w:p>
    <w:p w14:paraId="22B0619A" w14:textId="77777777" w:rsidR="006641B8" w:rsidRPr="001C50A7" w:rsidRDefault="006641B8" w:rsidP="006641B8">
      <w:pPr>
        <w:pStyle w:val="ListParagraph"/>
      </w:pPr>
    </w:p>
    <w:p w14:paraId="5955D503" w14:textId="3A2BAD57" w:rsidR="00602513" w:rsidRPr="001C50A7" w:rsidRDefault="00602513" w:rsidP="00602513">
      <w:r w:rsidRPr="001C50A7">
        <w:t xml:space="preserve">As each may be updated, </w:t>
      </w:r>
      <w:r w:rsidR="006641B8" w:rsidRPr="001C50A7">
        <w:t>supplemented,</w:t>
      </w:r>
      <w:r w:rsidRPr="001C50A7">
        <w:t xml:space="preserve"> or amended from time-to-time. The </w:t>
      </w:r>
      <w:r w:rsidR="006641B8" w:rsidRPr="001C50A7">
        <w:t>contractor</w:t>
      </w:r>
      <w:r w:rsidRPr="001C50A7">
        <w:t xml:space="preserve">’s staff shall be trained to satisfy the requirements of Regulation 10 of the Control of Asbestos Regulations 2012 as may be updated, </w:t>
      </w:r>
      <w:r w:rsidR="006641B8" w:rsidRPr="001C50A7">
        <w:t>supplemented,</w:t>
      </w:r>
      <w:r w:rsidRPr="001C50A7">
        <w:t xml:space="preserve"> or amended from time-to-time. The Supplier’s staff and operatives must be fully certificated by the appropriate regulatory body and must be suitably qualified, trained and certified to carry out the work, as appropriate. As a </w:t>
      </w:r>
      <w:r w:rsidR="006641B8" w:rsidRPr="001C50A7">
        <w:t>minimum the Supplier’s employee</w:t>
      </w:r>
      <w:r w:rsidRPr="001C50A7">
        <w:t xml:space="preserve"> undertaking the asbestos survey must hold the BOHS P402 qualification. All Supplier’s’ staff conducting work under this framework must also have a minimum 'in the field' work experience of 6 months for Management Surveys and 2 years for Refurbishment and Demolition Surveys.</w:t>
      </w:r>
    </w:p>
    <w:p w14:paraId="76924EBA" w14:textId="7C4DE57E" w:rsidR="006641B8" w:rsidRPr="001C50A7" w:rsidRDefault="006641B8" w:rsidP="001B15F7">
      <w:pPr>
        <w:pStyle w:val="ListParagraph"/>
        <w:numPr>
          <w:ilvl w:val="0"/>
          <w:numId w:val="14"/>
        </w:numPr>
      </w:pPr>
      <w:r w:rsidRPr="001C50A7">
        <w:t>Contractor Obligations</w:t>
      </w:r>
    </w:p>
    <w:p w14:paraId="556F03C1" w14:textId="66614B08" w:rsidR="006641B8" w:rsidRPr="001C50A7" w:rsidRDefault="006641B8" w:rsidP="006641B8">
      <w:pPr>
        <w:pStyle w:val="ListParagraph"/>
        <w:ind w:left="360"/>
      </w:pPr>
      <w:r w:rsidRPr="001C50A7">
        <w:t>TRAINING – The appointed contractor shall also ensure that throughout the duration of the Framework Contract all employees are fully qualified, certified, trained and kept up to date with the relevant legislation and legal requirements. Upon request the Supplier must furnish Scotland Excel or the Councils with documentary evidence pertaining to current licensing, certification, staff qualifications / level of training / experience.</w:t>
      </w:r>
    </w:p>
    <w:p w14:paraId="1F713F2A" w14:textId="25748B4B" w:rsidR="006641B8" w:rsidRPr="001C50A7" w:rsidRDefault="006641B8" w:rsidP="006641B8">
      <w:pPr>
        <w:pStyle w:val="ListParagraph"/>
        <w:ind w:left="360"/>
      </w:pPr>
      <w:r w:rsidRPr="001C50A7">
        <w:t xml:space="preserve">IDENTIFICATION- The Contractor shall provide a means of identification (name of </w:t>
      </w:r>
      <w:r w:rsidR="00A42D6C" w:rsidRPr="001C50A7">
        <w:t>contractor,</w:t>
      </w:r>
      <w:r w:rsidRPr="001C50A7">
        <w:t xml:space="preserve"> employee name, title, photograph, and telephone number to confirm identification) for his employees and shall require his staff to </w:t>
      </w:r>
      <w:r w:rsidR="00A42D6C" w:rsidRPr="001C50A7">
        <w:t>always wear and keep visible such identification</w:t>
      </w:r>
      <w:r w:rsidRPr="001C50A7">
        <w:t xml:space="preserve"> and whilst at any site where the Supplier is engaged to carry out a works. Entry to premises and/or to any site where the contractor is engaged to carry out a works may be refused if such identification is not displayed.</w:t>
      </w:r>
    </w:p>
    <w:p w14:paraId="63206A34" w14:textId="4334E722" w:rsidR="006641B8" w:rsidRPr="001C50A7" w:rsidRDefault="006641B8" w:rsidP="006641B8">
      <w:pPr>
        <w:pStyle w:val="ListParagraph"/>
        <w:ind w:left="360"/>
      </w:pPr>
      <w:r w:rsidRPr="001C50A7">
        <w:lastRenderedPageBreak/>
        <w:t xml:space="preserve">UNIFORM-The Contractor must ensure that </w:t>
      </w:r>
      <w:r w:rsidR="00A42D6C" w:rsidRPr="001C50A7">
        <w:t>all</w:t>
      </w:r>
      <w:r w:rsidRPr="001C50A7">
        <w:t xml:space="preserve"> its operatives and representatives are dressed in such a fashion as to have a corporate uniform identity, acceptable to the end user and clearly identifiable to all members of the public and employees.</w:t>
      </w:r>
    </w:p>
    <w:p w14:paraId="4267C9A3" w14:textId="77777777" w:rsidR="00A42D6C" w:rsidRPr="001C50A7" w:rsidRDefault="006641B8" w:rsidP="006641B8">
      <w:pPr>
        <w:pStyle w:val="ListParagraph"/>
        <w:ind w:left="360"/>
      </w:pPr>
      <w:r w:rsidRPr="001C50A7">
        <w:t>BEHAVIOUR-The Contractor shall ensure that employees, whilst on site where the</w:t>
      </w:r>
      <w:r w:rsidR="00A42D6C" w:rsidRPr="001C50A7">
        <w:t xml:space="preserve">y are </w:t>
      </w:r>
      <w:r w:rsidRPr="001C50A7">
        <w:t>engaged to carry out a wor</w:t>
      </w:r>
      <w:r w:rsidR="00A42D6C" w:rsidRPr="001C50A7">
        <w:t>ks</w:t>
      </w:r>
      <w:r w:rsidRPr="001C50A7">
        <w:t xml:space="preserve">, behave in an orderly and as quiet a manner as is reasonably practicable having regard to the nature of the services being performed. All services shall be carried out in a reasonable and safe and professional manner, so as not to cause unnecessary disruption to the routines and procedures of the </w:t>
      </w:r>
      <w:r w:rsidR="00A42D6C" w:rsidRPr="001C50A7">
        <w:t xml:space="preserve">end users. </w:t>
      </w:r>
    </w:p>
    <w:p w14:paraId="0EFFC26A" w14:textId="4F810BF6" w:rsidR="00A42D6C" w:rsidRPr="001C50A7" w:rsidRDefault="006641B8" w:rsidP="006641B8">
      <w:pPr>
        <w:pStyle w:val="ListParagraph"/>
        <w:ind w:left="360"/>
      </w:pPr>
      <w:r w:rsidRPr="001C50A7">
        <w:t xml:space="preserve">The </w:t>
      </w:r>
      <w:r w:rsidR="00A42D6C" w:rsidRPr="001C50A7">
        <w:t>Contractor</w:t>
      </w:r>
      <w:r w:rsidRPr="001C50A7">
        <w:t xml:space="preserve"> shall ensure that the Supplier’s staff whilst on any site where the</w:t>
      </w:r>
      <w:r w:rsidR="00A42D6C" w:rsidRPr="001C50A7">
        <w:t xml:space="preserve">y </w:t>
      </w:r>
      <w:r w:rsidRPr="001C50A7">
        <w:t xml:space="preserve">engaged to carry out </w:t>
      </w:r>
      <w:r w:rsidR="00A42D6C" w:rsidRPr="001C50A7">
        <w:t>works:</w:t>
      </w:r>
    </w:p>
    <w:p w14:paraId="0C8D87C3" w14:textId="77777777" w:rsidR="00A42D6C" w:rsidRPr="001C50A7" w:rsidRDefault="006641B8" w:rsidP="006641B8">
      <w:pPr>
        <w:pStyle w:val="ListParagraph"/>
        <w:ind w:left="360"/>
      </w:pPr>
      <w:r w:rsidRPr="001C50A7">
        <w:t xml:space="preserve">- do not attend work under the influence of alcohol and/or illegal substances. </w:t>
      </w:r>
    </w:p>
    <w:p w14:paraId="434B0E6B" w14:textId="77777777" w:rsidR="00A42D6C" w:rsidRPr="001C50A7" w:rsidRDefault="006641B8" w:rsidP="006641B8">
      <w:pPr>
        <w:pStyle w:val="ListParagraph"/>
        <w:ind w:left="360"/>
      </w:pPr>
      <w:r w:rsidRPr="001C50A7">
        <w:t xml:space="preserve">- do not have in their possession alcohol and/or illegal substances. </w:t>
      </w:r>
    </w:p>
    <w:p w14:paraId="6D1D6AD1" w14:textId="77777777" w:rsidR="00A42D6C" w:rsidRPr="001C50A7" w:rsidRDefault="006641B8" w:rsidP="006641B8">
      <w:pPr>
        <w:pStyle w:val="ListParagraph"/>
        <w:ind w:left="360"/>
      </w:pPr>
      <w:r w:rsidRPr="001C50A7">
        <w:t xml:space="preserve">- do not use bad/inappropriate language. </w:t>
      </w:r>
    </w:p>
    <w:p w14:paraId="0478CCC8" w14:textId="77777777" w:rsidR="00A42D6C" w:rsidRPr="001C50A7" w:rsidRDefault="006641B8" w:rsidP="006641B8">
      <w:pPr>
        <w:pStyle w:val="ListParagraph"/>
        <w:ind w:left="360"/>
      </w:pPr>
      <w:r w:rsidRPr="001C50A7">
        <w:t xml:space="preserve">- do not play music. </w:t>
      </w:r>
    </w:p>
    <w:p w14:paraId="45C3F4F9" w14:textId="1E72BAAD" w:rsidR="006641B8" w:rsidRPr="001C50A7" w:rsidRDefault="00A42D6C" w:rsidP="006641B8">
      <w:pPr>
        <w:pStyle w:val="ListParagraph"/>
        <w:ind w:left="360"/>
      </w:pPr>
      <w:r w:rsidRPr="001C50A7">
        <w:t xml:space="preserve">CONFIDENTIALITY - </w:t>
      </w:r>
      <w:r w:rsidR="006641B8" w:rsidRPr="001C50A7">
        <w:t xml:space="preserve">The </w:t>
      </w:r>
      <w:r w:rsidRPr="001C50A7">
        <w:t xml:space="preserve">Contractor </w:t>
      </w:r>
      <w:r w:rsidR="006641B8" w:rsidRPr="001C50A7">
        <w:t xml:space="preserve">and </w:t>
      </w:r>
      <w:r w:rsidRPr="001C50A7">
        <w:t>their</w:t>
      </w:r>
      <w:r w:rsidR="006641B8" w:rsidRPr="001C50A7">
        <w:t xml:space="preserve"> staff shall regard </w:t>
      </w:r>
      <w:r w:rsidRPr="001C50A7">
        <w:t xml:space="preserve">site information </w:t>
      </w:r>
      <w:r w:rsidR="006641B8" w:rsidRPr="001C50A7">
        <w:t xml:space="preserve">as confidential and shall not disclose to any person or body any information which is acquired as a consequence of operating this </w:t>
      </w:r>
      <w:r w:rsidRPr="001C50A7">
        <w:t>contract unless</w:t>
      </w:r>
      <w:r w:rsidR="006641B8" w:rsidRPr="001C50A7">
        <w:t xml:space="preserve"> they are given written permission to do so by </w:t>
      </w:r>
      <w:r w:rsidRPr="001C50A7">
        <w:t>ENGIE and our end user.</w:t>
      </w:r>
    </w:p>
    <w:p w14:paraId="4E5F93B4" w14:textId="0A3F1F08" w:rsidR="006641B8" w:rsidRPr="001C50A7" w:rsidRDefault="006641B8" w:rsidP="001B15F7">
      <w:pPr>
        <w:pStyle w:val="ListParagraph"/>
        <w:numPr>
          <w:ilvl w:val="0"/>
          <w:numId w:val="14"/>
        </w:numPr>
      </w:pPr>
      <w:r w:rsidRPr="001C50A7">
        <w:t>Material Assessment</w:t>
      </w:r>
    </w:p>
    <w:p w14:paraId="37A13647" w14:textId="77777777" w:rsidR="00A42D6C" w:rsidRPr="001C50A7" w:rsidRDefault="00A42D6C" w:rsidP="00A42D6C">
      <w:pPr>
        <w:pStyle w:val="ListParagraph"/>
        <w:ind w:left="360"/>
      </w:pPr>
      <w:r w:rsidRPr="001C50A7">
        <w:t xml:space="preserve">The purpose of the material assessment is to establish the relative ability of various types of ACMs to release fibres into the air, should they be disturbed. The type of fibre is also taken into account. This assessment shall be carried out as an integral part of the survey and be in accordance with HSG264 “Material assessment algorithm”. </w:t>
      </w:r>
    </w:p>
    <w:p w14:paraId="6B708A3D" w14:textId="334F2D7C" w:rsidR="00A42D6C" w:rsidRPr="001C50A7" w:rsidRDefault="00A42D6C" w:rsidP="00A42D6C">
      <w:pPr>
        <w:pStyle w:val="ListParagraph"/>
        <w:ind w:left="360"/>
      </w:pPr>
      <w:r w:rsidRPr="001C50A7">
        <w:t xml:space="preserve">If upon carrying out a survey the ACM has high potential for asbestos release the contractor must contact ENGIE immediately to initiate the appropriate action. </w:t>
      </w:r>
    </w:p>
    <w:p w14:paraId="1E63C182" w14:textId="77777777" w:rsidR="00A42D6C" w:rsidRPr="001C50A7" w:rsidRDefault="00A42D6C" w:rsidP="00A42D6C">
      <w:pPr>
        <w:pStyle w:val="ListParagraph"/>
        <w:ind w:left="360"/>
      </w:pPr>
      <w:r w:rsidRPr="001C50A7">
        <w:t xml:space="preserve">Priority assessments are to be submitted for all suspect materials identified. </w:t>
      </w:r>
    </w:p>
    <w:p w14:paraId="32962856" w14:textId="5774295D" w:rsidR="00A42D6C" w:rsidRPr="001C50A7" w:rsidRDefault="00A42D6C" w:rsidP="00A42D6C">
      <w:pPr>
        <w:pStyle w:val="ListParagraph"/>
        <w:ind w:left="360"/>
      </w:pPr>
      <w:r w:rsidRPr="001C50A7">
        <w:t>For the avoidance of doubt risk assessments provided must include both material assessments and priority assessments.</w:t>
      </w:r>
    </w:p>
    <w:p w14:paraId="25C78740" w14:textId="7F90B081" w:rsidR="006641B8" w:rsidRPr="001C50A7" w:rsidRDefault="006641B8" w:rsidP="001B15F7">
      <w:pPr>
        <w:pStyle w:val="ListParagraph"/>
        <w:numPr>
          <w:ilvl w:val="0"/>
          <w:numId w:val="14"/>
        </w:numPr>
      </w:pPr>
      <w:r w:rsidRPr="001C50A7">
        <w:t>Specification of Service – Management Survey</w:t>
      </w:r>
    </w:p>
    <w:p w14:paraId="3B865E1C" w14:textId="6C327AF7" w:rsidR="00A42D6C" w:rsidRPr="001C50A7" w:rsidRDefault="00A42D6C" w:rsidP="00A42D6C">
      <w:pPr>
        <w:pStyle w:val="ListParagraph"/>
        <w:ind w:left="360"/>
      </w:pPr>
      <w:r w:rsidRPr="001C50A7">
        <w:t>The purpose of a Management Survey is to locate, as far as reasonably practicable, the presence and extent of any suspect ACMs in the building which could be damaged or disturbed during normal occupancy, including foreseeable maintenance and installation, and to assess their condition. Management Surveys will be carried out in line with codes of practice as stated above.</w:t>
      </w:r>
    </w:p>
    <w:p w14:paraId="785EE4E7" w14:textId="77777777" w:rsidR="00A42D6C" w:rsidRPr="001C50A7" w:rsidRDefault="00A42D6C" w:rsidP="00A42D6C">
      <w:pPr>
        <w:pStyle w:val="ListParagraph"/>
        <w:ind w:left="360"/>
      </w:pPr>
      <w:r w:rsidRPr="001C50A7">
        <w:t xml:space="preserve">The Contractor may be required to conduct a re-inspection Management Survey on previously tested known asbestos products or suspect asbestos products as and when required in accordance with Regulation 4 of the Control of Asbestos Regulations 2012. Rates for re-inspection will be on an "ACM inspection point basis". </w:t>
      </w:r>
    </w:p>
    <w:p w14:paraId="6CD0497C" w14:textId="4F61DCC2" w:rsidR="00A42D6C" w:rsidRPr="001C50A7" w:rsidRDefault="00A42D6C" w:rsidP="00A42D6C">
      <w:pPr>
        <w:pStyle w:val="ListParagraph"/>
        <w:ind w:left="360"/>
      </w:pPr>
      <w:r w:rsidRPr="001C50A7">
        <w:t>Re-inspection visits must include, reporting of missed asbestos where identified, photographs, access previously non accessed areas, and update risk scores and recommendations.</w:t>
      </w:r>
    </w:p>
    <w:p w14:paraId="0B52232E" w14:textId="6B80575E" w:rsidR="006641B8" w:rsidRPr="001C50A7" w:rsidRDefault="006641B8" w:rsidP="001B15F7">
      <w:pPr>
        <w:pStyle w:val="ListParagraph"/>
        <w:numPr>
          <w:ilvl w:val="0"/>
          <w:numId w:val="14"/>
        </w:numPr>
      </w:pPr>
      <w:r w:rsidRPr="001C50A7">
        <w:t>Specification of Service – Refurbishment and Demolition Survey</w:t>
      </w:r>
    </w:p>
    <w:p w14:paraId="28AF5CCE" w14:textId="77777777" w:rsidR="00A42D6C" w:rsidRPr="001C50A7" w:rsidRDefault="00A42D6C" w:rsidP="00A42D6C">
      <w:pPr>
        <w:pStyle w:val="ListParagraph"/>
        <w:ind w:left="360"/>
      </w:pPr>
      <w:r w:rsidRPr="001C50A7">
        <w:t>Where required; refurbishment and demolition survey maybe requested by ENGIE on behalf of our end user. This type of survey is used to locate and describe, as far as reasonably practicable, all ACMs in the area and should include inspections above, within and or behind existing ACM’s, where the refurbishment work will take place or in the whole building if demolition is planned. The survey will be fully intrusive and involve destructive inspection, as necessary, to gain access to all areas, including those that may be difficult to reach. A refurbishment and demolition survey may also be required in other circumstances, e.g. when more intrusive maintenance and repair work will be carried out or for plant removal or dismantling. Refurbishment and Demolition Surveys will be carried out in line with codes of practice as indicated in 4.1</w:t>
      </w:r>
    </w:p>
    <w:p w14:paraId="075A020C" w14:textId="77777777" w:rsidR="00A42D6C" w:rsidRPr="001C50A7" w:rsidRDefault="00A42D6C" w:rsidP="00A42D6C">
      <w:pPr>
        <w:pStyle w:val="ListParagraph"/>
        <w:ind w:left="360"/>
      </w:pPr>
      <w:r w:rsidRPr="001C50A7">
        <w:t xml:space="preserve">Please note that the area should not be occupied when a Refurbishment &amp; Demolition Survey is to be carried out. </w:t>
      </w:r>
    </w:p>
    <w:p w14:paraId="35A4AF41" w14:textId="094ABF92" w:rsidR="00A42D6C" w:rsidRPr="001C50A7" w:rsidRDefault="00A42D6C" w:rsidP="00A42D6C">
      <w:pPr>
        <w:pStyle w:val="ListParagraph"/>
        <w:ind w:left="360"/>
      </w:pPr>
      <w:r w:rsidRPr="001C50A7">
        <w:t xml:space="preserve">Following the </w:t>
      </w:r>
      <w:r w:rsidR="00815D2E" w:rsidRPr="001C50A7">
        <w:t>survey,</w:t>
      </w:r>
      <w:r w:rsidRPr="001C50A7">
        <w:t xml:space="preserve"> the area must be left fit for reoccupation. For emergency sampling, an emergency contact will be nominated and be available if required.</w:t>
      </w:r>
    </w:p>
    <w:p w14:paraId="0206FB33" w14:textId="3E46F080" w:rsidR="006641B8" w:rsidRPr="001C50A7" w:rsidRDefault="006641B8" w:rsidP="00602513"/>
    <w:p w14:paraId="42852B14" w14:textId="6BF93B2E" w:rsidR="00815D2E" w:rsidRPr="001C50A7" w:rsidRDefault="00815D2E" w:rsidP="00602513"/>
    <w:p w14:paraId="53604CF2" w14:textId="3074B5DC" w:rsidR="001B15F7" w:rsidRPr="001C50A7" w:rsidRDefault="001B15F7" w:rsidP="00602513"/>
    <w:p w14:paraId="08717984" w14:textId="6061E0EC" w:rsidR="001B15F7" w:rsidRDefault="001B15F7" w:rsidP="00602513"/>
    <w:p w14:paraId="25FEA403" w14:textId="77777777" w:rsidR="001C50A7" w:rsidRPr="001C50A7" w:rsidRDefault="001C50A7" w:rsidP="00602513"/>
    <w:p w14:paraId="4B2E0521" w14:textId="77777777" w:rsidR="00280D8E" w:rsidRPr="001C50A7" w:rsidRDefault="00280D8E" w:rsidP="001C50A7">
      <w:pPr>
        <w:pStyle w:val="Heading2"/>
        <w:ind w:left="357" w:hanging="357"/>
      </w:pPr>
      <w:bookmarkStart w:id="0" w:name="_Hlk69127520"/>
      <w:r w:rsidRPr="001C50A7">
        <w:lastRenderedPageBreak/>
        <w:t>Reporting</w:t>
      </w:r>
      <w:bookmarkEnd w:id="0"/>
      <w:r w:rsidRPr="001C50A7">
        <w:t xml:space="preserve"> </w:t>
      </w:r>
    </w:p>
    <w:p w14:paraId="51B85FEB" w14:textId="2BA1A664" w:rsidR="00280D8E" w:rsidRDefault="00602513" w:rsidP="00815D2E">
      <w:r>
        <w:t xml:space="preserve">The Supplier shall be required to submit a survey report to an agreed timescale with </w:t>
      </w:r>
      <w:r w:rsidR="00815D2E">
        <w:t xml:space="preserve">ENGIE </w:t>
      </w:r>
      <w:r w:rsidR="004765CD">
        <w:t xml:space="preserve"> </w:t>
      </w:r>
      <w:r>
        <w:t xml:space="preserve"> no later than 2 weeks of completion to allow for quality control checks to be applied. </w:t>
      </w:r>
    </w:p>
    <w:p w14:paraId="51A43970" w14:textId="77777777" w:rsidR="00745AEC" w:rsidRDefault="00745AEC" w:rsidP="00745AEC">
      <w:r>
        <w:t xml:space="preserve">A monthly report will be supplied and will include for example: </w:t>
      </w:r>
    </w:p>
    <w:p w14:paraId="2EEFF17B" w14:textId="09AF651C" w:rsidR="0023583D" w:rsidRDefault="0023583D" w:rsidP="001B15F7">
      <w:pPr>
        <w:pStyle w:val="ListParagraph"/>
        <w:numPr>
          <w:ilvl w:val="0"/>
          <w:numId w:val="15"/>
        </w:numPr>
      </w:pPr>
      <w:r w:rsidRPr="001C50A7">
        <w:t>Maintenance</w:t>
      </w:r>
      <w:r w:rsidR="009268D4" w:rsidRPr="001C50A7">
        <w:t xml:space="preserve"> site by site</w:t>
      </w:r>
      <w:r w:rsidR="00C22F87">
        <w:t xml:space="preserve"> – This will detail PPM performance on</w:t>
      </w:r>
      <w:r>
        <w:t xml:space="preserve"> SLA’s met</w:t>
      </w:r>
      <w:r w:rsidR="00C22F87">
        <w:t>, those missed and detailing the reasons why</w:t>
      </w:r>
      <w:r w:rsidR="00D97333">
        <w:t xml:space="preserve">. </w:t>
      </w:r>
    </w:p>
    <w:p w14:paraId="2E53DF51" w14:textId="2B3F5721" w:rsidR="0023583D" w:rsidRDefault="0023583D" w:rsidP="001B15F7">
      <w:pPr>
        <w:pStyle w:val="ListParagraph"/>
        <w:numPr>
          <w:ilvl w:val="0"/>
          <w:numId w:val="15"/>
        </w:numPr>
      </w:pPr>
      <w:r w:rsidRPr="001C50A7">
        <w:t>Reactive</w:t>
      </w:r>
      <w:r w:rsidR="00C22F87">
        <w:t xml:space="preserve"> – This will detail </w:t>
      </w:r>
      <w:r>
        <w:t xml:space="preserve">SLA’s </w:t>
      </w:r>
      <w:r w:rsidR="00C22F87">
        <w:t>that have been met or not</w:t>
      </w:r>
    </w:p>
    <w:p w14:paraId="29BFFCCA" w14:textId="7665DB4D" w:rsidR="004637B0" w:rsidRDefault="004637B0" w:rsidP="001B15F7">
      <w:pPr>
        <w:pStyle w:val="ListParagraph"/>
        <w:numPr>
          <w:ilvl w:val="0"/>
          <w:numId w:val="15"/>
        </w:numPr>
      </w:pPr>
      <w:r w:rsidRPr="001C50A7">
        <w:t>Capital planner/lifecycle</w:t>
      </w:r>
      <w:r w:rsidR="009268D4">
        <w:t xml:space="preserve"> (If applicable)</w:t>
      </w:r>
      <w:r>
        <w:t xml:space="preserve"> – </w:t>
      </w:r>
      <w:r w:rsidR="009268D4">
        <w:t>This will detail assets that are aged, obsolete or due for repair and should be considered for a replacement</w:t>
      </w:r>
      <w:r w:rsidR="00386CC9">
        <w:t xml:space="preserve"> referencing CIPSE </w:t>
      </w:r>
      <w:r w:rsidR="00C61B12">
        <w:t>guide</w:t>
      </w:r>
      <w:r w:rsidR="00386CC9">
        <w:t xml:space="preserve"> M</w:t>
      </w:r>
      <w:r w:rsidR="00A46CBD">
        <w:t xml:space="preserve"> &amp; SFG20</w:t>
      </w:r>
      <w:r w:rsidR="00386CC9">
        <w:t>.</w:t>
      </w:r>
    </w:p>
    <w:p w14:paraId="7E1ECF35" w14:textId="66CA5522" w:rsidR="004637B0" w:rsidRPr="001C50A7" w:rsidRDefault="004637B0" w:rsidP="001B15F7">
      <w:pPr>
        <w:pStyle w:val="ListParagraph"/>
        <w:numPr>
          <w:ilvl w:val="0"/>
          <w:numId w:val="15"/>
        </w:numPr>
      </w:pPr>
      <w:r w:rsidRPr="001C50A7">
        <w:t>Quotes raised and outstanding</w:t>
      </w:r>
      <w:r w:rsidR="00C61B12">
        <w:t xml:space="preserve">- </w:t>
      </w:r>
      <w:r w:rsidR="00A46CBD">
        <w:t xml:space="preserve">All reactive works that have been quoted including raised, in process </w:t>
      </w:r>
      <w:r w:rsidR="00A46CBD" w:rsidRPr="001C50A7">
        <w:t>and completed</w:t>
      </w:r>
    </w:p>
    <w:p w14:paraId="0B425E46" w14:textId="47E59CC2" w:rsidR="004765CD" w:rsidRPr="001C50A7" w:rsidRDefault="004765CD" w:rsidP="00280D8E">
      <w:r w:rsidRPr="001C50A7">
        <w:t xml:space="preserve">PPM Service </w:t>
      </w:r>
      <w:r w:rsidR="00280D8E" w:rsidRPr="001C50A7">
        <w:t>Reports</w:t>
      </w:r>
      <w:r w:rsidRPr="001C50A7">
        <w:t xml:space="preserve"> </w:t>
      </w:r>
      <w:r w:rsidR="00280D8E" w:rsidRPr="001C50A7">
        <w:t>/</w:t>
      </w:r>
      <w:r w:rsidRPr="001C50A7">
        <w:t xml:space="preserve"> Remedial quotations should</w:t>
      </w:r>
      <w:r w:rsidR="00280D8E" w:rsidRPr="001C50A7">
        <w:t xml:space="preserve"> be submitted to:</w:t>
      </w:r>
      <w:r w:rsidRPr="001C50A7">
        <w:t xml:space="preserve"> </w:t>
      </w:r>
    </w:p>
    <w:p w14:paraId="2944AE23" w14:textId="676128A4" w:rsidR="00280D8E" w:rsidRPr="001C50A7" w:rsidRDefault="004765CD" w:rsidP="00280D8E">
      <w:r w:rsidRPr="001C50A7">
        <w:t>HMCTS Compliance Admin Inbox</w:t>
      </w:r>
      <w:r w:rsidR="00280D8E" w:rsidRPr="001C50A7">
        <w:t xml:space="preserve"> </w:t>
      </w:r>
      <w:hyperlink r:id="rId13" w:history="1">
        <w:r w:rsidRPr="001C50A7">
          <w:t>hmctscompliance.uk@engie.com</w:t>
        </w:r>
      </w:hyperlink>
      <w:r w:rsidRPr="001C50A7">
        <w:t xml:space="preserve"> </w:t>
      </w:r>
    </w:p>
    <w:p w14:paraId="4A419FE2" w14:textId="17E38166" w:rsidR="00440948" w:rsidRDefault="002E4024" w:rsidP="001818BE">
      <w:pPr>
        <w:pStyle w:val="Heading2"/>
      </w:pPr>
      <w:r>
        <w:t>Reactive</w:t>
      </w:r>
      <w:r w:rsidR="00280D8E">
        <w:t xml:space="preserve"> Services</w:t>
      </w:r>
    </w:p>
    <w:p w14:paraId="3232EDB1" w14:textId="61939E8A" w:rsidR="0060235E" w:rsidRDefault="0060235E" w:rsidP="0060235E">
      <w:r>
        <w:t xml:space="preserve">The subcontractor will be able to commit to the below </w:t>
      </w:r>
      <w:r w:rsidR="005E41E7">
        <w:t>reactive</w:t>
      </w:r>
      <w:r w:rsidR="004973A3">
        <w:t xml:space="preserve"> requirements (prices to be submitted via pricing document)</w:t>
      </w:r>
      <w:r w:rsidR="00566C12">
        <w:t xml:space="preserve">: </w:t>
      </w:r>
    </w:p>
    <w:p w14:paraId="0D24DC1A" w14:textId="3F638F95" w:rsidR="00254C97" w:rsidRPr="0060235E" w:rsidRDefault="00254C97" w:rsidP="0060235E">
      <w:r w:rsidRPr="00254C97">
        <w:rPr>
          <w:noProof/>
        </w:rPr>
        <w:drawing>
          <wp:inline distT="0" distB="0" distL="0" distR="0" wp14:anchorId="09C128B6" wp14:editId="644733D6">
            <wp:extent cx="6390005" cy="3190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0005" cy="3190875"/>
                    </a:xfrm>
                    <a:prstGeom prst="rect">
                      <a:avLst/>
                    </a:prstGeom>
                    <a:noFill/>
                    <a:ln>
                      <a:noFill/>
                    </a:ln>
                  </pic:spPr>
                </pic:pic>
              </a:graphicData>
            </a:graphic>
          </wp:inline>
        </w:drawing>
      </w:r>
    </w:p>
    <w:p w14:paraId="1ADEFCA5" w14:textId="51A8BC45" w:rsidR="00280D8E" w:rsidRDefault="004765CD" w:rsidP="00280D8E">
      <w:r>
        <w:t xml:space="preserve">Reactive </w:t>
      </w:r>
      <w:r w:rsidR="00280D8E">
        <w:t xml:space="preserve">Reports/costs for repairs and remedials will be submitted to the below: </w:t>
      </w:r>
    </w:p>
    <w:p w14:paraId="778F10F1"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SEHMCTS.UK@ENGIE.COM - South East Scheduling inbox</w:t>
      </w:r>
    </w:p>
    <w:p w14:paraId="4689E6EF"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LDNHMCTS.UK@ENGIE.COM - London Scheduling inbox</w:t>
      </w:r>
    </w:p>
    <w:p w14:paraId="336D428E"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MIDHMCTS.UK@ENGIE.COM - Midlands Scheduling inbox</w:t>
      </w:r>
    </w:p>
    <w:p w14:paraId="019F125D"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SWHMCTS.UK@ENGIE.COM - South West and Wales Scheduling inbox</w:t>
      </w:r>
    </w:p>
    <w:p w14:paraId="4E9025EB"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NEHMCTS.UK@ENGIE.COM - North East Scheduling inbox</w:t>
      </w:r>
    </w:p>
    <w:p w14:paraId="0B0B81B1"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NWHMCTS.UK@ENGIE.COM - North West Scheduling inbox</w:t>
      </w:r>
    </w:p>
    <w:p w14:paraId="11FD5902" w14:textId="165C70BF" w:rsidR="00EF2092" w:rsidRPr="00280D8E" w:rsidRDefault="00EF2092" w:rsidP="00280D8E">
      <w:pPr>
        <w:spacing w:before="0" w:after="0" w:line="240" w:lineRule="auto"/>
        <w:jc w:val="left"/>
        <w:rPr>
          <w:rFonts w:ascii="Segoe UI" w:eastAsia="Times New Roman" w:hAnsi="Segoe UI" w:cs="Segoe UI"/>
          <w:sz w:val="21"/>
          <w:szCs w:val="21"/>
        </w:rPr>
      </w:pPr>
    </w:p>
    <w:p w14:paraId="70842581" w14:textId="6500F981" w:rsidR="00EF2092" w:rsidRDefault="00EF2092" w:rsidP="0060235E"/>
    <w:p w14:paraId="56A38440" w14:textId="77777777" w:rsidR="00A634AC" w:rsidRDefault="00A634AC" w:rsidP="0060235E"/>
    <w:p w14:paraId="05F83E14" w14:textId="18DE7A19" w:rsidR="0060235E" w:rsidRPr="00492523" w:rsidRDefault="00280D8E" w:rsidP="0060235E">
      <w:pPr>
        <w:pStyle w:val="Heading2"/>
      </w:pPr>
      <w:r>
        <w:lastRenderedPageBreak/>
        <w:t>Invoicing</w:t>
      </w:r>
    </w:p>
    <w:p w14:paraId="4ED41760" w14:textId="77777777" w:rsidR="00280D8E" w:rsidRDefault="00280D8E" w:rsidP="00280D8E">
      <w:r>
        <w:t xml:space="preserve">The subcontractor will support the contract in providing reports on maintenance visits as well reactive reports: reason for call out, mitigation, costs etc. On the anniversary of each year of the contract the subcontractor will submit a conditional survey for the assets that they maintain, this may also be known as Lifecycle survey, which will include budgetary costs to replace. </w:t>
      </w:r>
    </w:p>
    <w:p w14:paraId="200629B5" w14:textId="0E7025DC" w:rsidR="00280D8E" w:rsidRDefault="00280D8E" w:rsidP="00280D8E">
      <w:r>
        <w:t xml:space="preserve">Invoicing: The subcontractor will for both maintenance and reactive services provide service sheets with each invoice. This will ensure payment and reduce any delays. Reactive orders will be broken down between labour, materials and working height to ensure transparency. </w:t>
      </w:r>
    </w:p>
    <w:p w14:paraId="7BA5094F" w14:textId="7444420E" w:rsidR="00280D8E" w:rsidRDefault="00280D8E" w:rsidP="00280D8E">
      <w:r>
        <w:t xml:space="preserve">All invoices must be submitted to </w:t>
      </w:r>
      <w:hyperlink r:id="rId15" w:history="1">
        <w:r w:rsidRPr="00C61D72">
          <w:rPr>
            <w:rStyle w:val="Hyperlink"/>
          </w:rPr>
          <w:t>invoicesubmission.uk@engie.com</w:t>
        </w:r>
      </w:hyperlink>
      <w:r>
        <w:t xml:space="preserve"> </w:t>
      </w:r>
      <w:r w:rsidR="00DA23CE">
        <w:t xml:space="preserve">or Via Coupa </w:t>
      </w:r>
    </w:p>
    <w:p w14:paraId="4489CB68" w14:textId="085BB54D" w:rsidR="00EF2092" w:rsidRDefault="00EF2092" w:rsidP="00B15A6E">
      <w:pPr>
        <w:pStyle w:val="Heading2"/>
      </w:pPr>
      <w:bookmarkStart w:id="1" w:name="_Hlk55416085"/>
      <w:r>
        <w:t xml:space="preserve">PPM </w:t>
      </w:r>
      <w:r w:rsidR="006E7DA8">
        <w:t>Tolerances</w:t>
      </w:r>
    </w:p>
    <w:p w14:paraId="414707E4" w14:textId="6C2B0507" w:rsidR="00634840" w:rsidRPr="001C50A7" w:rsidRDefault="00634840" w:rsidP="00634840">
      <w:r w:rsidRPr="001C50A7">
        <w:t>The contract defines the interval between various maintenance routines. In order to comply with the obligations of the contract, the contractor shall perform the maintenance activity on the specified day within the tolerance window specified in the table below.</w:t>
      </w:r>
    </w:p>
    <w:p w14:paraId="496CC518" w14:textId="2BB26A0D" w:rsidR="00634840" w:rsidRPr="001C50A7" w:rsidRDefault="00634840" w:rsidP="00634840">
      <w:r w:rsidRPr="001C50A7">
        <w:t>It should be noted that the actual date on which the routine was performed will not affect the interval to the subsequent maintenance activity, and this subsequent activity will be delivered as stated in the annual PPM schedule.</w:t>
      </w:r>
    </w:p>
    <w:tbl>
      <w:tblPr>
        <w:tblStyle w:val="TableGrid"/>
        <w:tblW w:w="0" w:type="auto"/>
        <w:tblLook w:val="04A0" w:firstRow="1" w:lastRow="0" w:firstColumn="1" w:lastColumn="0" w:noHBand="0" w:noVBand="1"/>
      </w:tblPr>
      <w:tblGrid>
        <w:gridCol w:w="3531"/>
        <w:gridCol w:w="1968"/>
        <w:gridCol w:w="4554"/>
      </w:tblGrid>
      <w:tr w:rsidR="001B15F7" w:rsidRPr="001B15F7" w14:paraId="1116ECAE" w14:textId="6C3D22D2" w:rsidTr="001B15F7">
        <w:tc>
          <w:tcPr>
            <w:tcW w:w="3539" w:type="dxa"/>
            <w:shd w:val="clear" w:color="auto" w:fill="D9D9D9" w:themeFill="background1" w:themeFillShade="D9"/>
          </w:tcPr>
          <w:p w14:paraId="0DC88AAE" w14:textId="0EABFADB" w:rsidR="00F21581" w:rsidRPr="001C50A7" w:rsidRDefault="00F21581" w:rsidP="00634840">
            <w:r w:rsidRPr="001C50A7">
              <w:t>Maintenance Frequency</w:t>
            </w:r>
          </w:p>
        </w:tc>
        <w:tc>
          <w:tcPr>
            <w:tcW w:w="1985" w:type="dxa"/>
            <w:shd w:val="clear" w:color="auto" w:fill="D9D9D9" w:themeFill="background1" w:themeFillShade="D9"/>
          </w:tcPr>
          <w:p w14:paraId="617CF02E" w14:textId="53AB0A18" w:rsidR="00F21581" w:rsidRPr="001C50A7" w:rsidRDefault="00F21581" w:rsidP="00634840">
            <w:r w:rsidRPr="001C50A7">
              <w:t>Window</w:t>
            </w:r>
          </w:p>
        </w:tc>
        <w:tc>
          <w:tcPr>
            <w:tcW w:w="4529" w:type="dxa"/>
            <w:shd w:val="clear" w:color="auto" w:fill="D9D9D9" w:themeFill="background1" w:themeFillShade="D9"/>
          </w:tcPr>
          <w:p w14:paraId="006DB293" w14:textId="1AD0B48B" w:rsidR="00F21581" w:rsidRPr="001C50A7" w:rsidRDefault="00F21581" w:rsidP="00634840">
            <w:r w:rsidRPr="001C50A7">
              <w:t>Example</w:t>
            </w:r>
            <w:r w:rsidR="001B15F7" w:rsidRPr="001C50A7">
              <w:t>, where 0 is due date.</w:t>
            </w:r>
          </w:p>
        </w:tc>
      </w:tr>
      <w:tr w:rsidR="001B15F7" w:rsidRPr="001B15F7" w14:paraId="7DC13748" w14:textId="0B68749E" w:rsidTr="001B15F7">
        <w:tc>
          <w:tcPr>
            <w:tcW w:w="3539" w:type="dxa"/>
          </w:tcPr>
          <w:p w14:paraId="37828C21" w14:textId="4381B133" w:rsidR="00F21581" w:rsidRPr="001C50A7" w:rsidRDefault="00F21581" w:rsidP="00634840">
            <w:r w:rsidRPr="001C50A7">
              <w:t>Weekly</w:t>
            </w:r>
          </w:p>
        </w:tc>
        <w:tc>
          <w:tcPr>
            <w:tcW w:w="1985" w:type="dxa"/>
          </w:tcPr>
          <w:p w14:paraId="26469B51" w14:textId="2EE7C728" w:rsidR="00F21581" w:rsidRPr="001C50A7" w:rsidRDefault="00F21581" w:rsidP="00634840">
            <w:r w:rsidRPr="001C50A7">
              <w:t>+/- 1 Working Day</w:t>
            </w:r>
          </w:p>
        </w:tc>
        <w:tc>
          <w:tcPr>
            <w:tcW w:w="4529" w:type="dxa"/>
          </w:tcPr>
          <w:tbl>
            <w:tblPr>
              <w:tblStyle w:val="TableGrid"/>
              <w:tblW w:w="0" w:type="auto"/>
              <w:tblLook w:val="04A0" w:firstRow="1" w:lastRow="0" w:firstColumn="1" w:lastColumn="0" w:noHBand="0" w:noVBand="1"/>
            </w:tblPr>
            <w:tblGrid>
              <w:gridCol w:w="1436"/>
              <w:gridCol w:w="1436"/>
              <w:gridCol w:w="1441"/>
            </w:tblGrid>
            <w:tr w:rsidR="001B15F7" w:rsidRPr="001B15F7" w14:paraId="1FD83556" w14:textId="77777777" w:rsidTr="001B15F7">
              <w:trPr>
                <w:trHeight w:val="236"/>
              </w:trPr>
              <w:tc>
                <w:tcPr>
                  <w:tcW w:w="4313" w:type="dxa"/>
                  <w:gridSpan w:val="3"/>
                  <w:vAlign w:val="center"/>
                </w:tcPr>
                <w:p w14:paraId="56E4BA9E" w14:textId="77777777" w:rsidR="001B15F7" w:rsidRPr="001C50A7" w:rsidRDefault="001B15F7" w:rsidP="001B15F7">
                  <w:pPr>
                    <w:jc w:val="center"/>
                  </w:pPr>
                  <w:r w:rsidRPr="001C50A7">
                    <w:t>3 Day Window</w:t>
                  </w:r>
                </w:p>
              </w:tc>
            </w:tr>
            <w:tr w:rsidR="001B15F7" w:rsidRPr="001B15F7" w14:paraId="45A3EFF2" w14:textId="77777777" w:rsidTr="001B15F7">
              <w:trPr>
                <w:trHeight w:val="236"/>
              </w:trPr>
              <w:tc>
                <w:tcPr>
                  <w:tcW w:w="1436" w:type="dxa"/>
                  <w:vAlign w:val="center"/>
                </w:tcPr>
                <w:p w14:paraId="4482FA56" w14:textId="77777777" w:rsidR="001B15F7" w:rsidRPr="001C50A7" w:rsidRDefault="001B15F7" w:rsidP="001B15F7">
                  <w:pPr>
                    <w:jc w:val="center"/>
                  </w:pPr>
                  <w:r w:rsidRPr="001C50A7">
                    <w:t>-1</w:t>
                  </w:r>
                </w:p>
              </w:tc>
              <w:tc>
                <w:tcPr>
                  <w:tcW w:w="1436" w:type="dxa"/>
                  <w:vAlign w:val="center"/>
                </w:tcPr>
                <w:p w14:paraId="6FCA83C4" w14:textId="77777777" w:rsidR="001B15F7" w:rsidRPr="001C50A7" w:rsidRDefault="001B15F7" w:rsidP="001B15F7">
                  <w:pPr>
                    <w:jc w:val="center"/>
                  </w:pPr>
                  <w:r w:rsidRPr="001C50A7">
                    <w:t>0</w:t>
                  </w:r>
                </w:p>
              </w:tc>
              <w:tc>
                <w:tcPr>
                  <w:tcW w:w="1441" w:type="dxa"/>
                  <w:vAlign w:val="center"/>
                </w:tcPr>
                <w:p w14:paraId="472DDDD4" w14:textId="77777777" w:rsidR="001B15F7" w:rsidRPr="001C50A7" w:rsidRDefault="001B15F7" w:rsidP="001B15F7">
                  <w:pPr>
                    <w:jc w:val="center"/>
                  </w:pPr>
                  <w:r w:rsidRPr="001C50A7">
                    <w:t>+1</w:t>
                  </w:r>
                </w:p>
              </w:tc>
            </w:tr>
          </w:tbl>
          <w:p w14:paraId="414E8241" w14:textId="31D86D45" w:rsidR="00F21581" w:rsidRPr="001C50A7" w:rsidRDefault="00F21581" w:rsidP="00634840"/>
        </w:tc>
      </w:tr>
      <w:tr w:rsidR="001B15F7" w:rsidRPr="001B15F7" w14:paraId="3F22DFF8" w14:textId="7BE7C712" w:rsidTr="001B15F7">
        <w:tc>
          <w:tcPr>
            <w:tcW w:w="3539" w:type="dxa"/>
          </w:tcPr>
          <w:p w14:paraId="7872C295" w14:textId="0EB61376" w:rsidR="00F21581" w:rsidRPr="001C50A7" w:rsidRDefault="00F21581" w:rsidP="00634840">
            <w:r w:rsidRPr="001C50A7">
              <w:t>&gt;Weekly to and including 3 Monthly</w:t>
            </w:r>
          </w:p>
        </w:tc>
        <w:tc>
          <w:tcPr>
            <w:tcW w:w="1985" w:type="dxa"/>
          </w:tcPr>
          <w:p w14:paraId="659FD107" w14:textId="074ED8E2" w:rsidR="00F21581" w:rsidRPr="001C50A7" w:rsidRDefault="00F21581" w:rsidP="00634840">
            <w:r w:rsidRPr="001C50A7">
              <w:t>+/- 2 Working Days</w:t>
            </w:r>
          </w:p>
        </w:tc>
        <w:tc>
          <w:tcPr>
            <w:tcW w:w="4529" w:type="dxa"/>
          </w:tcPr>
          <w:tbl>
            <w:tblPr>
              <w:tblStyle w:val="TableGrid"/>
              <w:tblW w:w="4328" w:type="dxa"/>
              <w:tblLook w:val="04A0" w:firstRow="1" w:lastRow="0" w:firstColumn="1" w:lastColumn="0" w:noHBand="0" w:noVBand="1"/>
            </w:tblPr>
            <w:tblGrid>
              <w:gridCol w:w="865"/>
              <w:gridCol w:w="865"/>
              <w:gridCol w:w="865"/>
              <w:gridCol w:w="865"/>
              <w:gridCol w:w="868"/>
            </w:tblGrid>
            <w:tr w:rsidR="001B15F7" w:rsidRPr="001B15F7" w14:paraId="3FA144AB" w14:textId="77777777" w:rsidTr="001B15F7">
              <w:trPr>
                <w:trHeight w:val="225"/>
              </w:trPr>
              <w:tc>
                <w:tcPr>
                  <w:tcW w:w="4328" w:type="dxa"/>
                  <w:gridSpan w:val="5"/>
                  <w:vAlign w:val="center"/>
                </w:tcPr>
                <w:p w14:paraId="1DB4E426" w14:textId="77777777" w:rsidR="001B15F7" w:rsidRPr="001C50A7" w:rsidRDefault="001B15F7" w:rsidP="001B15F7">
                  <w:pPr>
                    <w:jc w:val="center"/>
                  </w:pPr>
                  <w:r w:rsidRPr="001C50A7">
                    <w:t>5 Day Window</w:t>
                  </w:r>
                </w:p>
              </w:tc>
            </w:tr>
            <w:tr w:rsidR="001B15F7" w:rsidRPr="001B15F7" w14:paraId="17D637E8" w14:textId="77777777" w:rsidTr="001B15F7">
              <w:trPr>
                <w:trHeight w:val="225"/>
              </w:trPr>
              <w:tc>
                <w:tcPr>
                  <w:tcW w:w="865" w:type="dxa"/>
                  <w:vAlign w:val="center"/>
                </w:tcPr>
                <w:p w14:paraId="28D43D2C" w14:textId="77777777" w:rsidR="001B15F7" w:rsidRPr="001C50A7" w:rsidRDefault="001B15F7" w:rsidP="001B15F7">
                  <w:pPr>
                    <w:jc w:val="center"/>
                  </w:pPr>
                  <w:r w:rsidRPr="001C50A7">
                    <w:t>-2</w:t>
                  </w:r>
                </w:p>
              </w:tc>
              <w:tc>
                <w:tcPr>
                  <w:tcW w:w="865" w:type="dxa"/>
                  <w:vAlign w:val="center"/>
                </w:tcPr>
                <w:p w14:paraId="713B8DC8" w14:textId="77777777" w:rsidR="001B15F7" w:rsidRPr="001C50A7" w:rsidRDefault="001B15F7" w:rsidP="001B15F7">
                  <w:pPr>
                    <w:jc w:val="center"/>
                  </w:pPr>
                  <w:r w:rsidRPr="001C50A7">
                    <w:t>-1</w:t>
                  </w:r>
                </w:p>
              </w:tc>
              <w:tc>
                <w:tcPr>
                  <w:tcW w:w="865" w:type="dxa"/>
                  <w:vAlign w:val="center"/>
                </w:tcPr>
                <w:p w14:paraId="14BB38D4" w14:textId="77777777" w:rsidR="001B15F7" w:rsidRPr="001C50A7" w:rsidRDefault="001B15F7" w:rsidP="001B15F7">
                  <w:pPr>
                    <w:jc w:val="center"/>
                  </w:pPr>
                  <w:r w:rsidRPr="001C50A7">
                    <w:t>0</w:t>
                  </w:r>
                </w:p>
              </w:tc>
              <w:tc>
                <w:tcPr>
                  <w:tcW w:w="865" w:type="dxa"/>
                  <w:vAlign w:val="center"/>
                </w:tcPr>
                <w:p w14:paraId="6D7FEA90" w14:textId="77777777" w:rsidR="001B15F7" w:rsidRPr="001C50A7" w:rsidRDefault="001B15F7" w:rsidP="001B15F7">
                  <w:pPr>
                    <w:jc w:val="center"/>
                  </w:pPr>
                  <w:r w:rsidRPr="001C50A7">
                    <w:t>+1</w:t>
                  </w:r>
                </w:p>
              </w:tc>
              <w:tc>
                <w:tcPr>
                  <w:tcW w:w="865" w:type="dxa"/>
                  <w:vAlign w:val="center"/>
                </w:tcPr>
                <w:p w14:paraId="5F569670" w14:textId="77777777" w:rsidR="001B15F7" w:rsidRPr="001C50A7" w:rsidRDefault="001B15F7" w:rsidP="001B15F7">
                  <w:pPr>
                    <w:jc w:val="center"/>
                  </w:pPr>
                  <w:r w:rsidRPr="001C50A7">
                    <w:t>+2</w:t>
                  </w:r>
                </w:p>
              </w:tc>
            </w:tr>
          </w:tbl>
          <w:p w14:paraId="05CD02C4" w14:textId="4E07D64B" w:rsidR="00F21581" w:rsidRPr="001C50A7" w:rsidRDefault="00F21581" w:rsidP="00634840"/>
        </w:tc>
      </w:tr>
      <w:tr w:rsidR="001B15F7" w:rsidRPr="001B15F7" w14:paraId="42DA8E94" w14:textId="24EFCB2F" w:rsidTr="001B15F7">
        <w:tc>
          <w:tcPr>
            <w:tcW w:w="3539" w:type="dxa"/>
          </w:tcPr>
          <w:p w14:paraId="37F7128C" w14:textId="3986E5D3" w:rsidR="00F21581" w:rsidRPr="001C50A7" w:rsidRDefault="00F21581" w:rsidP="00634840">
            <w:pPr>
              <w:pStyle w:val="ListParagraph"/>
              <w:ind w:left="2160"/>
            </w:pPr>
            <w:r w:rsidRPr="001C50A7">
              <w:t>&gt;3 Monthly</w:t>
            </w:r>
          </w:p>
        </w:tc>
        <w:tc>
          <w:tcPr>
            <w:tcW w:w="1985" w:type="dxa"/>
          </w:tcPr>
          <w:p w14:paraId="1C8F5C74" w14:textId="0EFEE234" w:rsidR="00F21581" w:rsidRPr="001C50A7" w:rsidRDefault="00F21581" w:rsidP="00634840">
            <w:r w:rsidRPr="001C50A7">
              <w:t>+/- 5 Working Days</w:t>
            </w:r>
          </w:p>
        </w:tc>
        <w:tc>
          <w:tcPr>
            <w:tcW w:w="4529" w:type="dxa"/>
          </w:tcPr>
          <w:tbl>
            <w:tblPr>
              <w:tblStyle w:val="TableGrid"/>
              <w:tblW w:w="0" w:type="auto"/>
              <w:tblLook w:val="04A0" w:firstRow="1" w:lastRow="0" w:firstColumn="1" w:lastColumn="0" w:noHBand="0" w:noVBand="1"/>
            </w:tblPr>
            <w:tblGrid>
              <w:gridCol w:w="349"/>
              <w:gridCol w:w="350"/>
              <w:gridCol w:w="351"/>
              <w:gridCol w:w="351"/>
              <w:gridCol w:w="351"/>
              <w:gridCol w:w="351"/>
              <w:gridCol w:w="445"/>
              <w:gridCol w:w="445"/>
              <w:gridCol w:w="445"/>
              <w:gridCol w:w="445"/>
              <w:gridCol w:w="445"/>
            </w:tblGrid>
            <w:tr w:rsidR="001B15F7" w:rsidRPr="001B15F7" w14:paraId="108F6DCE" w14:textId="77777777" w:rsidTr="00DC77A5">
              <w:trPr>
                <w:trHeight w:val="267"/>
              </w:trPr>
              <w:tc>
                <w:tcPr>
                  <w:tcW w:w="4418" w:type="dxa"/>
                  <w:gridSpan w:val="11"/>
                  <w:vAlign w:val="center"/>
                </w:tcPr>
                <w:p w14:paraId="6EB77EFC" w14:textId="77777777" w:rsidR="001B15F7" w:rsidRPr="001C50A7" w:rsidRDefault="001B15F7" w:rsidP="001B15F7">
                  <w:pPr>
                    <w:jc w:val="center"/>
                  </w:pPr>
                  <w:r w:rsidRPr="001C50A7">
                    <w:t>11 Day Window</w:t>
                  </w:r>
                </w:p>
              </w:tc>
            </w:tr>
            <w:tr w:rsidR="001B15F7" w:rsidRPr="001B15F7" w14:paraId="58B66042" w14:textId="77777777" w:rsidTr="00DC77A5">
              <w:trPr>
                <w:trHeight w:val="259"/>
              </w:trPr>
              <w:tc>
                <w:tcPr>
                  <w:tcW w:w="400" w:type="dxa"/>
                  <w:vAlign w:val="center"/>
                </w:tcPr>
                <w:p w14:paraId="69742CCF" w14:textId="77777777" w:rsidR="001B15F7" w:rsidRPr="001C50A7" w:rsidRDefault="001B15F7" w:rsidP="001B15F7">
                  <w:pPr>
                    <w:jc w:val="center"/>
                  </w:pPr>
                  <w:r w:rsidRPr="001C50A7">
                    <w:t>-5</w:t>
                  </w:r>
                </w:p>
              </w:tc>
              <w:tc>
                <w:tcPr>
                  <w:tcW w:w="401" w:type="dxa"/>
                  <w:vAlign w:val="center"/>
                </w:tcPr>
                <w:p w14:paraId="28E7EB26" w14:textId="77777777" w:rsidR="001B15F7" w:rsidRPr="001C50A7" w:rsidRDefault="001B15F7" w:rsidP="001B15F7">
                  <w:pPr>
                    <w:jc w:val="center"/>
                  </w:pPr>
                  <w:r w:rsidRPr="001C50A7">
                    <w:t>-4</w:t>
                  </w:r>
                </w:p>
              </w:tc>
              <w:tc>
                <w:tcPr>
                  <w:tcW w:w="401" w:type="dxa"/>
                  <w:vAlign w:val="center"/>
                </w:tcPr>
                <w:p w14:paraId="6434E47F" w14:textId="77777777" w:rsidR="001B15F7" w:rsidRPr="001C50A7" w:rsidRDefault="001B15F7" w:rsidP="001B15F7">
                  <w:pPr>
                    <w:jc w:val="center"/>
                  </w:pPr>
                  <w:r w:rsidRPr="001C50A7">
                    <w:t>-3</w:t>
                  </w:r>
                </w:p>
              </w:tc>
              <w:tc>
                <w:tcPr>
                  <w:tcW w:w="401" w:type="dxa"/>
                  <w:vAlign w:val="center"/>
                </w:tcPr>
                <w:p w14:paraId="5C2ED837" w14:textId="77777777" w:rsidR="001B15F7" w:rsidRPr="001C50A7" w:rsidRDefault="001B15F7" w:rsidP="001B15F7">
                  <w:pPr>
                    <w:jc w:val="center"/>
                  </w:pPr>
                  <w:r w:rsidRPr="001C50A7">
                    <w:t>-2</w:t>
                  </w:r>
                </w:p>
              </w:tc>
              <w:tc>
                <w:tcPr>
                  <w:tcW w:w="401" w:type="dxa"/>
                  <w:vAlign w:val="center"/>
                </w:tcPr>
                <w:p w14:paraId="0C29AE65" w14:textId="77777777" w:rsidR="001B15F7" w:rsidRPr="001C50A7" w:rsidRDefault="001B15F7" w:rsidP="001B15F7">
                  <w:pPr>
                    <w:jc w:val="center"/>
                  </w:pPr>
                  <w:r w:rsidRPr="001C50A7">
                    <w:t>-1</w:t>
                  </w:r>
                </w:p>
              </w:tc>
              <w:tc>
                <w:tcPr>
                  <w:tcW w:w="401" w:type="dxa"/>
                  <w:vAlign w:val="center"/>
                </w:tcPr>
                <w:p w14:paraId="36140832" w14:textId="77777777" w:rsidR="001B15F7" w:rsidRPr="001C50A7" w:rsidRDefault="001B15F7" w:rsidP="001B15F7">
                  <w:pPr>
                    <w:jc w:val="center"/>
                  </w:pPr>
                  <w:r w:rsidRPr="001C50A7">
                    <w:t>0</w:t>
                  </w:r>
                </w:p>
              </w:tc>
              <w:tc>
                <w:tcPr>
                  <w:tcW w:w="401" w:type="dxa"/>
                  <w:vAlign w:val="center"/>
                </w:tcPr>
                <w:p w14:paraId="398B4626" w14:textId="77777777" w:rsidR="001B15F7" w:rsidRPr="001C50A7" w:rsidRDefault="001B15F7" w:rsidP="001B15F7">
                  <w:pPr>
                    <w:jc w:val="center"/>
                  </w:pPr>
                  <w:r w:rsidRPr="001C50A7">
                    <w:t>+1</w:t>
                  </w:r>
                </w:p>
              </w:tc>
              <w:tc>
                <w:tcPr>
                  <w:tcW w:w="401" w:type="dxa"/>
                  <w:vAlign w:val="center"/>
                </w:tcPr>
                <w:p w14:paraId="2F0EED6F" w14:textId="77777777" w:rsidR="001B15F7" w:rsidRPr="001C50A7" w:rsidRDefault="001B15F7" w:rsidP="001B15F7">
                  <w:pPr>
                    <w:jc w:val="center"/>
                  </w:pPr>
                  <w:r w:rsidRPr="001C50A7">
                    <w:t>+2</w:t>
                  </w:r>
                </w:p>
              </w:tc>
              <w:tc>
                <w:tcPr>
                  <w:tcW w:w="401" w:type="dxa"/>
                  <w:vAlign w:val="center"/>
                </w:tcPr>
                <w:p w14:paraId="6AB775B1" w14:textId="77777777" w:rsidR="001B15F7" w:rsidRPr="001C50A7" w:rsidRDefault="001B15F7" w:rsidP="001B15F7">
                  <w:pPr>
                    <w:jc w:val="center"/>
                  </w:pPr>
                  <w:r w:rsidRPr="001C50A7">
                    <w:t>+3</w:t>
                  </w:r>
                </w:p>
              </w:tc>
              <w:tc>
                <w:tcPr>
                  <w:tcW w:w="401" w:type="dxa"/>
                  <w:vAlign w:val="center"/>
                </w:tcPr>
                <w:p w14:paraId="1B2AF440" w14:textId="77777777" w:rsidR="001B15F7" w:rsidRPr="001C50A7" w:rsidRDefault="001B15F7" w:rsidP="001B15F7">
                  <w:pPr>
                    <w:jc w:val="center"/>
                  </w:pPr>
                  <w:r w:rsidRPr="001C50A7">
                    <w:t>+4</w:t>
                  </w:r>
                </w:p>
              </w:tc>
              <w:tc>
                <w:tcPr>
                  <w:tcW w:w="403" w:type="dxa"/>
                  <w:vAlign w:val="center"/>
                </w:tcPr>
                <w:p w14:paraId="59E8F2C5" w14:textId="77777777" w:rsidR="001B15F7" w:rsidRPr="001C50A7" w:rsidRDefault="001B15F7" w:rsidP="001B15F7">
                  <w:pPr>
                    <w:jc w:val="center"/>
                  </w:pPr>
                  <w:r w:rsidRPr="001C50A7">
                    <w:t>+5</w:t>
                  </w:r>
                </w:p>
              </w:tc>
            </w:tr>
          </w:tbl>
          <w:p w14:paraId="1E528379" w14:textId="5CE9CFF7" w:rsidR="00F21581" w:rsidRPr="001C50A7" w:rsidRDefault="00F21581" w:rsidP="00634840"/>
        </w:tc>
      </w:tr>
    </w:tbl>
    <w:bookmarkEnd w:id="1"/>
    <w:p w14:paraId="1AFBF19B" w14:textId="300DF40B" w:rsidR="0076226F" w:rsidRDefault="0076226F" w:rsidP="0076226F">
      <w:pPr>
        <w:pStyle w:val="Heading2"/>
      </w:pPr>
      <w:r>
        <w:t>Basis of Award</w:t>
      </w:r>
    </w:p>
    <w:p w14:paraId="0562CB87" w14:textId="18ECC7C8" w:rsidR="00A73C3E" w:rsidRPr="004765CD" w:rsidRDefault="00A73C3E" w:rsidP="00A73C3E">
      <w:pPr>
        <w:autoSpaceDE w:val="0"/>
        <w:autoSpaceDN w:val="0"/>
        <w:adjustRightInd w:val="0"/>
      </w:pPr>
      <w:r w:rsidRPr="003A3341">
        <w:t xml:space="preserve">This tender is part of </w:t>
      </w:r>
      <w:r>
        <w:t>ENGIE</w:t>
      </w:r>
      <w:r w:rsidRPr="003A3341">
        <w:t xml:space="preserve"> Services Ltd strategic sourcing initiative to reduce the total cost of ownership, product complexity while improving or maintaining quality, service and delivery. We are seeking supplier(s) who understand our technical requirements and collaborative relationships with </w:t>
      </w:r>
      <w:r>
        <w:t>ENGIE</w:t>
      </w:r>
      <w:r w:rsidRPr="003A3341">
        <w:t xml:space="preserve"> Urban Energy and can assist us in improving quality, service, delivery and cost reduction through innovation and expert account management to support our Client base. </w:t>
      </w:r>
    </w:p>
    <w:p w14:paraId="3A26A73A" w14:textId="77777777" w:rsidR="00A73C3E" w:rsidRPr="003A3341" w:rsidRDefault="00A73C3E" w:rsidP="00A73C3E">
      <w:pPr>
        <w:autoSpaceDE w:val="0"/>
        <w:autoSpaceDN w:val="0"/>
        <w:adjustRightInd w:val="0"/>
        <w:rPr>
          <w:color w:val="CC99FF"/>
        </w:rPr>
      </w:pPr>
      <w:r w:rsidRPr="003A3341">
        <w:t>As such, we will be considering the following factors in our decision to progress through the process steps and to award the business.</w:t>
      </w:r>
    </w:p>
    <w:p w14:paraId="77EA23D9" w14:textId="77777777" w:rsidR="00A73C3E" w:rsidRPr="000F3E39" w:rsidRDefault="00A73C3E" w:rsidP="001B15F7">
      <w:pPr>
        <w:numPr>
          <w:ilvl w:val="0"/>
          <w:numId w:val="7"/>
        </w:numPr>
        <w:autoSpaceDE w:val="0"/>
        <w:autoSpaceDN w:val="0"/>
        <w:adjustRightInd w:val="0"/>
        <w:spacing w:before="0" w:after="0" w:line="240" w:lineRule="auto"/>
        <w:jc w:val="left"/>
        <w:rPr>
          <w:bCs/>
        </w:rPr>
      </w:pPr>
      <w:r w:rsidRPr="000F3E39">
        <w:rPr>
          <w:bCs/>
        </w:rPr>
        <w:t>Price – Competitive Offering </w:t>
      </w:r>
    </w:p>
    <w:p w14:paraId="6C6E3C7B" w14:textId="77777777" w:rsidR="00A73C3E" w:rsidRPr="000F3E39" w:rsidRDefault="00A73C3E" w:rsidP="001B15F7">
      <w:pPr>
        <w:numPr>
          <w:ilvl w:val="0"/>
          <w:numId w:val="7"/>
        </w:numPr>
        <w:autoSpaceDE w:val="0"/>
        <w:autoSpaceDN w:val="0"/>
        <w:adjustRightInd w:val="0"/>
        <w:spacing w:before="0" w:after="0" w:line="240" w:lineRule="auto"/>
        <w:jc w:val="left"/>
        <w:rPr>
          <w:bCs/>
        </w:rPr>
      </w:pPr>
      <w:r w:rsidRPr="000F3E39">
        <w:rPr>
          <w:bCs/>
        </w:rPr>
        <w:t>Technical – Product, Quality to meet the output specification </w:t>
      </w:r>
    </w:p>
    <w:p w14:paraId="5C13363D" w14:textId="77777777" w:rsidR="00A73C3E" w:rsidRPr="000F3E39" w:rsidRDefault="00A73C3E" w:rsidP="001B15F7">
      <w:pPr>
        <w:numPr>
          <w:ilvl w:val="0"/>
          <w:numId w:val="7"/>
        </w:numPr>
        <w:autoSpaceDE w:val="0"/>
        <w:autoSpaceDN w:val="0"/>
        <w:adjustRightInd w:val="0"/>
        <w:spacing w:before="0" w:after="0" w:line="240" w:lineRule="auto"/>
        <w:jc w:val="left"/>
        <w:rPr>
          <w:bCs/>
        </w:rPr>
      </w:pPr>
      <w:r w:rsidRPr="000F3E39">
        <w:rPr>
          <w:bCs/>
        </w:rPr>
        <w:t>SHEQ – Supporting ENGIE Zero Harm </w:t>
      </w:r>
    </w:p>
    <w:p w14:paraId="6814B03A" w14:textId="77777777" w:rsidR="00A73C3E" w:rsidRPr="000F3E39" w:rsidRDefault="00A73C3E" w:rsidP="001B15F7">
      <w:pPr>
        <w:numPr>
          <w:ilvl w:val="0"/>
          <w:numId w:val="7"/>
        </w:numPr>
        <w:autoSpaceDE w:val="0"/>
        <w:autoSpaceDN w:val="0"/>
        <w:adjustRightInd w:val="0"/>
        <w:spacing w:before="0" w:after="0" w:line="240" w:lineRule="auto"/>
        <w:jc w:val="left"/>
        <w:rPr>
          <w:bCs/>
        </w:rPr>
      </w:pPr>
      <w:r w:rsidRPr="000F3E39">
        <w:rPr>
          <w:bCs/>
        </w:rPr>
        <w:t>Sustainability, Energy Efficiency and Carbon Reduction </w:t>
      </w:r>
    </w:p>
    <w:p w14:paraId="06F0DE6D" w14:textId="77777777" w:rsidR="00A73C3E" w:rsidRPr="003A3341" w:rsidRDefault="00A73C3E" w:rsidP="00A73C3E">
      <w:pPr>
        <w:autoSpaceDE w:val="0"/>
        <w:autoSpaceDN w:val="0"/>
        <w:adjustRightInd w:val="0"/>
      </w:pPr>
    </w:p>
    <w:p w14:paraId="2D243B82" w14:textId="73A99C94" w:rsidR="00A73C3E" w:rsidRPr="001B15F7" w:rsidRDefault="00A73C3E" w:rsidP="001B15F7">
      <w:pPr>
        <w:autoSpaceDE w:val="0"/>
        <w:autoSpaceDN w:val="0"/>
        <w:adjustRightInd w:val="0"/>
      </w:pPr>
      <w:r w:rsidRPr="003A3341">
        <w:t>Please note that the criteria are not ranked by importance/priority.</w:t>
      </w:r>
    </w:p>
    <w:p w14:paraId="225817A0" w14:textId="26530428" w:rsidR="0076226F" w:rsidRDefault="00A73C3E" w:rsidP="00A73C3E">
      <w:pPr>
        <w:rPr>
          <w:b/>
          <w:i/>
        </w:rPr>
      </w:pPr>
      <w:r w:rsidRPr="003A3341">
        <w:rPr>
          <w:b/>
          <w:i/>
        </w:rPr>
        <w:t>Please be aware that the lowest price bidder does not automatically become the winning bidder</w:t>
      </w:r>
    </w:p>
    <w:p w14:paraId="59D3452D" w14:textId="77777777" w:rsidR="001B15F7" w:rsidRPr="0076226F" w:rsidRDefault="001B15F7" w:rsidP="00A73C3E"/>
    <w:p w14:paraId="51702312" w14:textId="77777777" w:rsidR="001B15F7" w:rsidRDefault="001B15F7" w:rsidP="001B15F7">
      <w:pPr>
        <w:pStyle w:val="Heading2"/>
      </w:pPr>
      <w:r>
        <w:t>Contract Length and Pricing</w:t>
      </w:r>
    </w:p>
    <w:p w14:paraId="55FE5B47" w14:textId="77777777" w:rsidR="001B15F7" w:rsidRDefault="001B15F7" w:rsidP="001B15F7">
      <w:r>
        <w:t xml:space="preserve">The contract length will be for 2 years + 1 year, subject to a one-year trial period of the services. The pricing requirements will be as per the asset list.  </w:t>
      </w:r>
    </w:p>
    <w:p w14:paraId="6046E63F" w14:textId="54A6DDFD" w:rsidR="0076226F" w:rsidRDefault="001B15F7" w:rsidP="006E7DA8">
      <w:r>
        <w:t>Reactive rates must be included.</w:t>
      </w:r>
    </w:p>
    <w:p w14:paraId="3032EB7D" w14:textId="34949C9D" w:rsidR="001D7A2C" w:rsidRDefault="001D7A2C" w:rsidP="001D7A2C">
      <w:pPr>
        <w:pStyle w:val="Heading2"/>
      </w:pPr>
      <w:r>
        <w:t xml:space="preserve">Confidentiality </w:t>
      </w:r>
    </w:p>
    <w:p w14:paraId="212AAD0A" w14:textId="77777777" w:rsidR="00767E2C" w:rsidRPr="00767E2C" w:rsidRDefault="00767E2C" w:rsidP="00767E2C">
      <w:pPr>
        <w:pStyle w:val="Header"/>
        <w:rPr>
          <w:sz w:val="20"/>
        </w:rPr>
      </w:pPr>
      <w:r w:rsidRPr="00767E2C">
        <w:rPr>
          <w:sz w:val="20"/>
        </w:rPr>
        <w:t xml:space="preserve">All information contained in this RFP package is confidential and may not be disclosed, published or advertised in any manner without written authorisation from ENGIE. All RFP documents remain the property of ENGIE; all suppliers are requested to return to ENGIE or destroy these documents upon ENGIE request. </w:t>
      </w:r>
    </w:p>
    <w:p w14:paraId="7D3D0BF5" w14:textId="77777777" w:rsidR="00767E2C" w:rsidRPr="00767E2C" w:rsidRDefault="00767E2C" w:rsidP="00767E2C">
      <w:pPr>
        <w:pStyle w:val="Header"/>
        <w:rPr>
          <w:sz w:val="20"/>
        </w:rPr>
      </w:pPr>
      <w:r w:rsidRPr="00767E2C">
        <w:rPr>
          <w:sz w:val="20"/>
        </w:rPr>
        <w:t>Contractors who do not honour these confidentiality provisions will be excluded from participating in future ENGIE supply opportunities and ENGIE may commence legal proceedings for any damages incurred.</w:t>
      </w:r>
    </w:p>
    <w:p w14:paraId="2A00A01B" w14:textId="77777777" w:rsidR="00767E2C" w:rsidRPr="00767E2C" w:rsidRDefault="00767E2C" w:rsidP="00767E2C">
      <w:pPr>
        <w:pStyle w:val="Header"/>
        <w:rPr>
          <w:sz w:val="20"/>
        </w:rPr>
      </w:pPr>
    </w:p>
    <w:p w14:paraId="44490F46" w14:textId="209F1DD6" w:rsidR="001D7A2C" w:rsidRPr="001B15F7" w:rsidRDefault="00767E2C" w:rsidP="001B15F7">
      <w:pPr>
        <w:pStyle w:val="Header"/>
        <w:rPr>
          <w:sz w:val="20"/>
        </w:rPr>
      </w:pPr>
      <w:r w:rsidRPr="00767E2C">
        <w:rPr>
          <w:sz w:val="20"/>
        </w:rPr>
        <w:t>All the information provided by the bidders will be kept confidentially, and it will not be revealed to other bidders, whether it is before or after the attribution of the contract.</w:t>
      </w:r>
    </w:p>
    <w:p w14:paraId="3079C47E" w14:textId="77777777" w:rsidR="007505EC" w:rsidRDefault="007505EC" w:rsidP="001B15F7">
      <w:pPr>
        <w:pStyle w:val="Heading2"/>
        <w:numPr>
          <w:ilvl w:val="0"/>
          <w:numId w:val="0"/>
        </w:numPr>
      </w:pPr>
      <w:r>
        <w:t>Legally Binding Quotes</w:t>
      </w:r>
    </w:p>
    <w:p w14:paraId="07607206" w14:textId="77777777" w:rsidR="00571454" w:rsidRPr="00571454" w:rsidRDefault="00571454" w:rsidP="00571454">
      <w:pPr>
        <w:pStyle w:val="Header"/>
        <w:rPr>
          <w:sz w:val="20"/>
        </w:rPr>
      </w:pPr>
      <w:r w:rsidRPr="00571454">
        <w:rPr>
          <w:sz w:val="20"/>
        </w:rPr>
        <w:t>Bids submitted through the sourcing process are legally valid quotations without qualification and subject to unconditional acceptance by ENGIE Services Ltd until award notifications are issued. Each bid submitted by a supplier shall constitute an offer to supply in accordance with this RFP.</w:t>
      </w:r>
    </w:p>
    <w:p w14:paraId="161F648C" w14:textId="3EE35F03" w:rsidR="00A9529B" w:rsidRDefault="0061361E" w:rsidP="00A9529B">
      <w:pPr>
        <w:pStyle w:val="Heading2"/>
      </w:pPr>
      <w:r>
        <w:t>Effective date of pricing</w:t>
      </w:r>
    </w:p>
    <w:p w14:paraId="33C0C55D" w14:textId="545116A8" w:rsidR="0061361E" w:rsidRDefault="00BF2B92" w:rsidP="0061361E">
      <w:r w:rsidRPr="00CD6D9C">
        <w:t>Prices are held from date of submission of this RFP for 60 days.</w:t>
      </w:r>
    </w:p>
    <w:p w14:paraId="37401358" w14:textId="77777777" w:rsidR="001D7A2C" w:rsidRPr="006E7DA8" w:rsidRDefault="001D7A2C" w:rsidP="006E7DA8"/>
    <w:sectPr w:rsidR="001D7A2C" w:rsidRPr="006E7DA8" w:rsidSect="0032096D">
      <w:footerReference w:type="default" r:id="rId16"/>
      <w:headerReference w:type="first" r:id="rId17"/>
      <w:footerReference w:type="first" r:id="rId18"/>
      <w:type w:val="continuous"/>
      <w:pgSz w:w="11906" w:h="16838"/>
      <w:pgMar w:top="851" w:right="851" w:bottom="1134" w:left="992"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407AE" w14:textId="77777777" w:rsidR="0043085F" w:rsidRDefault="0043085F" w:rsidP="00CF2489">
      <w:r>
        <w:separator/>
      </w:r>
    </w:p>
  </w:endnote>
  <w:endnote w:type="continuationSeparator" w:id="0">
    <w:p w14:paraId="35A7A4EE" w14:textId="77777777" w:rsidR="0043085F" w:rsidRDefault="0043085F" w:rsidP="00CF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01F7D" w14:textId="18E8E0AF" w:rsidR="000F4E0A" w:rsidRPr="00470976" w:rsidRDefault="000F4E0A" w:rsidP="00BB21DC">
    <w:pPr>
      <w:pStyle w:val="Footer"/>
      <w:tabs>
        <w:tab w:val="clear" w:pos="5103"/>
        <w:tab w:val="left" w:pos="5954"/>
        <w:tab w:val="right" w:pos="9923"/>
      </w:tabs>
    </w:pPr>
    <w:r w:rsidRPr="00470976">
      <w:rPr>
        <w:noProof/>
      </w:rPr>
      <w:drawing>
        <wp:anchor distT="0" distB="0" distL="114300" distR="114300" simplePos="0" relativeHeight="251658240" behindDoc="1" locked="0" layoutInCell="1" allowOverlap="1" wp14:anchorId="08A55855" wp14:editId="4A3A6BE0">
          <wp:simplePos x="0" y="0"/>
          <wp:positionH relativeFrom="margin">
            <wp:posOffset>-1270</wp:posOffset>
          </wp:positionH>
          <wp:positionV relativeFrom="margin">
            <wp:posOffset>9476105</wp:posOffset>
          </wp:positionV>
          <wp:extent cx="6404610" cy="99060"/>
          <wp:effectExtent l="19050" t="0" r="0" b="0"/>
          <wp:wrapNone/>
          <wp:docPr id="11" name="Picture 11" descr="C:\Users\VY1173\Desktop\ENGIE\Engie Enterprise Project Update assets\Enterprise-Update-Foo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Y1173\Desktop\ENGIE\Engie Enterprise Project Update assets\Enterprise-Update-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4610" cy="99060"/>
                  </a:xfrm>
                  <a:prstGeom prst="rect">
                    <a:avLst/>
                  </a:prstGeom>
                  <a:noFill/>
                  <a:ln>
                    <a:noFill/>
                  </a:ln>
                </pic:spPr>
              </pic:pic>
            </a:graphicData>
          </a:graphic>
        </wp:anchor>
      </w:drawing>
    </w:r>
    <w:r>
      <w:tab/>
    </w:r>
    <w:r w:rsidRPr="00470976">
      <w:t xml:space="preserve">Page </w:t>
    </w:r>
    <w:r w:rsidRPr="00470976">
      <w:fldChar w:fldCharType="begin"/>
    </w:r>
    <w:r w:rsidRPr="00470976">
      <w:instrText xml:space="preserve"> PAGE   \* MERGEFORMAT </w:instrText>
    </w:r>
    <w:r w:rsidRPr="00470976">
      <w:fldChar w:fldCharType="separate"/>
    </w:r>
    <w:r>
      <w:t>1</w:t>
    </w:r>
    <w:r w:rsidRPr="00470976">
      <w:fldChar w:fldCharType="end"/>
    </w:r>
    <w:r w:rsidRPr="00470976">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p w14:paraId="230EF7AF" w14:textId="77777777" w:rsidR="000F4E0A" w:rsidRDefault="000F4E0A"/>
  <w:p w14:paraId="0977F2D1" w14:textId="77777777" w:rsidR="008107D3" w:rsidRDefault="008107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928B9" w14:textId="78B6B7D8" w:rsidR="000F4E0A" w:rsidRPr="00470976" w:rsidRDefault="000F4E0A" w:rsidP="00BB21DC">
    <w:pPr>
      <w:pStyle w:val="Footer"/>
      <w:tabs>
        <w:tab w:val="clear" w:pos="5103"/>
        <w:tab w:val="left" w:pos="5954"/>
        <w:tab w:val="right" w:pos="9923"/>
      </w:tabs>
    </w:pPr>
    <w:r w:rsidRPr="00470976">
      <w:rPr>
        <w:noProof/>
      </w:rPr>
      <w:drawing>
        <wp:anchor distT="0" distB="0" distL="114300" distR="114300" simplePos="0" relativeHeight="251657216" behindDoc="1" locked="0" layoutInCell="1" allowOverlap="1" wp14:anchorId="66040A20" wp14:editId="44055FBE">
          <wp:simplePos x="0" y="0"/>
          <wp:positionH relativeFrom="margin">
            <wp:posOffset>-1270</wp:posOffset>
          </wp:positionH>
          <wp:positionV relativeFrom="margin">
            <wp:posOffset>9476105</wp:posOffset>
          </wp:positionV>
          <wp:extent cx="6404610" cy="99060"/>
          <wp:effectExtent l="19050" t="0" r="0" b="0"/>
          <wp:wrapNone/>
          <wp:docPr id="18" name="Picture 2" descr="C:\Users\VY1173\Desktop\ENGIE\Engie Enterprise Project Update assets\Enterprise-Update-Foo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Y1173\Desktop\ENGIE\Engie Enterprise Project Update assets\Enterprise-Update-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4610" cy="99060"/>
                  </a:xfrm>
                  <a:prstGeom prst="rect">
                    <a:avLst/>
                  </a:prstGeom>
                  <a:noFill/>
                  <a:ln>
                    <a:noFill/>
                  </a:ln>
                </pic:spPr>
              </pic:pic>
            </a:graphicData>
          </a:graphic>
        </wp:anchor>
      </w:drawing>
    </w:r>
    <w:r>
      <w:rPr>
        <w:noProof/>
      </w:rPr>
      <w:tab/>
    </w:r>
    <w:r>
      <w:tab/>
    </w:r>
    <w:r w:rsidRPr="00470976">
      <w:t xml:space="preserve">Page </w:t>
    </w:r>
    <w:r w:rsidRPr="00470976">
      <w:fldChar w:fldCharType="begin"/>
    </w:r>
    <w:r w:rsidRPr="00470976">
      <w:instrText xml:space="preserve"> PAGE   \* MERGEFORMAT </w:instrText>
    </w:r>
    <w:r w:rsidRPr="00470976">
      <w:fldChar w:fldCharType="separate"/>
    </w:r>
    <w:r>
      <w:rPr>
        <w:noProof/>
      </w:rPr>
      <w:t>1</w:t>
    </w:r>
    <w:r w:rsidRPr="00470976">
      <w:fldChar w:fldCharType="end"/>
    </w:r>
    <w:r w:rsidRPr="00470976">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p w14:paraId="049C0B51" w14:textId="77777777" w:rsidR="000F4E0A" w:rsidRDefault="000F4E0A"/>
  <w:p w14:paraId="68B549B1" w14:textId="77777777" w:rsidR="008107D3" w:rsidRDefault="008107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7186A" w14:textId="77777777" w:rsidR="0043085F" w:rsidRDefault="0043085F" w:rsidP="00CF2489">
      <w:r>
        <w:separator/>
      </w:r>
    </w:p>
  </w:footnote>
  <w:footnote w:type="continuationSeparator" w:id="0">
    <w:p w14:paraId="0DDF217A" w14:textId="77777777" w:rsidR="0043085F" w:rsidRDefault="0043085F" w:rsidP="00CF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0512A" w14:textId="2CE8CAAB" w:rsidR="000F4E0A" w:rsidRPr="00B85F22" w:rsidRDefault="000F4E0A" w:rsidP="00CF2489">
    <w:pPr>
      <w:pStyle w:val="Header"/>
    </w:pPr>
    <w:r w:rsidRPr="00B85F22">
      <w:rPr>
        <w:noProof/>
      </w:rPr>
      <w:drawing>
        <wp:anchor distT="0" distB="0" distL="114300" distR="114300" simplePos="0" relativeHeight="251656192" behindDoc="1" locked="0" layoutInCell="1" allowOverlap="1" wp14:anchorId="08AEE37C" wp14:editId="3859BF13">
          <wp:simplePos x="0" y="0"/>
          <wp:positionH relativeFrom="page">
            <wp:posOffset>-11430</wp:posOffset>
          </wp:positionH>
          <wp:positionV relativeFrom="page">
            <wp:posOffset>0</wp:posOffset>
          </wp:positionV>
          <wp:extent cx="2876550" cy="1546860"/>
          <wp:effectExtent l="19050" t="0" r="0" b="0"/>
          <wp:wrapNone/>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ie.png"/>
                  <pic:cNvPicPr/>
                </pic:nvPicPr>
                <pic:blipFill>
                  <a:blip r:embed="rId1">
                    <a:extLst>
                      <a:ext uri="{28A0092B-C50C-407E-A947-70E740481C1C}">
                        <a14:useLocalDpi xmlns:a14="http://schemas.microsoft.com/office/drawing/2010/main" val="0"/>
                      </a:ext>
                    </a:extLst>
                  </a:blip>
                  <a:srcRect t="13983"/>
                  <a:stretch>
                    <a:fillRect/>
                  </a:stretch>
                </pic:blipFill>
                <pic:spPr>
                  <a:xfrm>
                    <a:off x="0" y="0"/>
                    <a:ext cx="2876550" cy="1546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E1659"/>
    <w:multiLevelType w:val="hybridMultilevel"/>
    <w:tmpl w:val="223E06DA"/>
    <w:lvl w:ilvl="0" w:tplc="08090001">
      <w:start w:val="1"/>
      <w:numFmt w:val="bullet"/>
      <w:lvlText w:val=""/>
      <w:lvlJc w:val="left"/>
      <w:pPr>
        <w:ind w:left="720" w:hanging="360"/>
      </w:pPr>
      <w:rPr>
        <w:rFonts w:ascii="Symbol" w:hAnsi="Symbol" w:hint="default"/>
      </w:rPr>
    </w:lvl>
    <w:lvl w:ilvl="1" w:tplc="F9583C7C">
      <w:start w:val="1"/>
      <w:numFmt w:val="bullet"/>
      <w:lvlText w:val="-"/>
      <w:lvlJc w:val="left"/>
      <w:pPr>
        <w:ind w:left="1440" w:hanging="360"/>
      </w:pPr>
      <w:rPr>
        <w:rFonts w:ascii="Calibri" w:eastAsiaTheme="minorHAnsi" w:hAnsi="Calibri" w:cstheme="minorBidi" w:hint="default"/>
      </w:rPr>
    </w:lvl>
    <w:lvl w:ilvl="2" w:tplc="1F4E645E">
      <w:start w:val="1"/>
      <w:numFmt w:val="bullet"/>
      <w:lvlText w:val=""/>
      <w:lvlJc w:val="left"/>
      <w:pPr>
        <w:ind w:left="2160" w:hanging="360"/>
      </w:pPr>
      <w:rPr>
        <w:rFonts w:ascii="Wingdings" w:eastAsiaTheme="minorEastAsia" w:hAnsi="Wingdings"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B79F2"/>
    <w:multiLevelType w:val="hybridMultilevel"/>
    <w:tmpl w:val="0BCE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E6159"/>
    <w:multiLevelType w:val="hybridMultilevel"/>
    <w:tmpl w:val="DD48BF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865A56"/>
    <w:multiLevelType w:val="hybridMultilevel"/>
    <w:tmpl w:val="B3C8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916DF"/>
    <w:multiLevelType w:val="hybridMultilevel"/>
    <w:tmpl w:val="48C06F9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06A89"/>
    <w:multiLevelType w:val="hybridMultilevel"/>
    <w:tmpl w:val="5E9A9902"/>
    <w:lvl w:ilvl="0" w:tplc="0809000F">
      <w:start w:val="1"/>
      <w:numFmt w:val="decimal"/>
      <w:lvlText w:val="%1."/>
      <w:lvlJc w:val="left"/>
      <w:pPr>
        <w:ind w:left="1080" w:hanging="360"/>
      </w:pPr>
      <w:rPr>
        <w:rFonts w:hint="default"/>
        <w:color w:val="00AAFF"/>
      </w:rPr>
    </w:lvl>
    <w:lvl w:ilvl="1" w:tplc="465494A0">
      <w:start w:val="1"/>
      <w:numFmt w:val="bullet"/>
      <w:pStyle w:val="Bullet2"/>
      <w:lvlText w:val="o"/>
      <w:lvlJc w:val="left"/>
      <w:pPr>
        <w:ind w:left="1800" w:hanging="360"/>
      </w:pPr>
      <w:rPr>
        <w:rFonts w:ascii="Courier New" w:hAnsi="Courier New" w:cs="Courier New" w:hint="default"/>
        <w:color w:val="00AAFF"/>
      </w:rPr>
    </w:lvl>
    <w:lvl w:ilvl="2" w:tplc="0B40D3E0">
      <w:start w:val="1"/>
      <w:numFmt w:val="bullet"/>
      <w:lvlText w:val="o"/>
      <w:lvlJc w:val="left"/>
      <w:pPr>
        <w:ind w:left="2520" w:hanging="360"/>
      </w:pPr>
      <w:rPr>
        <w:rFonts w:ascii="Courier New" w:hAnsi="Courier New" w:cs="Courier New" w:hint="default"/>
        <w:color w:val="00B0F0"/>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C0243B"/>
    <w:multiLevelType w:val="hybridMultilevel"/>
    <w:tmpl w:val="B1A6DD64"/>
    <w:lvl w:ilvl="0" w:tplc="F55674D6">
      <w:start w:val="1"/>
      <w:numFmt w:val="lowerLetter"/>
      <w:pStyle w:val="Lettering"/>
      <w:lvlText w:val="%1)"/>
      <w:lvlJc w:val="left"/>
      <w:pPr>
        <w:ind w:left="720" w:hanging="360"/>
      </w:pPr>
      <w:rPr>
        <w:rFonts w:hint="default"/>
        <w:color w:val="00AA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B0021"/>
    <w:multiLevelType w:val="hybridMultilevel"/>
    <w:tmpl w:val="68BC69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CE81CF5"/>
    <w:multiLevelType w:val="hybridMultilevel"/>
    <w:tmpl w:val="4A8A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9C12D3"/>
    <w:multiLevelType w:val="hybridMultilevel"/>
    <w:tmpl w:val="1428A398"/>
    <w:lvl w:ilvl="0" w:tplc="A20061F8">
      <w:start w:val="1"/>
      <w:numFmt w:val="bullet"/>
      <w:pStyle w:val="Bullet1"/>
      <w:lvlText w:val=""/>
      <w:lvlJc w:val="left"/>
      <w:pPr>
        <w:ind w:left="360" w:hanging="360"/>
      </w:pPr>
      <w:rPr>
        <w:rFonts w:ascii="Symbol" w:hAnsi="Symbol" w:hint="default"/>
        <w:color w:val="00B0F0"/>
      </w:rPr>
    </w:lvl>
    <w:lvl w:ilvl="1" w:tplc="0B40D3E0">
      <w:start w:val="1"/>
      <w:numFmt w:val="bullet"/>
      <w:lvlText w:val="o"/>
      <w:lvlJc w:val="left"/>
      <w:pPr>
        <w:ind w:left="447" w:hanging="360"/>
      </w:pPr>
      <w:rPr>
        <w:rFonts w:ascii="Courier New" w:hAnsi="Courier New" w:cs="Courier New" w:hint="default"/>
        <w:color w:val="00B0F0"/>
      </w:rPr>
    </w:lvl>
    <w:lvl w:ilvl="2" w:tplc="08090005">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1" w15:restartNumberingAfterBreak="0">
    <w:nsid w:val="66907009"/>
    <w:multiLevelType w:val="hybridMultilevel"/>
    <w:tmpl w:val="C1BCF1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32357C2"/>
    <w:multiLevelType w:val="multilevel"/>
    <w:tmpl w:val="F9C48536"/>
    <w:styleLink w:val="ENGIE"/>
    <w:lvl w:ilvl="0">
      <w:start w:val="1"/>
      <w:numFmt w:val="decimal"/>
      <w:pStyle w:val="Heading2"/>
      <w:lvlText w:val="%1)"/>
      <w:lvlJc w:val="left"/>
      <w:pPr>
        <w:ind w:left="1494" w:hanging="360"/>
      </w:pPr>
      <w:rPr>
        <w:rFonts w:hint="default"/>
      </w:rPr>
    </w:lvl>
    <w:lvl w:ilvl="1">
      <w:start w:val="1"/>
      <w:numFmt w:val="decimal"/>
      <w:pStyle w:val="Heading3"/>
      <w:lvlText w:val="%1.%2)"/>
      <w:lvlJc w:val="left"/>
      <w:pPr>
        <w:ind w:left="2635" w:hanging="792"/>
      </w:pPr>
      <w:rPr>
        <w:rFonts w:hint="default"/>
      </w:r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DBE44AB"/>
    <w:multiLevelType w:val="hybridMultilevel"/>
    <w:tmpl w:val="15108F66"/>
    <w:lvl w:ilvl="0" w:tplc="A6DCC840">
      <w:start w:val="1"/>
      <w:numFmt w:val="decimal"/>
      <w:pStyle w:val="Numbering"/>
      <w:lvlText w:val="%1)"/>
      <w:lvlJc w:val="left"/>
      <w:pPr>
        <w:ind w:left="1791" w:hanging="360"/>
      </w:pPr>
      <w:rPr>
        <w:rFonts w:hint="default"/>
        <w:b w:val="0"/>
        <w:color w:val="00AAFF"/>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abstractNumId w:val="5"/>
  </w:num>
  <w:num w:numId="2">
    <w:abstractNumId w:val="6"/>
  </w:num>
  <w:num w:numId="3">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4">
    <w:abstractNumId w:val="12"/>
  </w:num>
  <w:num w:numId="5">
    <w:abstractNumId w:val="10"/>
  </w:num>
  <w:num w:numId="6">
    <w:abstractNumId w:val="13"/>
  </w:num>
  <w:num w:numId="7">
    <w:abstractNumId w:val="9"/>
  </w:num>
  <w:num w:numId="8">
    <w:abstractNumId w:val="0"/>
  </w:num>
  <w:num w:numId="9">
    <w:abstractNumId w:val="11"/>
  </w:num>
  <w:num w:numId="10">
    <w:abstractNumId w:val="7"/>
  </w:num>
  <w:num w:numId="11">
    <w:abstractNumId w:val="1"/>
  </w:num>
  <w:num w:numId="12">
    <w:abstractNumId w:val="3"/>
  </w:num>
  <w:num w:numId="13">
    <w:abstractNumId w:val="4"/>
  </w:num>
  <w:num w:numId="14">
    <w:abstractNumId w:val="2"/>
  </w:num>
  <w:num w:numId="15">
    <w:abstractNumId w:val="8"/>
  </w:num>
  <w:num w:numId="16">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86"/>
    <w:rsid w:val="00000018"/>
    <w:rsid w:val="00000AF0"/>
    <w:rsid w:val="00006499"/>
    <w:rsid w:val="00006AB3"/>
    <w:rsid w:val="000070F6"/>
    <w:rsid w:val="000100DB"/>
    <w:rsid w:val="00012BC9"/>
    <w:rsid w:val="00013973"/>
    <w:rsid w:val="00013F4A"/>
    <w:rsid w:val="00014836"/>
    <w:rsid w:val="00014A50"/>
    <w:rsid w:val="00015761"/>
    <w:rsid w:val="00020318"/>
    <w:rsid w:val="0002147C"/>
    <w:rsid w:val="00022121"/>
    <w:rsid w:val="000223AC"/>
    <w:rsid w:val="00023328"/>
    <w:rsid w:val="0002459A"/>
    <w:rsid w:val="0002549A"/>
    <w:rsid w:val="0002583B"/>
    <w:rsid w:val="0002615D"/>
    <w:rsid w:val="0002668E"/>
    <w:rsid w:val="0002753F"/>
    <w:rsid w:val="00027C1F"/>
    <w:rsid w:val="000302BD"/>
    <w:rsid w:val="00030DB7"/>
    <w:rsid w:val="00030E66"/>
    <w:rsid w:val="00032128"/>
    <w:rsid w:val="0003420B"/>
    <w:rsid w:val="00036066"/>
    <w:rsid w:val="000361BE"/>
    <w:rsid w:val="000373D0"/>
    <w:rsid w:val="00040A22"/>
    <w:rsid w:val="00040A50"/>
    <w:rsid w:val="000442D4"/>
    <w:rsid w:val="00045A10"/>
    <w:rsid w:val="00046749"/>
    <w:rsid w:val="000468FA"/>
    <w:rsid w:val="00052D23"/>
    <w:rsid w:val="00053006"/>
    <w:rsid w:val="00053331"/>
    <w:rsid w:val="00054347"/>
    <w:rsid w:val="00054592"/>
    <w:rsid w:val="0005489D"/>
    <w:rsid w:val="00054A5D"/>
    <w:rsid w:val="00055E3A"/>
    <w:rsid w:val="00055E84"/>
    <w:rsid w:val="00061CCB"/>
    <w:rsid w:val="00063DD5"/>
    <w:rsid w:val="00066254"/>
    <w:rsid w:val="00073821"/>
    <w:rsid w:val="0007483D"/>
    <w:rsid w:val="00076381"/>
    <w:rsid w:val="00076747"/>
    <w:rsid w:val="000769B1"/>
    <w:rsid w:val="000775D9"/>
    <w:rsid w:val="000806CE"/>
    <w:rsid w:val="00082034"/>
    <w:rsid w:val="000822BA"/>
    <w:rsid w:val="00082ED0"/>
    <w:rsid w:val="0008455D"/>
    <w:rsid w:val="00084E41"/>
    <w:rsid w:val="000858BA"/>
    <w:rsid w:val="000859A1"/>
    <w:rsid w:val="00086757"/>
    <w:rsid w:val="000872C3"/>
    <w:rsid w:val="00087C89"/>
    <w:rsid w:val="00090C7E"/>
    <w:rsid w:val="00091462"/>
    <w:rsid w:val="00091C33"/>
    <w:rsid w:val="000933F4"/>
    <w:rsid w:val="000935FE"/>
    <w:rsid w:val="000962F9"/>
    <w:rsid w:val="00096AFF"/>
    <w:rsid w:val="000A1F3F"/>
    <w:rsid w:val="000A2836"/>
    <w:rsid w:val="000A3106"/>
    <w:rsid w:val="000A31B2"/>
    <w:rsid w:val="000A4269"/>
    <w:rsid w:val="000A6016"/>
    <w:rsid w:val="000A731C"/>
    <w:rsid w:val="000A7C8A"/>
    <w:rsid w:val="000B01CE"/>
    <w:rsid w:val="000B05AD"/>
    <w:rsid w:val="000B0907"/>
    <w:rsid w:val="000B11A3"/>
    <w:rsid w:val="000B296C"/>
    <w:rsid w:val="000B3365"/>
    <w:rsid w:val="000B4771"/>
    <w:rsid w:val="000B7A68"/>
    <w:rsid w:val="000C0718"/>
    <w:rsid w:val="000C2A75"/>
    <w:rsid w:val="000C2CA4"/>
    <w:rsid w:val="000C2F3D"/>
    <w:rsid w:val="000C33AE"/>
    <w:rsid w:val="000C3F08"/>
    <w:rsid w:val="000C582D"/>
    <w:rsid w:val="000C60C5"/>
    <w:rsid w:val="000C6C77"/>
    <w:rsid w:val="000C7076"/>
    <w:rsid w:val="000C7C2E"/>
    <w:rsid w:val="000C7C59"/>
    <w:rsid w:val="000D0D06"/>
    <w:rsid w:val="000D2944"/>
    <w:rsid w:val="000D2C00"/>
    <w:rsid w:val="000D35FA"/>
    <w:rsid w:val="000D3D82"/>
    <w:rsid w:val="000D3F8E"/>
    <w:rsid w:val="000D6E35"/>
    <w:rsid w:val="000D6F75"/>
    <w:rsid w:val="000D7F5A"/>
    <w:rsid w:val="000D7FC9"/>
    <w:rsid w:val="000E012C"/>
    <w:rsid w:val="000E20D0"/>
    <w:rsid w:val="000E259E"/>
    <w:rsid w:val="000E2CD9"/>
    <w:rsid w:val="000E2FF8"/>
    <w:rsid w:val="000E3136"/>
    <w:rsid w:val="000E3ACF"/>
    <w:rsid w:val="000E3E36"/>
    <w:rsid w:val="000E4169"/>
    <w:rsid w:val="000E4D67"/>
    <w:rsid w:val="000E5A56"/>
    <w:rsid w:val="000E7325"/>
    <w:rsid w:val="000E77F7"/>
    <w:rsid w:val="000E79AE"/>
    <w:rsid w:val="000F3A02"/>
    <w:rsid w:val="000F4E0A"/>
    <w:rsid w:val="001001D0"/>
    <w:rsid w:val="001002E6"/>
    <w:rsid w:val="00100443"/>
    <w:rsid w:val="00100672"/>
    <w:rsid w:val="00100F04"/>
    <w:rsid w:val="00101B06"/>
    <w:rsid w:val="00106A21"/>
    <w:rsid w:val="0010789C"/>
    <w:rsid w:val="00107B11"/>
    <w:rsid w:val="00110294"/>
    <w:rsid w:val="00110CDC"/>
    <w:rsid w:val="00110E2B"/>
    <w:rsid w:val="00111081"/>
    <w:rsid w:val="00115A87"/>
    <w:rsid w:val="001163A9"/>
    <w:rsid w:val="0011644C"/>
    <w:rsid w:val="00116D45"/>
    <w:rsid w:val="00117384"/>
    <w:rsid w:val="00120CDB"/>
    <w:rsid w:val="001216BE"/>
    <w:rsid w:val="001221D5"/>
    <w:rsid w:val="00123963"/>
    <w:rsid w:val="00123FD9"/>
    <w:rsid w:val="001264B9"/>
    <w:rsid w:val="00126835"/>
    <w:rsid w:val="00126A90"/>
    <w:rsid w:val="001272C2"/>
    <w:rsid w:val="0013025B"/>
    <w:rsid w:val="00130E9B"/>
    <w:rsid w:val="0013368B"/>
    <w:rsid w:val="00134840"/>
    <w:rsid w:val="00135C48"/>
    <w:rsid w:val="00136181"/>
    <w:rsid w:val="001373C0"/>
    <w:rsid w:val="001377DF"/>
    <w:rsid w:val="0013783D"/>
    <w:rsid w:val="00140454"/>
    <w:rsid w:val="00140664"/>
    <w:rsid w:val="00142B4B"/>
    <w:rsid w:val="00144647"/>
    <w:rsid w:val="00144A99"/>
    <w:rsid w:val="001475F0"/>
    <w:rsid w:val="00151EE7"/>
    <w:rsid w:val="00151F3E"/>
    <w:rsid w:val="00151FA4"/>
    <w:rsid w:val="00154B81"/>
    <w:rsid w:val="00154F88"/>
    <w:rsid w:val="00155318"/>
    <w:rsid w:val="00155782"/>
    <w:rsid w:val="00155C77"/>
    <w:rsid w:val="00157F90"/>
    <w:rsid w:val="00160796"/>
    <w:rsid w:val="00161560"/>
    <w:rsid w:val="0016184D"/>
    <w:rsid w:val="00162295"/>
    <w:rsid w:val="0016376A"/>
    <w:rsid w:val="0016415D"/>
    <w:rsid w:val="00164208"/>
    <w:rsid w:val="00165BD3"/>
    <w:rsid w:val="0016664F"/>
    <w:rsid w:val="00166F7F"/>
    <w:rsid w:val="001715E1"/>
    <w:rsid w:val="00172C41"/>
    <w:rsid w:val="00173C28"/>
    <w:rsid w:val="00174280"/>
    <w:rsid w:val="00174717"/>
    <w:rsid w:val="00175578"/>
    <w:rsid w:val="0017595F"/>
    <w:rsid w:val="00175C9D"/>
    <w:rsid w:val="00177F88"/>
    <w:rsid w:val="00180980"/>
    <w:rsid w:val="001818BE"/>
    <w:rsid w:val="00181A23"/>
    <w:rsid w:val="00182263"/>
    <w:rsid w:val="0018247B"/>
    <w:rsid w:val="00182708"/>
    <w:rsid w:val="00182B9F"/>
    <w:rsid w:val="0018323A"/>
    <w:rsid w:val="001840FE"/>
    <w:rsid w:val="00184229"/>
    <w:rsid w:val="00185D77"/>
    <w:rsid w:val="001864FC"/>
    <w:rsid w:val="001867A1"/>
    <w:rsid w:val="001874B9"/>
    <w:rsid w:val="00192E55"/>
    <w:rsid w:val="00193B32"/>
    <w:rsid w:val="001966CD"/>
    <w:rsid w:val="00196D7F"/>
    <w:rsid w:val="00196FBD"/>
    <w:rsid w:val="001A1ED5"/>
    <w:rsid w:val="001A1FAF"/>
    <w:rsid w:val="001A22AC"/>
    <w:rsid w:val="001A64D3"/>
    <w:rsid w:val="001B15F7"/>
    <w:rsid w:val="001B177E"/>
    <w:rsid w:val="001B251F"/>
    <w:rsid w:val="001B2D64"/>
    <w:rsid w:val="001B32EE"/>
    <w:rsid w:val="001B3EA3"/>
    <w:rsid w:val="001B4B2E"/>
    <w:rsid w:val="001B4F58"/>
    <w:rsid w:val="001B53CB"/>
    <w:rsid w:val="001B58C3"/>
    <w:rsid w:val="001B687C"/>
    <w:rsid w:val="001B75F2"/>
    <w:rsid w:val="001C04CB"/>
    <w:rsid w:val="001C105B"/>
    <w:rsid w:val="001C2D01"/>
    <w:rsid w:val="001C4110"/>
    <w:rsid w:val="001C50A7"/>
    <w:rsid w:val="001C611C"/>
    <w:rsid w:val="001D139F"/>
    <w:rsid w:val="001D3E5F"/>
    <w:rsid w:val="001D4321"/>
    <w:rsid w:val="001D525B"/>
    <w:rsid w:val="001D589E"/>
    <w:rsid w:val="001D5A00"/>
    <w:rsid w:val="001D7A2C"/>
    <w:rsid w:val="001E2530"/>
    <w:rsid w:val="001E2B38"/>
    <w:rsid w:val="001E35A8"/>
    <w:rsid w:val="001E55C3"/>
    <w:rsid w:val="001E6E92"/>
    <w:rsid w:val="001F0C78"/>
    <w:rsid w:val="001F0D6E"/>
    <w:rsid w:val="001F16DE"/>
    <w:rsid w:val="001F29D8"/>
    <w:rsid w:val="001F2A99"/>
    <w:rsid w:val="001F2A9C"/>
    <w:rsid w:val="001F2F0F"/>
    <w:rsid w:val="001F339F"/>
    <w:rsid w:val="001F3A66"/>
    <w:rsid w:val="001F3D64"/>
    <w:rsid w:val="001F5A88"/>
    <w:rsid w:val="001F6A9F"/>
    <w:rsid w:val="002007D0"/>
    <w:rsid w:val="00200C96"/>
    <w:rsid w:val="00201800"/>
    <w:rsid w:val="002036BD"/>
    <w:rsid w:val="0020658D"/>
    <w:rsid w:val="00207069"/>
    <w:rsid w:val="0020791E"/>
    <w:rsid w:val="00212D3D"/>
    <w:rsid w:val="00215199"/>
    <w:rsid w:val="0021651B"/>
    <w:rsid w:val="002203EC"/>
    <w:rsid w:val="00221E02"/>
    <w:rsid w:val="00224F7D"/>
    <w:rsid w:val="00227DAD"/>
    <w:rsid w:val="00233CD3"/>
    <w:rsid w:val="0023583D"/>
    <w:rsid w:val="002361D3"/>
    <w:rsid w:val="0023681D"/>
    <w:rsid w:val="00237522"/>
    <w:rsid w:val="00237BF4"/>
    <w:rsid w:val="0024080C"/>
    <w:rsid w:val="0024123F"/>
    <w:rsid w:val="002420A6"/>
    <w:rsid w:val="00242C5C"/>
    <w:rsid w:val="00242DF1"/>
    <w:rsid w:val="002433AC"/>
    <w:rsid w:val="00244BF0"/>
    <w:rsid w:val="00245140"/>
    <w:rsid w:val="00246CC8"/>
    <w:rsid w:val="002478D3"/>
    <w:rsid w:val="00247ACF"/>
    <w:rsid w:val="002512FD"/>
    <w:rsid w:val="00253897"/>
    <w:rsid w:val="00254576"/>
    <w:rsid w:val="00254C97"/>
    <w:rsid w:val="00254D50"/>
    <w:rsid w:val="00254FCD"/>
    <w:rsid w:val="00256565"/>
    <w:rsid w:val="002611DA"/>
    <w:rsid w:val="002615D2"/>
    <w:rsid w:val="00262E5B"/>
    <w:rsid w:val="00264277"/>
    <w:rsid w:val="002713EC"/>
    <w:rsid w:val="002724E0"/>
    <w:rsid w:val="00272915"/>
    <w:rsid w:val="002744B3"/>
    <w:rsid w:val="002768AD"/>
    <w:rsid w:val="002805C6"/>
    <w:rsid w:val="00280882"/>
    <w:rsid w:val="00280908"/>
    <w:rsid w:val="00280D8E"/>
    <w:rsid w:val="00281A39"/>
    <w:rsid w:val="00281AF3"/>
    <w:rsid w:val="0028214A"/>
    <w:rsid w:val="0028227E"/>
    <w:rsid w:val="00282BF2"/>
    <w:rsid w:val="00282D9A"/>
    <w:rsid w:val="00284568"/>
    <w:rsid w:val="002867BF"/>
    <w:rsid w:val="00291BA1"/>
    <w:rsid w:val="002921EB"/>
    <w:rsid w:val="00292606"/>
    <w:rsid w:val="00292FB4"/>
    <w:rsid w:val="00293B20"/>
    <w:rsid w:val="00295F10"/>
    <w:rsid w:val="00296875"/>
    <w:rsid w:val="00296982"/>
    <w:rsid w:val="00296E51"/>
    <w:rsid w:val="00296FB7"/>
    <w:rsid w:val="002A00F7"/>
    <w:rsid w:val="002A0858"/>
    <w:rsid w:val="002A22FE"/>
    <w:rsid w:val="002A26DF"/>
    <w:rsid w:val="002A2890"/>
    <w:rsid w:val="002A3561"/>
    <w:rsid w:val="002A4F64"/>
    <w:rsid w:val="002A52FB"/>
    <w:rsid w:val="002A6C89"/>
    <w:rsid w:val="002A7D6C"/>
    <w:rsid w:val="002B04D9"/>
    <w:rsid w:val="002B0D4A"/>
    <w:rsid w:val="002B1B35"/>
    <w:rsid w:val="002B2636"/>
    <w:rsid w:val="002B2859"/>
    <w:rsid w:val="002B3D6C"/>
    <w:rsid w:val="002B45EF"/>
    <w:rsid w:val="002B4C1D"/>
    <w:rsid w:val="002B65C7"/>
    <w:rsid w:val="002C3E22"/>
    <w:rsid w:val="002C4E2F"/>
    <w:rsid w:val="002C4FC5"/>
    <w:rsid w:val="002C6789"/>
    <w:rsid w:val="002C6A5D"/>
    <w:rsid w:val="002C7469"/>
    <w:rsid w:val="002D0A01"/>
    <w:rsid w:val="002D1BDC"/>
    <w:rsid w:val="002D1FAB"/>
    <w:rsid w:val="002D2CE3"/>
    <w:rsid w:val="002D2DFD"/>
    <w:rsid w:val="002D3FD8"/>
    <w:rsid w:val="002D51B2"/>
    <w:rsid w:val="002D62ED"/>
    <w:rsid w:val="002E0180"/>
    <w:rsid w:val="002E0A74"/>
    <w:rsid w:val="002E4024"/>
    <w:rsid w:val="002E4391"/>
    <w:rsid w:val="002E54C7"/>
    <w:rsid w:val="002E684D"/>
    <w:rsid w:val="002E6C4F"/>
    <w:rsid w:val="002F134F"/>
    <w:rsid w:val="002F13FF"/>
    <w:rsid w:val="002F2B7A"/>
    <w:rsid w:val="002F3E75"/>
    <w:rsid w:val="002F55B1"/>
    <w:rsid w:val="002F5C27"/>
    <w:rsid w:val="002F642F"/>
    <w:rsid w:val="002F757B"/>
    <w:rsid w:val="002F7D66"/>
    <w:rsid w:val="00300F1D"/>
    <w:rsid w:val="00302FCB"/>
    <w:rsid w:val="003047EB"/>
    <w:rsid w:val="003069C5"/>
    <w:rsid w:val="00306DE2"/>
    <w:rsid w:val="00306DF4"/>
    <w:rsid w:val="00310CB8"/>
    <w:rsid w:val="00312933"/>
    <w:rsid w:val="00314131"/>
    <w:rsid w:val="003157DC"/>
    <w:rsid w:val="00315F3F"/>
    <w:rsid w:val="00316182"/>
    <w:rsid w:val="0032096D"/>
    <w:rsid w:val="00320E42"/>
    <w:rsid w:val="0032276F"/>
    <w:rsid w:val="00324D38"/>
    <w:rsid w:val="00324E0A"/>
    <w:rsid w:val="003258C8"/>
    <w:rsid w:val="003262A4"/>
    <w:rsid w:val="003262F6"/>
    <w:rsid w:val="00327106"/>
    <w:rsid w:val="003279B7"/>
    <w:rsid w:val="00330C27"/>
    <w:rsid w:val="00333B30"/>
    <w:rsid w:val="0033405C"/>
    <w:rsid w:val="00334A4E"/>
    <w:rsid w:val="00335C39"/>
    <w:rsid w:val="00336583"/>
    <w:rsid w:val="00336849"/>
    <w:rsid w:val="0033770E"/>
    <w:rsid w:val="003407DC"/>
    <w:rsid w:val="003449E3"/>
    <w:rsid w:val="00345421"/>
    <w:rsid w:val="003459BD"/>
    <w:rsid w:val="003468BE"/>
    <w:rsid w:val="00347047"/>
    <w:rsid w:val="00347D56"/>
    <w:rsid w:val="0035095A"/>
    <w:rsid w:val="00351FA7"/>
    <w:rsid w:val="00352F79"/>
    <w:rsid w:val="003557D0"/>
    <w:rsid w:val="00355848"/>
    <w:rsid w:val="00356B90"/>
    <w:rsid w:val="00357E86"/>
    <w:rsid w:val="003603AF"/>
    <w:rsid w:val="00360EAD"/>
    <w:rsid w:val="00361D72"/>
    <w:rsid w:val="00361EAD"/>
    <w:rsid w:val="00364EDF"/>
    <w:rsid w:val="003659B6"/>
    <w:rsid w:val="00367302"/>
    <w:rsid w:val="00371953"/>
    <w:rsid w:val="00372DA0"/>
    <w:rsid w:val="003733CD"/>
    <w:rsid w:val="00376BA0"/>
    <w:rsid w:val="003818FB"/>
    <w:rsid w:val="0038253F"/>
    <w:rsid w:val="00382994"/>
    <w:rsid w:val="00382CD4"/>
    <w:rsid w:val="00384897"/>
    <w:rsid w:val="00386413"/>
    <w:rsid w:val="003865AA"/>
    <w:rsid w:val="00386CC9"/>
    <w:rsid w:val="0039061F"/>
    <w:rsid w:val="0039198D"/>
    <w:rsid w:val="00396942"/>
    <w:rsid w:val="00396C40"/>
    <w:rsid w:val="003A35A4"/>
    <w:rsid w:val="003A3986"/>
    <w:rsid w:val="003A4D89"/>
    <w:rsid w:val="003A553D"/>
    <w:rsid w:val="003A72E4"/>
    <w:rsid w:val="003A765F"/>
    <w:rsid w:val="003A7D1D"/>
    <w:rsid w:val="003B08E0"/>
    <w:rsid w:val="003B0A29"/>
    <w:rsid w:val="003B126F"/>
    <w:rsid w:val="003B13AB"/>
    <w:rsid w:val="003B1B60"/>
    <w:rsid w:val="003B379F"/>
    <w:rsid w:val="003B4BFE"/>
    <w:rsid w:val="003B4FD3"/>
    <w:rsid w:val="003B5906"/>
    <w:rsid w:val="003B6148"/>
    <w:rsid w:val="003B6243"/>
    <w:rsid w:val="003B636B"/>
    <w:rsid w:val="003B64D0"/>
    <w:rsid w:val="003B6F88"/>
    <w:rsid w:val="003B70E1"/>
    <w:rsid w:val="003B7FF5"/>
    <w:rsid w:val="003C0E5A"/>
    <w:rsid w:val="003C3129"/>
    <w:rsid w:val="003C534A"/>
    <w:rsid w:val="003C5D9A"/>
    <w:rsid w:val="003C6203"/>
    <w:rsid w:val="003D008A"/>
    <w:rsid w:val="003D1CD0"/>
    <w:rsid w:val="003D2051"/>
    <w:rsid w:val="003D288C"/>
    <w:rsid w:val="003D2B51"/>
    <w:rsid w:val="003D3E28"/>
    <w:rsid w:val="003D4C92"/>
    <w:rsid w:val="003D5B1D"/>
    <w:rsid w:val="003D5D9B"/>
    <w:rsid w:val="003D62D9"/>
    <w:rsid w:val="003D6BF6"/>
    <w:rsid w:val="003D7075"/>
    <w:rsid w:val="003D73DE"/>
    <w:rsid w:val="003D7D3A"/>
    <w:rsid w:val="003D7FB5"/>
    <w:rsid w:val="003E00B3"/>
    <w:rsid w:val="003E05EA"/>
    <w:rsid w:val="003E15AB"/>
    <w:rsid w:val="003E1F77"/>
    <w:rsid w:val="003E2375"/>
    <w:rsid w:val="003E33DF"/>
    <w:rsid w:val="003E43A5"/>
    <w:rsid w:val="003E68E1"/>
    <w:rsid w:val="003E7216"/>
    <w:rsid w:val="003E73B8"/>
    <w:rsid w:val="003E7C46"/>
    <w:rsid w:val="003F0998"/>
    <w:rsid w:val="003F2B25"/>
    <w:rsid w:val="003F486B"/>
    <w:rsid w:val="003F4870"/>
    <w:rsid w:val="003F4EF1"/>
    <w:rsid w:val="003F56EF"/>
    <w:rsid w:val="003F5846"/>
    <w:rsid w:val="003F588B"/>
    <w:rsid w:val="003F63CA"/>
    <w:rsid w:val="003F7D74"/>
    <w:rsid w:val="00400C93"/>
    <w:rsid w:val="00400F04"/>
    <w:rsid w:val="0040178A"/>
    <w:rsid w:val="00401BAD"/>
    <w:rsid w:val="004029B8"/>
    <w:rsid w:val="00404BCD"/>
    <w:rsid w:val="00405A8E"/>
    <w:rsid w:val="004075F7"/>
    <w:rsid w:val="00411240"/>
    <w:rsid w:val="0041162B"/>
    <w:rsid w:val="004126A7"/>
    <w:rsid w:val="004137EB"/>
    <w:rsid w:val="00413D32"/>
    <w:rsid w:val="004151FB"/>
    <w:rsid w:val="004166A0"/>
    <w:rsid w:val="004166E7"/>
    <w:rsid w:val="004166F3"/>
    <w:rsid w:val="00417CA8"/>
    <w:rsid w:val="004218AA"/>
    <w:rsid w:val="00424C22"/>
    <w:rsid w:val="00424EE6"/>
    <w:rsid w:val="00427124"/>
    <w:rsid w:val="00427709"/>
    <w:rsid w:val="004300C3"/>
    <w:rsid w:val="0043085F"/>
    <w:rsid w:val="0043124B"/>
    <w:rsid w:val="0043141B"/>
    <w:rsid w:val="0043193C"/>
    <w:rsid w:val="004323DD"/>
    <w:rsid w:val="00433450"/>
    <w:rsid w:val="0043518D"/>
    <w:rsid w:val="0043525C"/>
    <w:rsid w:val="0043540C"/>
    <w:rsid w:val="00435D50"/>
    <w:rsid w:val="00435DA3"/>
    <w:rsid w:val="00436787"/>
    <w:rsid w:val="00437357"/>
    <w:rsid w:val="00437BC4"/>
    <w:rsid w:val="00437F89"/>
    <w:rsid w:val="004405CD"/>
    <w:rsid w:val="004408F1"/>
    <w:rsid w:val="00440948"/>
    <w:rsid w:val="00441010"/>
    <w:rsid w:val="004419D2"/>
    <w:rsid w:val="00441EDA"/>
    <w:rsid w:val="00443281"/>
    <w:rsid w:val="004441DF"/>
    <w:rsid w:val="00445D78"/>
    <w:rsid w:val="004478B6"/>
    <w:rsid w:val="0045066A"/>
    <w:rsid w:val="0045304F"/>
    <w:rsid w:val="0045774D"/>
    <w:rsid w:val="0045778E"/>
    <w:rsid w:val="00457E5A"/>
    <w:rsid w:val="00457FB0"/>
    <w:rsid w:val="0046035A"/>
    <w:rsid w:val="004604C0"/>
    <w:rsid w:val="00460BC5"/>
    <w:rsid w:val="00460D8F"/>
    <w:rsid w:val="00463590"/>
    <w:rsid w:val="004637B0"/>
    <w:rsid w:val="00465A7D"/>
    <w:rsid w:val="00465DD0"/>
    <w:rsid w:val="004706EE"/>
    <w:rsid w:val="004708E1"/>
    <w:rsid w:val="00470976"/>
    <w:rsid w:val="00471AFE"/>
    <w:rsid w:val="00471F64"/>
    <w:rsid w:val="00472952"/>
    <w:rsid w:val="00472B60"/>
    <w:rsid w:val="00473FA2"/>
    <w:rsid w:val="004745A3"/>
    <w:rsid w:val="0047475C"/>
    <w:rsid w:val="0047498E"/>
    <w:rsid w:val="00474C56"/>
    <w:rsid w:val="004751FE"/>
    <w:rsid w:val="004752CE"/>
    <w:rsid w:val="00475702"/>
    <w:rsid w:val="00475F5C"/>
    <w:rsid w:val="00476308"/>
    <w:rsid w:val="004765CD"/>
    <w:rsid w:val="0047714A"/>
    <w:rsid w:val="00477601"/>
    <w:rsid w:val="00477DF5"/>
    <w:rsid w:val="00485F2B"/>
    <w:rsid w:val="00486FE3"/>
    <w:rsid w:val="00490DB9"/>
    <w:rsid w:val="00490DE8"/>
    <w:rsid w:val="004918D8"/>
    <w:rsid w:val="00491F75"/>
    <w:rsid w:val="00492F69"/>
    <w:rsid w:val="004940FF"/>
    <w:rsid w:val="00494835"/>
    <w:rsid w:val="00495613"/>
    <w:rsid w:val="004965A2"/>
    <w:rsid w:val="004973A3"/>
    <w:rsid w:val="004A3D05"/>
    <w:rsid w:val="004A6103"/>
    <w:rsid w:val="004A7A21"/>
    <w:rsid w:val="004B0914"/>
    <w:rsid w:val="004B0DA1"/>
    <w:rsid w:val="004B1C8E"/>
    <w:rsid w:val="004B40A0"/>
    <w:rsid w:val="004B5CA5"/>
    <w:rsid w:val="004B5DF4"/>
    <w:rsid w:val="004B6866"/>
    <w:rsid w:val="004B68A9"/>
    <w:rsid w:val="004B7253"/>
    <w:rsid w:val="004B7384"/>
    <w:rsid w:val="004C13B9"/>
    <w:rsid w:val="004C1B78"/>
    <w:rsid w:val="004C1E4B"/>
    <w:rsid w:val="004C1EB2"/>
    <w:rsid w:val="004C2B32"/>
    <w:rsid w:val="004C35B7"/>
    <w:rsid w:val="004C4704"/>
    <w:rsid w:val="004C4B50"/>
    <w:rsid w:val="004C52F6"/>
    <w:rsid w:val="004C6015"/>
    <w:rsid w:val="004D271C"/>
    <w:rsid w:val="004D388E"/>
    <w:rsid w:val="004D42B4"/>
    <w:rsid w:val="004D44A3"/>
    <w:rsid w:val="004E1D7F"/>
    <w:rsid w:val="004E3F85"/>
    <w:rsid w:val="004E4B16"/>
    <w:rsid w:val="004E571D"/>
    <w:rsid w:val="004E5F64"/>
    <w:rsid w:val="004E6AD3"/>
    <w:rsid w:val="004E78F1"/>
    <w:rsid w:val="004F39C6"/>
    <w:rsid w:val="004F425C"/>
    <w:rsid w:val="004F4525"/>
    <w:rsid w:val="004F5E8E"/>
    <w:rsid w:val="004F7AFC"/>
    <w:rsid w:val="005000B1"/>
    <w:rsid w:val="00501AB0"/>
    <w:rsid w:val="00501FA4"/>
    <w:rsid w:val="0050226C"/>
    <w:rsid w:val="00502A2E"/>
    <w:rsid w:val="005040E6"/>
    <w:rsid w:val="0050429F"/>
    <w:rsid w:val="00505596"/>
    <w:rsid w:val="00507537"/>
    <w:rsid w:val="00507861"/>
    <w:rsid w:val="00511078"/>
    <w:rsid w:val="005125FF"/>
    <w:rsid w:val="0051585A"/>
    <w:rsid w:val="00515DC7"/>
    <w:rsid w:val="0052008B"/>
    <w:rsid w:val="0052052A"/>
    <w:rsid w:val="005250B1"/>
    <w:rsid w:val="00527119"/>
    <w:rsid w:val="0052721C"/>
    <w:rsid w:val="0052775F"/>
    <w:rsid w:val="00531719"/>
    <w:rsid w:val="00532321"/>
    <w:rsid w:val="005337A9"/>
    <w:rsid w:val="005339F6"/>
    <w:rsid w:val="005345C6"/>
    <w:rsid w:val="00535E06"/>
    <w:rsid w:val="00536CA0"/>
    <w:rsid w:val="005373EB"/>
    <w:rsid w:val="00540FA7"/>
    <w:rsid w:val="00541109"/>
    <w:rsid w:val="00542605"/>
    <w:rsid w:val="00544417"/>
    <w:rsid w:val="0054532F"/>
    <w:rsid w:val="005461B7"/>
    <w:rsid w:val="00546EB9"/>
    <w:rsid w:val="0055003B"/>
    <w:rsid w:val="00550256"/>
    <w:rsid w:val="0055086B"/>
    <w:rsid w:val="00550FA4"/>
    <w:rsid w:val="0055175A"/>
    <w:rsid w:val="00553A77"/>
    <w:rsid w:val="005543AA"/>
    <w:rsid w:val="005554C4"/>
    <w:rsid w:val="0055686E"/>
    <w:rsid w:val="00556D44"/>
    <w:rsid w:val="00557070"/>
    <w:rsid w:val="00561A74"/>
    <w:rsid w:val="005632F6"/>
    <w:rsid w:val="00563393"/>
    <w:rsid w:val="00563DE7"/>
    <w:rsid w:val="0056515F"/>
    <w:rsid w:val="005656E3"/>
    <w:rsid w:val="00566C12"/>
    <w:rsid w:val="00566DF0"/>
    <w:rsid w:val="0056759C"/>
    <w:rsid w:val="0057042F"/>
    <w:rsid w:val="00570635"/>
    <w:rsid w:val="00570B0F"/>
    <w:rsid w:val="00570C88"/>
    <w:rsid w:val="00570E12"/>
    <w:rsid w:val="00571454"/>
    <w:rsid w:val="00573A71"/>
    <w:rsid w:val="00575559"/>
    <w:rsid w:val="00575711"/>
    <w:rsid w:val="0057633D"/>
    <w:rsid w:val="00576B0C"/>
    <w:rsid w:val="005801A5"/>
    <w:rsid w:val="0058090C"/>
    <w:rsid w:val="00580915"/>
    <w:rsid w:val="00580A75"/>
    <w:rsid w:val="00582BA0"/>
    <w:rsid w:val="0058316A"/>
    <w:rsid w:val="00585117"/>
    <w:rsid w:val="0058558F"/>
    <w:rsid w:val="00585902"/>
    <w:rsid w:val="00586463"/>
    <w:rsid w:val="005871F1"/>
    <w:rsid w:val="00591566"/>
    <w:rsid w:val="00591EE6"/>
    <w:rsid w:val="005925C1"/>
    <w:rsid w:val="00592AA9"/>
    <w:rsid w:val="00594487"/>
    <w:rsid w:val="00595493"/>
    <w:rsid w:val="00595DCB"/>
    <w:rsid w:val="00597D62"/>
    <w:rsid w:val="005A0DAA"/>
    <w:rsid w:val="005A1D70"/>
    <w:rsid w:val="005A218E"/>
    <w:rsid w:val="005A2734"/>
    <w:rsid w:val="005A33BE"/>
    <w:rsid w:val="005A386D"/>
    <w:rsid w:val="005A4269"/>
    <w:rsid w:val="005A46BE"/>
    <w:rsid w:val="005A53E8"/>
    <w:rsid w:val="005A5B61"/>
    <w:rsid w:val="005A77E9"/>
    <w:rsid w:val="005B073C"/>
    <w:rsid w:val="005B3D51"/>
    <w:rsid w:val="005B43BF"/>
    <w:rsid w:val="005C012C"/>
    <w:rsid w:val="005C59B5"/>
    <w:rsid w:val="005C630C"/>
    <w:rsid w:val="005C7BAD"/>
    <w:rsid w:val="005C7F72"/>
    <w:rsid w:val="005D0059"/>
    <w:rsid w:val="005D0BC0"/>
    <w:rsid w:val="005D23CA"/>
    <w:rsid w:val="005D2571"/>
    <w:rsid w:val="005D2A0A"/>
    <w:rsid w:val="005D3B30"/>
    <w:rsid w:val="005D4270"/>
    <w:rsid w:val="005D58CF"/>
    <w:rsid w:val="005D698B"/>
    <w:rsid w:val="005E1B74"/>
    <w:rsid w:val="005E222D"/>
    <w:rsid w:val="005E41E7"/>
    <w:rsid w:val="005E6393"/>
    <w:rsid w:val="005E720D"/>
    <w:rsid w:val="005E7E1C"/>
    <w:rsid w:val="005F0DE1"/>
    <w:rsid w:val="005F1B97"/>
    <w:rsid w:val="005F211D"/>
    <w:rsid w:val="005F2420"/>
    <w:rsid w:val="005F3560"/>
    <w:rsid w:val="005F4869"/>
    <w:rsid w:val="00601047"/>
    <w:rsid w:val="0060120D"/>
    <w:rsid w:val="006012D7"/>
    <w:rsid w:val="0060199F"/>
    <w:rsid w:val="0060235E"/>
    <w:rsid w:val="00602513"/>
    <w:rsid w:val="0060439B"/>
    <w:rsid w:val="00604448"/>
    <w:rsid w:val="00604787"/>
    <w:rsid w:val="00604A86"/>
    <w:rsid w:val="00604ED8"/>
    <w:rsid w:val="00605A14"/>
    <w:rsid w:val="00606514"/>
    <w:rsid w:val="00606E6E"/>
    <w:rsid w:val="00612909"/>
    <w:rsid w:val="006131B7"/>
    <w:rsid w:val="00613264"/>
    <w:rsid w:val="0061361E"/>
    <w:rsid w:val="00613F44"/>
    <w:rsid w:val="006142A3"/>
    <w:rsid w:val="0061436F"/>
    <w:rsid w:val="00615E45"/>
    <w:rsid w:val="006169AB"/>
    <w:rsid w:val="00616A3F"/>
    <w:rsid w:val="00620A95"/>
    <w:rsid w:val="0062640F"/>
    <w:rsid w:val="00626AD5"/>
    <w:rsid w:val="006277B2"/>
    <w:rsid w:val="006314BC"/>
    <w:rsid w:val="0063239F"/>
    <w:rsid w:val="00632974"/>
    <w:rsid w:val="00632F46"/>
    <w:rsid w:val="00632FB6"/>
    <w:rsid w:val="006338E6"/>
    <w:rsid w:val="006343BD"/>
    <w:rsid w:val="00634840"/>
    <w:rsid w:val="00634CA4"/>
    <w:rsid w:val="0063564F"/>
    <w:rsid w:val="00635EE8"/>
    <w:rsid w:val="00641CC0"/>
    <w:rsid w:val="006425FC"/>
    <w:rsid w:val="006439EF"/>
    <w:rsid w:val="00644A64"/>
    <w:rsid w:val="0064596D"/>
    <w:rsid w:val="00645DC7"/>
    <w:rsid w:val="00646663"/>
    <w:rsid w:val="00647D8C"/>
    <w:rsid w:val="00650366"/>
    <w:rsid w:val="0065061A"/>
    <w:rsid w:val="00650BA4"/>
    <w:rsid w:val="006514B7"/>
    <w:rsid w:val="006527B5"/>
    <w:rsid w:val="00653494"/>
    <w:rsid w:val="0065364D"/>
    <w:rsid w:val="006606AA"/>
    <w:rsid w:val="00660E5F"/>
    <w:rsid w:val="00661787"/>
    <w:rsid w:val="006622FA"/>
    <w:rsid w:val="006640B8"/>
    <w:rsid w:val="006641B8"/>
    <w:rsid w:val="00667570"/>
    <w:rsid w:val="00667A6D"/>
    <w:rsid w:val="006715AD"/>
    <w:rsid w:val="00671BB7"/>
    <w:rsid w:val="00672B64"/>
    <w:rsid w:val="006730D8"/>
    <w:rsid w:val="00673415"/>
    <w:rsid w:val="006742F8"/>
    <w:rsid w:val="0067494D"/>
    <w:rsid w:val="006753B8"/>
    <w:rsid w:val="00676116"/>
    <w:rsid w:val="00676869"/>
    <w:rsid w:val="00677360"/>
    <w:rsid w:val="006774F2"/>
    <w:rsid w:val="00677A5B"/>
    <w:rsid w:val="0068046B"/>
    <w:rsid w:val="00682027"/>
    <w:rsid w:val="006820F4"/>
    <w:rsid w:val="00682ADE"/>
    <w:rsid w:val="0068495C"/>
    <w:rsid w:val="00684BC4"/>
    <w:rsid w:val="00687B3F"/>
    <w:rsid w:val="0069011B"/>
    <w:rsid w:val="00690D60"/>
    <w:rsid w:val="00692AD3"/>
    <w:rsid w:val="00694D8B"/>
    <w:rsid w:val="00695928"/>
    <w:rsid w:val="006969BC"/>
    <w:rsid w:val="006A01DC"/>
    <w:rsid w:val="006A0462"/>
    <w:rsid w:val="006A148D"/>
    <w:rsid w:val="006A1D7D"/>
    <w:rsid w:val="006A1F87"/>
    <w:rsid w:val="006A2AC1"/>
    <w:rsid w:val="006A3B04"/>
    <w:rsid w:val="006A41F0"/>
    <w:rsid w:val="006A43FB"/>
    <w:rsid w:val="006A4FA1"/>
    <w:rsid w:val="006A59E9"/>
    <w:rsid w:val="006A644E"/>
    <w:rsid w:val="006A7403"/>
    <w:rsid w:val="006B0DEB"/>
    <w:rsid w:val="006B3C8D"/>
    <w:rsid w:val="006B4D7C"/>
    <w:rsid w:val="006B7DDC"/>
    <w:rsid w:val="006C0F7D"/>
    <w:rsid w:val="006C17F3"/>
    <w:rsid w:val="006C191C"/>
    <w:rsid w:val="006C2DF6"/>
    <w:rsid w:val="006C36BF"/>
    <w:rsid w:val="006C3C0E"/>
    <w:rsid w:val="006C4105"/>
    <w:rsid w:val="006C736C"/>
    <w:rsid w:val="006D0A66"/>
    <w:rsid w:val="006D1367"/>
    <w:rsid w:val="006D14CB"/>
    <w:rsid w:val="006D24E3"/>
    <w:rsid w:val="006D2A4F"/>
    <w:rsid w:val="006D3BC2"/>
    <w:rsid w:val="006D4480"/>
    <w:rsid w:val="006D452C"/>
    <w:rsid w:val="006D60A7"/>
    <w:rsid w:val="006D67AB"/>
    <w:rsid w:val="006D729D"/>
    <w:rsid w:val="006D78A0"/>
    <w:rsid w:val="006D7F48"/>
    <w:rsid w:val="006E0FF1"/>
    <w:rsid w:val="006E194F"/>
    <w:rsid w:val="006E1997"/>
    <w:rsid w:val="006E278D"/>
    <w:rsid w:val="006E2B0F"/>
    <w:rsid w:val="006E4C8E"/>
    <w:rsid w:val="006E4F59"/>
    <w:rsid w:val="006E5D13"/>
    <w:rsid w:val="006E767F"/>
    <w:rsid w:val="006E7DA8"/>
    <w:rsid w:val="006F04D2"/>
    <w:rsid w:val="006F05E5"/>
    <w:rsid w:val="006F120F"/>
    <w:rsid w:val="006F2185"/>
    <w:rsid w:val="006F5F7A"/>
    <w:rsid w:val="006F731E"/>
    <w:rsid w:val="00700C76"/>
    <w:rsid w:val="007018C8"/>
    <w:rsid w:val="0070227A"/>
    <w:rsid w:val="007029C8"/>
    <w:rsid w:val="00702B86"/>
    <w:rsid w:val="00704BD9"/>
    <w:rsid w:val="00704D38"/>
    <w:rsid w:val="00705047"/>
    <w:rsid w:val="0071044D"/>
    <w:rsid w:val="00712486"/>
    <w:rsid w:val="007139EB"/>
    <w:rsid w:val="00713E40"/>
    <w:rsid w:val="007142E2"/>
    <w:rsid w:val="00715463"/>
    <w:rsid w:val="00716CCA"/>
    <w:rsid w:val="007205CF"/>
    <w:rsid w:val="00720836"/>
    <w:rsid w:val="0072091B"/>
    <w:rsid w:val="00721A83"/>
    <w:rsid w:val="007222EC"/>
    <w:rsid w:val="00725863"/>
    <w:rsid w:val="0072594E"/>
    <w:rsid w:val="00726E57"/>
    <w:rsid w:val="00727A4F"/>
    <w:rsid w:val="0073053F"/>
    <w:rsid w:val="00731588"/>
    <w:rsid w:val="00731C25"/>
    <w:rsid w:val="00732453"/>
    <w:rsid w:val="0073384F"/>
    <w:rsid w:val="00734F55"/>
    <w:rsid w:val="00735844"/>
    <w:rsid w:val="007423BA"/>
    <w:rsid w:val="00743479"/>
    <w:rsid w:val="00743A62"/>
    <w:rsid w:val="0074443F"/>
    <w:rsid w:val="00745A92"/>
    <w:rsid w:val="00745AEC"/>
    <w:rsid w:val="00745B70"/>
    <w:rsid w:val="0074648A"/>
    <w:rsid w:val="00746A6B"/>
    <w:rsid w:val="00747925"/>
    <w:rsid w:val="007505EC"/>
    <w:rsid w:val="00750D4B"/>
    <w:rsid w:val="007513D6"/>
    <w:rsid w:val="00752C37"/>
    <w:rsid w:val="00755448"/>
    <w:rsid w:val="00755A14"/>
    <w:rsid w:val="007577D1"/>
    <w:rsid w:val="00757E9D"/>
    <w:rsid w:val="00760904"/>
    <w:rsid w:val="0076226F"/>
    <w:rsid w:val="00762414"/>
    <w:rsid w:val="007624DA"/>
    <w:rsid w:val="00762746"/>
    <w:rsid w:val="0076365C"/>
    <w:rsid w:val="00767E2C"/>
    <w:rsid w:val="00767F9F"/>
    <w:rsid w:val="00771ABB"/>
    <w:rsid w:val="007728F2"/>
    <w:rsid w:val="0077577E"/>
    <w:rsid w:val="00775CF2"/>
    <w:rsid w:val="00775D9D"/>
    <w:rsid w:val="007760FB"/>
    <w:rsid w:val="00777726"/>
    <w:rsid w:val="0078142E"/>
    <w:rsid w:val="00781FD3"/>
    <w:rsid w:val="007825AB"/>
    <w:rsid w:val="0078298E"/>
    <w:rsid w:val="00784629"/>
    <w:rsid w:val="0078517C"/>
    <w:rsid w:val="0078628A"/>
    <w:rsid w:val="0078733C"/>
    <w:rsid w:val="00787D91"/>
    <w:rsid w:val="00791279"/>
    <w:rsid w:val="00791E6F"/>
    <w:rsid w:val="007925EE"/>
    <w:rsid w:val="0079455D"/>
    <w:rsid w:val="00794849"/>
    <w:rsid w:val="00794F89"/>
    <w:rsid w:val="0079528A"/>
    <w:rsid w:val="0079648B"/>
    <w:rsid w:val="007A0383"/>
    <w:rsid w:val="007A23A3"/>
    <w:rsid w:val="007A4CD9"/>
    <w:rsid w:val="007A7A79"/>
    <w:rsid w:val="007A7E66"/>
    <w:rsid w:val="007B26B9"/>
    <w:rsid w:val="007B2C54"/>
    <w:rsid w:val="007B2E82"/>
    <w:rsid w:val="007B333B"/>
    <w:rsid w:val="007B33B2"/>
    <w:rsid w:val="007B3873"/>
    <w:rsid w:val="007B3BC3"/>
    <w:rsid w:val="007B4F07"/>
    <w:rsid w:val="007B6A6C"/>
    <w:rsid w:val="007B7CBD"/>
    <w:rsid w:val="007C086E"/>
    <w:rsid w:val="007C0D16"/>
    <w:rsid w:val="007C45A0"/>
    <w:rsid w:val="007C59A0"/>
    <w:rsid w:val="007C68B4"/>
    <w:rsid w:val="007C715C"/>
    <w:rsid w:val="007C72C2"/>
    <w:rsid w:val="007C7629"/>
    <w:rsid w:val="007C7AAD"/>
    <w:rsid w:val="007D0B26"/>
    <w:rsid w:val="007D0DA9"/>
    <w:rsid w:val="007D0EB9"/>
    <w:rsid w:val="007D11C4"/>
    <w:rsid w:val="007D223E"/>
    <w:rsid w:val="007D3AFD"/>
    <w:rsid w:val="007D3C55"/>
    <w:rsid w:val="007D6EF4"/>
    <w:rsid w:val="007D7150"/>
    <w:rsid w:val="007D7290"/>
    <w:rsid w:val="007D7E73"/>
    <w:rsid w:val="007E0440"/>
    <w:rsid w:val="007E04EB"/>
    <w:rsid w:val="007E1ABF"/>
    <w:rsid w:val="007E4AD1"/>
    <w:rsid w:val="007E578A"/>
    <w:rsid w:val="007E5F42"/>
    <w:rsid w:val="007E73EF"/>
    <w:rsid w:val="007F0B0C"/>
    <w:rsid w:val="007F1B77"/>
    <w:rsid w:val="007F2B20"/>
    <w:rsid w:val="007F2E23"/>
    <w:rsid w:val="007F3421"/>
    <w:rsid w:val="007F3562"/>
    <w:rsid w:val="007F6D08"/>
    <w:rsid w:val="007F6DE0"/>
    <w:rsid w:val="007F716D"/>
    <w:rsid w:val="008015EF"/>
    <w:rsid w:val="0080173D"/>
    <w:rsid w:val="008022BF"/>
    <w:rsid w:val="00806227"/>
    <w:rsid w:val="00806C36"/>
    <w:rsid w:val="00807F15"/>
    <w:rsid w:val="008107D3"/>
    <w:rsid w:val="008114E5"/>
    <w:rsid w:val="00811A19"/>
    <w:rsid w:val="00812235"/>
    <w:rsid w:val="00813BCA"/>
    <w:rsid w:val="008145DD"/>
    <w:rsid w:val="008154C9"/>
    <w:rsid w:val="00815D2E"/>
    <w:rsid w:val="00816A1F"/>
    <w:rsid w:val="00816CF7"/>
    <w:rsid w:val="00817615"/>
    <w:rsid w:val="00820E66"/>
    <w:rsid w:val="00821256"/>
    <w:rsid w:val="008227A6"/>
    <w:rsid w:val="00824EBF"/>
    <w:rsid w:val="008251BD"/>
    <w:rsid w:val="00825293"/>
    <w:rsid w:val="00825E2B"/>
    <w:rsid w:val="00826C0B"/>
    <w:rsid w:val="00826C80"/>
    <w:rsid w:val="00826F53"/>
    <w:rsid w:val="00827446"/>
    <w:rsid w:val="00834025"/>
    <w:rsid w:val="00834356"/>
    <w:rsid w:val="00834E85"/>
    <w:rsid w:val="00835086"/>
    <w:rsid w:val="00835579"/>
    <w:rsid w:val="00837CC1"/>
    <w:rsid w:val="00841A98"/>
    <w:rsid w:val="00842E14"/>
    <w:rsid w:val="0084376A"/>
    <w:rsid w:val="008450DB"/>
    <w:rsid w:val="0084615A"/>
    <w:rsid w:val="00846BE5"/>
    <w:rsid w:val="00847F50"/>
    <w:rsid w:val="00851844"/>
    <w:rsid w:val="008518B7"/>
    <w:rsid w:val="00852FE1"/>
    <w:rsid w:val="00854395"/>
    <w:rsid w:val="00854AE1"/>
    <w:rsid w:val="00854FF1"/>
    <w:rsid w:val="00855091"/>
    <w:rsid w:val="00856E22"/>
    <w:rsid w:val="00860A68"/>
    <w:rsid w:val="00861C5A"/>
    <w:rsid w:val="0086332E"/>
    <w:rsid w:val="00864269"/>
    <w:rsid w:val="00865A57"/>
    <w:rsid w:val="00866958"/>
    <w:rsid w:val="00870402"/>
    <w:rsid w:val="00872443"/>
    <w:rsid w:val="00872F6E"/>
    <w:rsid w:val="00873A22"/>
    <w:rsid w:val="00874FCA"/>
    <w:rsid w:val="0087502F"/>
    <w:rsid w:val="0087600A"/>
    <w:rsid w:val="008762D8"/>
    <w:rsid w:val="00877073"/>
    <w:rsid w:val="008770B8"/>
    <w:rsid w:val="0087758D"/>
    <w:rsid w:val="00877AC5"/>
    <w:rsid w:val="00880556"/>
    <w:rsid w:val="008816EF"/>
    <w:rsid w:val="0088195F"/>
    <w:rsid w:val="00885460"/>
    <w:rsid w:val="00885CA6"/>
    <w:rsid w:val="008862F5"/>
    <w:rsid w:val="00886EBB"/>
    <w:rsid w:val="00893163"/>
    <w:rsid w:val="0089333E"/>
    <w:rsid w:val="00895795"/>
    <w:rsid w:val="00895D42"/>
    <w:rsid w:val="00897B33"/>
    <w:rsid w:val="008A0085"/>
    <w:rsid w:val="008A066F"/>
    <w:rsid w:val="008A12BB"/>
    <w:rsid w:val="008A3B30"/>
    <w:rsid w:val="008A5811"/>
    <w:rsid w:val="008A5BDF"/>
    <w:rsid w:val="008A6779"/>
    <w:rsid w:val="008A76FA"/>
    <w:rsid w:val="008A7920"/>
    <w:rsid w:val="008A7C49"/>
    <w:rsid w:val="008B3E12"/>
    <w:rsid w:val="008B73CA"/>
    <w:rsid w:val="008B7959"/>
    <w:rsid w:val="008C1323"/>
    <w:rsid w:val="008C294D"/>
    <w:rsid w:val="008C2C99"/>
    <w:rsid w:val="008C2FB5"/>
    <w:rsid w:val="008C4137"/>
    <w:rsid w:val="008C5271"/>
    <w:rsid w:val="008C6D7F"/>
    <w:rsid w:val="008C72C5"/>
    <w:rsid w:val="008D016B"/>
    <w:rsid w:val="008D12A2"/>
    <w:rsid w:val="008D1EE3"/>
    <w:rsid w:val="008D301E"/>
    <w:rsid w:val="008D3685"/>
    <w:rsid w:val="008D4083"/>
    <w:rsid w:val="008D45A6"/>
    <w:rsid w:val="008D4B17"/>
    <w:rsid w:val="008D4F3E"/>
    <w:rsid w:val="008D55B0"/>
    <w:rsid w:val="008D6D3C"/>
    <w:rsid w:val="008E06EB"/>
    <w:rsid w:val="008E100D"/>
    <w:rsid w:val="008E2839"/>
    <w:rsid w:val="008E2D14"/>
    <w:rsid w:val="008E623E"/>
    <w:rsid w:val="008E63D3"/>
    <w:rsid w:val="008E68FB"/>
    <w:rsid w:val="008F08B5"/>
    <w:rsid w:val="008F0D8A"/>
    <w:rsid w:val="008F0DFD"/>
    <w:rsid w:val="008F3991"/>
    <w:rsid w:val="008F39CE"/>
    <w:rsid w:val="008F43E1"/>
    <w:rsid w:val="008F5B96"/>
    <w:rsid w:val="008F7494"/>
    <w:rsid w:val="008F7F12"/>
    <w:rsid w:val="00902D34"/>
    <w:rsid w:val="009034CC"/>
    <w:rsid w:val="00904EB4"/>
    <w:rsid w:val="00905058"/>
    <w:rsid w:val="0090510F"/>
    <w:rsid w:val="00907548"/>
    <w:rsid w:val="00911162"/>
    <w:rsid w:val="00911EEA"/>
    <w:rsid w:val="0091357D"/>
    <w:rsid w:val="00913A90"/>
    <w:rsid w:val="00913F99"/>
    <w:rsid w:val="009151A9"/>
    <w:rsid w:val="00915B9E"/>
    <w:rsid w:val="00915E86"/>
    <w:rsid w:val="009166E6"/>
    <w:rsid w:val="0092283B"/>
    <w:rsid w:val="00922A86"/>
    <w:rsid w:val="009231EB"/>
    <w:rsid w:val="0092365C"/>
    <w:rsid w:val="009246A4"/>
    <w:rsid w:val="009268D4"/>
    <w:rsid w:val="0092783C"/>
    <w:rsid w:val="00927A6B"/>
    <w:rsid w:val="00927C6A"/>
    <w:rsid w:val="00927C94"/>
    <w:rsid w:val="00930350"/>
    <w:rsid w:val="009312C1"/>
    <w:rsid w:val="00932B6F"/>
    <w:rsid w:val="00933AAA"/>
    <w:rsid w:val="00934452"/>
    <w:rsid w:val="00934CBF"/>
    <w:rsid w:val="00936AD8"/>
    <w:rsid w:val="0093761B"/>
    <w:rsid w:val="00937C9B"/>
    <w:rsid w:val="00940214"/>
    <w:rsid w:val="009403DC"/>
    <w:rsid w:val="009418AC"/>
    <w:rsid w:val="00942533"/>
    <w:rsid w:val="0094279B"/>
    <w:rsid w:val="00944B69"/>
    <w:rsid w:val="00944E16"/>
    <w:rsid w:val="00945D99"/>
    <w:rsid w:val="009471E4"/>
    <w:rsid w:val="00947311"/>
    <w:rsid w:val="00950B8A"/>
    <w:rsid w:val="0095166A"/>
    <w:rsid w:val="00951DCA"/>
    <w:rsid w:val="00953BA4"/>
    <w:rsid w:val="009541F7"/>
    <w:rsid w:val="009545EF"/>
    <w:rsid w:val="00956DF6"/>
    <w:rsid w:val="00957A75"/>
    <w:rsid w:val="009621E7"/>
    <w:rsid w:val="00962493"/>
    <w:rsid w:val="00962A5E"/>
    <w:rsid w:val="0096397D"/>
    <w:rsid w:val="00963FC6"/>
    <w:rsid w:val="00964107"/>
    <w:rsid w:val="009679D2"/>
    <w:rsid w:val="009704E2"/>
    <w:rsid w:val="00970976"/>
    <w:rsid w:val="009724A1"/>
    <w:rsid w:val="00975929"/>
    <w:rsid w:val="009822AC"/>
    <w:rsid w:val="00983A00"/>
    <w:rsid w:val="00984176"/>
    <w:rsid w:val="009846B1"/>
    <w:rsid w:val="009905D0"/>
    <w:rsid w:val="00991C12"/>
    <w:rsid w:val="009924A9"/>
    <w:rsid w:val="0099540F"/>
    <w:rsid w:val="00995FF4"/>
    <w:rsid w:val="009965EE"/>
    <w:rsid w:val="009A0D56"/>
    <w:rsid w:val="009A2109"/>
    <w:rsid w:val="009A2F0C"/>
    <w:rsid w:val="009A412E"/>
    <w:rsid w:val="009A495F"/>
    <w:rsid w:val="009A5A15"/>
    <w:rsid w:val="009A64BD"/>
    <w:rsid w:val="009A6D9B"/>
    <w:rsid w:val="009A76B2"/>
    <w:rsid w:val="009B0676"/>
    <w:rsid w:val="009B0A80"/>
    <w:rsid w:val="009B2D86"/>
    <w:rsid w:val="009B3619"/>
    <w:rsid w:val="009B3E4B"/>
    <w:rsid w:val="009B4E17"/>
    <w:rsid w:val="009B4F1D"/>
    <w:rsid w:val="009B53D7"/>
    <w:rsid w:val="009B5CF0"/>
    <w:rsid w:val="009B70EC"/>
    <w:rsid w:val="009C0A7C"/>
    <w:rsid w:val="009C158C"/>
    <w:rsid w:val="009C2180"/>
    <w:rsid w:val="009C6737"/>
    <w:rsid w:val="009C7295"/>
    <w:rsid w:val="009C7B7B"/>
    <w:rsid w:val="009D026D"/>
    <w:rsid w:val="009D0BDC"/>
    <w:rsid w:val="009D30F1"/>
    <w:rsid w:val="009D3339"/>
    <w:rsid w:val="009D3898"/>
    <w:rsid w:val="009D47FF"/>
    <w:rsid w:val="009E05FA"/>
    <w:rsid w:val="009E08E6"/>
    <w:rsid w:val="009E0A7D"/>
    <w:rsid w:val="009E0D9A"/>
    <w:rsid w:val="009E24F3"/>
    <w:rsid w:val="009E409D"/>
    <w:rsid w:val="009E45B7"/>
    <w:rsid w:val="009E4B89"/>
    <w:rsid w:val="009E4E25"/>
    <w:rsid w:val="009E535C"/>
    <w:rsid w:val="009E5791"/>
    <w:rsid w:val="009E6EAD"/>
    <w:rsid w:val="009F02F5"/>
    <w:rsid w:val="009F17AD"/>
    <w:rsid w:val="009F1F78"/>
    <w:rsid w:val="009F21B3"/>
    <w:rsid w:val="009F3941"/>
    <w:rsid w:val="009F4323"/>
    <w:rsid w:val="009F64C9"/>
    <w:rsid w:val="009F6938"/>
    <w:rsid w:val="009F6FC6"/>
    <w:rsid w:val="009F7CD8"/>
    <w:rsid w:val="00A00882"/>
    <w:rsid w:val="00A00E56"/>
    <w:rsid w:val="00A02381"/>
    <w:rsid w:val="00A03C03"/>
    <w:rsid w:val="00A03C65"/>
    <w:rsid w:val="00A0437E"/>
    <w:rsid w:val="00A06A64"/>
    <w:rsid w:val="00A07688"/>
    <w:rsid w:val="00A0782A"/>
    <w:rsid w:val="00A07CF7"/>
    <w:rsid w:val="00A10E75"/>
    <w:rsid w:val="00A11191"/>
    <w:rsid w:val="00A12268"/>
    <w:rsid w:val="00A13AAE"/>
    <w:rsid w:val="00A15DD8"/>
    <w:rsid w:val="00A16538"/>
    <w:rsid w:val="00A16956"/>
    <w:rsid w:val="00A20DE1"/>
    <w:rsid w:val="00A21392"/>
    <w:rsid w:val="00A21A98"/>
    <w:rsid w:val="00A23171"/>
    <w:rsid w:val="00A23718"/>
    <w:rsid w:val="00A264D5"/>
    <w:rsid w:val="00A27E3F"/>
    <w:rsid w:val="00A30376"/>
    <w:rsid w:val="00A30CF4"/>
    <w:rsid w:val="00A317B1"/>
    <w:rsid w:val="00A32137"/>
    <w:rsid w:val="00A354E7"/>
    <w:rsid w:val="00A40A3F"/>
    <w:rsid w:val="00A41482"/>
    <w:rsid w:val="00A4180C"/>
    <w:rsid w:val="00A41E1E"/>
    <w:rsid w:val="00A42D6C"/>
    <w:rsid w:val="00A42DE6"/>
    <w:rsid w:val="00A44766"/>
    <w:rsid w:val="00A463B3"/>
    <w:rsid w:val="00A46686"/>
    <w:rsid w:val="00A46CBD"/>
    <w:rsid w:val="00A47ACE"/>
    <w:rsid w:val="00A52AE5"/>
    <w:rsid w:val="00A55AB1"/>
    <w:rsid w:val="00A567AF"/>
    <w:rsid w:val="00A5710C"/>
    <w:rsid w:val="00A625BC"/>
    <w:rsid w:val="00A634AC"/>
    <w:rsid w:val="00A657E5"/>
    <w:rsid w:val="00A6633B"/>
    <w:rsid w:val="00A67E83"/>
    <w:rsid w:val="00A70B68"/>
    <w:rsid w:val="00A73471"/>
    <w:rsid w:val="00A73C3E"/>
    <w:rsid w:val="00A73D32"/>
    <w:rsid w:val="00A73F87"/>
    <w:rsid w:val="00A742C4"/>
    <w:rsid w:val="00A74BED"/>
    <w:rsid w:val="00A75833"/>
    <w:rsid w:val="00A766AD"/>
    <w:rsid w:val="00A77912"/>
    <w:rsid w:val="00A81156"/>
    <w:rsid w:val="00A82135"/>
    <w:rsid w:val="00A82B11"/>
    <w:rsid w:val="00A82BF1"/>
    <w:rsid w:val="00A840C1"/>
    <w:rsid w:val="00A85634"/>
    <w:rsid w:val="00A858DF"/>
    <w:rsid w:val="00A85C6B"/>
    <w:rsid w:val="00A87AFD"/>
    <w:rsid w:val="00A91FF0"/>
    <w:rsid w:val="00A92013"/>
    <w:rsid w:val="00A92921"/>
    <w:rsid w:val="00A93491"/>
    <w:rsid w:val="00A93C58"/>
    <w:rsid w:val="00A94A54"/>
    <w:rsid w:val="00A94A9E"/>
    <w:rsid w:val="00A94C9E"/>
    <w:rsid w:val="00A9529B"/>
    <w:rsid w:val="00A9655A"/>
    <w:rsid w:val="00A973E4"/>
    <w:rsid w:val="00A97B39"/>
    <w:rsid w:val="00A97B98"/>
    <w:rsid w:val="00AA0742"/>
    <w:rsid w:val="00AA100C"/>
    <w:rsid w:val="00AA20F8"/>
    <w:rsid w:val="00AA2766"/>
    <w:rsid w:val="00AA289D"/>
    <w:rsid w:val="00AA44C0"/>
    <w:rsid w:val="00AA47D3"/>
    <w:rsid w:val="00AA4ACD"/>
    <w:rsid w:val="00AA53D8"/>
    <w:rsid w:val="00AA63B2"/>
    <w:rsid w:val="00AA66A8"/>
    <w:rsid w:val="00AA7C7C"/>
    <w:rsid w:val="00AB107B"/>
    <w:rsid w:val="00AB1369"/>
    <w:rsid w:val="00AB1EA3"/>
    <w:rsid w:val="00AB220D"/>
    <w:rsid w:val="00AB2F1C"/>
    <w:rsid w:val="00AB3229"/>
    <w:rsid w:val="00AB3F57"/>
    <w:rsid w:val="00AB6CBF"/>
    <w:rsid w:val="00AB6E98"/>
    <w:rsid w:val="00AC0AD4"/>
    <w:rsid w:val="00AC155A"/>
    <w:rsid w:val="00AC2F03"/>
    <w:rsid w:val="00AC3850"/>
    <w:rsid w:val="00AC390B"/>
    <w:rsid w:val="00AC5C94"/>
    <w:rsid w:val="00AC5D25"/>
    <w:rsid w:val="00AC6984"/>
    <w:rsid w:val="00AC6B36"/>
    <w:rsid w:val="00AC763D"/>
    <w:rsid w:val="00AD0006"/>
    <w:rsid w:val="00AD00BD"/>
    <w:rsid w:val="00AD05CE"/>
    <w:rsid w:val="00AD09D1"/>
    <w:rsid w:val="00AD0EB9"/>
    <w:rsid w:val="00AD137E"/>
    <w:rsid w:val="00AD21D1"/>
    <w:rsid w:val="00AD238F"/>
    <w:rsid w:val="00AD23B6"/>
    <w:rsid w:val="00AD3384"/>
    <w:rsid w:val="00AD6C9C"/>
    <w:rsid w:val="00AD7394"/>
    <w:rsid w:val="00AD76D7"/>
    <w:rsid w:val="00AD7902"/>
    <w:rsid w:val="00AE1EBF"/>
    <w:rsid w:val="00AE1EFE"/>
    <w:rsid w:val="00AE1FA6"/>
    <w:rsid w:val="00AE3EC7"/>
    <w:rsid w:val="00AE3FE7"/>
    <w:rsid w:val="00AE4FC3"/>
    <w:rsid w:val="00AE50CF"/>
    <w:rsid w:val="00AE7E6E"/>
    <w:rsid w:val="00AF0A4B"/>
    <w:rsid w:val="00AF10A4"/>
    <w:rsid w:val="00AF28A3"/>
    <w:rsid w:val="00AF2F8E"/>
    <w:rsid w:val="00AF3498"/>
    <w:rsid w:val="00AF46EA"/>
    <w:rsid w:val="00AF4E55"/>
    <w:rsid w:val="00AF598C"/>
    <w:rsid w:val="00AF5AF0"/>
    <w:rsid w:val="00B00F89"/>
    <w:rsid w:val="00B020FF"/>
    <w:rsid w:val="00B02C9C"/>
    <w:rsid w:val="00B04C5A"/>
    <w:rsid w:val="00B06990"/>
    <w:rsid w:val="00B07B10"/>
    <w:rsid w:val="00B107CB"/>
    <w:rsid w:val="00B128BD"/>
    <w:rsid w:val="00B129D9"/>
    <w:rsid w:val="00B134BE"/>
    <w:rsid w:val="00B13C64"/>
    <w:rsid w:val="00B1522F"/>
    <w:rsid w:val="00B16275"/>
    <w:rsid w:val="00B224CD"/>
    <w:rsid w:val="00B22AAC"/>
    <w:rsid w:val="00B25F2D"/>
    <w:rsid w:val="00B26500"/>
    <w:rsid w:val="00B26B0F"/>
    <w:rsid w:val="00B26B60"/>
    <w:rsid w:val="00B27ABA"/>
    <w:rsid w:val="00B324E1"/>
    <w:rsid w:val="00B35D42"/>
    <w:rsid w:val="00B37FF2"/>
    <w:rsid w:val="00B4059F"/>
    <w:rsid w:val="00B4068B"/>
    <w:rsid w:val="00B42B47"/>
    <w:rsid w:val="00B44F15"/>
    <w:rsid w:val="00B4532F"/>
    <w:rsid w:val="00B454CF"/>
    <w:rsid w:val="00B464B5"/>
    <w:rsid w:val="00B479CC"/>
    <w:rsid w:val="00B51095"/>
    <w:rsid w:val="00B5197D"/>
    <w:rsid w:val="00B51AFC"/>
    <w:rsid w:val="00B52040"/>
    <w:rsid w:val="00B52D34"/>
    <w:rsid w:val="00B53B21"/>
    <w:rsid w:val="00B54532"/>
    <w:rsid w:val="00B55B33"/>
    <w:rsid w:val="00B61284"/>
    <w:rsid w:val="00B61B60"/>
    <w:rsid w:val="00B621B8"/>
    <w:rsid w:val="00B639A0"/>
    <w:rsid w:val="00B63AA2"/>
    <w:rsid w:val="00B64D0D"/>
    <w:rsid w:val="00B650A6"/>
    <w:rsid w:val="00B659A0"/>
    <w:rsid w:val="00B65FBB"/>
    <w:rsid w:val="00B6792E"/>
    <w:rsid w:val="00B67EBF"/>
    <w:rsid w:val="00B705F1"/>
    <w:rsid w:val="00B7108F"/>
    <w:rsid w:val="00B71C80"/>
    <w:rsid w:val="00B7398C"/>
    <w:rsid w:val="00B7410D"/>
    <w:rsid w:val="00B759B4"/>
    <w:rsid w:val="00B80065"/>
    <w:rsid w:val="00B80C74"/>
    <w:rsid w:val="00B8146B"/>
    <w:rsid w:val="00B8425C"/>
    <w:rsid w:val="00B85F22"/>
    <w:rsid w:val="00B86A77"/>
    <w:rsid w:val="00B87543"/>
    <w:rsid w:val="00B87A3C"/>
    <w:rsid w:val="00B91178"/>
    <w:rsid w:val="00B920BD"/>
    <w:rsid w:val="00B92C9F"/>
    <w:rsid w:val="00B93437"/>
    <w:rsid w:val="00B9421F"/>
    <w:rsid w:val="00B946B6"/>
    <w:rsid w:val="00B96703"/>
    <w:rsid w:val="00B97ED2"/>
    <w:rsid w:val="00BA00D0"/>
    <w:rsid w:val="00BA06C8"/>
    <w:rsid w:val="00BA158A"/>
    <w:rsid w:val="00BA1CF6"/>
    <w:rsid w:val="00BA2775"/>
    <w:rsid w:val="00BA28D9"/>
    <w:rsid w:val="00BA2C6B"/>
    <w:rsid w:val="00BA43D4"/>
    <w:rsid w:val="00BA4576"/>
    <w:rsid w:val="00BA56D5"/>
    <w:rsid w:val="00BA6018"/>
    <w:rsid w:val="00BA69EC"/>
    <w:rsid w:val="00BA7210"/>
    <w:rsid w:val="00BA733D"/>
    <w:rsid w:val="00BA7453"/>
    <w:rsid w:val="00BA7618"/>
    <w:rsid w:val="00BA778F"/>
    <w:rsid w:val="00BB21DC"/>
    <w:rsid w:val="00BB3461"/>
    <w:rsid w:val="00BB4AD7"/>
    <w:rsid w:val="00BB7051"/>
    <w:rsid w:val="00BC0F3D"/>
    <w:rsid w:val="00BC13D0"/>
    <w:rsid w:val="00BC14CB"/>
    <w:rsid w:val="00BC1959"/>
    <w:rsid w:val="00BC1D83"/>
    <w:rsid w:val="00BC20D0"/>
    <w:rsid w:val="00BC69AB"/>
    <w:rsid w:val="00BD08AC"/>
    <w:rsid w:val="00BD1DDA"/>
    <w:rsid w:val="00BD393D"/>
    <w:rsid w:val="00BD3B2B"/>
    <w:rsid w:val="00BD3CB1"/>
    <w:rsid w:val="00BD4E88"/>
    <w:rsid w:val="00BD5950"/>
    <w:rsid w:val="00BD5CD2"/>
    <w:rsid w:val="00BD648E"/>
    <w:rsid w:val="00BD7F22"/>
    <w:rsid w:val="00BE29A2"/>
    <w:rsid w:val="00BE4DFA"/>
    <w:rsid w:val="00BE5CC9"/>
    <w:rsid w:val="00BE6556"/>
    <w:rsid w:val="00BE7223"/>
    <w:rsid w:val="00BE77A7"/>
    <w:rsid w:val="00BF1E03"/>
    <w:rsid w:val="00BF2B92"/>
    <w:rsid w:val="00BF2F52"/>
    <w:rsid w:val="00BF38AD"/>
    <w:rsid w:val="00BF3F2D"/>
    <w:rsid w:val="00BF4A04"/>
    <w:rsid w:val="00BF513F"/>
    <w:rsid w:val="00BF67F2"/>
    <w:rsid w:val="00BF7B04"/>
    <w:rsid w:val="00BF7DAB"/>
    <w:rsid w:val="00C01CA4"/>
    <w:rsid w:val="00C0554A"/>
    <w:rsid w:val="00C069FB"/>
    <w:rsid w:val="00C07075"/>
    <w:rsid w:val="00C07678"/>
    <w:rsid w:val="00C10873"/>
    <w:rsid w:val="00C12024"/>
    <w:rsid w:val="00C12B0D"/>
    <w:rsid w:val="00C12BEF"/>
    <w:rsid w:val="00C141AC"/>
    <w:rsid w:val="00C142A1"/>
    <w:rsid w:val="00C15093"/>
    <w:rsid w:val="00C166BB"/>
    <w:rsid w:val="00C16FAA"/>
    <w:rsid w:val="00C175D3"/>
    <w:rsid w:val="00C22F87"/>
    <w:rsid w:val="00C249E4"/>
    <w:rsid w:val="00C24BDA"/>
    <w:rsid w:val="00C255A6"/>
    <w:rsid w:val="00C26477"/>
    <w:rsid w:val="00C26B33"/>
    <w:rsid w:val="00C27234"/>
    <w:rsid w:val="00C27A6B"/>
    <w:rsid w:val="00C342A8"/>
    <w:rsid w:val="00C34537"/>
    <w:rsid w:val="00C34D70"/>
    <w:rsid w:val="00C35581"/>
    <w:rsid w:val="00C36FD8"/>
    <w:rsid w:val="00C3750C"/>
    <w:rsid w:val="00C40437"/>
    <w:rsid w:val="00C40478"/>
    <w:rsid w:val="00C40917"/>
    <w:rsid w:val="00C42C8B"/>
    <w:rsid w:val="00C43771"/>
    <w:rsid w:val="00C44374"/>
    <w:rsid w:val="00C44D01"/>
    <w:rsid w:val="00C44D7D"/>
    <w:rsid w:val="00C4574F"/>
    <w:rsid w:val="00C458D6"/>
    <w:rsid w:val="00C45A27"/>
    <w:rsid w:val="00C4625E"/>
    <w:rsid w:val="00C5117E"/>
    <w:rsid w:val="00C512EE"/>
    <w:rsid w:val="00C525D8"/>
    <w:rsid w:val="00C54157"/>
    <w:rsid w:val="00C55D65"/>
    <w:rsid w:val="00C56208"/>
    <w:rsid w:val="00C568EA"/>
    <w:rsid w:val="00C56CBB"/>
    <w:rsid w:val="00C572F7"/>
    <w:rsid w:val="00C57DDD"/>
    <w:rsid w:val="00C57E09"/>
    <w:rsid w:val="00C610A7"/>
    <w:rsid w:val="00C61361"/>
    <w:rsid w:val="00C61B12"/>
    <w:rsid w:val="00C6206A"/>
    <w:rsid w:val="00C625EA"/>
    <w:rsid w:val="00C62B0B"/>
    <w:rsid w:val="00C6347A"/>
    <w:rsid w:val="00C63AD2"/>
    <w:rsid w:val="00C6456A"/>
    <w:rsid w:val="00C64A3D"/>
    <w:rsid w:val="00C6509A"/>
    <w:rsid w:val="00C651AF"/>
    <w:rsid w:val="00C675C5"/>
    <w:rsid w:val="00C67682"/>
    <w:rsid w:val="00C67A82"/>
    <w:rsid w:val="00C705E4"/>
    <w:rsid w:val="00C70FC9"/>
    <w:rsid w:val="00C7176D"/>
    <w:rsid w:val="00C73216"/>
    <w:rsid w:val="00C765DD"/>
    <w:rsid w:val="00C76E4B"/>
    <w:rsid w:val="00C774B3"/>
    <w:rsid w:val="00C77F58"/>
    <w:rsid w:val="00C80836"/>
    <w:rsid w:val="00C81720"/>
    <w:rsid w:val="00C82B38"/>
    <w:rsid w:val="00C8548A"/>
    <w:rsid w:val="00C85895"/>
    <w:rsid w:val="00C8637C"/>
    <w:rsid w:val="00C863B9"/>
    <w:rsid w:val="00C8666D"/>
    <w:rsid w:val="00C86E20"/>
    <w:rsid w:val="00C87C9E"/>
    <w:rsid w:val="00C900F1"/>
    <w:rsid w:val="00C90483"/>
    <w:rsid w:val="00C91C9E"/>
    <w:rsid w:val="00C95094"/>
    <w:rsid w:val="00C9644D"/>
    <w:rsid w:val="00CA18BE"/>
    <w:rsid w:val="00CA22B5"/>
    <w:rsid w:val="00CA25C1"/>
    <w:rsid w:val="00CA3B70"/>
    <w:rsid w:val="00CA4759"/>
    <w:rsid w:val="00CA4853"/>
    <w:rsid w:val="00CA48AB"/>
    <w:rsid w:val="00CA5463"/>
    <w:rsid w:val="00CA6C75"/>
    <w:rsid w:val="00CB09D1"/>
    <w:rsid w:val="00CB0ACD"/>
    <w:rsid w:val="00CB1102"/>
    <w:rsid w:val="00CB1C24"/>
    <w:rsid w:val="00CB3938"/>
    <w:rsid w:val="00CB39ED"/>
    <w:rsid w:val="00CB4EE2"/>
    <w:rsid w:val="00CB562E"/>
    <w:rsid w:val="00CB6867"/>
    <w:rsid w:val="00CC0868"/>
    <w:rsid w:val="00CC0C44"/>
    <w:rsid w:val="00CC2CAB"/>
    <w:rsid w:val="00CC34A4"/>
    <w:rsid w:val="00CC3EDF"/>
    <w:rsid w:val="00CC4B1E"/>
    <w:rsid w:val="00CC5F14"/>
    <w:rsid w:val="00CC6542"/>
    <w:rsid w:val="00CC66A7"/>
    <w:rsid w:val="00CC6870"/>
    <w:rsid w:val="00CC6EE9"/>
    <w:rsid w:val="00CC74CB"/>
    <w:rsid w:val="00CC7E16"/>
    <w:rsid w:val="00CD0B12"/>
    <w:rsid w:val="00CD0F8A"/>
    <w:rsid w:val="00CD2B23"/>
    <w:rsid w:val="00CD3E55"/>
    <w:rsid w:val="00CD5662"/>
    <w:rsid w:val="00CD5A0F"/>
    <w:rsid w:val="00CD632E"/>
    <w:rsid w:val="00CD670A"/>
    <w:rsid w:val="00CD69F1"/>
    <w:rsid w:val="00CD6D9C"/>
    <w:rsid w:val="00CD7B21"/>
    <w:rsid w:val="00CE0833"/>
    <w:rsid w:val="00CE0CC5"/>
    <w:rsid w:val="00CE1267"/>
    <w:rsid w:val="00CE3521"/>
    <w:rsid w:val="00CE463A"/>
    <w:rsid w:val="00CE4CE7"/>
    <w:rsid w:val="00CE52A8"/>
    <w:rsid w:val="00CE5381"/>
    <w:rsid w:val="00CE69B5"/>
    <w:rsid w:val="00CE7046"/>
    <w:rsid w:val="00CE7DD2"/>
    <w:rsid w:val="00CF08FE"/>
    <w:rsid w:val="00CF1BDF"/>
    <w:rsid w:val="00CF2489"/>
    <w:rsid w:val="00CF29AF"/>
    <w:rsid w:val="00CF3D9F"/>
    <w:rsid w:val="00CF6052"/>
    <w:rsid w:val="00CF6AAC"/>
    <w:rsid w:val="00D00BD4"/>
    <w:rsid w:val="00D00D3F"/>
    <w:rsid w:val="00D01B2F"/>
    <w:rsid w:val="00D01BB7"/>
    <w:rsid w:val="00D01E30"/>
    <w:rsid w:val="00D031B6"/>
    <w:rsid w:val="00D03324"/>
    <w:rsid w:val="00D04173"/>
    <w:rsid w:val="00D041B2"/>
    <w:rsid w:val="00D061E6"/>
    <w:rsid w:val="00D11708"/>
    <w:rsid w:val="00D13CD6"/>
    <w:rsid w:val="00D145F4"/>
    <w:rsid w:val="00D151EB"/>
    <w:rsid w:val="00D161DA"/>
    <w:rsid w:val="00D16AD1"/>
    <w:rsid w:val="00D17D04"/>
    <w:rsid w:val="00D17DBC"/>
    <w:rsid w:val="00D22A02"/>
    <w:rsid w:val="00D22D68"/>
    <w:rsid w:val="00D249B5"/>
    <w:rsid w:val="00D25B36"/>
    <w:rsid w:val="00D308A4"/>
    <w:rsid w:val="00D31536"/>
    <w:rsid w:val="00D31635"/>
    <w:rsid w:val="00D3205C"/>
    <w:rsid w:val="00D32EC0"/>
    <w:rsid w:val="00D33677"/>
    <w:rsid w:val="00D34478"/>
    <w:rsid w:val="00D34AC6"/>
    <w:rsid w:val="00D36954"/>
    <w:rsid w:val="00D369CE"/>
    <w:rsid w:val="00D36BA1"/>
    <w:rsid w:val="00D37934"/>
    <w:rsid w:val="00D3797D"/>
    <w:rsid w:val="00D42445"/>
    <w:rsid w:val="00D42BCA"/>
    <w:rsid w:val="00D45777"/>
    <w:rsid w:val="00D45DDB"/>
    <w:rsid w:val="00D46BA4"/>
    <w:rsid w:val="00D46E7C"/>
    <w:rsid w:val="00D473D7"/>
    <w:rsid w:val="00D4762C"/>
    <w:rsid w:val="00D47658"/>
    <w:rsid w:val="00D503FB"/>
    <w:rsid w:val="00D50FDB"/>
    <w:rsid w:val="00D529A8"/>
    <w:rsid w:val="00D52BCD"/>
    <w:rsid w:val="00D53809"/>
    <w:rsid w:val="00D538E3"/>
    <w:rsid w:val="00D53E83"/>
    <w:rsid w:val="00D5409F"/>
    <w:rsid w:val="00D54202"/>
    <w:rsid w:val="00D54978"/>
    <w:rsid w:val="00D555AF"/>
    <w:rsid w:val="00D56AE2"/>
    <w:rsid w:val="00D56CE7"/>
    <w:rsid w:val="00D57284"/>
    <w:rsid w:val="00D576CF"/>
    <w:rsid w:val="00D57914"/>
    <w:rsid w:val="00D57E71"/>
    <w:rsid w:val="00D60576"/>
    <w:rsid w:val="00D63F40"/>
    <w:rsid w:val="00D643C9"/>
    <w:rsid w:val="00D65BA3"/>
    <w:rsid w:val="00D70861"/>
    <w:rsid w:val="00D70E79"/>
    <w:rsid w:val="00D712B7"/>
    <w:rsid w:val="00D71FFB"/>
    <w:rsid w:val="00D721A0"/>
    <w:rsid w:val="00D72B09"/>
    <w:rsid w:val="00D73AC6"/>
    <w:rsid w:val="00D74F87"/>
    <w:rsid w:val="00D81B3C"/>
    <w:rsid w:val="00D82147"/>
    <w:rsid w:val="00D8437F"/>
    <w:rsid w:val="00D8494C"/>
    <w:rsid w:val="00D853A6"/>
    <w:rsid w:val="00D86784"/>
    <w:rsid w:val="00D86BCB"/>
    <w:rsid w:val="00D86E3E"/>
    <w:rsid w:val="00D873BD"/>
    <w:rsid w:val="00D875A6"/>
    <w:rsid w:val="00D901B4"/>
    <w:rsid w:val="00D9191C"/>
    <w:rsid w:val="00D92DF3"/>
    <w:rsid w:val="00D93506"/>
    <w:rsid w:val="00D93571"/>
    <w:rsid w:val="00D950FD"/>
    <w:rsid w:val="00D97333"/>
    <w:rsid w:val="00D97B09"/>
    <w:rsid w:val="00DA01CC"/>
    <w:rsid w:val="00DA058D"/>
    <w:rsid w:val="00DA0860"/>
    <w:rsid w:val="00DA1DC1"/>
    <w:rsid w:val="00DA23CE"/>
    <w:rsid w:val="00DA349D"/>
    <w:rsid w:val="00DA3827"/>
    <w:rsid w:val="00DA703E"/>
    <w:rsid w:val="00DA754F"/>
    <w:rsid w:val="00DA76FF"/>
    <w:rsid w:val="00DA7753"/>
    <w:rsid w:val="00DA7AF3"/>
    <w:rsid w:val="00DA7C4C"/>
    <w:rsid w:val="00DB3BCA"/>
    <w:rsid w:val="00DB4730"/>
    <w:rsid w:val="00DB5205"/>
    <w:rsid w:val="00DB7E9C"/>
    <w:rsid w:val="00DC0FB2"/>
    <w:rsid w:val="00DC163E"/>
    <w:rsid w:val="00DC19E5"/>
    <w:rsid w:val="00DC1F27"/>
    <w:rsid w:val="00DC26C5"/>
    <w:rsid w:val="00DC49AF"/>
    <w:rsid w:val="00DC5539"/>
    <w:rsid w:val="00DC5C63"/>
    <w:rsid w:val="00DD01B9"/>
    <w:rsid w:val="00DD1883"/>
    <w:rsid w:val="00DD1F42"/>
    <w:rsid w:val="00DD4E24"/>
    <w:rsid w:val="00DD6E92"/>
    <w:rsid w:val="00DE1BE1"/>
    <w:rsid w:val="00DE1DC9"/>
    <w:rsid w:val="00DE2350"/>
    <w:rsid w:val="00DE339A"/>
    <w:rsid w:val="00DE341E"/>
    <w:rsid w:val="00DE3DF8"/>
    <w:rsid w:val="00DE4C4D"/>
    <w:rsid w:val="00DE4DA6"/>
    <w:rsid w:val="00DE56F3"/>
    <w:rsid w:val="00DF01CF"/>
    <w:rsid w:val="00DF0CE5"/>
    <w:rsid w:val="00DF155F"/>
    <w:rsid w:val="00DF2F0B"/>
    <w:rsid w:val="00DF5A0E"/>
    <w:rsid w:val="00DF645F"/>
    <w:rsid w:val="00E01574"/>
    <w:rsid w:val="00E0225B"/>
    <w:rsid w:val="00E0243B"/>
    <w:rsid w:val="00E03D68"/>
    <w:rsid w:val="00E053EC"/>
    <w:rsid w:val="00E1490B"/>
    <w:rsid w:val="00E14943"/>
    <w:rsid w:val="00E15442"/>
    <w:rsid w:val="00E16784"/>
    <w:rsid w:val="00E16EBB"/>
    <w:rsid w:val="00E17070"/>
    <w:rsid w:val="00E1714C"/>
    <w:rsid w:val="00E17343"/>
    <w:rsid w:val="00E17BAA"/>
    <w:rsid w:val="00E17E03"/>
    <w:rsid w:val="00E20AE2"/>
    <w:rsid w:val="00E2283B"/>
    <w:rsid w:val="00E228FE"/>
    <w:rsid w:val="00E2348C"/>
    <w:rsid w:val="00E253DC"/>
    <w:rsid w:val="00E25B74"/>
    <w:rsid w:val="00E25C4E"/>
    <w:rsid w:val="00E26299"/>
    <w:rsid w:val="00E2677F"/>
    <w:rsid w:val="00E27F68"/>
    <w:rsid w:val="00E32728"/>
    <w:rsid w:val="00E35C94"/>
    <w:rsid w:val="00E36132"/>
    <w:rsid w:val="00E371E5"/>
    <w:rsid w:val="00E40586"/>
    <w:rsid w:val="00E40F53"/>
    <w:rsid w:val="00E423CD"/>
    <w:rsid w:val="00E42DF4"/>
    <w:rsid w:val="00E42E44"/>
    <w:rsid w:val="00E440D6"/>
    <w:rsid w:val="00E448C9"/>
    <w:rsid w:val="00E44C69"/>
    <w:rsid w:val="00E45710"/>
    <w:rsid w:val="00E45BFC"/>
    <w:rsid w:val="00E47D0E"/>
    <w:rsid w:val="00E50224"/>
    <w:rsid w:val="00E53501"/>
    <w:rsid w:val="00E539D8"/>
    <w:rsid w:val="00E54BCC"/>
    <w:rsid w:val="00E55371"/>
    <w:rsid w:val="00E555B5"/>
    <w:rsid w:val="00E56B85"/>
    <w:rsid w:val="00E57DFE"/>
    <w:rsid w:val="00E61D52"/>
    <w:rsid w:val="00E62804"/>
    <w:rsid w:val="00E633D5"/>
    <w:rsid w:val="00E65009"/>
    <w:rsid w:val="00E6539E"/>
    <w:rsid w:val="00E65875"/>
    <w:rsid w:val="00E65A60"/>
    <w:rsid w:val="00E667CF"/>
    <w:rsid w:val="00E66FD4"/>
    <w:rsid w:val="00E70132"/>
    <w:rsid w:val="00E705EF"/>
    <w:rsid w:val="00E70FDF"/>
    <w:rsid w:val="00E71817"/>
    <w:rsid w:val="00E728D6"/>
    <w:rsid w:val="00E744D7"/>
    <w:rsid w:val="00E750F0"/>
    <w:rsid w:val="00E75F27"/>
    <w:rsid w:val="00E77295"/>
    <w:rsid w:val="00E87682"/>
    <w:rsid w:val="00E877C9"/>
    <w:rsid w:val="00E9021A"/>
    <w:rsid w:val="00E91D57"/>
    <w:rsid w:val="00E922D3"/>
    <w:rsid w:val="00E928FB"/>
    <w:rsid w:val="00E92C2D"/>
    <w:rsid w:val="00E92F4C"/>
    <w:rsid w:val="00E931C7"/>
    <w:rsid w:val="00E94CEE"/>
    <w:rsid w:val="00E95098"/>
    <w:rsid w:val="00E952F8"/>
    <w:rsid w:val="00EA0753"/>
    <w:rsid w:val="00EA153A"/>
    <w:rsid w:val="00EA15FF"/>
    <w:rsid w:val="00EA161D"/>
    <w:rsid w:val="00EA1AC6"/>
    <w:rsid w:val="00EA2319"/>
    <w:rsid w:val="00EA2B14"/>
    <w:rsid w:val="00EA50D1"/>
    <w:rsid w:val="00EA7021"/>
    <w:rsid w:val="00EB0052"/>
    <w:rsid w:val="00EB095B"/>
    <w:rsid w:val="00EB3620"/>
    <w:rsid w:val="00EB48F9"/>
    <w:rsid w:val="00EB5271"/>
    <w:rsid w:val="00EC113C"/>
    <w:rsid w:val="00EC2946"/>
    <w:rsid w:val="00EC2ADF"/>
    <w:rsid w:val="00EC3016"/>
    <w:rsid w:val="00EC3689"/>
    <w:rsid w:val="00EC5764"/>
    <w:rsid w:val="00EC5A13"/>
    <w:rsid w:val="00ED07A9"/>
    <w:rsid w:val="00ED0F2F"/>
    <w:rsid w:val="00ED3C59"/>
    <w:rsid w:val="00ED67A9"/>
    <w:rsid w:val="00ED7EFC"/>
    <w:rsid w:val="00EE3C5E"/>
    <w:rsid w:val="00EE3C7C"/>
    <w:rsid w:val="00EE3E66"/>
    <w:rsid w:val="00EE6B6B"/>
    <w:rsid w:val="00EE6E64"/>
    <w:rsid w:val="00EF0707"/>
    <w:rsid w:val="00EF1D0B"/>
    <w:rsid w:val="00EF2092"/>
    <w:rsid w:val="00EF31BF"/>
    <w:rsid w:val="00EF3E78"/>
    <w:rsid w:val="00EF4F18"/>
    <w:rsid w:val="00EF5CCA"/>
    <w:rsid w:val="00EF7277"/>
    <w:rsid w:val="00EF746D"/>
    <w:rsid w:val="00F01B16"/>
    <w:rsid w:val="00F01D33"/>
    <w:rsid w:val="00F02428"/>
    <w:rsid w:val="00F02592"/>
    <w:rsid w:val="00F03BEC"/>
    <w:rsid w:val="00F03D46"/>
    <w:rsid w:val="00F05930"/>
    <w:rsid w:val="00F059BA"/>
    <w:rsid w:val="00F1151F"/>
    <w:rsid w:val="00F13313"/>
    <w:rsid w:val="00F135F4"/>
    <w:rsid w:val="00F15EC7"/>
    <w:rsid w:val="00F16F97"/>
    <w:rsid w:val="00F21581"/>
    <w:rsid w:val="00F2175D"/>
    <w:rsid w:val="00F218C7"/>
    <w:rsid w:val="00F2410B"/>
    <w:rsid w:val="00F244BC"/>
    <w:rsid w:val="00F248E3"/>
    <w:rsid w:val="00F31097"/>
    <w:rsid w:val="00F31B53"/>
    <w:rsid w:val="00F32729"/>
    <w:rsid w:val="00F377AC"/>
    <w:rsid w:val="00F37A43"/>
    <w:rsid w:val="00F4008C"/>
    <w:rsid w:val="00F4068A"/>
    <w:rsid w:val="00F40AFE"/>
    <w:rsid w:val="00F442DC"/>
    <w:rsid w:val="00F45E2F"/>
    <w:rsid w:val="00F462C9"/>
    <w:rsid w:val="00F47B8E"/>
    <w:rsid w:val="00F503B8"/>
    <w:rsid w:val="00F5272E"/>
    <w:rsid w:val="00F52B36"/>
    <w:rsid w:val="00F53091"/>
    <w:rsid w:val="00F537AB"/>
    <w:rsid w:val="00F53BB7"/>
    <w:rsid w:val="00F56C10"/>
    <w:rsid w:val="00F579F6"/>
    <w:rsid w:val="00F611BF"/>
    <w:rsid w:val="00F6191D"/>
    <w:rsid w:val="00F6336B"/>
    <w:rsid w:val="00F63772"/>
    <w:rsid w:val="00F63A74"/>
    <w:rsid w:val="00F64287"/>
    <w:rsid w:val="00F64607"/>
    <w:rsid w:val="00F6466A"/>
    <w:rsid w:val="00F64E6B"/>
    <w:rsid w:val="00F64E7E"/>
    <w:rsid w:val="00F651F7"/>
    <w:rsid w:val="00F653A8"/>
    <w:rsid w:val="00F66243"/>
    <w:rsid w:val="00F67902"/>
    <w:rsid w:val="00F725BA"/>
    <w:rsid w:val="00F726EC"/>
    <w:rsid w:val="00F75477"/>
    <w:rsid w:val="00F75BC5"/>
    <w:rsid w:val="00F77A6D"/>
    <w:rsid w:val="00F8422B"/>
    <w:rsid w:val="00F87209"/>
    <w:rsid w:val="00F90298"/>
    <w:rsid w:val="00F91BB9"/>
    <w:rsid w:val="00F93868"/>
    <w:rsid w:val="00F94245"/>
    <w:rsid w:val="00F94533"/>
    <w:rsid w:val="00F949D0"/>
    <w:rsid w:val="00F94D19"/>
    <w:rsid w:val="00F94DB2"/>
    <w:rsid w:val="00F96986"/>
    <w:rsid w:val="00F972EB"/>
    <w:rsid w:val="00F97D6E"/>
    <w:rsid w:val="00FA0AAB"/>
    <w:rsid w:val="00FA184E"/>
    <w:rsid w:val="00FA1CCD"/>
    <w:rsid w:val="00FA1D91"/>
    <w:rsid w:val="00FA2102"/>
    <w:rsid w:val="00FA5424"/>
    <w:rsid w:val="00FA75AC"/>
    <w:rsid w:val="00FA7611"/>
    <w:rsid w:val="00FB25CF"/>
    <w:rsid w:val="00FB3B96"/>
    <w:rsid w:val="00FB3D80"/>
    <w:rsid w:val="00FB4D82"/>
    <w:rsid w:val="00FB678E"/>
    <w:rsid w:val="00FB776D"/>
    <w:rsid w:val="00FB7998"/>
    <w:rsid w:val="00FC1324"/>
    <w:rsid w:val="00FC38BF"/>
    <w:rsid w:val="00FC3EC0"/>
    <w:rsid w:val="00FC4D88"/>
    <w:rsid w:val="00FC5047"/>
    <w:rsid w:val="00FC7889"/>
    <w:rsid w:val="00FD0F25"/>
    <w:rsid w:val="00FD148C"/>
    <w:rsid w:val="00FD31F3"/>
    <w:rsid w:val="00FD34F0"/>
    <w:rsid w:val="00FD4131"/>
    <w:rsid w:val="00FD5A54"/>
    <w:rsid w:val="00FD5D4A"/>
    <w:rsid w:val="00FD783E"/>
    <w:rsid w:val="00FE1A63"/>
    <w:rsid w:val="00FE1DD7"/>
    <w:rsid w:val="00FE1E2F"/>
    <w:rsid w:val="00FE30AA"/>
    <w:rsid w:val="00FE3463"/>
    <w:rsid w:val="00FE35B0"/>
    <w:rsid w:val="00FE4512"/>
    <w:rsid w:val="00FE54B1"/>
    <w:rsid w:val="00FE60DA"/>
    <w:rsid w:val="00FE797B"/>
    <w:rsid w:val="00FE7F67"/>
    <w:rsid w:val="00FF146D"/>
    <w:rsid w:val="00FF2C24"/>
    <w:rsid w:val="00FF3DC9"/>
    <w:rsid w:val="00FF4D42"/>
    <w:rsid w:val="00FF4EE3"/>
    <w:rsid w:val="00FF5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6C801"/>
  <w15:docId w15:val="{21B2EEB0-CB84-4BCA-B91B-F026C2D1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lsdException w:name="heading 7" w:semiHidden="1" w:uiPriority="14"/>
    <w:lsdException w:name="heading 8" w:semiHidden="1" w:uiPriority="15" w:qFormat="1"/>
    <w:lsdException w:name="heading 9" w:semiHidden="1" w:uiPriority="16"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C9"/>
    <w:pPr>
      <w:spacing w:before="120" w:after="120"/>
      <w:jc w:val="both"/>
    </w:pPr>
    <w:rPr>
      <w:rFonts w:ascii="Arial" w:eastAsiaTheme="minorEastAsia" w:hAnsi="Arial" w:cs="Arial"/>
      <w:sz w:val="20"/>
      <w:szCs w:val="20"/>
      <w:lang w:eastAsia="en-GB"/>
    </w:rPr>
  </w:style>
  <w:style w:type="paragraph" w:styleId="Heading1">
    <w:name w:val="heading 1"/>
    <w:aliases w:val="Title."/>
    <w:basedOn w:val="Normal"/>
    <w:next w:val="Normal"/>
    <w:link w:val="Heading1Char"/>
    <w:uiPriority w:val="1"/>
    <w:qFormat/>
    <w:rsid w:val="00FE1A63"/>
    <w:pPr>
      <w:outlineLvl w:val="0"/>
    </w:pPr>
    <w:rPr>
      <w:color w:val="00AAFF"/>
      <w:sz w:val="44"/>
      <w:szCs w:val="44"/>
    </w:rPr>
  </w:style>
  <w:style w:type="paragraph" w:styleId="Heading2">
    <w:name w:val="heading 2"/>
    <w:aliases w:val="Level 1"/>
    <w:basedOn w:val="Heading1"/>
    <w:next w:val="Normal"/>
    <w:link w:val="Heading2Char"/>
    <w:unhideWhenUsed/>
    <w:qFormat/>
    <w:rsid w:val="00DB3BCA"/>
    <w:pPr>
      <w:numPr>
        <w:numId w:val="3"/>
      </w:numPr>
      <w:spacing w:before="240" w:after="240"/>
      <w:outlineLvl w:val="1"/>
    </w:pPr>
    <w:rPr>
      <w:sz w:val="32"/>
      <w:szCs w:val="28"/>
    </w:rPr>
  </w:style>
  <w:style w:type="paragraph" w:styleId="Heading3">
    <w:name w:val="heading 3"/>
    <w:aliases w:val="Level 2"/>
    <w:basedOn w:val="Heading2"/>
    <w:next w:val="Normal"/>
    <w:link w:val="Heading3Char"/>
    <w:unhideWhenUsed/>
    <w:qFormat/>
    <w:rsid w:val="00DB3BCA"/>
    <w:pPr>
      <w:numPr>
        <w:ilvl w:val="1"/>
      </w:numPr>
      <w:tabs>
        <w:tab w:val="left" w:pos="567"/>
      </w:tabs>
      <w:ind w:left="2635"/>
      <w:outlineLvl w:val="2"/>
    </w:pPr>
    <w:rPr>
      <w:sz w:val="28"/>
    </w:rPr>
  </w:style>
  <w:style w:type="paragraph" w:styleId="Heading4">
    <w:name w:val="heading 4"/>
    <w:aliases w:val="Level 3"/>
    <w:basedOn w:val="Heading3"/>
    <w:next w:val="Normal"/>
    <w:link w:val="Heading4Char"/>
    <w:unhideWhenUsed/>
    <w:qFormat/>
    <w:rsid w:val="00C27A6B"/>
    <w:pPr>
      <w:numPr>
        <w:ilvl w:val="2"/>
      </w:numPr>
      <w:tabs>
        <w:tab w:val="clear" w:pos="567"/>
        <w:tab w:val="left" w:pos="851"/>
      </w:tabs>
      <w:outlineLvl w:val="3"/>
    </w:pPr>
    <w:rPr>
      <w:sz w:val="24"/>
      <w:szCs w:val="22"/>
    </w:rPr>
  </w:style>
  <w:style w:type="paragraph" w:styleId="Heading5">
    <w:name w:val="heading 5"/>
    <w:aliases w:val="Level 4"/>
    <w:basedOn w:val="Heading4"/>
    <w:next w:val="Normal"/>
    <w:link w:val="Heading5Char"/>
    <w:uiPriority w:val="5"/>
    <w:unhideWhenUsed/>
    <w:qFormat/>
    <w:rsid w:val="005B43BF"/>
    <w:pPr>
      <w:numPr>
        <w:ilvl w:val="3"/>
      </w:numPr>
      <w:ind w:left="993" w:hanging="993"/>
      <w:outlineLvl w:val="4"/>
    </w:pPr>
  </w:style>
  <w:style w:type="paragraph" w:styleId="Heading6">
    <w:name w:val="heading 6"/>
    <w:basedOn w:val="Normal"/>
    <w:next w:val="Normal"/>
    <w:link w:val="Heading6Char"/>
    <w:uiPriority w:val="13"/>
    <w:semiHidden/>
    <w:rsid w:val="00F53B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1B74"/>
    <w:pPr>
      <w:tabs>
        <w:tab w:val="center" w:pos="5103"/>
        <w:tab w:val="right" w:pos="10064"/>
      </w:tabs>
      <w:spacing w:line="240" w:lineRule="auto"/>
    </w:pPr>
    <w:rPr>
      <w:sz w:val="16"/>
    </w:rPr>
  </w:style>
  <w:style w:type="character" w:customStyle="1" w:styleId="HeaderChar">
    <w:name w:val="Header Char"/>
    <w:basedOn w:val="DefaultParagraphFont"/>
    <w:link w:val="Header"/>
    <w:uiPriority w:val="12"/>
    <w:rsid w:val="005E1B74"/>
    <w:rPr>
      <w:rFonts w:ascii="Arial" w:eastAsiaTheme="minorEastAsia" w:hAnsi="Arial" w:cs="Arial"/>
      <w:sz w:val="16"/>
      <w:szCs w:val="20"/>
      <w:lang w:eastAsia="en-GB"/>
    </w:rPr>
  </w:style>
  <w:style w:type="paragraph" w:styleId="Footer">
    <w:name w:val="footer"/>
    <w:basedOn w:val="Normal"/>
    <w:link w:val="FooterChar"/>
    <w:uiPriority w:val="12"/>
    <w:rsid w:val="00470976"/>
    <w:pPr>
      <w:tabs>
        <w:tab w:val="center" w:pos="5103"/>
        <w:tab w:val="right" w:pos="10064"/>
      </w:tabs>
      <w:spacing w:line="240" w:lineRule="auto"/>
    </w:pPr>
    <w:rPr>
      <w:sz w:val="16"/>
    </w:rPr>
  </w:style>
  <w:style w:type="character" w:customStyle="1" w:styleId="FooterChar">
    <w:name w:val="Footer Char"/>
    <w:basedOn w:val="DefaultParagraphFont"/>
    <w:link w:val="Footer"/>
    <w:uiPriority w:val="12"/>
    <w:rsid w:val="00470976"/>
    <w:rPr>
      <w:rFonts w:ascii="Arial" w:eastAsiaTheme="minorEastAsia" w:hAnsi="Arial" w:cs="Arial"/>
      <w:sz w:val="16"/>
      <w:szCs w:val="20"/>
      <w:lang w:eastAsia="en-GB"/>
    </w:rPr>
  </w:style>
  <w:style w:type="paragraph" w:styleId="BalloonText">
    <w:name w:val="Balloon Text"/>
    <w:basedOn w:val="Normal"/>
    <w:link w:val="BalloonTextChar"/>
    <w:uiPriority w:val="99"/>
    <w:semiHidden/>
    <w:unhideWhenUsed/>
    <w:rsid w:val="00E405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86"/>
    <w:rPr>
      <w:rFonts w:ascii="Tahoma" w:hAnsi="Tahoma" w:cs="Tahoma"/>
      <w:sz w:val="16"/>
      <w:szCs w:val="16"/>
    </w:rPr>
  </w:style>
  <w:style w:type="table" w:styleId="TableGrid">
    <w:name w:val="Table Grid"/>
    <w:basedOn w:val="TableNormal"/>
    <w:uiPriority w:val="59"/>
    <w:rsid w:val="00E4058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Char"/>
    <w:basedOn w:val="DefaultParagraphFont"/>
    <w:link w:val="Heading1"/>
    <w:uiPriority w:val="1"/>
    <w:rsid w:val="0056759C"/>
    <w:rPr>
      <w:rFonts w:ascii="Arial" w:eastAsiaTheme="minorEastAsia" w:hAnsi="Arial" w:cs="Arial"/>
      <w:color w:val="00AAFF"/>
      <w:sz w:val="44"/>
      <w:szCs w:val="44"/>
      <w:lang w:eastAsia="en-GB"/>
    </w:rPr>
  </w:style>
  <w:style w:type="character" w:customStyle="1" w:styleId="Heading2Char">
    <w:name w:val="Heading 2 Char"/>
    <w:aliases w:val="Level 1 Char"/>
    <w:basedOn w:val="DefaultParagraphFont"/>
    <w:link w:val="Heading2"/>
    <w:rsid w:val="00DB3BCA"/>
    <w:rPr>
      <w:rFonts w:ascii="Arial" w:eastAsiaTheme="minorEastAsia" w:hAnsi="Arial" w:cs="Arial"/>
      <w:color w:val="00AAFF"/>
      <w:sz w:val="32"/>
      <w:szCs w:val="28"/>
      <w:lang w:eastAsia="en-GB"/>
    </w:rPr>
  </w:style>
  <w:style w:type="character" w:customStyle="1" w:styleId="Heading3Char">
    <w:name w:val="Heading 3 Char"/>
    <w:aliases w:val="Level 2 Char"/>
    <w:basedOn w:val="DefaultParagraphFont"/>
    <w:link w:val="Heading3"/>
    <w:rsid w:val="00DB3BCA"/>
    <w:rPr>
      <w:rFonts w:ascii="Arial" w:eastAsiaTheme="minorEastAsia" w:hAnsi="Arial" w:cs="Arial"/>
      <w:color w:val="00AAFF"/>
      <w:sz w:val="28"/>
      <w:szCs w:val="28"/>
      <w:lang w:eastAsia="en-GB"/>
    </w:rPr>
  </w:style>
  <w:style w:type="character" w:customStyle="1" w:styleId="Heading4Char">
    <w:name w:val="Heading 4 Char"/>
    <w:aliases w:val="Level 3 Char"/>
    <w:basedOn w:val="DefaultParagraphFont"/>
    <w:link w:val="Heading4"/>
    <w:rsid w:val="00C27A6B"/>
    <w:rPr>
      <w:rFonts w:ascii="Arial" w:eastAsiaTheme="minorEastAsia" w:hAnsi="Arial" w:cs="Arial"/>
      <w:color w:val="00AAFF"/>
      <w:sz w:val="24"/>
      <w:lang w:eastAsia="en-GB"/>
    </w:rPr>
  </w:style>
  <w:style w:type="character" w:customStyle="1" w:styleId="Heading5Char">
    <w:name w:val="Heading 5 Char"/>
    <w:aliases w:val="Level 4 Char"/>
    <w:basedOn w:val="DefaultParagraphFont"/>
    <w:link w:val="Heading5"/>
    <w:uiPriority w:val="5"/>
    <w:rsid w:val="005B43BF"/>
    <w:rPr>
      <w:rFonts w:ascii="Arial" w:eastAsiaTheme="minorEastAsia" w:hAnsi="Arial" w:cs="Arial"/>
      <w:color w:val="00AAFF"/>
      <w:sz w:val="24"/>
      <w:lang w:eastAsia="en-GB"/>
    </w:rPr>
  </w:style>
  <w:style w:type="character" w:customStyle="1" w:styleId="Heading6Char">
    <w:name w:val="Heading 6 Char"/>
    <w:basedOn w:val="DefaultParagraphFont"/>
    <w:link w:val="Heading6"/>
    <w:uiPriority w:val="13"/>
    <w:semiHidden/>
    <w:rsid w:val="00DA349D"/>
    <w:rPr>
      <w:rFonts w:asciiTheme="majorHAnsi" w:eastAsiaTheme="majorEastAsia" w:hAnsiTheme="majorHAnsi" w:cstheme="majorBidi"/>
      <w:i/>
      <w:iCs/>
      <w:color w:val="243F60" w:themeColor="accent1" w:themeShade="7F"/>
      <w:sz w:val="20"/>
      <w:szCs w:val="20"/>
      <w:lang w:eastAsia="en-GB"/>
    </w:rPr>
  </w:style>
  <w:style w:type="paragraph" w:customStyle="1" w:styleId="FiguresTables">
    <w:name w:val="Figures &amp; Tables"/>
    <w:basedOn w:val="Normal"/>
    <w:link w:val="FiguresTablesChar"/>
    <w:uiPriority w:val="6"/>
    <w:qFormat/>
    <w:rsid w:val="0056759C"/>
    <w:pPr>
      <w:ind w:left="66"/>
      <w:jc w:val="center"/>
    </w:pPr>
    <w:rPr>
      <w:u w:val="single"/>
    </w:rPr>
  </w:style>
  <w:style w:type="character" w:customStyle="1" w:styleId="FiguresTablesChar">
    <w:name w:val="Figures &amp; Tables Char"/>
    <w:basedOn w:val="DefaultParagraphFont"/>
    <w:link w:val="FiguresTables"/>
    <w:uiPriority w:val="6"/>
    <w:rsid w:val="0056759C"/>
    <w:rPr>
      <w:rFonts w:ascii="Arial" w:eastAsiaTheme="minorEastAsia" w:hAnsi="Arial" w:cs="Arial"/>
      <w:sz w:val="20"/>
      <w:szCs w:val="20"/>
      <w:u w:val="single"/>
      <w:lang w:eastAsia="en-GB"/>
    </w:rPr>
  </w:style>
  <w:style w:type="paragraph" w:customStyle="1" w:styleId="Numbering">
    <w:name w:val="Numbering"/>
    <w:basedOn w:val="Normal"/>
    <w:link w:val="NumberingChar"/>
    <w:uiPriority w:val="7"/>
    <w:qFormat/>
    <w:rsid w:val="00D46E7C"/>
    <w:pPr>
      <w:numPr>
        <w:numId w:val="6"/>
      </w:numPr>
      <w:ind w:left="567"/>
    </w:pPr>
  </w:style>
  <w:style w:type="paragraph" w:customStyle="1" w:styleId="Lettering">
    <w:name w:val="Lettering"/>
    <w:basedOn w:val="Normal"/>
    <w:link w:val="LetteringChar"/>
    <w:uiPriority w:val="8"/>
    <w:qFormat/>
    <w:rsid w:val="0002459A"/>
    <w:pPr>
      <w:numPr>
        <w:numId w:val="2"/>
      </w:numPr>
    </w:pPr>
  </w:style>
  <w:style w:type="character" w:customStyle="1" w:styleId="NumberingChar">
    <w:name w:val="Numbering Char"/>
    <w:basedOn w:val="DefaultParagraphFont"/>
    <w:link w:val="Numbering"/>
    <w:uiPriority w:val="7"/>
    <w:rsid w:val="00D46E7C"/>
    <w:rPr>
      <w:rFonts w:ascii="Arial" w:eastAsiaTheme="minorEastAsia" w:hAnsi="Arial" w:cs="Arial"/>
      <w:sz w:val="20"/>
      <w:szCs w:val="20"/>
      <w:lang w:eastAsia="en-GB"/>
    </w:rPr>
  </w:style>
  <w:style w:type="paragraph" w:customStyle="1" w:styleId="Bullet1">
    <w:name w:val="Bullet 1"/>
    <w:basedOn w:val="ListParagraph"/>
    <w:link w:val="Bullet1Char"/>
    <w:qFormat/>
    <w:rsid w:val="001F0C78"/>
    <w:pPr>
      <w:numPr>
        <w:numId w:val="5"/>
      </w:numPr>
      <w:spacing w:line="360" w:lineRule="auto"/>
    </w:pPr>
  </w:style>
  <w:style w:type="character" w:customStyle="1" w:styleId="LetteringChar">
    <w:name w:val="Lettering Char"/>
    <w:basedOn w:val="DefaultParagraphFont"/>
    <w:link w:val="Lettering"/>
    <w:uiPriority w:val="8"/>
    <w:rsid w:val="0002459A"/>
    <w:rPr>
      <w:rFonts w:ascii="Arial" w:eastAsiaTheme="minorEastAsia" w:hAnsi="Arial" w:cs="Arial"/>
      <w:sz w:val="20"/>
      <w:szCs w:val="20"/>
      <w:lang w:eastAsia="en-GB"/>
    </w:rPr>
  </w:style>
  <w:style w:type="paragraph" w:customStyle="1" w:styleId="Bullet2">
    <w:name w:val="Bullet 2"/>
    <w:basedOn w:val="Normal"/>
    <w:link w:val="Bullet2Char"/>
    <w:uiPriority w:val="10"/>
    <w:qFormat/>
    <w:rsid w:val="00D46E7C"/>
    <w:pPr>
      <w:numPr>
        <w:ilvl w:val="1"/>
        <w:numId w:val="1"/>
      </w:numPr>
      <w:ind w:left="851" w:hanging="283"/>
      <w:contextualSpacing/>
    </w:pPr>
  </w:style>
  <w:style w:type="character" w:customStyle="1" w:styleId="Bullet1Char">
    <w:name w:val="Bullet 1 Char"/>
    <w:basedOn w:val="DefaultParagraphFont"/>
    <w:link w:val="Bullet1"/>
    <w:rsid w:val="001F0C78"/>
    <w:rPr>
      <w:rFonts w:ascii="Arial" w:eastAsiaTheme="minorEastAsia" w:hAnsi="Arial" w:cs="Arial"/>
      <w:sz w:val="20"/>
      <w:szCs w:val="20"/>
      <w:lang w:eastAsia="en-GB"/>
    </w:rPr>
  </w:style>
  <w:style w:type="paragraph" w:customStyle="1" w:styleId="Bullet3">
    <w:name w:val="Bullet 3"/>
    <w:basedOn w:val="Normal"/>
    <w:link w:val="Bullet3Char"/>
    <w:uiPriority w:val="11"/>
    <w:qFormat/>
    <w:rsid w:val="0002459A"/>
  </w:style>
  <w:style w:type="character" w:customStyle="1" w:styleId="Bullet2Char">
    <w:name w:val="Bullet 2 Char"/>
    <w:basedOn w:val="DefaultParagraphFont"/>
    <w:link w:val="Bullet2"/>
    <w:uiPriority w:val="10"/>
    <w:rsid w:val="00D46E7C"/>
    <w:rPr>
      <w:rFonts w:ascii="Arial" w:eastAsiaTheme="minorEastAsia" w:hAnsi="Arial" w:cs="Arial"/>
      <w:sz w:val="20"/>
      <w:szCs w:val="20"/>
      <w:lang w:eastAsia="en-GB"/>
    </w:rPr>
  </w:style>
  <w:style w:type="character" w:customStyle="1" w:styleId="Bullet3Char">
    <w:name w:val="Bullet 3 Char"/>
    <w:basedOn w:val="DefaultParagraphFont"/>
    <w:link w:val="Bullet3"/>
    <w:uiPriority w:val="11"/>
    <w:rsid w:val="0002459A"/>
    <w:rPr>
      <w:rFonts w:ascii="Arial" w:eastAsiaTheme="minorEastAsia" w:hAnsi="Arial" w:cs="Arial"/>
      <w:sz w:val="20"/>
      <w:szCs w:val="20"/>
      <w:lang w:eastAsia="en-GB"/>
    </w:rPr>
  </w:style>
  <w:style w:type="numbering" w:customStyle="1" w:styleId="ENGIE">
    <w:name w:val="ENGIE"/>
    <w:uiPriority w:val="99"/>
    <w:rsid w:val="00A317B1"/>
    <w:pPr>
      <w:numPr>
        <w:numId w:val="4"/>
      </w:numPr>
    </w:pPr>
  </w:style>
  <w:style w:type="paragraph" w:customStyle="1" w:styleId="DocNo">
    <w:name w:val="Doc. No."/>
    <w:basedOn w:val="Heading1"/>
    <w:link w:val="DocNoChar"/>
    <w:uiPriority w:val="13"/>
    <w:qFormat/>
    <w:rsid w:val="008E100D"/>
    <w:rPr>
      <w:sz w:val="24"/>
      <w:szCs w:val="24"/>
    </w:rPr>
  </w:style>
  <w:style w:type="character" w:customStyle="1" w:styleId="DocNoChar">
    <w:name w:val="Doc. No. Char"/>
    <w:basedOn w:val="Heading1Char"/>
    <w:link w:val="DocNo"/>
    <w:uiPriority w:val="13"/>
    <w:rsid w:val="008E100D"/>
    <w:rPr>
      <w:rFonts w:ascii="Arial" w:eastAsiaTheme="minorEastAsia" w:hAnsi="Arial" w:cs="Arial"/>
      <w:color w:val="00AAFF"/>
      <w:sz w:val="24"/>
      <w:szCs w:val="24"/>
      <w:lang w:eastAsia="en-GB"/>
    </w:rPr>
  </w:style>
  <w:style w:type="character" w:styleId="Hyperlink">
    <w:name w:val="Hyperlink"/>
    <w:basedOn w:val="DefaultParagraphFont"/>
    <w:uiPriority w:val="99"/>
    <w:unhideWhenUsed/>
    <w:rsid w:val="00C34D70"/>
    <w:rPr>
      <w:color w:val="0000FF" w:themeColor="hyperlink"/>
      <w:u w:val="single"/>
    </w:rPr>
  </w:style>
  <w:style w:type="paragraph" w:styleId="ListParagraph">
    <w:name w:val="List Paragraph"/>
    <w:basedOn w:val="Normal"/>
    <w:link w:val="ListParagraphChar"/>
    <w:uiPriority w:val="34"/>
    <w:qFormat/>
    <w:rsid w:val="007624DA"/>
    <w:pPr>
      <w:ind w:left="720"/>
      <w:contextualSpacing/>
    </w:pPr>
  </w:style>
  <w:style w:type="paragraph" w:styleId="FootnoteText">
    <w:name w:val="footnote text"/>
    <w:basedOn w:val="Normal"/>
    <w:link w:val="FootnoteTextChar"/>
    <w:uiPriority w:val="99"/>
    <w:semiHidden/>
    <w:unhideWhenUsed/>
    <w:rsid w:val="00595493"/>
    <w:pPr>
      <w:spacing w:line="240" w:lineRule="auto"/>
    </w:pPr>
  </w:style>
  <w:style w:type="character" w:customStyle="1" w:styleId="FootnoteTextChar">
    <w:name w:val="Footnote Text Char"/>
    <w:basedOn w:val="DefaultParagraphFont"/>
    <w:link w:val="FootnoteText"/>
    <w:uiPriority w:val="99"/>
    <w:semiHidden/>
    <w:rsid w:val="00595493"/>
    <w:rPr>
      <w:rFonts w:ascii="Arial" w:eastAsiaTheme="minorEastAsia" w:hAnsi="Arial" w:cs="Arial"/>
      <w:sz w:val="20"/>
      <w:szCs w:val="20"/>
      <w:lang w:eastAsia="en-GB"/>
    </w:rPr>
  </w:style>
  <w:style w:type="character" w:styleId="FootnoteReference">
    <w:name w:val="footnote reference"/>
    <w:basedOn w:val="DefaultParagraphFont"/>
    <w:uiPriority w:val="99"/>
    <w:semiHidden/>
    <w:unhideWhenUsed/>
    <w:rsid w:val="00595493"/>
    <w:rPr>
      <w:vertAlign w:val="superscript"/>
    </w:rPr>
  </w:style>
  <w:style w:type="character" w:customStyle="1" w:styleId="fontstyle01">
    <w:name w:val="fontstyle01"/>
    <w:basedOn w:val="DefaultParagraphFont"/>
    <w:rsid w:val="00FB25CF"/>
    <w:rPr>
      <w:rFonts w:ascii="Arial" w:hAnsi="Arial" w:cs="Arial" w:hint="default"/>
      <w:b w:val="0"/>
      <w:bCs w:val="0"/>
      <w:i w:val="0"/>
      <w:iCs w:val="0"/>
      <w:color w:val="000000"/>
      <w:sz w:val="20"/>
      <w:szCs w:val="20"/>
    </w:rPr>
  </w:style>
  <w:style w:type="character" w:styleId="UnresolvedMention">
    <w:name w:val="Unresolved Mention"/>
    <w:basedOn w:val="DefaultParagraphFont"/>
    <w:uiPriority w:val="99"/>
    <w:semiHidden/>
    <w:unhideWhenUsed/>
    <w:rsid w:val="009D026D"/>
    <w:rPr>
      <w:color w:val="808080"/>
      <w:shd w:val="clear" w:color="auto" w:fill="E6E6E6"/>
    </w:rPr>
  </w:style>
  <w:style w:type="character" w:customStyle="1" w:styleId="ListParagraphChar">
    <w:name w:val="List Paragraph Char"/>
    <w:basedOn w:val="DefaultParagraphFont"/>
    <w:link w:val="ListParagraph"/>
    <w:uiPriority w:val="34"/>
    <w:locked/>
    <w:rsid w:val="008C6D7F"/>
    <w:rPr>
      <w:rFonts w:ascii="Arial" w:eastAsiaTheme="minorEastAsia" w:hAnsi="Arial" w:cs="Arial"/>
      <w:sz w:val="20"/>
      <w:szCs w:val="20"/>
      <w:lang w:eastAsia="en-GB"/>
    </w:rPr>
  </w:style>
  <w:style w:type="table" w:customStyle="1" w:styleId="BBLPTable">
    <w:name w:val="BBLP Table"/>
    <w:basedOn w:val="TableNormal"/>
    <w:uiPriority w:val="99"/>
    <w:qFormat/>
    <w:rsid w:val="008C6D7F"/>
    <w:pPr>
      <w:spacing w:after="0" w:line="240" w:lineRule="auto"/>
    </w:pPr>
    <w:rPr>
      <w:rFonts w:ascii="Arial" w:eastAsia="Calibri" w:hAnsi="Arial" w:cs="Times New Roman"/>
      <w:sz w:val="16"/>
      <w:szCs w:val="20"/>
      <w:lang w:eastAsia="en-GB"/>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rFonts w:ascii="Arial" w:hAnsi="Arial" w:cs="Arial" w:hint="default"/>
        <w:b/>
        <w:color w:val="4F81BD" w:themeColor="accent1"/>
        <w:sz w:val="16"/>
        <w:szCs w:val="16"/>
      </w:rPr>
      <w:tblPr/>
      <w:tcPr>
        <w:shd w:val="clear" w:color="auto" w:fill="DBE5F1" w:themeFill="accent1" w:themeFillTint="33"/>
      </w:tcPr>
    </w:tblStylePr>
  </w:style>
  <w:style w:type="paragraph" w:styleId="BodyText2">
    <w:name w:val="Body Text 2"/>
    <w:basedOn w:val="Normal"/>
    <w:link w:val="BodyText2Char"/>
    <w:unhideWhenUsed/>
    <w:rsid w:val="00AC763D"/>
    <w:pPr>
      <w:jc w:val="left"/>
    </w:pPr>
    <w:rPr>
      <w:rFonts w:ascii="Verdana" w:eastAsia="Times New Roman" w:hAnsi="Verdana" w:cs="Times New Roman"/>
      <w:bCs/>
      <w:sz w:val="18"/>
      <w:lang w:val="fr-FR" w:eastAsia="fr-FR"/>
    </w:rPr>
  </w:style>
  <w:style w:type="character" w:customStyle="1" w:styleId="BodyText2Char">
    <w:name w:val="Body Text 2 Char"/>
    <w:basedOn w:val="DefaultParagraphFont"/>
    <w:link w:val="BodyText2"/>
    <w:rsid w:val="00AC763D"/>
    <w:rPr>
      <w:rFonts w:ascii="Verdana" w:eastAsia="Times New Roman" w:hAnsi="Verdana" w:cs="Times New Roman"/>
      <w:bCs/>
      <w:sz w:val="18"/>
      <w:szCs w:val="20"/>
      <w:lang w:val="fr-FR" w:eastAsia="fr-FR"/>
    </w:rPr>
  </w:style>
  <w:style w:type="paragraph" w:customStyle="1" w:styleId="ENGIEKYStyle">
    <w:name w:val="ENGIE KY Style"/>
    <w:basedOn w:val="Normal"/>
    <w:link w:val="ENGIEKYStyleChar"/>
    <w:qFormat/>
    <w:rsid w:val="00361D72"/>
    <w:pPr>
      <w:spacing w:before="0" w:after="0"/>
    </w:pPr>
  </w:style>
  <w:style w:type="table" w:customStyle="1" w:styleId="BlueTable">
    <w:name w:val="Blue Table"/>
    <w:basedOn w:val="TableNormal"/>
    <w:next w:val="TableNormal"/>
    <w:rsid w:val="00361D72"/>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character" w:customStyle="1" w:styleId="ENGIEKYStyleChar">
    <w:name w:val="ENGIE KY Style Char"/>
    <w:basedOn w:val="DefaultParagraphFont"/>
    <w:link w:val="ENGIEKYStyle"/>
    <w:rsid w:val="00361D72"/>
    <w:rPr>
      <w:rFonts w:ascii="Arial" w:eastAsiaTheme="minorEastAsia" w:hAnsi="Arial" w:cs="Arial"/>
      <w:sz w:val="20"/>
      <w:szCs w:val="20"/>
      <w:lang w:eastAsia="en-GB"/>
    </w:rPr>
  </w:style>
  <w:style w:type="table" w:customStyle="1" w:styleId="BlueTable1">
    <w:name w:val="Blue Table1"/>
    <w:basedOn w:val="TableNormal"/>
    <w:next w:val="TableNormal"/>
    <w:rsid w:val="000858BA"/>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table" w:customStyle="1" w:styleId="BlueTable2">
    <w:name w:val="Blue Table2"/>
    <w:basedOn w:val="TableNormal"/>
    <w:next w:val="TableNormal"/>
    <w:rsid w:val="009E0D9A"/>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character" w:styleId="Strong">
    <w:name w:val="Strong"/>
    <w:basedOn w:val="Emphasis"/>
    <w:uiPriority w:val="22"/>
    <w:qFormat/>
    <w:rsid w:val="0078142E"/>
    <w:rPr>
      <w:b/>
      <w:bCs/>
      <w:i/>
      <w:iCs/>
    </w:rPr>
  </w:style>
  <w:style w:type="character" w:styleId="Emphasis">
    <w:name w:val="Emphasis"/>
    <w:basedOn w:val="DefaultParagraphFont"/>
    <w:uiPriority w:val="20"/>
    <w:rsid w:val="0078142E"/>
    <w:rPr>
      <w:i/>
      <w:iCs/>
    </w:rPr>
  </w:style>
  <w:style w:type="paragraph" w:customStyle="1" w:styleId="Default">
    <w:name w:val="Default"/>
    <w:rsid w:val="00D3797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7040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49E4"/>
    <w:rPr>
      <w:sz w:val="16"/>
      <w:szCs w:val="16"/>
    </w:rPr>
  </w:style>
  <w:style w:type="paragraph" w:styleId="CommentText">
    <w:name w:val="annotation text"/>
    <w:basedOn w:val="Normal"/>
    <w:link w:val="CommentTextChar"/>
    <w:uiPriority w:val="99"/>
    <w:semiHidden/>
    <w:unhideWhenUsed/>
    <w:rsid w:val="00C249E4"/>
    <w:pPr>
      <w:spacing w:line="240" w:lineRule="auto"/>
    </w:pPr>
  </w:style>
  <w:style w:type="character" w:customStyle="1" w:styleId="CommentTextChar">
    <w:name w:val="Comment Text Char"/>
    <w:basedOn w:val="DefaultParagraphFont"/>
    <w:link w:val="CommentText"/>
    <w:uiPriority w:val="99"/>
    <w:semiHidden/>
    <w:rsid w:val="00C249E4"/>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C249E4"/>
    <w:rPr>
      <w:b/>
      <w:bCs/>
    </w:rPr>
  </w:style>
  <w:style w:type="character" w:customStyle="1" w:styleId="CommentSubjectChar">
    <w:name w:val="Comment Subject Char"/>
    <w:basedOn w:val="CommentTextChar"/>
    <w:link w:val="CommentSubject"/>
    <w:uiPriority w:val="99"/>
    <w:semiHidden/>
    <w:rsid w:val="00C249E4"/>
    <w:rPr>
      <w:rFonts w:ascii="Arial" w:eastAsiaTheme="minorEastAsia" w:hAnsi="Arial" w:cs="Arial"/>
      <w:b/>
      <w:bCs/>
      <w:sz w:val="20"/>
      <w:szCs w:val="20"/>
      <w:lang w:eastAsia="en-GB"/>
    </w:rPr>
  </w:style>
  <w:style w:type="character" w:styleId="PlaceholderText">
    <w:name w:val="Placeholder Text"/>
    <w:basedOn w:val="DefaultParagraphFont"/>
    <w:uiPriority w:val="99"/>
    <w:semiHidden/>
    <w:rsid w:val="00BB4AD7"/>
    <w:rPr>
      <w:color w:val="808080"/>
    </w:rPr>
  </w:style>
  <w:style w:type="paragraph" w:styleId="Revision">
    <w:name w:val="Revision"/>
    <w:hidden/>
    <w:uiPriority w:val="99"/>
    <w:semiHidden/>
    <w:rsid w:val="003459BD"/>
    <w:pPr>
      <w:spacing w:after="0" w:line="240" w:lineRule="auto"/>
    </w:pPr>
    <w:rPr>
      <w:rFonts w:ascii="Arial" w:eastAsiaTheme="minorEastAsia" w:hAnsi="Arial" w:cs="Arial"/>
      <w:sz w:val="20"/>
      <w:szCs w:val="20"/>
      <w:lang w:eastAsia="en-GB"/>
    </w:rPr>
  </w:style>
  <w:style w:type="paragraph" w:styleId="BodyText">
    <w:name w:val="Body Text"/>
    <w:basedOn w:val="Normal"/>
    <w:link w:val="BodyTextChar"/>
    <w:uiPriority w:val="1"/>
    <w:unhideWhenUsed/>
    <w:qFormat/>
    <w:rsid w:val="002713EC"/>
  </w:style>
  <w:style w:type="character" w:customStyle="1" w:styleId="BodyTextChar">
    <w:name w:val="Body Text Char"/>
    <w:basedOn w:val="DefaultParagraphFont"/>
    <w:link w:val="BodyText"/>
    <w:uiPriority w:val="99"/>
    <w:semiHidden/>
    <w:rsid w:val="002713EC"/>
    <w:rPr>
      <w:rFonts w:ascii="Arial" w:eastAsiaTheme="minorEastAsia" w:hAnsi="Arial" w:cs="Arial"/>
      <w:sz w:val="20"/>
      <w:szCs w:val="20"/>
      <w:lang w:eastAsia="en-GB"/>
    </w:rPr>
  </w:style>
  <w:style w:type="numbering" w:customStyle="1" w:styleId="NoList1">
    <w:name w:val="No List1"/>
    <w:next w:val="NoList"/>
    <w:uiPriority w:val="99"/>
    <w:semiHidden/>
    <w:unhideWhenUsed/>
    <w:rsid w:val="0060235E"/>
  </w:style>
  <w:style w:type="paragraph" w:styleId="Title">
    <w:name w:val="Title"/>
    <w:basedOn w:val="Normal"/>
    <w:link w:val="TitleChar"/>
    <w:uiPriority w:val="10"/>
    <w:qFormat/>
    <w:rsid w:val="0060235E"/>
    <w:pPr>
      <w:widowControl w:val="0"/>
      <w:autoSpaceDE w:val="0"/>
      <w:autoSpaceDN w:val="0"/>
      <w:spacing w:before="203" w:after="0" w:line="240" w:lineRule="auto"/>
      <w:ind w:left="151" w:right="5457"/>
      <w:jc w:val="left"/>
    </w:pPr>
    <w:rPr>
      <w:rFonts w:eastAsia="Arial"/>
      <w:b/>
      <w:bCs/>
      <w:sz w:val="24"/>
      <w:szCs w:val="24"/>
      <w:lang w:val="en-US" w:eastAsia="en-US"/>
    </w:rPr>
  </w:style>
  <w:style w:type="character" w:customStyle="1" w:styleId="TitleChar">
    <w:name w:val="Title Char"/>
    <w:basedOn w:val="DefaultParagraphFont"/>
    <w:link w:val="Title"/>
    <w:uiPriority w:val="10"/>
    <w:rsid w:val="0060235E"/>
    <w:rPr>
      <w:rFonts w:ascii="Arial" w:eastAsia="Arial" w:hAnsi="Arial" w:cs="Arial"/>
      <w:b/>
      <w:bCs/>
      <w:sz w:val="24"/>
      <w:szCs w:val="24"/>
      <w:lang w:val="en-US"/>
    </w:rPr>
  </w:style>
  <w:style w:type="paragraph" w:customStyle="1" w:styleId="TableParagraph">
    <w:name w:val="Table Paragraph"/>
    <w:basedOn w:val="Normal"/>
    <w:uiPriority w:val="1"/>
    <w:qFormat/>
    <w:rsid w:val="0060235E"/>
    <w:pPr>
      <w:widowControl w:val="0"/>
      <w:autoSpaceDE w:val="0"/>
      <w:autoSpaceDN w:val="0"/>
      <w:spacing w:before="0" w:after="0" w:line="240" w:lineRule="auto"/>
      <w:jc w:val="left"/>
    </w:pPr>
    <w:rPr>
      <w:rFonts w:eastAsia="Arial"/>
      <w:sz w:val="22"/>
      <w:szCs w:val="22"/>
      <w:lang w:val="en-US" w:eastAsia="en-US"/>
    </w:rPr>
  </w:style>
  <w:style w:type="character" w:customStyle="1" w:styleId="normaltextrun">
    <w:name w:val="normaltextrun"/>
    <w:basedOn w:val="DefaultParagraphFont"/>
    <w:rsid w:val="00BF2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864896">
      <w:bodyDiv w:val="1"/>
      <w:marLeft w:val="0"/>
      <w:marRight w:val="0"/>
      <w:marTop w:val="0"/>
      <w:marBottom w:val="0"/>
      <w:divBdr>
        <w:top w:val="none" w:sz="0" w:space="0" w:color="auto"/>
        <w:left w:val="none" w:sz="0" w:space="0" w:color="auto"/>
        <w:bottom w:val="none" w:sz="0" w:space="0" w:color="auto"/>
        <w:right w:val="none" w:sz="0" w:space="0" w:color="auto"/>
      </w:divBdr>
    </w:div>
    <w:div w:id="325087441">
      <w:bodyDiv w:val="1"/>
      <w:marLeft w:val="0"/>
      <w:marRight w:val="0"/>
      <w:marTop w:val="0"/>
      <w:marBottom w:val="0"/>
      <w:divBdr>
        <w:top w:val="none" w:sz="0" w:space="0" w:color="auto"/>
        <w:left w:val="none" w:sz="0" w:space="0" w:color="auto"/>
        <w:bottom w:val="none" w:sz="0" w:space="0" w:color="auto"/>
        <w:right w:val="none" w:sz="0" w:space="0" w:color="auto"/>
      </w:divBdr>
    </w:div>
    <w:div w:id="343476067">
      <w:bodyDiv w:val="1"/>
      <w:marLeft w:val="0"/>
      <w:marRight w:val="0"/>
      <w:marTop w:val="0"/>
      <w:marBottom w:val="0"/>
      <w:divBdr>
        <w:top w:val="none" w:sz="0" w:space="0" w:color="auto"/>
        <w:left w:val="none" w:sz="0" w:space="0" w:color="auto"/>
        <w:bottom w:val="none" w:sz="0" w:space="0" w:color="auto"/>
        <w:right w:val="none" w:sz="0" w:space="0" w:color="auto"/>
      </w:divBdr>
    </w:div>
    <w:div w:id="371659266">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563570244">
      <w:bodyDiv w:val="1"/>
      <w:marLeft w:val="0"/>
      <w:marRight w:val="0"/>
      <w:marTop w:val="0"/>
      <w:marBottom w:val="0"/>
      <w:divBdr>
        <w:top w:val="none" w:sz="0" w:space="0" w:color="auto"/>
        <w:left w:val="none" w:sz="0" w:space="0" w:color="auto"/>
        <w:bottom w:val="none" w:sz="0" w:space="0" w:color="auto"/>
        <w:right w:val="none" w:sz="0" w:space="0" w:color="auto"/>
      </w:divBdr>
    </w:div>
    <w:div w:id="667246399">
      <w:bodyDiv w:val="1"/>
      <w:marLeft w:val="0"/>
      <w:marRight w:val="0"/>
      <w:marTop w:val="0"/>
      <w:marBottom w:val="0"/>
      <w:divBdr>
        <w:top w:val="none" w:sz="0" w:space="0" w:color="auto"/>
        <w:left w:val="none" w:sz="0" w:space="0" w:color="auto"/>
        <w:bottom w:val="none" w:sz="0" w:space="0" w:color="auto"/>
        <w:right w:val="none" w:sz="0" w:space="0" w:color="auto"/>
      </w:divBdr>
    </w:div>
    <w:div w:id="703361011">
      <w:bodyDiv w:val="1"/>
      <w:marLeft w:val="0"/>
      <w:marRight w:val="0"/>
      <w:marTop w:val="0"/>
      <w:marBottom w:val="0"/>
      <w:divBdr>
        <w:top w:val="none" w:sz="0" w:space="0" w:color="auto"/>
        <w:left w:val="none" w:sz="0" w:space="0" w:color="auto"/>
        <w:bottom w:val="none" w:sz="0" w:space="0" w:color="auto"/>
        <w:right w:val="none" w:sz="0" w:space="0" w:color="auto"/>
      </w:divBdr>
    </w:div>
    <w:div w:id="786236345">
      <w:bodyDiv w:val="1"/>
      <w:marLeft w:val="0"/>
      <w:marRight w:val="0"/>
      <w:marTop w:val="0"/>
      <w:marBottom w:val="0"/>
      <w:divBdr>
        <w:top w:val="none" w:sz="0" w:space="0" w:color="auto"/>
        <w:left w:val="none" w:sz="0" w:space="0" w:color="auto"/>
        <w:bottom w:val="none" w:sz="0" w:space="0" w:color="auto"/>
        <w:right w:val="none" w:sz="0" w:space="0" w:color="auto"/>
      </w:divBdr>
      <w:divsChild>
        <w:div w:id="496727293">
          <w:marLeft w:val="0"/>
          <w:marRight w:val="0"/>
          <w:marTop w:val="0"/>
          <w:marBottom w:val="0"/>
          <w:divBdr>
            <w:top w:val="none" w:sz="0" w:space="0" w:color="auto"/>
            <w:left w:val="none" w:sz="0" w:space="0" w:color="auto"/>
            <w:bottom w:val="none" w:sz="0" w:space="0" w:color="auto"/>
            <w:right w:val="none" w:sz="0" w:space="0" w:color="auto"/>
          </w:divBdr>
        </w:div>
      </w:divsChild>
    </w:div>
    <w:div w:id="806776711">
      <w:bodyDiv w:val="1"/>
      <w:marLeft w:val="0"/>
      <w:marRight w:val="0"/>
      <w:marTop w:val="0"/>
      <w:marBottom w:val="0"/>
      <w:divBdr>
        <w:top w:val="none" w:sz="0" w:space="0" w:color="auto"/>
        <w:left w:val="none" w:sz="0" w:space="0" w:color="auto"/>
        <w:bottom w:val="none" w:sz="0" w:space="0" w:color="auto"/>
        <w:right w:val="none" w:sz="0" w:space="0" w:color="auto"/>
      </w:divBdr>
    </w:div>
    <w:div w:id="884221801">
      <w:bodyDiv w:val="1"/>
      <w:marLeft w:val="0"/>
      <w:marRight w:val="0"/>
      <w:marTop w:val="0"/>
      <w:marBottom w:val="0"/>
      <w:divBdr>
        <w:top w:val="none" w:sz="0" w:space="0" w:color="auto"/>
        <w:left w:val="none" w:sz="0" w:space="0" w:color="auto"/>
        <w:bottom w:val="none" w:sz="0" w:space="0" w:color="auto"/>
        <w:right w:val="none" w:sz="0" w:space="0" w:color="auto"/>
      </w:divBdr>
    </w:div>
    <w:div w:id="933516662">
      <w:bodyDiv w:val="1"/>
      <w:marLeft w:val="0"/>
      <w:marRight w:val="0"/>
      <w:marTop w:val="0"/>
      <w:marBottom w:val="0"/>
      <w:divBdr>
        <w:top w:val="none" w:sz="0" w:space="0" w:color="auto"/>
        <w:left w:val="none" w:sz="0" w:space="0" w:color="auto"/>
        <w:bottom w:val="none" w:sz="0" w:space="0" w:color="auto"/>
        <w:right w:val="none" w:sz="0" w:space="0" w:color="auto"/>
      </w:divBdr>
    </w:div>
    <w:div w:id="963384903">
      <w:bodyDiv w:val="1"/>
      <w:marLeft w:val="0"/>
      <w:marRight w:val="0"/>
      <w:marTop w:val="0"/>
      <w:marBottom w:val="0"/>
      <w:divBdr>
        <w:top w:val="none" w:sz="0" w:space="0" w:color="auto"/>
        <w:left w:val="none" w:sz="0" w:space="0" w:color="auto"/>
        <w:bottom w:val="none" w:sz="0" w:space="0" w:color="auto"/>
        <w:right w:val="none" w:sz="0" w:space="0" w:color="auto"/>
      </w:divBdr>
      <w:divsChild>
        <w:div w:id="2065787176">
          <w:marLeft w:val="0"/>
          <w:marRight w:val="0"/>
          <w:marTop w:val="0"/>
          <w:marBottom w:val="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68919493">
      <w:bodyDiv w:val="1"/>
      <w:marLeft w:val="0"/>
      <w:marRight w:val="0"/>
      <w:marTop w:val="0"/>
      <w:marBottom w:val="0"/>
      <w:divBdr>
        <w:top w:val="none" w:sz="0" w:space="0" w:color="auto"/>
        <w:left w:val="none" w:sz="0" w:space="0" w:color="auto"/>
        <w:bottom w:val="none" w:sz="0" w:space="0" w:color="auto"/>
        <w:right w:val="none" w:sz="0" w:space="0" w:color="auto"/>
      </w:divBdr>
    </w:div>
    <w:div w:id="1211302290">
      <w:bodyDiv w:val="1"/>
      <w:marLeft w:val="0"/>
      <w:marRight w:val="0"/>
      <w:marTop w:val="0"/>
      <w:marBottom w:val="0"/>
      <w:divBdr>
        <w:top w:val="none" w:sz="0" w:space="0" w:color="auto"/>
        <w:left w:val="none" w:sz="0" w:space="0" w:color="auto"/>
        <w:bottom w:val="none" w:sz="0" w:space="0" w:color="auto"/>
        <w:right w:val="none" w:sz="0" w:space="0" w:color="auto"/>
      </w:divBdr>
    </w:div>
    <w:div w:id="1317610190">
      <w:bodyDiv w:val="1"/>
      <w:marLeft w:val="0"/>
      <w:marRight w:val="0"/>
      <w:marTop w:val="0"/>
      <w:marBottom w:val="0"/>
      <w:divBdr>
        <w:top w:val="none" w:sz="0" w:space="0" w:color="auto"/>
        <w:left w:val="none" w:sz="0" w:space="0" w:color="auto"/>
        <w:bottom w:val="none" w:sz="0" w:space="0" w:color="auto"/>
        <w:right w:val="none" w:sz="0" w:space="0" w:color="auto"/>
      </w:divBdr>
    </w:div>
    <w:div w:id="1417677124">
      <w:bodyDiv w:val="1"/>
      <w:marLeft w:val="0"/>
      <w:marRight w:val="0"/>
      <w:marTop w:val="0"/>
      <w:marBottom w:val="0"/>
      <w:divBdr>
        <w:top w:val="none" w:sz="0" w:space="0" w:color="auto"/>
        <w:left w:val="none" w:sz="0" w:space="0" w:color="auto"/>
        <w:bottom w:val="none" w:sz="0" w:space="0" w:color="auto"/>
        <w:right w:val="none" w:sz="0" w:space="0" w:color="auto"/>
      </w:divBdr>
    </w:div>
    <w:div w:id="1435057947">
      <w:bodyDiv w:val="1"/>
      <w:marLeft w:val="0"/>
      <w:marRight w:val="0"/>
      <w:marTop w:val="0"/>
      <w:marBottom w:val="0"/>
      <w:divBdr>
        <w:top w:val="none" w:sz="0" w:space="0" w:color="auto"/>
        <w:left w:val="none" w:sz="0" w:space="0" w:color="auto"/>
        <w:bottom w:val="none" w:sz="0" w:space="0" w:color="auto"/>
        <w:right w:val="none" w:sz="0" w:space="0" w:color="auto"/>
      </w:divBdr>
    </w:div>
    <w:div w:id="1463576282">
      <w:bodyDiv w:val="1"/>
      <w:marLeft w:val="0"/>
      <w:marRight w:val="0"/>
      <w:marTop w:val="0"/>
      <w:marBottom w:val="0"/>
      <w:divBdr>
        <w:top w:val="none" w:sz="0" w:space="0" w:color="auto"/>
        <w:left w:val="none" w:sz="0" w:space="0" w:color="auto"/>
        <w:bottom w:val="none" w:sz="0" w:space="0" w:color="auto"/>
        <w:right w:val="none" w:sz="0" w:space="0" w:color="auto"/>
      </w:divBdr>
    </w:div>
    <w:div w:id="1501433393">
      <w:bodyDiv w:val="1"/>
      <w:marLeft w:val="0"/>
      <w:marRight w:val="0"/>
      <w:marTop w:val="0"/>
      <w:marBottom w:val="0"/>
      <w:divBdr>
        <w:top w:val="none" w:sz="0" w:space="0" w:color="auto"/>
        <w:left w:val="none" w:sz="0" w:space="0" w:color="auto"/>
        <w:bottom w:val="none" w:sz="0" w:space="0" w:color="auto"/>
        <w:right w:val="none" w:sz="0" w:space="0" w:color="auto"/>
      </w:divBdr>
      <w:divsChild>
        <w:div w:id="1791238792">
          <w:marLeft w:val="0"/>
          <w:marRight w:val="0"/>
          <w:marTop w:val="0"/>
          <w:marBottom w:val="0"/>
          <w:divBdr>
            <w:top w:val="none" w:sz="0" w:space="0" w:color="auto"/>
            <w:left w:val="none" w:sz="0" w:space="0" w:color="auto"/>
            <w:bottom w:val="none" w:sz="0" w:space="0" w:color="auto"/>
            <w:right w:val="none" w:sz="0" w:space="0" w:color="auto"/>
          </w:divBdr>
        </w:div>
      </w:divsChild>
    </w:div>
    <w:div w:id="1621372921">
      <w:bodyDiv w:val="1"/>
      <w:marLeft w:val="0"/>
      <w:marRight w:val="0"/>
      <w:marTop w:val="0"/>
      <w:marBottom w:val="0"/>
      <w:divBdr>
        <w:top w:val="none" w:sz="0" w:space="0" w:color="auto"/>
        <w:left w:val="none" w:sz="0" w:space="0" w:color="auto"/>
        <w:bottom w:val="none" w:sz="0" w:space="0" w:color="auto"/>
        <w:right w:val="none" w:sz="0" w:space="0" w:color="auto"/>
      </w:divBdr>
    </w:div>
    <w:div w:id="1798987101">
      <w:bodyDiv w:val="1"/>
      <w:marLeft w:val="0"/>
      <w:marRight w:val="0"/>
      <w:marTop w:val="0"/>
      <w:marBottom w:val="0"/>
      <w:divBdr>
        <w:top w:val="none" w:sz="0" w:space="0" w:color="auto"/>
        <w:left w:val="none" w:sz="0" w:space="0" w:color="auto"/>
        <w:bottom w:val="none" w:sz="0" w:space="0" w:color="auto"/>
        <w:right w:val="none" w:sz="0" w:space="0" w:color="auto"/>
      </w:divBdr>
    </w:div>
    <w:div w:id="1804927412">
      <w:bodyDiv w:val="1"/>
      <w:marLeft w:val="0"/>
      <w:marRight w:val="0"/>
      <w:marTop w:val="0"/>
      <w:marBottom w:val="0"/>
      <w:divBdr>
        <w:top w:val="none" w:sz="0" w:space="0" w:color="auto"/>
        <w:left w:val="none" w:sz="0" w:space="0" w:color="auto"/>
        <w:bottom w:val="none" w:sz="0" w:space="0" w:color="auto"/>
        <w:right w:val="none" w:sz="0" w:space="0" w:color="auto"/>
      </w:divBdr>
    </w:div>
    <w:div w:id="1835532948">
      <w:bodyDiv w:val="1"/>
      <w:marLeft w:val="0"/>
      <w:marRight w:val="0"/>
      <w:marTop w:val="0"/>
      <w:marBottom w:val="0"/>
      <w:divBdr>
        <w:top w:val="none" w:sz="0" w:space="0" w:color="auto"/>
        <w:left w:val="none" w:sz="0" w:space="0" w:color="auto"/>
        <w:bottom w:val="none" w:sz="0" w:space="0" w:color="auto"/>
        <w:right w:val="none" w:sz="0" w:space="0" w:color="auto"/>
      </w:divBdr>
    </w:div>
    <w:div w:id="1889800375">
      <w:bodyDiv w:val="1"/>
      <w:marLeft w:val="0"/>
      <w:marRight w:val="0"/>
      <w:marTop w:val="0"/>
      <w:marBottom w:val="0"/>
      <w:divBdr>
        <w:top w:val="none" w:sz="0" w:space="0" w:color="auto"/>
        <w:left w:val="none" w:sz="0" w:space="0" w:color="auto"/>
        <w:bottom w:val="none" w:sz="0" w:space="0" w:color="auto"/>
        <w:right w:val="none" w:sz="0" w:space="0" w:color="auto"/>
      </w:divBdr>
    </w:div>
    <w:div w:id="18998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mctscompliance.uk@engie.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voicesubmission.uk@engi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f472f7-a010-4b5a-bb99-a26ed4c9968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1C6B5F00FFBEF41961B758E5D4393C8" ma:contentTypeVersion="15" ma:contentTypeDescription="Create a new document." ma:contentTypeScope="" ma:versionID="23c1d36ede37729916579c0ef765d235">
  <xsd:schema xmlns:xsd="http://www.w3.org/2001/XMLSchema" xmlns:xs="http://www.w3.org/2001/XMLSchema" xmlns:p="http://schemas.microsoft.com/office/2006/metadata/properties" xmlns:ns3="87037488-ec5d-4aba-84c2-9b1d22638e8e" xmlns:ns4="b3104f33-8fbb-490e-a749-1a1cd269e9f2" xmlns:ns5="1e9e6f92-6b67-4dd8-be87-081c3731f662" targetNamespace="http://schemas.microsoft.com/office/2006/metadata/properties" ma:root="true" ma:fieldsID="71d668c20f290783443a1d7da6ed91d9" ns3:_="" ns4:_="" ns5:_="">
    <xsd:import namespace="87037488-ec5d-4aba-84c2-9b1d22638e8e"/>
    <xsd:import namespace="b3104f33-8fbb-490e-a749-1a1cd269e9f2"/>
    <xsd:import namespace="1e9e6f92-6b67-4dd8-be87-081c3731f662"/>
    <xsd:element name="properties">
      <xsd:complexType>
        <xsd:sequence>
          <xsd:element name="documentManagement">
            <xsd:complexType>
              <xsd:all>
                <xsd:element ref="ns3:b1b820adfd3e4a078472514c1a5cb5ff" minOccurs="0"/>
                <xsd:element ref="ns3:TaxCatchAll" minOccurs="0"/>
                <xsd:element ref="ns3:TaxCatchAllLabel" minOccurs="0"/>
                <xsd:element ref="ns4:SharedWithUsers" minOccurs="0"/>
                <xsd:element ref="ns4:SharedWithDetails" minOccurs="0"/>
                <xsd:element ref="ns4:SharingHintHash"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88c34e08-a79b-4564-9444-582548d4dc78}" ma:internalName="TaxCatchAll" ma:showField="CatchAllData" ma:web="b3104f33-8fbb-490e-a749-1a1cd269e9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8c34e08-a79b-4564-9444-582548d4dc78}" ma:internalName="TaxCatchAllLabel" ma:readOnly="true" ma:showField="CatchAllDataLabel" ma:web="b3104f33-8fbb-490e-a749-1a1cd269e9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104f33-8fbb-490e-a749-1a1cd269e9f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e6f92-6b67-4dd8-be87-081c3731f66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F6BBA-747A-4679-B99D-C4FAFC7CF3F1}">
  <ds:schemaRefs>
    <ds:schemaRef ds:uri="Microsoft.SharePoint.Taxonomy.ContentTypeSync"/>
  </ds:schemaRefs>
</ds:datastoreItem>
</file>

<file path=customXml/itemProps2.xml><?xml version="1.0" encoding="utf-8"?>
<ds:datastoreItem xmlns:ds="http://schemas.openxmlformats.org/officeDocument/2006/customXml" ds:itemID="{B2225556-67D1-4445-BE3B-5C35DE01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b3104f33-8fbb-490e-a749-1a1cd269e9f2"/>
    <ds:schemaRef ds:uri="1e9e6f92-6b67-4dd8-be87-081c3731f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55DDC-076E-4061-A0A6-8938D486E89A}">
  <ds:schemaRefs>
    <ds:schemaRef ds:uri="http://schemas.microsoft.com/office/2006/metadata/properties"/>
    <ds:schemaRef ds:uri="http://schemas.microsoft.com/office/infopath/2007/PartnerControls"/>
    <ds:schemaRef ds:uri="87037488-ec5d-4aba-84c2-9b1d22638e8e"/>
  </ds:schemaRefs>
</ds:datastoreItem>
</file>

<file path=customXml/itemProps4.xml><?xml version="1.0" encoding="utf-8"?>
<ds:datastoreItem xmlns:ds="http://schemas.openxmlformats.org/officeDocument/2006/customXml" ds:itemID="{9D8BE5D8-BD6C-453B-8B25-BEABE389E789}">
  <ds:schemaRefs>
    <ds:schemaRef ds:uri="http://schemas.microsoft.com/sharepoint/v3/contenttype/forms"/>
  </ds:schemaRefs>
</ds:datastoreItem>
</file>

<file path=customXml/itemProps5.xml><?xml version="1.0" encoding="utf-8"?>
<ds:datastoreItem xmlns:ds="http://schemas.openxmlformats.org/officeDocument/2006/customXml" ds:itemID="{EC410F1C-BBEF-43F7-B016-AEC123D9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CofleySuez</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De Pastena</dc:creator>
  <cp:keywords/>
  <dc:description/>
  <cp:lastModifiedBy>OSBURN Ivan (ENGIE UK)</cp:lastModifiedBy>
  <cp:revision>5</cp:revision>
  <cp:lastPrinted>2020-01-03T09:59:00Z</cp:lastPrinted>
  <dcterms:created xsi:type="dcterms:W3CDTF">2021-04-12T14:42:00Z</dcterms:created>
  <dcterms:modified xsi:type="dcterms:W3CDTF">2021-04-13T18:40:00Z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0x010100E1C6B5F00FFBEF41961B758E5D4393C8</vt:lpwstr>
  </property>
  <property fmtid="{D5CDD505-2E9C-101B-9397-08002B2CF9AE}" pid="3" name="Security Classification">
    <vt:lpwstr/>
  </property>
</Properties>
</file>