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7500FF" w:rsidRDefault="007500FF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7500FF">
        <w:rPr>
          <w:rFonts w:ascii="Arial" w:eastAsia="Arial" w:hAnsi="Arial" w:cs="Arial"/>
          <w:b/>
          <w:bCs/>
          <w:sz w:val="21"/>
          <w:szCs w:val="21"/>
        </w:rPr>
        <w:lastRenderedPageBreak/>
        <w:t>RFQ146</w:t>
      </w:r>
    </w:p>
    <w:p w:rsidR="00A06E18" w:rsidRPr="007A3A32" w:rsidRDefault="007500FF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7500FF">
        <w:rPr>
          <w:rFonts w:ascii="Arial" w:eastAsia="Arial" w:hAnsi="Arial" w:cs="Arial"/>
          <w:b/>
          <w:bCs/>
          <w:sz w:val="21"/>
          <w:szCs w:val="21"/>
        </w:rPr>
        <w:t>IOT Oceangate Elvis Equipment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7500FF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7500FF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7500FF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500FF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0CEEE25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4139</Words>
  <Characters>23596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8</cp:revision>
  <dcterms:created xsi:type="dcterms:W3CDTF">2017-07-04T09:36:00Z</dcterms:created>
  <dcterms:modified xsi:type="dcterms:W3CDTF">2020-07-23T16:00:00Z</dcterms:modified>
</cp:coreProperties>
</file>