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3D43" w14:textId="77777777" w:rsidR="00C21E82" w:rsidRPr="00C21E82" w:rsidRDefault="00C21E82" w:rsidP="00C21E82">
      <w:pPr>
        <w:jc w:val="center"/>
        <w:rPr>
          <w:rFonts w:ascii="Arial" w:hAnsi="Arial" w:cs="Arial"/>
          <w:b/>
          <w:i/>
        </w:rPr>
      </w:pPr>
      <w:r w:rsidRPr="00C21E82">
        <w:rPr>
          <w:rFonts w:ascii="Arial" w:hAnsi="Arial" w:cs="Arial"/>
          <w:b/>
          <w:sz w:val="28"/>
          <w:szCs w:val="28"/>
        </w:rPr>
        <w:t xml:space="preserve">Phonics </w:t>
      </w:r>
      <w:r w:rsidR="001530D1">
        <w:rPr>
          <w:rFonts w:ascii="Arial" w:hAnsi="Arial" w:cs="Arial"/>
          <w:b/>
          <w:sz w:val="28"/>
          <w:szCs w:val="28"/>
        </w:rPr>
        <w:t>Roadshows</w:t>
      </w:r>
    </w:p>
    <w:p w14:paraId="18AAFBCC" w14:textId="1C2D1336" w:rsidR="00CA797E" w:rsidRDefault="00404C82" w:rsidP="001530D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On 25 May, t</w:t>
      </w:r>
      <w:r w:rsidR="001530D1" w:rsidRPr="001530D1">
        <w:rPr>
          <w:rFonts w:ascii="Arial" w:hAnsi="Arial" w:cs="Arial"/>
        </w:rPr>
        <w:t xml:space="preserve">he Department for Education </w:t>
      </w:r>
      <w:r>
        <w:rPr>
          <w:rFonts w:ascii="Arial" w:hAnsi="Arial" w:cs="Arial"/>
        </w:rPr>
        <w:t xml:space="preserve">(DfE) </w:t>
      </w:r>
      <w:r w:rsidR="0014319E">
        <w:rPr>
          <w:rFonts w:ascii="Arial" w:hAnsi="Arial" w:cs="Arial"/>
        </w:rPr>
        <w:t>launched</w:t>
      </w:r>
      <w:r w:rsidR="001530D1" w:rsidRPr="001530D1">
        <w:rPr>
          <w:rFonts w:ascii="Arial" w:hAnsi="Arial" w:cs="Arial"/>
        </w:rPr>
        <w:t xml:space="preserve"> a procurement exercise to </w:t>
      </w:r>
      <w:r w:rsidR="00CA797E">
        <w:rPr>
          <w:rFonts w:ascii="Arial" w:hAnsi="Arial" w:cs="Arial"/>
        </w:rPr>
        <w:t>fu</w:t>
      </w:r>
      <w:r w:rsidR="0014319E">
        <w:rPr>
          <w:rFonts w:ascii="Arial" w:hAnsi="Arial" w:cs="Arial"/>
        </w:rPr>
        <w:t>nd up to two providers to plan and run at least 20</w:t>
      </w:r>
      <w:r w:rsidR="001530D1" w:rsidRPr="001530D1">
        <w:rPr>
          <w:rFonts w:ascii="Arial" w:hAnsi="Arial" w:cs="Arial"/>
        </w:rPr>
        <w:t xml:space="preserve"> Phonics Roadshows</w:t>
      </w:r>
      <w:r w:rsidR="00CA797E">
        <w:rPr>
          <w:rFonts w:ascii="Arial" w:hAnsi="Arial" w:cs="Arial"/>
        </w:rPr>
        <w:t xml:space="preserve"> across two Lots, one in the north, and one covering the rest of England</w:t>
      </w:r>
      <w:r w:rsidR="001530D1" w:rsidRPr="001530D1">
        <w:rPr>
          <w:rFonts w:ascii="Arial" w:hAnsi="Arial" w:cs="Arial"/>
        </w:rPr>
        <w:t xml:space="preserve">. </w:t>
      </w:r>
    </w:p>
    <w:p w14:paraId="728A8D62" w14:textId="493907D2" w:rsidR="00CA797E" w:rsidRDefault="001530D1" w:rsidP="001530D1">
      <w:pPr>
        <w:spacing w:before="100" w:beforeAutospacing="1" w:after="100" w:afterAutospacing="1"/>
        <w:rPr>
          <w:rFonts w:ascii="Arial" w:hAnsi="Arial" w:cs="Arial"/>
        </w:rPr>
      </w:pPr>
      <w:r w:rsidRPr="001530D1">
        <w:rPr>
          <w:rFonts w:ascii="Arial" w:hAnsi="Arial" w:cs="Arial"/>
        </w:rPr>
        <w:t xml:space="preserve">The DfE wants to build on the successes achieved by the phonics roadshows funded to date. </w:t>
      </w:r>
    </w:p>
    <w:p w14:paraId="485EE55B" w14:textId="462FEC62" w:rsidR="001530D1" w:rsidRDefault="001530D1" w:rsidP="001530D1">
      <w:pPr>
        <w:spacing w:before="100" w:beforeAutospacing="1" w:after="100" w:afterAutospacing="1"/>
        <w:rPr>
          <w:rFonts w:ascii="Arial" w:hAnsi="Arial" w:cs="Arial"/>
        </w:rPr>
      </w:pPr>
      <w:r w:rsidRPr="001530D1">
        <w:rPr>
          <w:rFonts w:ascii="Arial" w:hAnsi="Arial" w:cs="Arial"/>
        </w:rPr>
        <w:t>The purpose of the</w:t>
      </w:r>
      <w:r w:rsidR="00CA797E">
        <w:rPr>
          <w:rFonts w:ascii="Arial" w:hAnsi="Arial" w:cs="Arial"/>
        </w:rPr>
        <w:t>se</w:t>
      </w:r>
      <w:r w:rsidRPr="001530D1">
        <w:rPr>
          <w:rFonts w:ascii="Arial" w:hAnsi="Arial" w:cs="Arial"/>
        </w:rPr>
        <w:t xml:space="preserve"> roadshows</w:t>
      </w:r>
      <w:r w:rsidR="00CA797E">
        <w:rPr>
          <w:rFonts w:ascii="Arial" w:hAnsi="Arial" w:cs="Arial"/>
        </w:rPr>
        <w:t>, and those that have already taken place, i</w:t>
      </w:r>
      <w:r w:rsidRPr="001530D1">
        <w:rPr>
          <w:rFonts w:ascii="Arial" w:hAnsi="Arial" w:cs="Arial"/>
        </w:rPr>
        <w:t xml:space="preserve">s </w:t>
      </w:r>
      <w:r w:rsidR="00CA797E">
        <w:rPr>
          <w:rFonts w:ascii="Arial" w:hAnsi="Arial" w:cs="Arial"/>
        </w:rPr>
        <w:t>t</w:t>
      </w:r>
      <w:r w:rsidRPr="001530D1">
        <w:rPr>
          <w:rFonts w:ascii="Arial" w:hAnsi="Arial" w:cs="Arial"/>
        </w:rPr>
        <w:t>o promote effective practice in the teaching of syst</w:t>
      </w:r>
      <w:r w:rsidR="00CA797E">
        <w:rPr>
          <w:rFonts w:ascii="Arial" w:hAnsi="Arial" w:cs="Arial"/>
        </w:rPr>
        <w:t xml:space="preserve">ematic synthetic phonics. This new procurement </w:t>
      </w:r>
      <w:r w:rsidRPr="001530D1">
        <w:rPr>
          <w:rFonts w:ascii="Arial" w:hAnsi="Arial" w:cs="Arial"/>
        </w:rPr>
        <w:t>bring</w:t>
      </w:r>
      <w:r w:rsidR="00CA797E">
        <w:rPr>
          <w:rFonts w:ascii="Arial" w:hAnsi="Arial" w:cs="Arial"/>
        </w:rPr>
        <w:t>s</w:t>
      </w:r>
      <w:r w:rsidRPr="001530D1">
        <w:rPr>
          <w:rFonts w:ascii="Arial" w:hAnsi="Arial" w:cs="Arial"/>
        </w:rPr>
        <w:t xml:space="preserve"> reception year </w:t>
      </w:r>
      <w:r w:rsidR="00CA797E">
        <w:rPr>
          <w:rFonts w:ascii="Arial" w:hAnsi="Arial" w:cs="Arial"/>
        </w:rPr>
        <w:t>into scope, as well as key stage 1, and the transition between these phases</w:t>
      </w:r>
      <w:r w:rsidRPr="001530D1">
        <w:rPr>
          <w:rFonts w:ascii="Arial" w:hAnsi="Arial" w:cs="Arial"/>
        </w:rPr>
        <w:t>.</w:t>
      </w:r>
    </w:p>
    <w:p w14:paraId="7B91BE87" w14:textId="03F599BB" w:rsidR="00404C82" w:rsidRDefault="002E2DEF" w:rsidP="001530D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The Invitation to tender letter is here - </w:t>
      </w:r>
      <w:hyperlink r:id="rId5" w:history="1">
        <w:r w:rsidRPr="00435C21">
          <w:rPr>
            <w:rStyle w:val="Hyperlink"/>
            <w:rFonts w:ascii="Arial" w:hAnsi="Arial" w:cs="Arial"/>
          </w:rPr>
          <w:t>https://www.contractsfinder.service.gov.uk/Notice/2801272d-ce55-4190-baa5-eb6428ca0e11</w:t>
        </w:r>
      </w:hyperlink>
    </w:p>
    <w:p w14:paraId="21474585" w14:textId="4EE8D742" w:rsidR="00127687" w:rsidRDefault="00127687" w:rsidP="0012768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lang w:val="en"/>
        </w:rPr>
        <w:t xml:space="preserve">The </w:t>
      </w:r>
      <w:r w:rsidRPr="00521F77">
        <w:rPr>
          <w:rFonts w:ascii="Arial" w:hAnsi="Arial" w:cs="Arial"/>
          <w:lang w:val="en"/>
        </w:rPr>
        <w:t xml:space="preserve">DfE will </w:t>
      </w:r>
      <w:r>
        <w:rPr>
          <w:rFonts w:ascii="Arial" w:hAnsi="Arial" w:cs="Arial"/>
          <w:lang w:val="en"/>
        </w:rPr>
        <w:t>administer</w:t>
      </w:r>
      <w:r w:rsidRPr="00521F77">
        <w:rPr>
          <w:rFonts w:ascii="Arial" w:hAnsi="Arial" w:cs="Arial"/>
          <w:lang w:val="en"/>
        </w:rPr>
        <w:t xml:space="preserve"> the procurement process electronically via</w:t>
      </w:r>
      <w:r w:rsidR="007E13A2">
        <w:rPr>
          <w:rFonts w:ascii="Arial" w:hAnsi="Arial" w:cs="Arial"/>
          <w:lang w:val="en"/>
        </w:rPr>
        <w:t xml:space="preserve"> </w:t>
      </w:r>
      <w:r w:rsidR="00CA797E" w:rsidRPr="00B70ECA">
        <w:rPr>
          <w:rFonts w:ascii="Arial" w:hAnsi="Arial" w:cs="Arial"/>
          <w:lang w:val="en"/>
        </w:rPr>
        <w:t>email</w:t>
      </w:r>
      <w:r w:rsidRPr="00521F77">
        <w:rPr>
          <w:rFonts w:ascii="Arial" w:hAnsi="Arial" w:cs="Arial"/>
          <w:lang w:val="en"/>
        </w:rPr>
        <w:t>. No hard copy documents will be issued</w:t>
      </w:r>
      <w:r>
        <w:rPr>
          <w:rFonts w:ascii="Arial" w:hAnsi="Arial" w:cs="Arial"/>
          <w:lang w:val="en"/>
        </w:rPr>
        <w:t>;</w:t>
      </w:r>
      <w:r w:rsidRPr="00521F77">
        <w:rPr>
          <w:rFonts w:ascii="Arial" w:hAnsi="Arial" w:cs="Arial"/>
          <w:lang w:val="en"/>
        </w:rPr>
        <w:t xml:space="preserve"> all communications with DfE (including final </w:t>
      </w:r>
      <w:r>
        <w:rPr>
          <w:rFonts w:ascii="Arial" w:hAnsi="Arial" w:cs="Arial"/>
          <w:lang w:val="en"/>
        </w:rPr>
        <w:t xml:space="preserve">tender </w:t>
      </w:r>
      <w:r w:rsidRPr="00521F77">
        <w:rPr>
          <w:rFonts w:ascii="Arial" w:hAnsi="Arial" w:cs="Arial"/>
          <w:lang w:val="en"/>
        </w:rPr>
        <w:t xml:space="preserve">submission) will be conducted via </w:t>
      </w:r>
      <w:r w:rsidR="00B70ECA">
        <w:rPr>
          <w:rFonts w:ascii="Arial" w:hAnsi="Arial" w:cs="Arial"/>
          <w:lang w:val="en"/>
        </w:rPr>
        <w:t>email</w:t>
      </w:r>
      <w:r w:rsidRPr="00521F77">
        <w:rPr>
          <w:rFonts w:ascii="Arial" w:hAnsi="Arial" w:cs="Arial"/>
          <w:lang w:val="en"/>
        </w:rPr>
        <w:t xml:space="preserve">. </w:t>
      </w:r>
    </w:p>
    <w:p w14:paraId="4642B830" w14:textId="77777777" w:rsidR="00127687" w:rsidRDefault="00127687" w:rsidP="00127687">
      <w:pPr>
        <w:rPr>
          <w:rFonts w:ascii="Arial" w:hAnsi="Arial" w:cs="Arial"/>
        </w:rPr>
      </w:pPr>
    </w:p>
    <w:p w14:paraId="08A0DE1C" w14:textId="77777777" w:rsidR="00127687" w:rsidRPr="00E63E93" w:rsidRDefault="00127687" w:rsidP="00127687">
      <w:pPr>
        <w:ind w:left="720"/>
        <w:rPr>
          <w:rFonts w:ascii="Arial" w:hAnsi="Arial" w:cs="Arial"/>
        </w:rPr>
      </w:pPr>
    </w:p>
    <w:p w14:paraId="1E759564" w14:textId="77777777" w:rsidR="00F7441D" w:rsidRPr="00F7441D" w:rsidRDefault="007E13A2" w:rsidP="00F744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F7441D" w:rsidRPr="00F7441D">
        <w:rPr>
          <w:rFonts w:ascii="Arial" w:hAnsi="Arial" w:cs="Arial"/>
          <w:b/>
        </w:rPr>
        <w:t>ates for procurement:</w:t>
      </w:r>
    </w:p>
    <w:p w14:paraId="1FF0E02B" w14:textId="77777777" w:rsidR="00127687" w:rsidRDefault="00127687" w:rsidP="00127687">
      <w:pPr>
        <w:pStyle w:val="ListParagraph"/>
        <w:spacing w:after="0" w:line="240" w:lineRule="auto"/>
        <w:ind w:left="0"/>
        <w:rPr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0"/>
        <w:gridCol w:w="2656"/>
      </w:tblGrid>
      <w:tr w:rsidR="007E13A2" w:rsidRPr="004037A6" w14:paraId="7EE87956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85FE" w14:textId="77777777" w:rsidR="007E13A2" w:rsidRPr="004037A6" w:rsidRDefault="007E13A2" w:rsidP="00EB214A">
            <w:pPr>
              <w:pStyle w:val="Numbered"/>
            </w:pPr>
            <w:r w:rsidRPr="004037A6">
              <w:t>Tender documents issued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6034" w14:textId="5596E0FB" w:rsidR="007E13A2" w:rsidRPr="004037A6" w:rsidRDefault="007E13A2" w:rsidP="00EB214A">
            <w:pPr>
              <w:pStyle w:val="Numbered"/>
            </w:pPr>
            <w:r>
              <w:t>25 May 2018</w:t>
            </w:r>
          </w:p>
        </w:tc>
      </w:tr>
      <w:tr w:rsidR="007E13A2" w:rsidRPr="004037A6" w14:paraId="2D410C2D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DF44" w14:textId="77777777" w:rsidR="007E13A2" w:rsidRPr="004037A6" w:rsidRDefault="007E13A2" w:rsidP="00EB214A">
            <w:pPr>
              <w:pStyle w:val="Numbered"/>
            </w:pPr>
            <w:r w:rsidRPr="004037A6">
              <w:t>Last day for submission of clarifications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377" w14:textId="1841ED81" w:rsidR="007E13A2" w:rsidRPr="004037A6" w:rsidRDefault="007E13A2" w:rsidP="00EB214A">
            <w:pPr>
              <w:pStyle w:val="Numbered"/>
            </w:pPr>
            <w:r>
              <w:t>8 June 2018</w:t>
            </w:r>
          </w:p>
        </w:tc>
      </w:tr>
      <w:tr w:rsidR="007E13A2" w:rsidRPr="004037A6" w14:paraId="6E7685C4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DC10" w14:textId="77777777" w:rsidR="007E13A2" w:rsidRPr="004037A6" w:rsidRDefault="007E13A2" w:rsidP="00EB214A">
            <w:pPr>
              <w:pStyle w:val="Numbered"/>
            </w:pPr>
            <w:r w:rsidRPr="004037A6">
              <w:t>Last day for DfE to respond to clarifications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0C0" w14:textId="34412C0E" w:rsidR="007E13A2" w:rsidRPr="004037A6" w:rsidRDefault="007E13A2" w:rsidP="00EB214A">
            <w:pPr>
              <w:pStyle w:val="Numbered"/>
            </w:pPr>
            <w:r>
              <w:t>13 June 2018</w:t>
            </w:r>
          </w:p>
        </w:tc>
      </w:tr>
      <w:tr w:rsidR="007E13A2" w:rsidRPr="004037A6" w14:paraId="6362DD4F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9F3F" w14:textId="77777777" w:rsidR="007E13A2" w:rsidRPr="004037A6" w:rsidRDefault="007E13A2" w:rsidP="00EB214A">
            <w:pPr>
              <w:pStyle w:val="Numbered"/>
            </w:pPr>
            <w:r w:rsidRPr="004037A6">
              <w:t>Deadline for tender responses to be received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538" w14:textId="4343E5C9" w:rsidR="007E13A2" w:rsidRPr="004037A6" w:rsidRDefault="007E13A2" w:rsidP="00EB214A">
            <w:pPr>
              <w:pStyle w:val="Numbered"/>
            </w:pPr>
            <w:r>
              <w:t>12:00 (midday) on 15 June 2018</w:t>
            </w:r>
          </w:p>
        </w:tc>
      </w:tr>
      <w:tr w:rsidR="007E13A2" w:rsidRPr="004037A6" w14:paraId="5AC17A73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2FA" w14:textId="77777777" w:rsidR="007E13A2" w:rsidRPr="004037A6" w:rsidRDefault="007E13A2" w:rsidP="00EB214A">
            <w:pPr>
              <w:pStyle w:val="Numbered"/>
            </w:pPr>
            <w:r w:rsidRPr="004037A6">
              <w:t>Evaluation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483" w14:textId="23D4A74C" w:rsidR="007E13A2" w:rsidRPr="004037A6" w:rsidRDefault="007E13A2" w:rsidP="00EB214A">
            <w:pPr>
              <w:pStyle w:val="Numbered"/>
            </w:pPr>
            <w:r>
              <w:t>15 June – 12 July 2018</w:t>
            </w:r>
          </w:p>
        </w:tc>
      </w:tr>
      <w:tr w:rsidR="007E13A2" w:rsidRPr="004037A6" w14:paraId="18353FFA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64D8" w14:textId="77777777" w:rsidR="007E13A2" w:rsidRPr="004037A6" w:rsidRDefault="007E13A2" w:rsidP="00EB214A">
            <w:pPr>
              <w:pStyle w:val="Numbered"/>
            </w:pPr>
            <w:r w:rsidRPr="004037A6">
              <w:t>Clarification Meetings if required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EDC" w14:textId="4365162B" w:rsidR="007E13A2" w:rsidRPr="004037A6" w:rsidRDefault="007E13A2" w:rsidP="00EB214A">
            <w:pPr>
              <w:pStyle w:val="Numbered"/>
            </w:pPr>
            <w:r>
              <w:t>18 June – 6 July 2018</w:t>
            </w:r>
          </w:p>
        </w:tc>
      </w:tr>
      <w:tr w:rsidR="007E13A2" w:rsidRPr="004037A6" w14:paraId="5AB73EBD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1A2F" w14:textId="77777777" w:rsidR="007E13A2" w:rsidRPr="004037A6" w:rsidRDefault="007E13A2" w:rsidP="00EB214A">
            <w:pPr>
              <w:pStyle w:val="Numbered"/>
            </w:pPr>
            <w:r w:rsidRPr="004037A6">
              <w:t>Department announcement of preferred bidder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80A" w14:textId="18104FD5" w:rsidR="007E13A2" w:rsidRPr="004037A6" w:rsidRDefault="007E13A2" w:rsidP="00EB214A">
            <w:pPr>
              <w:pStyle w:val="Numbered"/>
            </w:pPr>
            <w:r>
              <w:t>W/c 13 July 2018</w:t>
            </w:r>
          </w:p>
        </w:tc>
      </w:tr>
      <w:tr w:rsidR="007E13A2" w:rsidRPr="004037A6" w14:paraId="6D9D0845" w14:textId="77777777" w:rsidTr="00EB214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C0F6" w14:textId="77777777" w:rsidR="007E13A2" w:rsidRPr="004037A6" w:rsidRDefault="007E13A2" w:rsidP="00EB214A">
            <w:pPr>
              <w:pStyle w:val="Numbered"/>
            </w:pPr>
            <w:r w:rsidRPr="004037A6">
              <w:t xml:space="preserve">Contract commencement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136" w14:textId="44D35A8C" w:rsidR="007E13A2" w:rsidRPr="004037A6" w:rsidRDefault="007E13A2" w:rsidP="00EB214A">
            <w:pPr>
              <w:pStyle w:val="Numbered"/>
            </w:pPr>
            <w:r>
              <w:t>1 September 2018</w:t>
            </w:r>
          </w:p>
        </w:tc>
      </w:tr>
    </w:tbl>
    <w:p w14:paraId="3C532F3C" w14:textId="77777777" w:rsidR="007E13A2" w:rsidRPr="00AC3E22" w:rsidRDefault="007E13A2" w:rsidP="00127687">
      <w:pPr>
        <w:pStyle w:val="ListParagraph"/>
        <w:spacing w:after="0" w:line="240" w:lineRule="auto"/>
        <w:ind w:left="0"/>
        <w:rPr>
          <w:szCs w:val="24"/>
        </w:rPr>
      </w:pPr>
    </w:p>
    <w:p w14:paraId="5E47E77D" w14:textId="77777777" w:rsidR="00127687" w:rsidRPr="007E13A2" w:rsidRDefault="00127687" w:rsidP="00127687">
      <w:pPr>
        <w:pStyle w:val="NormalWeb"/>
        <w:rPr>
          <w:b/>
        </w:rPr>
      </w:pPr>
      <w:r w:rsidRPr="007E13A2">
        <w:rPr>
          <w:b/>
        </w:rPr>
        <w:t>VALUE:</w:t>
      </w:r>
    </w:p>
    <w:p w14:paraId="07888652" w14:textId="77777777" w:rsidR="00127687" w:rsidRDefault="007E13A2" w:rsidP="00127687">
      <w:pPr>
        <w:pStyle w:val="NormalWeb"/>
      </w:pPr>
      <w:r w:rsidRPr="00BB10D3">
        <w:lastRenderedPageBreak/>
        <w:t>Funding of up to £50,000 including VAT is available in 2018-19 for each contract</w:t>
      </w:r>
      <w:r>
        <w:t xml:space="preserve"> (Lot A covering the north of England, and Lot B covering the rest of England)</w:t>
      </w:r>
      <w:r w:rsidRPr="00BB10D3">
        <w:t>, £100,000 including VAT in total to support this work.</w:t>
      </w:r>
      <w:r>
        <w:t xml:space="preserve"> More detail is available in the Invitation to Tender Document in paragraph 2.1 of the Specification in Document 3</w:t>
      </w:r>
      <w:r w:rsidR="00127687">
        <w:t xml:space="preserve">. </w:t>
      </w:r>
    </w:p>
    <w:p w14:paraId="1B95BE73" w14:textId="77777777" w:rsidR="007E13A2" w:rsidRDefault="007E13A2" w:rsidP="007E13A2">
      <w:pPr>
        <w:pStyle w:val="NormalWeb"/>
        <w:rPr>
          <w:b/>
        </w:rPr>
      </w:pPr>
      <w:r>
        <w:rPr>
          <w:b/>
        </w:rPr>
        <w:t>TO APPLY:</w:t>
      </w:r>
    </w:p>
    <w:p w14:paraId="5AB80044" w14:textId="77777777" w:rsidR="007E13A2" w:rsidRPr="007E13A2" w:rsidRDefault="00CA797E" w:rsidP="007E13A2">
      <w:pPr>
        <w:pStyle w:val="NormalWeb"/>
      </w:pPr>
      <w:r>
        <w:t>For any questions and or to submit a tender</w:t>
      </w:r>
      <w:r w:rsidR="00127687">
        <w:t xml:space="preserve">, please email: </w:t>
      </w:r>
      <w:hyperlink r:id="rId6" w:history="1">
        <w:r w:rsidR="00127687">
          <w:rPr>
            <w:rStyle w:val="Hyperlink"/>
          </w:rPr>
          <w:t>English.IMPLEMENTATION@education.gov.uk</w:t>
        </w:r>
      </w:hyperlink>
      <w:r w:rsidR="00127687">
        <w:t xml:space="preserve"> with the </w:t>
      </w:r>
      <w:r>
        <w:t>subject ‘Phonics Roadshow Tender’</w:t>
      </w:r>
      <w:r w:rsidR="00127687">
        <w:t>.</w:t>
      </w:r>
    </w:p>
    <w:p w14:paraId="5FEF1D46" w14:textId="77777777" w:rsidR="00127687" w:rsidRPr="007E13A2" w:rsidRDefault="00127687" w:rsidP="00127687">
      <w:pPr>
        <w:pStyle w:val="NormalWeb"/>
        <w:rPr>
          <w:b/>
        </w:rPr>
      </w:pPr>
      <w:r w:rsidRPr="007E13A2">
        <w:rPr>
          <w:b/>
        </w:rPr>
        <w:t>START AND END DATES OF THE CONTRACT:</w:t>
      </w:r>
    </w:p>
    <w:p w14:paraId="7342E7D5" w14:textId="77777777" w:rsidR="00F7441D" w:rsidRPr="00F7441D" w:rsidRDefault="00F7441D" w:rsidP="00F7441D">
      <w:pPr>
        <w:spacing w:before="100" w:beforeAutospacing="1" w:after="100" w:afterAutospacing="1"/>
        <w:rPr>
          <w:rFonts w:ascii="Arial" w:hAnsi="Arial" w:cs="Arial"/>
          <w:b/>
        </w:rPr>
      </w:pPr>
      <w:r w:rsidRPr="00F7441D">
        <w:rPr>
          <w:rFonts w:ascii="Arial" w:hAnsi="Arial" w:cs="Arial"/>
        </w:rPr>
        <w:t xml:space="preserve">Start Date: </w:t>
      </w:r>
      <w:r w:rsidR="00CA797E">
        <w:rPr>
          <w:rFonts w:ascii="Arial" w:hAnsi="Arial" w:cs="Arial"/>
        </w:rPr>
        <w:t>1 September</w:t>
      </w:r>
      <w:r w:rsidR="00CA797E" w:rsidRPr="00F7441D">
        <w:rPr>
          <w:rFonts w:ascii="Arial" w:hAnsi="Arial" w:cs="Arial"/>
        </w:rPr>
        <w:t xml:space="preserve"> </w:t>
      </w:r>
      <w:r w:rsidRPr="00F7441D">
        <w:rPr>
          <w:rFonts w:ascii="Arial" w:hAnsi="Arial" w:cs="Arial"/>
        </w:rPr>
        <w:t xml:space="preserve">2018 </w:t>
      </w:r>
    </w:p>
    <w:p w14:paraId="68C4DBAD" w14:textId="77777777" w:rsidR="007E13A2" w:rsidRDefault="00F7441D" w:rsidP="007E13A2">
      <w:pPr>
        <w:spacing w:before="100" w:beforeAutospacing="1" w:after="100" w:afterAutospacing="1"/>
        <w:rPr>
          <w:rFonts w:ascii="Arial" w:hAnsi="Arial" w:cs="Arial"/>
        </w:rPr>
      </w:pPr>
      <w:r w:rsidRPr="00F7441D">
        <w:rPr>
          <w:rFonts w:ascii="Arial" w:hAnsi="Arial" w:cs="Arial"/>
        </w:rPr>
        <w:t>End Date: Planned as 31 March 2019</w:t>
      </w:r>
    </w:p>
    <w:p w14:paraId="37AF094C" w14:textId="77777777" w:rsidR="00127687" w:rsidRPr="00127687" w:rsidRDefault="00127687">
      <w:pPr>
        <w:rPr>
          <w:rFonts w:ascii="Arial" w:hAnsi="Arial" w:cs="Arial"/>
        </w:rPr>
      </w:pPr>
    </w:p>
    <w:sectPr w:rsidR="00127687" w:rsidRPr="0012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59D2"/>
    <w:multiLevelType w:val="multilevel"/>
    <w:tmpl w:val="6D6A0EBE"/>
    <w:styleLink w:val="Style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Letter"/>
      <w:isLgl/>
      <w:lvlText w:val="%1.%2.%3"/>
      <w:lvlJc w:val="left"/>
      <w:pPr>
        <w:ind w:left="1531" w:hanging="811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66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82603F"/>
    <w:multiLevelType w:val="hybridMultilevel"/>
    <w:tmpl w:val="4A80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20C9"/>
    <w:multiLevelType w:val="hybridMultilevel"/>
    <w:tmpl w:val="0C94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87"/>
    <w:rsid w:val="000F6313"/>
    <w:rsid w:val="00127687"/>
    <w:rsid w:val="0014319E"/>
    <w:rsid w:val="001530D1"/>
    <w:rsid w:val="002E2DEF"/>
    <w:rsid w:val="003A521E"/>
    <w:rsid w:val="00404C82"/>
    <w:rsid w:val="004523BE"/>
    <w:rsid w:val="005D452F"/>
    <w:rsid w:val="007E13A2"/>
    <w:rsid w:val="008303D4"/>
    <w:rsid w:val="00B70ECA"/>
    <w:rsid w:val="00C21E82"/>
    <w:rsid w:val="00CA797E"/>
    <w:rsid w:val="00F328FC"/>
    <w:rsid w:val="00F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73CD"/>
  <w15:chartTrackingRefBased/>
  <w15:docId w15:val="{2772AC33-251C-47E9-8538-50B95C54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7687"/>
    <w:pPr>
      <w:spacing w:before="100" w:beforeAutospacing="1" w:after="100" w:afterAutospacing="1"/>
    </w:pPr>
    <w:rPr>
      <w:rFonts w:ascii="Arial" w:hAnsi="Arial" w:cs="Arial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127687"/>
    <w:pPr>
      <w:spacing w:after="200" w:line="276" w:lineRule="auto"/>
      <w:ind w:left="720"/>
      <w:contextualSpacing/>
    </w:pPr>
    <w:rPr>
      <w:rFonts w:ascii="Arial" w:hAnsi="Arial" w:cs="Arial"/>
      <w:szCs w:val="22"/>
    </w:rPr>
  </w:style>
  <w:style w:type="character" w:styleId="Hyperlink">
    <w:name w:val="Hyperlink"/>
    <w:rsid w:val="00127687"/>
    <w:rPr>
      <w:color w:val="0000FF"/>
      <w:u w:val="single"/>
    </w:rPr>
  </w:style>
  <w:style w:type="character" w:customStyle="1" w:styleId="xbe">
    <w:name w:val="_xbe"/>
    <w:rsid w:val="00127687"/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127687"/>
    <w:rPr>
      <w:rFonts w:ascii="Arial" w:eastAsia="Times New Roman" w:hAnsi="Arial" w:cs="Arial"/>
      <w:sz w:val="24"/>
      <w:lang w:eastAsia="en-GB"/>
    </w:rPr>
  </w:style>
  <w:style w:type="numbering" w:customStyle="1" w:styleId="Style12">
    <w:name w:val="Style12"/>
    <w:uiPriority w:val="99"/>
    <w:rsid w:val="007E13A2"/>
    <w:pPr>
      <w:numPr>
        <w:numId w:val="3"/>
      </w:numPr>
    </w:pPr>
  </w:style>
  <w:style w:type="paragraph" w:customStyle="1" w:styleId="Numbered">
    <w:name w:val="Numbered"/>
    <w:basedOn w:val="Normal"/>
    <w:link w:val="NumberedChar"/>
    <w:rsid w:val="007E13A2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Mangal"/>
      <w:sz w:val="22"/>
      <w:szCs w:val="22"/>
    </w:rPr>
  </w:style>
  <w:style w:type="character" w:customStyle="1" w:styleId="NumberedChar">
    <w:name w:val="Numbered Char"/>
    <w:link w:val="Numbered"/>
    <w:locked/>
    <w:rsid w:val="007E13A2"/>
    <w:rPr>
      <w:rFonts w:ascii="Arial" w:eastAsia="Times New Roman" w:hAnsi="Arial" w:cs="Mang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82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C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C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ish.IMPLEMENTATION@education.gov.uk" TargetMode="External"/><Relationship Id="rId5" Type="http://schemas.openxmlformats.org/officeDocument/2006/relationships/hyperlink" Target="https://www.contractsfinder.service.gov.uk/Notice/2801272d-ce55-4190-baa5-eb6428ca0e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2</cp:revision>
  <dcterms:created xsi:type="dcterms:W3CDTF">2018-05-25T13:59:00Z</dcterms:created>
  <dcterms:modified xsi:type="dcterms:W3CDTF">2018-05-25T13:59:00Z</dcterms:modified>
</cp:coreProperties>
</file>