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C" w:rsidRDefault="00C777DD" w:rsidP="007C40BC">
      <w:r>
        <w:t xml:space="preserve">                                                                                                                                                                               </w:t>
      </w:r>
    </w:p>
    <w:p w:rsidR="002A3C07" w:rsidRPr="00667856" w:rsidRDefault="00667856" w:rsidP="00667856">
      <w:pPr>
        <w:jc w:val="center"/>
        <w:rPr>
          <w:b/>
          <w:color w:val="FF0000"/>
        </w:rPr>
      </w:pPr>
      <w:r>
        <w:rPr>
          <w:b/>
          <w:color w:val="000000" w:themeColor="text1"/>
        </w:rPr>
        <w:t>Heritage Endowments P</w:t>
      </w:r>
      <w:r w:rsidR="00CE43E4" w:rsidRPr="00667856">
        <w:rPr>
          <w:b/>
          <w:color w:val="000000" w:themeColor="text1"/>
        </w:rPr>
        <w:t>rogramme</w:t>
      </w:r>
      <w:r>
        <w:rPr>
          <w:b/>
          <w:color w:val="000000" w:themeColor="text1"/>
        </w:rPr>
        <w:t xml:space="preserve"> E</w:t>
      </w:r>
      <w:r w:rsidRPr="00667856">
        <w:rPr>
          <w:b/>
          <w:color w:val="000000" w:themeColor="text1"/>
        </w:rPr>
        <w:t>valuation</w:t>
      </w:r>
    </w:p>
    <w:p w:rsidR="00667856" w:rsidRDefault="00667856" w:rsidP="002A3C07">
      <w:pPr>
        <w:rPr>
          <w:color w:val="FF0000"/>
        </w:rPr>
      </w:pPr>
    </w:p>
    <w:p w:rsidR="00667856" w:rsidRPr="002A3C07" w:rsidRDefault="00667856"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9C7A47"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9C7A47">
        <w:rPr>
          <w:rStyle w:val="Strong"/>
          <w:b w:val="0"/>
        </w:rPr>
        <w:t>Heritage Endowment</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9C7A47">
        <w:t>Evaluation Service</w:t>
      </w:r>
    </w:p>
    <w:p w:rsidR="007C40BC" w:rsidRDefault="007C40BC" w:rsidP="007C40BC">
      <w:pPr>
        <w:tabs>
          <w:tab w:val="left" w:pos="567"/>
          <w:tab w:val="left" w:pos="4111"/>
        </w:tabs>
        <w:spacing w:after="240"/>
      </w:pPr>
      <w:r>
        <w:rPr>
          <w:b/>
        </w:rPr>
        <w:t>Estimated v</w:t>
      </w:r>
      <w:r w:rsidRPr="00A87B76">
        <w:rPr>
          <w:b/>
        </w:rPr>
        <w:t>alue of tender</w:t>
      </w:r>
      <w:r w:rsidRPr="00B230B6">
        <w:tab/>
      </w:r>
      <w:r w:rsidR="00766541">
        <w:t>Up to £3</w:t>
      </w:r>
      <w:r w:rsidR="00C73C83">
        <w:t>0,000 including expenses and VAT</w:t>
      </w:r>
    </w:p>
    <w:p w:rsidR="00617D51" w:rsidRDefault="007C40BC" w:rsidP="007C40BC">
      <w:pPr>
        <w:tabs>
          <w:tab w:val="left" w:pos="567"/>
          <w:tab w:val="left" w:pos="4111"/>
        </w:tabs>
        <w:spacing w:after="240"/>
      </w:pPr>
      <w:r w:rsidRPr="00A87B76">
        <w:rPr>
          <w:b/>
        </w:rPr>
        <w:t xml:space="preserve">Estimated </w:t>
      </w:r>
      <w:r>
        <w:rPr>
          <w:b/>
        </w:rPr>
        <w:t>duration</w:t>
      </w:r>
      <w:r w:rsidR="004C68BD">
        <w:rPr>
          <w:b/>
        </w:rPr>
        <w:t xml:space="preserve">     </w:t>
      </w:r>
      <w:r w:rsidRPr="00B230B6">
        <w:tab/>
      </w:r>
      <w:r w:rsidR="00FD017D">
        <w:t>December 2017</w:t>
      </w:r>
      <w:r w:rsidR="00C73C83">
        <w:t xml:space="preserve"> to January 2022</w:t>
      </w:r>
    </w:p>
    <w:p w:rsidR="004C68BD" w:rsidRPr="004C68BD" w:rsidRDefault="007C40BC" w:rsidP="004C68BD">
      <w:pPr>
        <w:rPr>
          <w:rFonts w:cs="Arial"/>
          <w:bCs/>
          <w:lang w:eastAsia="en-GB"/>
        </w:rPr>
      </w:pPr>
      <w:r w:rsidRPr="00A87B76">
        <w:rPr>
          <w:b/>
        </w:rPr>
        <w:t xml:space="preserve">Name of </w:t>
      </w:r>
      <w:r>
        <w:rPr>
          <w:b/>
        </w:rPr>
        <w:t>HL</w:t>
      </w:r>
      <w:r w:rsidRPr="00A87B76">
        <w:rPr>
          <w:b/>
        </w:rPr>
        <w:t>F Contact</w:t>
      </w:r>
      <w:r w:rsidRPr="00EE3B0C">
        <w:tab/>
      </w:r>
      <w:r w:rsidR="004C68BD">
        <w:t xml:space="preserve">                    </w:t>
      </w:r>
      <w:r w:rsidR="004C68BD" w:rsidRPr="004C68BD">
        <w:rPr>
          <w:rFonts w:cs="Arial"/>
          <w:bCs/>
          <w:lang w:eastAsia="en-GB"/>
        </w:rPr>
        <w:t>Hilary Leavy</w:t>
      </w:r>
    </w:p>
    <w:p w:rsidR="004C68BD" w:rsidRPr="004C68BD" w:rsidRDefault="004C68BD" w:rsidP="004C68BD">
      <w:pPr>
        <w:rPr>
          <w:rFonts w:cs="Arial"/>
          <w:lang w:eastAsia="en-GB"/>
        </w:rPr>
      </w:pPr>
      <w:r w:rsidRPr="004C68BD">
        <w:rPr>
          <w:rFonts w:cs="Arial"/>
          <w:lang w:eastAsia="en-GB"/>
        </w:rPr>
        <w:t xml:space="preserve">                                                                   Evaluation Manager</w:t>
      </w:r>
    </w:p>
    <w:p w:rsidR="009C7A47" w:rsidRDefault="004C68BD" w:rsidP="007C40BC">
      <w:pPr>
        <w:tabs>
          <w:tab w:val="left" w:pos="567"/>
          <w:tab w:val="left" w:pos="4111"/>
        </w:tabs>
        <w:spacing w:after="240"/>
      </w:pPr>
      <w:r>
        <w:tab/>
      </w:r>
      <w:r>
        <w:tab/>
      </w:r>
      <w:r w:rsidRPr="004C68BD">
        <w:t>hilary.leavy@hlf.org.uk</w:t>
      </w:r>
    </w:p>
    <w:p w:rsidR="007C40BC" w:rsidRDefault="007C40BC" w:rsidP="007C40BC">
      <w:pPr>
        <w:tabs>
          <w:tab w:val="left" w:pos="4111"/>
        </w:tabs>
        <w:spacing w:after="240"/>
        <w:ind w:left="4111" w:hanging="4111"/>
      </w:pPr>
      <w:r w:rsidRPr="008A4DA4">
        <w:rPr>
          <w:b/>
        </w:rPr>
        <w:t>Timetable</w:t>
      </w:r>
      <w:r w:rsidR="00C73C83">
        <w:tab/>
        <w:t>Response deadline</w:t>
      </w:r>
      <w:proofErr w:type="gramStart"/>
      <w:r w:rsidR="00C73C83">
        <w:t>:</w:t>
      </w:r>
      <w:proofErr w:type="gramEnd"/>
      <w:r w:rsidR="00C73C83">
        <w:br/>
        <w:t>11.00 am on 14 November 2017</w:t>
      </w:r>
      <w:r w:rsidR="00C73C83">
        <w:rPr>
          <w:b/>
        </w:rPr>
        <w:tab/>
      </w:r>
      <w:r w:rsidR="002C3BCE">
        <w:br/>
      </w:r>
      <w:r w:rsidR="002C3BCE">
        <w:br/>
        <w:t>Clarification questions deadline:</w:t>
      </w:r>
      <w:r w:rsidR="00C73C83">
        <w:br/>
      </w:r>
      <w:r w:rsidR="00153B0D">
        <w:t>31</w:t>
      </w:r>
      <w:r w:rsidR="00C73C83">
        <w:t xml:space="preserve"> October 2017</w:t>
      </w:r>
    </w:p>
    <w:p w:rsidR="007C40BC" w:rsidRDefault="00AE2088" w:rsidP="007C40BC">
      <w:pPr>
        <w:tabs>
          <w:tab w:val="left" w:pos="4111"/>
        </w:tabs>
        <w:spacing w:after="240"/>
        <w:ind w:left="4111"/>
      </w:pPr>
      <w:r>
        <w:t>Clarification meetings</w:t>
      </w:r>
      <w:r w:rsidR="00697E37">
        <w:t>:</w:t>
      </w:r>
      <w:r w:rsidR="00C73C83">
        <w:br/>
        <w:t>Week commencing 20 November 2017</w:t>
      </w:r>
    </w:p>
    <w:p w:rsidR="007C40BC" w:rsidRDefault="007C40BC" w:rsidP="007C40BC">
      <w:pPr>
        <w:tabs>
          <w:tab w:val="left" w:pos="4111"/>
        </w:tabs>
        <w:spacing w:after="240"/>
        <w:ind w:left="4110"/>
      </w:pPr>
      <w:r>
        <w:tab/>
        <w:t>Confirmatio</w:t>
      </w:r>
      <w:r w:rsidR="00C73C83">
        <w:t>n of contract:</w:t>
      </w:r>
      <w:r w:rsidR="00C73C83">
        <w:br/>
      </w:r>
      <w:r w:rsidR="006B4F27">
        <w:t xml:space="preserve">Week commencing 27 </w:t>
      </w:r>
      <w:r w:rsidR="00C73C83">
        <w:t>November 2017</w:t>
      </w:r>
    </w:p>
    <w:p w:rsidR="007C40BC" w:rsidRDefault="007C40BC" w:rsidP="007C40BC">
      <w:pPr>
        <w:tabs>
          <w:tab w:val="left" w:pos="4111"/>
        </w:tabs>
        <w:spacing w:after="240"/>
        <w:ind w:left="4110"/>
      </w:pPr>
      <w:r>
        <w:t>Completion o</w:t>
      </w:r>
      <w:r w:rsidR="00304AC1">
        <w:t>f</w:t>
      </w:r>
      <w:r w:rsidR="00A140CF">
        <w:t xml:space="preserve"> research:</w:t>
      </w:r>
      <w:r w:rsidR="00A140CF">
        <w:br/>
        <w:t>January 2022</w:t>
      </w:r>
    </w:p>
    <w:p w:rsidR="0082194B" w:rsidRPr="00FB02BD" w:rsidRDefault="007C40BC" w:rsidP="000C457B">
      <w:pPr>
        <w:pStyle w:val="Heading1"/>
        <w:spacing w:line="276" w:lineRule="auto"/>
      </w:pPr>
      <w:r>
        <w:br w:type="page"/>
      </w:r>
      <w:r w:rsidR="0082194B" w:rsidRPr="00FB02BD">
        <w:lastRenderedPageBreak/>
        <w:t>1.</w:t>
      </w:r>
      <w:r w:rsidR="0082194B" w:rsidRPr="00FB02BD">
        <w:tab/>
        <w:t>Overview</w:t>
      </w:r>
    </w:p>
    <w:p w:rsidR="0082194B" w:rsidRPr="0082194B" w:rsidRDefault="0082194B" w:rsidP="000C457B">
      <w:pPr>
        <w:numPr>
          <w:ilvl w:val="1"/>
          <w:numId w:val="2"/>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rsidR="0082194B" w:rsidRPr="0082194B" w:rsidRDefault="0082194B" w:rsidP="000C457B">
      <w:pPr>
        <w:numPr>
          <w:ilvl w:val="1"/>
          <w:numId w:val="2"/>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for heritage, people and communities which underpin our grant-making.</w:t>
      </w:r>
    </w:p>
    <w:p w:rsidR="00C777DD" w:rsidRPr="00C777DD" w:rsidRDefault="00F44D6F" w:rsidP="000C457B">
      <w:pPr>
        <w:numPr>
          <w:ilvl w:val="1"/>
          <w:numId w:val="2"/>
        </w:numPr>
        <w:spacing w:after="240" w:line="276" w:lineRule="auto"/>
        <w:rPr>
          <w:rFonts w:cs="Arial"/>
          <w:szCs w:val="22"/>
        </w:rPr>
      </w:pPr>
      <w:r>
        <w:rPr>
          <w:rFonts w:cs="Arial"/>
          <w:iCs/>
          <w:color w:val="000000" w:themeColor="text1"/>
          <w:szCs w:val="22"/>
        </w:rPr>
        <w:t xml:space="preserve">Now closed to applications, </w:t>
      </w:r>
      <w:r w:rsidR="00C777DD">
        <w:rPr>
          <w:rFonts w:cs="Arial"/>
          <w:iCs/>
          <w:color w:val="000000" w:themeColor="text1"/>
          <w:szCs w:val="22"/>
        </w:rPr>
        <w:t xml:space="preserve">Heritage Endowments is a grants programme of between £250,000 and £1 million to support organisations to </w:t>
      </w:r>
      <w:r w:rsidR="005E6084">
        <w:rPr>
          <w:rFonts w:cs="Arial"/>
          <w:iCs/>
          <w:color w:val="000000" w:themeColor="text1"/>
          <w:szCs w:val="22"/>
        </w:rPr>
        <w:t xml:space="preserve">diversify their income and to </w:t>
      </w:r>
      <w:r w:rsidR="00C777DD">
        <w:rPr>
          <w:rFonts w:cs="Arial"/>
          <w:iCs/>
          <w:color w:val="000000" w:themeColor="text1"/>
          <w:szCs w:val="22"/>
        </w:rPr>
        <w:t>create or develop an endowment fund that will provide a long term annual income</w:t>
      </w:r>
      <w:r w:rsidR="0069257C">
        <w:rPr>
          <w:rFonts w:cs="Arial"/>
          <w:iCs/>
          <w:color w:val="000000" w:themeColor="text1"/>
          <w:szCs w:val="22"/>
        </w:rPr>
        <w:t>. In addition,</w:t>
      </w:r>
      <w:r>
        <w:rPr>
          <w:rFonts w:cs="Arial"/>
          <w:iCs/>
          <w:color w:val="000000" w:themeColor="text1"/>
          <w:szCs w:val="22"/>
        </w:rPr>
        <w:t xml:space="preserve"> applicants</w:t>
      </w:r>
      <w:r w:rsidR="0069257C">
        <w:rPr>
          <w:rFonts w:cs="Arial"/>
          <w:iCs/>
          <w:color w:val="000000" w:themeColor="text1"/>
          <w:szCs w:val="22"/>
        </w:rPr>
        <w:t xml:space="preserve"> also had the option of applying for up to 10% of the grant requested in order to help resource campaigns</w:t>
      </w:r>
      <w:r w:rsidR="00C777DD">
        <w:rPr>
          <w:rFonts w:cs="Arial"/>
          <w:iCs/>
          <w:color w:val="000000" w:themeColor="text1"/>
          <w:szCs w:val="22"/>
        </w:rPr>
        <w:t xml:space="preserve">.  Heritage Endowments grants </w:t>
      </w:r>
      <w:r w:rsidR="007D4608">
        <w:rPr>
          <w:rFonts w:cs="Arial"/>
          <w:iCs/>
          <w:color w:val="000000" w:themeColor="text1"/>
          <w:szCs w:val="22"/>
        </w:rPr>
        <w:t>were available</w:t>
      </w:r>
      <w:r w:rsidR="00C777DD">
        <w:rPr>
          <w:rFonts w:cs="Arial"/>
          <w:iCs/>
          <w:color w:val="000000" w:themeColor="text1"/>
          <w:szCs w:val="22"/>
        </w:rPr>
        <w:t xml:space="preserve"> to organisations in the UK who we are currently funding or have funded in the past.  This is a match funding scheme where the HLF grant matches every pound raised by grant recipients</w:t>
      </w:r>
      <w:r>
        <w:rPr>
          <w:rFonts w:cs="Arial"/>
          <w:iCs/>
          <w:color w:val="000000" w:themeColor="text1"/>
          <w:szCs w:val="22"/>
        </w:rPr>
        <w:t xml:space="preserve"> from private sources</w:t>
      </w:r>
      <w:r w:rsidR="00C777DD">
        <w:rPr>
          <w:rFonts w:cs="Arial"/>
          <w:iCs/>
          <w:color w:val="000000" w:themeColor="text1"/>
          <w:szCs w:val="22"/>
        </w:rPr>
        <w:t>.</w:t>
      </w:r>
    </w:p>
    <w:p w:rsidR="005E6084" w:rsidRPr="007D4608" w:rsidRDefault="005E6084" w:rsidP="000C457B">
      <w:pPr>
        <w:numPr>
          <w:ilvl w:val="1"/>
          <w:numId w:val="2"/>
        </w:numPr>
        <w:spacing w:after="240" w:line="276" w:lineRule="auto"/>
        <w:rPr>
          <w:rFonts w:cs="Arial"/>
          <w:szCs w:val="22"/>
        </w:rPr>
      </w:pPr>
      <w:r>
        <w:rPr>
          <w:rFonts w:cs="Arial"/>
          <w:iCs/>
          <w:color w:val="000000" w:themeColor="text1"/>
          <w:szCs w:val="22"/>
        </w:rPr>
        <w:t xml:space="preserve">The </w:t>
      </w:r>
      <w:r w:rsidR="00C777DD" w:rsidRPr="005E6084">
        <w:rPr>
          <w:rFonts w:cs="Arial"/>
          <w:iCs/>
          <w:color w:val="000000" w:themeColor="text1"/>
          <w:szCs w:val="22"/>
        </w:rPr>
        <w:t>Heritage Endowments</w:t>
      </w:r>
      <w:r>
        <w:rPr>
          <w:rFonts w:cs="Arial"/>
          <w:iCs/>
          <w:color w:val="000000" w:themeColor="text1"/>
          <w:szCs w:val="22"/>
        </w:rPr>
        <w:t xml:space="preserve"> programme intends to:</w:t>
      </w:r>
    </w:p>
    <w:p w:rsidR="005E6084" w:rsidRPr="007D4608" w:rsidRDefault="005E6084" w:rsidP="000C457B">
      <w:pPr>
        <w:pStyle w:val="ListParagraph"/>
        <w:numPr>
          <w:ilvl w:val="0"/>
          <w:numId w:val="47"/>
        </w:numPr>
        <w:spacing w:after="240" w:line="276" w:lineRule="auto"/>
        <w:rPr>
          <w:rFonts w:cs="Arial"/>
          <w:szCs w:val="22"/>
        </w:rPr>
      </w:pPr>
      <w:r>
        <w:rPr>
          <w:rFonts w:cs="Arial"/>
          <w:iCs/>
          <w:color w:val="000000" w:themeColor="text1"/>
          <w:szCs w:val="22"/>
        </w:rPr>
        <w:t>Attract additional private money into the heritage sector through the offer of match funding; and</w:t>
      </w:r>
    </w:p>
    <w:p w:rsidR="005E6084" w:rsidRPr="007D4608" w:rsidRDefault="005E6084" w:rsidP="000C457B">
      <w:pPr>
        <w:pStyle w:val="ListParagraph"/>
        <w:numPr>
          <w:ilvl w:val="0"/>
          <w:numId w:val="47"/>
        </w:numPr>
        <w:spacing w:after="240" w:line="276" w:lineRule="auto"/>
        <w:rPr>
          <w:rFonts w:cs="Arial"/>
          <w:szCs w:val="22"/>
        </w:rPr>
      </w:pPr>
      <w:r>
        <w:rPr>
          <w:rFonts w:cs="Arial"/>
          <w:iCs/>
          <w:color w:val="000000" w:themeColor="text1"/>
          <w:szCs w:val="22"/>
        </w:rPr>
        <w:t>Achieve a significant growth in endowments in the heritage sector, invested to provide sustainable funding for the long term.</w:t>
      </w:r>
      <w:r w:rsidRPr="007D4608">
        <w:rPr>
          <w:rFonts w:cs="Arial"/>
          <w:iCs/>
          <w:color w:val="000000" w:themeColor="text1"/>
          <w:szCs w:val="22"/>
        </w:rPr>
        <w:t xml:space="preserve"> </w:t>
      </w:r>
    </w:p>
    <w:p w:rsidR="005D726F" w:rsidRPr="005D726F" w:rsidRDefault="005D726F" w:rsidP="000C457B">
      <w:pPr>
        <w:spacing w:after="240" w:line="276" w:lineRule="auto"/>
        <w:ind w:left="720"/>
        <w:rPr>
          <w:rFonts w:cs="Arial"/>
          <w:szCs w:val="22"/>
        </w:rPr>
      </w:pPr>
      <w:r>
        <w:rPr>
          <w:rFonts w:cs="Arial"/>
          <w:szCs w:val="22"/>
        </w:rPr>
        <w:t xml:space="preserve"> Heritage Endowment </w:t>
      </w:r>
      <w:r w:rsidRPr="005D726F">
        <w:rPr>
          <w:rFonts w:cs="Arial"/>
          <w:szCs w:val="22"/>
        </w:rPr>
        <w:t>grants are expected to deliver the following outcomes:</w:t>
      </w:r>
    </w:p>
    <w:p w:rsidR="005D726F" w:rsidRPr="00337D2E" w:rsidRDefault="005D726F" w:rsidP="000C457B">
      <w:pPr>
        <w:pStyle w:val="ListParagraph"/>
        <w:numPr>
          <w:ilvl w:val="0"/>
          <w:numId w:val="49"/>
        </w:numPr>
        <w:spacing w:after="240" w:line="276" w:lineRule="auto"/>
        <w:rPr>
          <w:rFonts w:cs="Arial"/>
          <w:szCs w:val="22"/>
        </w:rPr>
      </w:pPr>
      <w:r w:rsidRPr="005D726F">
        <w:rPr>
          <w:rFonts w:cs="Arial"/>
          <w:szCs w:val="22"/>
        </w:rPr>
        <w:t>Outcomes for heritage:</w:t>
      </w:r>
    </w:p>
    <w:p w:rsidR="005D726F" w:rsidRPr="005D726F" w:rsidRDefault="005D726F" w:rsidP="000C457B">
      <w:pPr>
        <w:spacing w:after="240" w:line="276" w:lineRule="auto"/>
        <w:ind w:left="720"/>
        <w:rPr>
          <w:rFonts w:cs="Arial"/>
          <w:szCs w:val="22"/>
        </w:rPr>
      </w:pPr>
      <w:r w:rsidRPr="005D726F">
        <w:rPr>
          <w:rFonts w:cs="Arial"/>
          <w:szCs w:val="22"/>
        </w:rPr>
        <w:t>With our</w:t>
      </w:r>
      <w:r>
        <w:rPr>
          <w:rFonts w:cs="Arial"/>
          <w:szCs w:val="22"/>
        </w:rPr>
        <w:t xml:space="preserve"> investment, heritage will be: </w:t>
      </w:r>
      <w:r w:rsidRPr="005D726F">
        <w:rPr>
          <w:rFonts w:cs="Arial"/>
          <w:szCs w:val="22"/>
        </w:rPr>
        <w:t xml:space="preserve"> better managed</w:t>
      </w:r>
    </w:p>
    <w:p w:rsidR="005D726F" w:rsidRPr="00337D2E" w:rsidRDefault="005D726F" w:rsidP="000C457B">
      <w:pPr>
        <w:pStyle w:val="ListParagraph"/>
        <w:numPr>
          <w:ilvl w:val="0"/>
          <w:numId w:val="49"/>
        </w:numPr>
        <w:spacing w:after="240" w:line="276" w:lineRule="auto"/>
        <w:rPr>
          <w:rFonts w:cs="Arial"/>
          <w:szCs w:val="22"/>
        </w:rPr>
      </w:pPr>
      <w:r w:rsidRPr="005D726F">
        <w:rPr>
          <w:rFonts w:cs="Arial"/>
          <w:szCs w:val="22"/>
        </w:rPr>
        <w:t>Outcomes for communities</w:t>
      </w:r>
    </w:p>
    <w:p w:rsidR="005D726F" w:rsidRPr="007D4608" w:rsidRDefault="005D726F" w:rsidP="000C457B">
      <w:pPr>
        <w:spacing w:after="240" w:line="276" w:lineRule="auto"/>
        <w:ind w:firstLine="720"/>
        <w:rPr>
          <w:rFonts w:cs="Arial"/>
          <w:szCs w:val="22"/>
        </w:rPr>
      </w:pPr>
      <w:r w:rsidRPr="005D726F">
        <w:rPr>
          <w:rFonts w:cs="Arial"/>
          <w:szCs w:val="22"/>
        </w:rPr>
        <w:t>With our investment:</w:t>
      </w:r>
      <w:r>
        <w:rPr>
          <w:rFonts w:cs="Arial"/>
          <w:szCs w:val="22"/>
        </w:rPr>
        <w:t xml:space="preserve"> </w:t>
      </w:r>
      <w:r w:rsidRPr="005D726F">
        <w:rPr>
          <w:rFonts w:cs="Arial"/>
          <w:szCs w:val="22"/>
        </w:rPr>
        <w:t>your organisation will be more resilient</w:t>
      </w:r>
    </w:p>
    <w:p w:rsidR="0069257C" w:rsidRPr="00153B0D" w:rsidRDefault="00F44D6F" w:rsidP="000C457B">
      <w:pPr>
        <w:numPr>
          <w:ilvl w:val="1"/>
          <w:numId w:val="2"/>
        </w:numPr>
        <w:spacing w:after="240" w:line="276" w:lineRule="auto"/>
        <w:rPr>
          <w:rFonts w:cs="Arial"/>
          <w:szCs w:val="22"/>
        </w:rPr>
      </w:pPr>
      <w:r w:rsidRPr="00153B0D">
        <w:rPr>
          <w:rFonts w:cs="Arial"/>
          <w:iCs/>
          <w:szCs w:val="22"/>
        </w:rPr>
        <w:t>Heritage Endowments opened in August 2016</w:t>
      </w:r>
      <w:r w:rsidR="000C4FFB" w:rsidRPr="00153B0D">
        <w:rPr>
          <w:rFonts w:cs="Arial"/>
          <w:iCs/>
          <w:szCs w:val="22"/>
        </w:rPr>
        <w:t>.</w:t>
      </w:r>
      <w:r w:rsidRPr="00153B0D">
        <w:rPr>
          <w:rFonts w:cs="Arial"/>
          <w:iCs/>
          <w:szCs w:val="22"/>
        </w:rPr>
        <w:t xml:space="preserve"> </w:t>
      </w:r>
      <w:r w:rsidR="0069257C" w:rsidRPr="00153B0D">
        <w:rPr>
          <w:rFonts w:cs="Arial"/>
          <w:iCs/>
          <w:szCs w:val="22"/>
        </w:rPr>
        <w:t xml:space="preserve">In March 2017 </w:t>
      </w:r>
      <w:r w:rsidR="00CE43E4" w:rsidRPr="00153B0D">
        <w:rPr>
          <w:rFonts w:cs="Arial"/>
          <w:iCs/>
          <w:szCs w:val="22"/>
        </w:rPr>
        <w:t xml:space="preserve">a total of £10.35million was awarded to </w:t>
      </w:r>
      <w:r w:rsidR="0069257C" w:rsidRPr="00153B0D">
        <w:rPr>
          <w:rFonts w:cs="Arial"/>
          <w:iCs/>
          <w:szCs w:val="22"/>
        </w:rPr>
        <w:t>15</w:t>
      </w:r>
      <w:r w:rsidR="00CE43E4" w:rsidRPr="00153B0D">
        <w:rPr>
          <w:rFonts w:cs="Arial"/>
          <w:iCs/>
          <w:szCs w:val="22"/>
        </w:rPr>
        <w:t xml:space="preserve"> organisations</w:t>
      </w:r>
      <w:r w:rsidR="0069257C" w:rsidRPr="00153B0D">
        <w:rPr>
          <w:rFonts w:cs="Arial"/>
          <w:iCs/>
          <w:szCs w:val="22"/>
        </w:rPr>
        <w:t xml:space="preserve"> </w:t>
      </w:r>
      <w:r w:rsidR="00CE43E4" w:rsidRPr="00153B0D">
        <w:rPr>
          <w:rFonts w:cs="Arial"/>
          <w:iCs/>
          <w:szCs w:val="22"/>
        </w:rPr>
        <w:t xml:space="preserve">and </w:t>
      </w:r>
      <w:r w:rsidRPr="00153B0D">
        <w:rPr>
          <w:rFonts w:cs="Arial"/>
          <w:iCs/>
          <w:szCs w:val="22"/>
        </w:rPr>
        <w:t>grantees now have four years to complete their campaigns.</w:t>
      </w:r>
      <w:r w:rsidR="005E6084" w:rsidRPr="00153B0D">
        <w:rPr>
          <w:rFonts w:cs="Arial"/>
          <w:iCs/>
          <w:szCs w:val="22"/>
        </w:rPr>
        <w:t xml:space="preserve"> The standard terms for the grant for the endowment will last for 20 years from project completion.</w:t>
      </w:r>
    </w:p>
    <w:p w:rsidR="003A137A" w:rsidRPr="00153B0D" w:rsidRDefault="00CE43E4" w:rsidP="000C457B">
      <w:pPr>
        <w:numPr>
          <w:ilvl w:val="1"/>
          <w:numId w:val="2"/>
        </w:numPr>
        <w:spacing w:after="240" w:line="276" w:lineRule="auto"/>
        <w:rPr>
          <w:rFonts w:cs="Arial"/>
          <w:szCs w:val="22"/>
          <w:lang w:val="en"/>
        </w:rPr>
      </w:pPr>
      <w:r w:rsidRPr="007D4608">
        <w:rPr>
          <w:rFonts w:cs="Arial"/>
          <w:szCs w:val="22"/>
        </w:rPr>
        <w:t>Heritage Endowments builds on HLF’s previous endowme</w:t>
      </w:r>
      <w:r w:rsidR="003A137A" w:rsidRPr="007D4608">
        <w:rPr>
          <w:rFonts w:cs="Arial"/>
          <w:szCs w:val="22"/>
        </w:rPr>
        <w:t xml:space="preserve">nt scheme, </w:t>
      </w:r>
      <w:hyperlink r:id="rId10" w:history="1">
        <w:r w:rsidR="003A137A" w:rsidRPr="007D4608">
          <w:rPr>
            <w:rStyle w:val="Hyperlink"/>
            <w:rFonts w:cs="Arial"/>
            <w:szCs w:val="22"/>
          </w:rPr>
          <w:t>Catalyst Endowments</w:t>
        </w:r>
      </w:hyperlink>
      <w:r w:rsidR="003A137A" w:rsidRPr="007D4608">
        <w:rPr>
          <w:rFonts w:cs="Arial"/>
          <w:szCs w:val="22"/>
        </w:rPr>
        <w:t xml:space="preserve">, </w:t>
      </w:r>
      <w:r w:rsidR="003A137A" w:rsidRPr="00153B0D">
        <w:rPr>
          <w:rFonts w:cs="Arial"/>
          <w:szCs w:val="22"/>
        </w:rPr>
        <w:t xml:space="preserve">which was part of a broader partnership between HLF, the Department for Culture Media and Sport, and Arts Council England. The match funding programme aimed to support organisations to build an endowment by </w:t>
      </w:r>
      <w:r w:rsidR="003A137A" w:rsidRPr="00153B0D">
        <w:rPr>
          <w:rFonts w:cs="Arial"/>
          <w:szCs w:val="22"/>
          <w:lang w:val="en"/>
        </w:rPr>
        <w:t xml:space="preserve">encouraging more private giving to culture and heritage, and to build the capacity and skills of </w:t>
      </w:r>
      <w:r w:rsidR="003A137A" w:rsidRPr="00153B0D">
        <w:rPr>
          <w:rFonts w:cs="Arial"/>
          <w:szCs w:val="22"/>
          <w:lang w:val="en"/>
        </w:rPr>
        <w:lastRenderedPageBreak/>
        <w:t xml:space="preserve">cultural and heritage </w:t>
      </w:r>
      <w:proofErr w:type="spellStart"/>
      <w:r w:rsidR="003A137A" w:rsidRPr="00153B0D">
        <w:rPr>
          <w:rFonts w:cs="Arial"/>
          <w:szCs w:val="22"/>
          <w:lang w:val="en"/>
        </w:rPr>
        <w:t>organisations</w:t>
      </w:r>
      <w:proofErr w:type="spellEnd"/>
      <w:r w:rsidR="003A137A" w:rsidRPr="00153B0D">
        <w:rPr>
          <w:rFonts w:cs="Arial"/>
          <w:szCs w:val="22"/>
          <w:lang w:val="en"/>
        </w:rPr>
        <w:t xml:space="preserve"> to fundraise from private sources. Across two rounds of funding awarded in 2012 and 2013, £36million was awarded to 31 </w:t>
      </w:r>
      <w:proofErr w:type="spellStart"/>
      <w:r w:rsidR="003A137A" w:rsidRPr="00153B0D">
        <w:rPr>
          <w:rFonts w:cs="Arial"/>
          <w:szCs w:val="22"/>
          <w:lang w:val="en"/>
        </w:rPr>
        <w:t>organisations</w:t>
      </w:r>
      <w:proofErr w:type="spellEnd"/>
      <w:r w:rsidR="003A137A" w:rsidRPr="00153B0D">
        <w:rPr>
          <w:rFonts w:cs="Arial"/>
          <w:szCs w:val="22"/>
          <w:lang w:val="en"/>
        </w:rPr>
        <w:t xml:space="preserve"> through grants of between £500,000 and £5,000,000.</w:t>
      </w:r>
      <w:r w:rsidR="007D4608" w:rsidRPr="00153B0D">
        <w:rPr>
          <w:rFonts w:cs="Arial"/>
          <w:szCs w:val="22"/>
          <w:lang w:val="en"/>
        </w:rPr>
        <w:t xml:space="preserve"> </w:t>
      </w:r>
      <w:r w:rsidR="003A137A" w:rsidRPr="00153B0D">
        <w:rPr>
          <w:rFonts w:cs="Arial"/>
          <w:szCs w:val="22"/>
          <w:lang w:val="en"/>
        </w:rPr>
        <w:t>Following consultation and using the learning from the</w:t>
      </w:r>
      <w:r w:rsidR="007D4608" w:rsidRPr="00153B0D">
        <w:rPr>
          <w:rFonts w:cs="Arial"/>
          <w:szCs w:val="22"/>
          <w:lang w:val="en"/>
        </w:rPr>
        <w:t xml:space="preserve"> Catalyst Endowments </w:t>
      </w:r>
      <w:r w:rsidR="003A137A" w:rsidRPr="00153B0D">
        <w:rPr>
          <w:rFonts w:cs="Arial"/>
          <w:szCs w:val="22"/>
          <w:lang w:val="en"/>
        </w:rPr>
        <w:t>evaluation we introduced the following changes when developing the Heritage Endowments scheme:</w:t>
      </w:r>
    </w:p>
    <w:p w:rsidR="003A137A" w:rsidRPr="00153B0D" w:rsidRDefault="003A137A" w:rsidP="000C457B">
      <w:pPr>
        <w:pStyle w:val="ListParagraph"/>
        <w:numPr>
          <w:ilvl w:val="0"/>
          <w:numId w:val="48"/>
        </w:numPr>
        <w:spacing w:after="240" w:line="276" w:lineRule="auto"/>
        <w:rPr>
          <w:rFonts w:cs="Arial"/>
          <w:szCs w:val="22"/>
        </w:rPr>
      </w:pPr>
      <w:r w:rsidRPr="00153B0D">
        <w:rPr>
          <w:rFonts w:cs="Arial"/>
          <w:szCs w:val="22"/>
        </w:rPr>
        <w:t>A lower grant of £250,000 was introduced in order to support smaller organisations to build an endowment</w:t>
      </w:r>
    </w:p>
    <w:p w:rsidR="003A137A" w:rsidRPr="00153B0D" w:rsidRDefault="003A137A" w:rsidP="000C457B">
      <w:pPr>
        <w:pStyle w:val="ListParagraph"/>
        <w:numPr>
          <w:ilvl w:val="0"/>
          <w:numId w:val="48"/>
        </w:numPr>
        <w:spacing w:after="240" w:line="276" w:lineRule="auto"/>
        <w:rPr>
          <w:rFonts w:cs="Arial"/>
          <w:szCs w:val="22"/>
        </w:rPr>
      </w:pPr>
      <w:r w:rsidRPr="00153B0D">
        <w:rPr>
          <w:rFonts w:cs="Arial"/>
          <w:szCs w:val="22"/>
        </w:rPr>
        <w:t xml:space="preserve">The option of applying for an additional 10% of the grant requested in order to </w:t>
      </w:r>
      <w:r w:rsidR="00C31B0F" w:rsidRPr="00153B0D">
        <w:rPr>
          <w:rFonts w:cs="Arial"/>
          <w:szCs w:val="22"/>
        </w:rPr>
        <w:t>help resource campaigns</w:t>
      </w:r>
    </w:p>
    <w:p w:rsidR="0090103C" w:rsidRPr="00153B0D" w:rsidRDefault="00916A9D" w:rsidP="000C457B">
      <w:pPr>
        <w:numPr>
          <w:ilvl w:val="1"/>
          <w:numId w:val="2"/>
        </w:numPr>
        <w:spacing w:after="240" w:line="276" w:lineRule="auto"/>
        <w:rPr>
          <w:rFonts w:cs="Arial"/>
          <w:szCs w:val="22"/>
        </w:rPr>
      </w:pPr>
      <w:r w:rsidRPr="00153B0D">
        <w:rPr>
          <w:rFonts w:cs="Arial"/>
          <w:iCs/>
          <w:szCs w:val="22"/>
        </w:rPr>
        <w:t>We know from</w:t>
      </w:r>
      <w:r w:rsidR="007D4608" w:rsidRPr="00153B0D">
        <w:rPr>
          <w:rFonts w:cs="Arial"/>
          <w:iCs/>
          <w:szCs w:val="22"/>
        </w:rPr>
        <w:t xml:space="preserve"> </w:t>
      </w:r>
      <w:r w:rsidR="003A137A" w:rsidRPr="00153B0D">
        <w:rPr>
          <w:rFonts w:cs="Arial"/>
          <w:iCs/>
          <w:szCs w:val="22"/>
        </w:rPr>
        <w:t>the</w:t>
      </w:r>
      <w:r w:rsidRPr="00153B0D">
        <w:rPr>
          <w:rFonts w:cs="Arial"/>
          <w:iCs/>
          <w:szCs w:val="22"/>
        </w:rPr>
        <w:t>, Catalyst Endowments</w:t>
      </w:r>
      <w:r w:rsidR="003A137A" w:rsidRPr="00153B0D">
        <w:rPr>
          <w:rFonts w:cs="Arial"/>
          <w:iCs/>
          <w:szCs w:val="22"/>
        </w:rPr>
        <w:t xml:space="preserve"> evaluation</w:t>
      </w:r>
      <w:r w:rsidRPr="00153B0D">
        <w:rPr>
          <w:rFonts w:cs="Arial"/>
          <w:iCs/>
          <w:szCs w:val="22"/>
        </w:rPr>
        <w:t>, that organisations who have most successfully run an endowments campaign previously adopted some or all of these approaches</w:t>
      </w:r>
      <w:r w:rsidR="00860E33" w:rsidRPr="00153B0D">
        <w:rPr>
          <w:rFonts w:cs="Arial"/>
          <w:iCs/>
          <w:szCs w:val="22"/>
        </w:rPr>
        <w:t>:</w:t>
      </w:r>
    </w:p>
    <w:p w:rsidR="0090103C" w:rsidRPr="00153B0D" w:rsidRDefault="00916A9D" w:rsidP="000C457B">
      <w:pPr>
        <w:pStyle w:val="ListParagraph"/>
        <w:numPr>
          <w:ilvl w:val="0"/>
          <w:numId w:val="50"/>
        </w:numPr>
        <w:spacing w:after="240" w:line="276" w:lineRule="auto"/>
        <w:rPr>
          <w:rFonts w:cs="Arial"/>
          <w:szCs w:val="22"/>
        </w:rPr>
      </w:pPr>
      <w:r w:rsidRPr="00153B0D">
        <w:rPr>
          <w:rFonts w:cs="Arial"/>
          <w:iCs/>
          <w:szCs w:val="22"/>
        </w:rPr>
        <w:t>having an engaged Board of Trustees who were willing to provide vis</w:t>
      </w:r>
      <w:r w:rsidR="0090103C" w:rsidRPr="00153B0D">
        <w:rPr>
          <w:rFonts w:cs="Arial"/>
          <w:iCs/>
          <w:szCs w:val="22"/>
        </w:rPr>
        <w:t>ible leadership to the campaign</w:t>
      </w:r>
    </w:p>
    <w:p w:rsidR="0090103C" w:rsidRPr="00153B0D" w:rsidRDefault="00916A9D" w:rsidP="000C457B">
      <w:pPr>
        <w:pStyle w:val="ListParagraph"/>
        <w:numPr>
          <w:ilvl w:val="0"/>
          <w:numId w:val="50"/>
        </w:numPr>
        <w:spacing w:after="240" w:line="276" w:lineRule="auto"/>
        <w:rPr>
          <w:rFonts w:cs="Arial"/>
          <w:szCs w:val="22"/>
        </w:rPr>
      </w:pPr>
      <w:r w:rsidRPr="00153B0D">
        <w:rPr>
          <w:rFonts w:cs="Arial"/>
          <w:iCs/>
          <w:szCs w:val="22"/>
        </w:rPr>
        <w:t>having an existing legacy strategy – so that unrestricted</w:t>
      </w:r>
      <w:r w:rsidR="00F970EE" w:rsidRPr="00153B0D">
        <w:rPr>
          <w:rFonts w:cs="Arial"/>
          <w:iCs/>
          <w:szCs w:val="22"/>
        </w:rPr>
        <w:t xml:space="preserve"> donations can be applied to the endowment campaign and matched</w:t>
      </w:r>
    </w:p>
    <w:p w:rsidR="0090103C" w:rsidRPr="00153B0D" w:rsidRDefault="00916A9D" w:rsidP="000C457B">
      <w:pPr>
        <w:pStyle w:val="ListParagraph"/>
        <w:numPr>
          <w:ilvl w:val="0"/>
          <w:numId w:val="50"/>
        </w:numPr>
        <w:spacing w:after="240" w:line="276" w:lineRule="auto"/>
        <w:rPr>
          <w:rFonts w:cs="Arial"/>
          <w:szCs w:val="22"/>
        </w:rPr>
      </w:pPr>
      <w:r w:rsidRPr="00153B0D">
        <w:rPr>
          <w:rFonts w:cs="Arial"/>
          <w:iCs/>
          <w:szCs w:val="22"/>
        </w:rPr>
        <w:t>creating a strong branding and promot</w:t>
      </w:r>
      <w:r w:rsidR="0090103C" w:rsidRPr="00153B0D">
        <w:rPr>
          <w:rFonts w:cs="Arial"/>
          <w:iCs/>
          <w:szCs w:val="22"/>
        </w:rPr>
        <w:t>ional strategy for the campaign</w:t>
      </w:r>
    </w:p>
    <w:p w:rsidR="0090103C" w:rsidRPr="00153B0D" w:rsidRDefault="00916A9D" w:rsidP="000C457B">
      <w:pPr>
        <w:pStyle w:val="ListParagraph"/>
        <w:numPr>
          <w:ilvl w:val="0"/>
          <w:numId w:val="50"/>
        </w:numPr>
        <w:spacing w:after="240" w:line="276" w:lineRule="auto"/>
        <w:rPr>
          <w:rFonts w:cs="Arial"/>
          <w:szCs w:val="22"/>
        </w:rPr>
      </w:pPr>
      <w:r w:rsidRPr="00153B0D">
        <w:rPr>
          <w:rFonts w:cs="Arial"/>
          <w:iCs/>
          <w:szCs w:val="22"/>
        </w:rPr>
        <w:t xml:space="preserve">making </w:t>
      </w:r>
      <w:r w:rsidR="00860E33" w:rsidRPr="00153B0D">
        <w:rPr>
          <w:rFonts w:cs="Arial"/>
          <w:iCs/>
          <w:szCs w:val="22"/>
        </w:rPr>
        <w:t>t</w:t>
      </w:r>
      <w:r w:rsidRPr="00153B0D">
        <w:rPr>
          <w:rFonts w:cs="Arial"/>
          <w:iCs/>
          <w:szCs w:val="22"/>
        </w:rPr>
        <w:t>he most of double match opportunities such as getting a major donor to commit, so that smaller scal</w:t>
      </w:r>
      <w:r w:rsidR="0090103C" w:rsidRPr="00153B0D">
        <w:rPr>
          <w:rFonts w:cs="Arial"/>
          <w:iCs/>
          <w:szCs w:val="22"/>
        </w:rPr>
        <w:t>e contributions are matched 2:1</w:t>
      </w:r>
    </w:p>
    <w:p w:rsidR="00916A9D" w:rsidRPr="00153B0D" w:rsidRDefault="00916A9D" w:rsidP="000C457B">
      <w:pPr>
        <w:pStyle w:val="ListParagraph"/>
        <w:numPr>
          <w:ilvl w:val="0"/>
          <w:numId w:val="50"/>
        </w:numPr>
        <w:spacing w:after="240" w:line="276" w:lineRule="auto"/>
        <w:rPr>
          <w:rFonts w:cs="Arial"/>
          <w:szCs w:val="22"/>
        </w:rPr>
      </w:pPr>
      <w:r w:rsidRPr="00153B0D">
        <w:rPr>
          <w:rFonts w:cs="Arial"/>
          <w:iCs/>
          <w:szCs w:val="22"/>
        </w:rPr>
        <w:t xml:space="preserve">being innovative in their approach and trying new techniques such as </w:t>
      </w:r>
      <w:r w:rsidR="00860E33" w:rsidRPr="00153B0D">
        <w:rPr>
          <w:rFonts w:cs="Arial"/>
          <w:iCs/>
          <w:szCs w:val="22"/>
        </w:rPr>
        <w:t>wealth-screening, to identify potential donors from their current database of supporters</w:t>
      </w:r>
      <w:r w:rsidR="00F86528" w:rsidRPr="00153B0D">
        <w:rPr>
          <w:rFonts w:cs="Arial"/>
          <w:iCs/>
          <w:szCs w:val="22"/>
        </w:rPr>
        <w:t>.</w:t>
      </w:r>
    </w:p>
    <w:p w:rsidR="0090103C" w:rsidRPr="00153B0D" w:rsidRDefault="0090103C" w:rsidP="000C457B">
      <w:pPr>
        <w:pStyle w:val="ListParagraph"/>
        <w:spacing w:after="240" w:line="276" w:lineRule="auto"/>
        <w:ind w:left="1440"/>
        <w:rPr>
          <w:rFonts w:cs="Arial"/>
          <w:szCs w:val="22"/>
        </w:rPr>
      </w:pPr>
    </w:p>
    <w:p w:rsidR="00F86528" w:rsidRPr="00153B0D" w:rsidRDefault="00F86528" w:rsidP="000C457B">
      <w:pPr>
        <w:pStyle w:val="ListParagraph"/>
        <w:numPr>
          <w:ilvl w:val="1"/>
          <w:numId w:val="2"/>
        </w:numPr>
        <w:spacing w:after="240" w:line="276" w:lineRule="auto"/>
        <w:rPr>
          <w:rFonts w:cs="Arial"/>
          <w:szCs w:val="22"/>
        </w:rPr>
      </w:pPr>
      <w:r w:rsidRPr="00153B0D">
        <w:rPr>
          <w:rFonts w:cs="Arial"/>
          <w:szCs w:val="22"/>
        </w:rPr>
        <w:t>We would like to understand what the value of Heritage Endowments has been</w:t>
      </w:r>
      <w:r w:rsidR="00730BBE" w:rsidRPr="00153B0D">
        <w:rPr>
          <w:rFonts w:cs="Arial"/>
          <w:szCs w:val="22"/>
        </w:rPr>
        <w:t xml:space="preserve">, </w:t>
      </w:r>
      <w:r w:rsidRPr="00153B0D">
        <w:rPr>
          <w:rFonts w:cs="Arial"/>
          <w:szCs w:val="22"/>
        </w:rPr>
        <w:t>what it has enabled organisations to achieve</w:t>
      </w:r>
      <w:r w:rsidR="00730BBE" w:rsidRPr="00153B0D">
        <w:rPr>
          <w:rFonts w:cs="Arial"/>
          <w:szCs w:val="22"/>
        </w:rPr>
        <w:t>, and whether there are new or different findings from this cohort of grantees which can add to our knowledge of the value of endowments in the cultural sector</w:t>
      </w:r>
      <w:r w:rsidRPr="00153B0D">
        <w:rPr>
          <w:rFonts w:cs="Arial"/>
          <w:szCs w:val="22"/>
        </w:rPr>
        <w:t>.  We are interested in emergent outcomes from grantees, the appeal of the match funding from the perspective of the donor, understanding what success looks like to them, and seeing if there are any themes across the portfolio of grantees.  Grantees may think of success differently to us and we are interested in capturing what this looks like.</w:t>
      </w:r>
      <w:r w:rsidR="000C457B" w:rsidRPr="00153B0D">
        <w:rPr>
          <w:rFonts w:cs="Arial"/>
          <w:szCs w:val="22"/>
        </w:rPr>
        <w:t xml:space="preserve"> We would also like to understand the extent to which the changes we introduced to the scheme have contributed to success.</w:t>
      </w:r>
    </w:p>
    <w:p w:rsidR="00F86528" w:rsidRPr="00153B0D" w:rsidRDefault="00F86528" w:rsidP="000C457B">
      <w:pPr>
        <w:numPr>
          <w:ilvl w:val="1"/>
          <w:numId w:val="2"/>
        </w:numPr>
        <w:spacing w:after="240" w:line="276" w:lineRule="auto"/>
        <w:rPr>
          <w:rFonts w:cs="Arial"/>
          <w:szCs w:val="22"/>
        </w:rPr>
      </w:pPr>
      <w:r w:rsidRPr="00153B0D">
        <w:rPr>
          <w:rFonts w:cs="Arial"/>
          <w:szCs w:val="22"/>
        </w:rPr>
        <w:t xml:space="preserve">We are interested in examining how differences in findings across grantees relate to the characteristics of the grantees (i.e. organisation location, size, financial health, and heritage areas).  For instance, have those organisations </w:t>
      </w:r>
      <w:proofErr w:type="gramStart"/>
      <w:r w:rsidRPr="00153B0D">
        <w:rPr>
          <w:rFonts w:cs="Arial"/>
          <w:szCs w:val="22"/>
        </w:rPr>
        <w:t>who</w:t>
      </w:r>
      <w:proofErr w:type="gramEnd"/>
      <w:r w:rsidRPr="00153B0D">
        <w:rPr>
          <w:rFonts w:cs="Arial"/>
          <w:szCs w:val="22"/>
        </w:rPr>
        <w:t xml:space="preserve"> have attracted </w:t>
      </w:r>
      <w:r w:rsidR="00BA554C" w:rsidRPr="00153B0D">
        <w:rPr>
          <w:rFonts w:cs="Arial"/>
          <w:szCs w:val="22"/>
        </w:rPr>
        <w:t xml:space="preserve">individual </w:t>
      </w:r>
      <w:r w:rsidRPr="00153B0D">
        <w:rPr>
          <w:rFonts w:cs="Arial"/>
          <w:szCs w:val="22"/>
        </w:rPr>
        <w:t>private donors been more successful than organisati</w:t>
      </w:r>
      <w:r w:rsidR="00BA554C" w:rsidRPr="00153B0D">
        <w:rPr>
          <w:rFonts w:cs="Arial"/>
          <w:szCs w:val="22"/>
        </w:rPr>
        <w:t>ons who rely on public campaigns</w:t>
      </w:r>
      <w:r w:rsidRPr="00153B0D">
        <w:rPr>
          <w:rFonts w:cs="Arial"/>
          <w:szCs w:val="22"/>
        </w:rPr>
        <w:t>?</w:t>
      </w:r>
    </w:p>
    <w:p w:rsidR="000B4E51" w:rsidRPr="007D4608" w:rsidRDefault="008A38C7" w:rsidP="000C457B">
      <w:pPr>
        <w:numPr>
          <w:ilvl w:val="1"/>
          <w:numId w:val="2"/>
        </w:numPr>
        <w:spacing w:after="240" w:line="276" w:lineRule="auto"/>
        <w:rPr>
          <w:rFonts w:cs="Arial"/>
          <w:color w:val="000000" w:themeColor="text1"/>
          <w:szCs w:val="22"/>
        </w:rPr>
      </w:pPr>
      <w:r>
        <w:rPr>
          <w:rFonts w:cs="Arial"/>
          <w:iCs/>
          <w:color w:val="000000" w:themeColor="text1"/>
          <w:szCs w:val="22"/>
        </w:rPr>
        <w:t xml:space="preserve">The primary audiences for the report(s) are heritage organisations and the wider heritage sector.  We want to identify what is working well and why as </w:t>
      </w:r>
      <w:r w:rsidR="00CE43E4">
        <w:rPr>
          <w:rFonts w:cs="Arial"/>
          <w:iCs/>
          <w:color w:val="000000" w:themeColor="text1"/>
          <w:szCs w:val="22"/>
        </w:rPr>
        <w:t xml:space="preserve">grantees undertake their fundraising campaigns </w:t>
      </w:r>
      <w:r>
        <w:rPr>
          <w:rFonts w:cs="Arial"/>
          <w:iCs/>
          <w:color w:val="000000" w:themeColor="text1"/>
          <w:szCs w:val="22"/>
        </w:rPr>
        <w:t xml:space="preserve">and to share the learning in real time with our grantees.  Reports will be made available on the HLF website and circulated </w:t>
      </w:r>
      <w:r>
        <w:rPr>
          <w:rFonts w:cs="Arial"/>
          <w:iCs/>
          <w:color w:val="000000" w:themeColor="text1"/>
          <w:szCs w:val="22"/>
        </w:rPr>
        <w:lastRenderedPageBreak/>
        <w:t>amongst all participating grantees.  The report will also inform HLF’s Board of Trustees and</w:t>
      </w:r>
      <w:r w:rsidR="00CE43E4">
        <w:rPr>
          <w:rFonts w:cs="Arial"/>
          <w:iCs/>
          <w:color w:val="000000" w:themeColor="text1"/>
          <w:szCs w:val="22"/>
        </w:rPr>
        <w:t xml:space="preserve"> support the development of future policy. </w:t>
      </w:r>
      <w:r w:rsidR="00441942" w:rsidRPr="008444C8">
        <w:rPr>
          <w:rFonts w:cs="Arial"/>
          <w:i/>
          <w:iCs/>
          <w:color w:val="FF0000"/>
          <w:szCs w:val="22"/>
        </w:rPr>
        <w:t xml:space="preserve"> </w:t>
      </w:r>
      <w:r w:rsidR="00D02935" w:rsidRPr="007D4608">
        <w:rPr>
          <w:rFonts w:cs="Arial"/>
          <w:iCs/>
          <w:color w:val="000000" w:themeColor="text1"/>
          <w:szCs w:val="22"/>
        </w:rPr>
        <w:t>We would like the evaluation to contribute to the wider body of knowledge related to private giving</w:t>
      </w:r>
      <w:r w:rsidR="002C3BCE" w:rsidRPr="007D4608">
        <w:rPr>
          <w:rFonts w:cs="Arial"/>
          <w:iCs/>
          <w:color w:val="000000" w:themeColor="text1"/>
          <w:szCs w:val="22"/>
        </w:rPr>
        <w:t xml:space="preserve"> and welcome plans for contributing to this</w:t>
      </w:r>
      <w:r w:rsidR="00D02935" w:rsidRPr="007D4608">
        <w:rPr>
          <w:rFonts w:cs="Arial"/>
          <w:iCs/>
          <w:color w:val="000000" w:themeColor="text1"/>
          <w:szCs w:val="22"/>
        </w:rPr>
        <w:t>.</w:t>
      </w:r>
    </w:p>
    <w:p w:rsidR="000B4E51" w:rsidRDefault="00A42AF1" w:rsidP="000C457B">
      <w:pPr>
        <w:pStyle w:val="Heading1"/>
        <w:numPr>
          <w:ilvl w:val="0"/>
          <w:numId w:val="2"/>
        </w:numPr>
        <w:spacing w:line="276" w:lineRule="auto"/>
      </w:pPr>
      <w:r>
        <w:t>Purpose of the evaluation</w:t>
      </w:r>
    </w:p>
    <w:p w:rsidR="00A42AF1" w:rsidRPr="00A42AF1" w:rsidRDefault="00A42AF1" w:rsidP="000C457B">
      <w:pPr>
        <w:pStyle w:val="ListParagraph"/>
        <w:numPr>
          <w:ilvl w:val="1"/>
          <w:numId w:val="2"/>
        </w:numPr>
        <w:spacing w:after="240" w:line="276" w:lineRule="auto"/>
        <w:rPr>
          <w:rFonts w:cs="Arial"/>
          <w:i/>
          <w:color w:val="FF0000"/>
          <w:szCs w:val="22"/>
        </w:rPr>
      </w:pPr>
      <w:r>
        <w:rPr>
          <w:rFonts w:cs="Arial"/>
          <w:color w:val="000000" w:themeColor="text1"/>
          <w:szCs w:val="22"/>
        </w:rPr>
        <w:t>The aim of the evaluation is to</w:t>
      </w:r>
      <w:r w:rsidR="009B3BF9">
        <w:rPr>
          <w:rFonts w:cs="Arial"/>
          <w:color w:val="000000" w:themeColor="text1"/>
          <w:szCs w:val="22"/>
        </w:rPr>
        <w:t>:</w:t>
      </w:r>
      <w:r w:rsidR="009B3BF9">
        <w:rPr>
          <w:rFonts w:cs="Arial"/>
          <w:color w:val="000000" w:themeColor="text1"/>
          <w:szCs w:val="22"/>
        </w:rPr>
        <w:br/>
      </w:r>
      <w:r>
        <w:rPr>
          <w:rFonts w:cs="Arial"/>
          <w:color w:val="000000" w:themeColor="text1"/>
          <w:szCs w:val="22"/>
        </w:rPr>
        <w:t xml:space="preserve"> </w:t>
      </w:r>
      <w:r>
        <w:rPr>
          <w:rFonts w:cs="Arial"/>
          <w:color w:val="000000" w:themeColor="text1"/>
          <w:szCs w:val="22"/>
        </w:rPr>
        <w:br/>
      </w:r>
      <w:r w:rsidR="00CE43E4">
        <w:rPr>
          <w:rFonts w:cs="Arial"/>
          <w:color w:val="000000" w:themeColor="text1"/>
          <w:szCs w:val="22"/>
        </w:rPr>
        <w:t>Assess</w:t>
      </w:r>
      <w:r>
        <w:rPr>
          <w:rFonts w:cs="Arial"/>
          <w:color w:val="000000" w:themeColor="text1"/>
          <w:szCs w:val="22"/>
        </w:rPr>
        <w:t xml:space="preserve"> the impact of Heritage Endowments, particularly in relation to the changes introduced in comparison to Catalyst Endowments</w:t>
      </w:r>
      <w:r w:rsidR="007D4608">
        <w:rPr>
          <w:rFonts w:cs="Arial"/>
          <w:color w:val="000000" w:themeColor="text1"/>
          <w:szCs w:val="22"/>
        </w:rPr>
        <w:t xml:space="preserve"> (see 1.6)</w:t>
      </w:r>
      <w:r>
        <w:rPr>
          <w:rFonts w:cs="Arial"/>
          <w:color w:val="000000" w:themeColor="text1"/>
          <w:szCs w:val="22"/>
        </w:rPr>
        <w:t>.</w:t>
      </w:r>
      <w:r>
        <w:rPr>
          <w:rFonts w:cs="Arial"/>
          <w:color w:val="000000" w:themeColor="text1"/>
          <w:szCs w:val="22"/>
        </w:rPr>
        <w:br/>
      </w:r>
    </w:p>
    <w:p w:rsidR="00A42AF1" w:rsidRDefault="007D4608" w:rsidP="000C457B">
      <w:pPr>
        <w:pStyle w:val="ListParagraph"/>
        <w:numPr>
          <w:ilvl w:val="1"/>
          <w:numId w:val="2"/>
        </w:numPr>
        <w:spacing w:after="240" w:line="276" w:lineRule="auto"/>
        <w:rPr>
          <w:rFonts w:cs="Arial"/>
          <w:color w:val="000000" w:themeColor="text1"/>
          <w:szCs w:val="22"/>
        </w:rPr>
      </w:pPr>
      <w:r>
        <w:rPr>
          <w:rFonts w:cs="Arial"/>
          <w:color w:val="000000" w:themeColor="text1"/>
          <w:szCs w:val="22"/>
        </w:rPr>
        <w:t>W</w:t>
      </w:r>
      <w:r w:rsidR="00A42AF1" w:rsidRPr="00A42AF1">
        <w:rPr>
          <w:rFonts w:cs="Arial"/>
          <w:color w:val="000000" w:themeColor="text1"/>
          <w:szCs w:val="22"/>
        </w:rPr>
        <w:t xml:space="preserve">e expect </w:t>
      </w:r>
      <w:r w:rsidR="00337D2E">
        <w:rPr>
          <w:rFonts w:cs="Arial"/>
          <w:color w:val="000000" w:themeColor="text1"/>
          <w:szCs w:val="22"/>
        </w:rPr>
        <w:t>to see</w:t>
      </w:r>
      <w:r w:rsidR="00A42AF1" w:rsidRPr="00A42AF1">
        <w:rPr>
          <w:rFonts w:cs="Arial"/>
          <w:color w:val="000000" w:themeColor="text1"/>
          <w:szCs w:val="22"/>
        </w:rPr>
        <w:t xml:space="preserve"> </w:t>
      </w:r>
      <w:r w:rsidR="00337D2E">
        <w:rPr>
          <w:rFonts w:cs="Arial"/>
          <w:color w:val="000000" w:themeColor="text1"/>
          <w:szCs w:val="22"/>
        </w:rPr>
        <w:t>an analysis of</w:t>
      </w:r>
      <w:r w:rsidR="00C31B0F">
        <w:rPr>
          <w:rFonts w:cs="Arial"/>
          <w:color w:val="000000" w:themeColor="text1"/>
          <w:szCs w:val="22"/>
        </w:rPr>
        <w:t xml:space="preserve"> how grantees are undertaking the </w:t>
      </w:r>
      <w:r w:rsidR="00A42AF1" w:rsidRPr="00A42AF1">
        <w:rPr>
          <w:rFonts w:cs="Arial"/>
          <w:color w:val="000000" w:themeColor="text1"/>
          <w:szCs w:val="22"/>
        </w:rPr>
        <w:t>creati</w:t>
      </w:r>
      <w:r w:rsidR="00C31B0F">
        <w:rPr>
          <w:rFonts w:cs="Arial"/>
          <w:color w:val="000000" w:themeColor="text1"/>
          <w:szCs w:val="22"/>
        </w:rPr>
        <w:t xml:space="preserve">on of or </w:t>
      </w:r>
      <w:r>
        <w:rPr>
          <w:rFonts w:cs="Arial"/>
          <w:color w:val="000000" w:themeColor="text1"/>
          <w:szCs w:val="22"/>
        </w:rPr>
        <w:t xml:space="preserve">are </w:t>
      </w:r>
      <w:r w:rsidR="00C31B0F">
        <w:rPr>
          <w:rFonts w:cs="Arial"/>
          <w:color w:val="000000" w:themeColor="text1"/>
          <w:szCs w:val="22"/>
        </w:rPr>
        <w:t>building on an existing</w:t>
      </w:r>
      <w:r w:rsidR="00A42AF1" w:rsidRPr="00A42AF1">
        <w:rPr>
          <w:rFonts w:cs="Arial"/>
          <w:color w:val="000000" w:themeColor="text1"/>
          <w:szCs w:val="22"/>
        </w:rPr>
        <w:t xml:space="preserve"> endowment, detailing the variations in approaches t</w:t>
      </w:r>
      <w:r w:rsidR="00C31B0F">
        <w:rPr>
          <w:rFonts w:cs="Arial"/>
          <w:color w:val="000000" w:themeColor="text1"/>
          <w:szCs w:val="22"/>
        </w:rPr>
        <w:t xml:space="preserve">o fundraising </w:t>
      </w:r>
      <w:r w:rsidR="00A42AF1" w:rsidRPr="00A42AF1">
        <w:rPr>
          <w:rFonts w:cs="Arial"/>
          <w:color w:val="000000" w:themeColor="text1"/>
          <w:szCs w:val="22"/>
        </w:rPr>
        <w:t>and their impact.</w:t>
      </w:r>
      <w:r w:rsidR="00A42AF1">
        <w:rPr>
          <w:rFonts w:cs="Arial"/>
          <w:color w:val="000000" w:themeColor="text1"/>
          <w:szCs w:val="22"/>
        </w:rPr>
        <w:br/>
      </w:r>
    </w:p>
    <w:p w:rsidR="002B403B" w:rsidRDefault="00A42AF1" w:rsidP="000C457B">
      <w:pPr>
        <w:pStyle w:val="ListParagraph"/>
        <w:numPr>
          <w:ilvl w:val="1"/>
          <w:numId w:val="2"/>
        </w:numPr>
        <w:spacing w:after="240" w:line="276" w:lineRule="auto"/>
        <w:rPr>
          <w:rFonts w:cs="Arial"/>
          <w:color w:val="000000" w:themeColor="text1"/>
          <w:szCs w:val="22"/>
        </w:rPr>
      </w:pPr>
      <w:r>
        <w:rPr>
          <w:rFonts w:cs="Arial"/>
          <w:color w:val="000000" w:themeColor="text1"/>
          <w:szCs w:val="22"/>
        </w:rPr>
        <w:t xml:space="preserve">Drawing on the evaluation of </w:t>
      </w:r>
      <w:hyperlink r:id="rId11" w:history="1">
        <w:r w:rsidRPr="00A42AF1">
          <w:rPr>
            <w:rStyle w:val="Hyperlink"/>
            <w:rFonts w:cs="Arial"/>
            <w:szCs w:val="22"/>
          </w:rPr>
          <w:t>Catalyst Endowments</w:t>
        </w:r>
      </w:hyperlink>
      <w:r>
        <w:rPr>
          <w:rFonts w:cs="Arial"/>
          <w:color w:val="000000" w:themeColor="text1"/>
          <w:szCs w:val="22"/>
        </w:rPr>
        <w:t xml:space="preserve"> we want to gauge how sustainable endowments</w:t>
      </w:r>
      <w:r w:rsidR="00C31B0F">
        <w:rPr>
          <w:rFonts w:cs="Arial"/>
          <w:color w:val="000000" w:themeColor="text1"/>
          <w:szCs w:val="22"/>
        </w:rPr>
        <w:t xml:space="preserve"> in the heritage sector </w:t>
      </w:r>
      <w:r>
        <w:rPr>
          <w:rFonts w:cs="Arial"/>
          <w:color w:val="000000" w:themeColor="text1"/>
          <w:szCs w:val="22"/>
        </w:rPr>
        <w:t>are a</w:t>
      </w:r>
      <w:r w:rsidR="009B3BF9">
        <w:rPr>
          <w:rFonts w:cs="Arial"/>
          <w:color w:val="000000" w:themeColor="text1"/>
          <w:szCs w:val="22"/>
        </w:rPr>
        <w:t>nd the long term effects of this type of income stream.</w:t>
      </w:r>
      <w:r w:rsidR="007D4608">
        <w:rPr>
          <w:rFonts w:cs="Arial"/>
          <w:color w:val="000000" w:themeColor="text1"/>
          <w:szCs w:val="22"/>
        </w:rPr>
        <w:br/>
      </w:r>
    </w:p>
    <w:p w:rsidR="009B3BF9" w:rsidRPr="00667856" w:rsidRDefault="002B403B" w:rsidP="000C457B">
      <w:pPr>
        <w:pStyle w:val="ListParagraph"/>
        <w:numPr>
          <w:ilvl w:val="1"/>
          <w:numId w:val="2"/>
        </w:numPr>
        <w:spacing w:after="240" w:line="276" w:lineRule="auto"/>
        <w:rPr>
          <w:rFonts w:cs="Arial"/>
          <w:color w:val="000000" w:themeColor="text1"/>
          <w:szCs w:val="22"/>
        </w:rPr>
      </w:pPr>
      <w:r w:rsidRPr="00667856">
        <w:rPr>
          <w:rFonts w:cs="Arial"/>
          <w:color w:val="000000" w:themeColor="text1"/>
          <w:szCs w:val="22"/>
        </w:rPr>
        <w:t>The evaluation should provide an overview of what Heritage Endowments has enabled grantees to do, and capture emergent outcomes and themes.  As part of this the evaluation should</w:t>
      </w:r>
      <w:proofErr w:type="gramStart"/>
      <w:r w:rsidRPr="00667856">
        <w:rPr>
          <w:rFonts w:cs="Arial"/>
          <w:color w:val="000000" w:themeColor="text1"/>
          <w:szCs w:val="22"/>
        </w:rPr>
        <w:t>:</w:t>
      </w:r>
      <w:proofErr w:type="gramEnd"/>
      <w:r w:rsidRPr="00667856">
        <w:rPr>
          <w:rFonts w:cs="Arial"/>
          <w:color w:val="000000" w:themeColor="text1"/>
          <w:szCs w:val="22"/>
        </w:rPr>
        <w:br/>
        <w:t xml:space="preserve">1. Capture </w:t>
      </w:r>
      <w:r w:rsidR="000629D7" w:rsidRPr="00667856">
        <w:rPr>
          <w:rFonts w:cs="Arial"/>
          <w:color w:val="000000" w:themeColor="text1"/>
          <w:szCs w:val="22"/>
        </w:rPr>
        <w:t>h</w:t>
      </w:r>
      <w:r w:rsidRPr="00667856">
        <w:rPr>
          <w:rFonts w:cs="Arial"/>
          <w:color w:val="000000" w:themeColor="text1"/>
          <w:szCs w:val="22"/>
        </w:rPr>
        <w:t>ow Heritage Endowments funding has being used</w:t>
      </w:r>
      <w:r w:rsidRPr="00667856">
        <w:rPr>
          <w:rFonts w:cs="Arial"/>
          <w:color w:val="000000" w:themeColor="text1"/>
          <w:szCs w:val="22"/>
        </w:rPr>
        <w:br/>
        <w:t xml:space="preserve">2. Explore if Heritage Endowments funding was used as it was initially intended?  </w:t>
      </w:r>
      <w:r w:rsidR="00766541">
        <w:rPr>
          <w:rFonts w:cs="Arial"/>
          <w:color w:val="000000" w:themeColor="text1"/>
          <w:szCs w:val="22"/>
        </w:rPr>
        <w:t xml:space="preserve"> </w:t>
      </w:r>
      <w:r w:rsidRPr="00667856">
        <w:rPr>
          <w:rFonts w:cs="Arial"/>
          <w:color w:val="000000" w:themeColor="text1"/>
          <w:szCs w:val="22"/>
        </w:rPr>
        <w:t>Were there any changes and if so what can we learn from this?  In particular, what external factors changed for grantees during the lifetime of the grant?</w:t>
      </w:r>
      <w:r w:rsidR="00667856" w:rsidRPr="00667856">
        <w:rPr>
          <w:rFonts w:cs="Arial"/>
          <w:color w:val="000000" w:themeColor="text1"/>
          <w:szCs w:val="22"/>
        </w:rPr>
        <w:br/>
      </w:r>
      <w:r w:rsidRPr="00667856">
        <w:rPr>
          <w:rFonts w:cs="Arial"/>
          <w:color w:val="000000" w:themeColor="text1"/>
          <w:szCs w:val="22"/>
        </w:rPr>
        <w:t xml:space="preserve">3. </w:t>
      </w:r>
      <w:r w:rsidR="000629D7" w:rsidRPr="00667856">
        <w:rPr>
          <w:rFonts w:cs="Arial"/>
          <w:color w:val="000000" w:themeColor="text1"/>
          <w:szCs w:val="22"/>
        </w:rPr>
        <w:t>Demonstrate t</w:t>
      </w:r>
      <w:r w:rsidRPr="00667856">
        <w:rPr>
          <w:rFonts w:cs="Arial"/>
          <w:color w:val="000000" w:themeColor="text1"/>
          <w:szCs w:val="22"/>
        </w:rPr>
        <w:t>he extent to which the outcomes of the programme have been achieved</w:t>
      </w:r>
      <w:r w:rsidR="000629D7" w:rsidRPr="00667856">
        <w:rPr>
          <w:rFonts w:cs="Arial"/>
          <w:color w:val="000000" w:themeColor="text1"/>
          <w:szCs w:val="22"/>
        </w:rPr>
        <w:t>.</w:t>
      </w:r>
      <w:r w:rsidR="00667856" w:rsidRPr="00667856">
        <w:rPr>
          <w:rFonts w:cs="Arial"/>
          <w:color w:val="000000" w:themeColor="text1"/>
          <w:szCs w:val="22"/>
        </w:rPr>
        <w:br/>
        <w:t>4.</w:t>
      </w:r>
      <w:r w:rsidR="00667856" w:rsidRPr="00667856">
        <w:rPr>
          <w:color w:val="1F497D"/>
        </w:rPr>
        <w:t xml:space="preserve"> </w:t>
      </w:r>
      <w:r w:rsidR="00667856" w:rsidRPr="00667856">
        <w:rPr>
          <w:color w:val="000000" w:themeColor="text1"/>
        </w:rPr>
        <w:t>Explore the extent to which the Heritage Endowments programme has supported organisations to reach their ambition of growing or setting up an endowment in terms of the length of the match funding campaign and size of the grant awarded.</w:t>
      </w:r>
      <w:r w:rsidR="00B755B1" w:rsidRPr="00667856">
        <w:rPr>
          <w:rFonts w:cs="Arial"/>
          <w:color w:val="000000" w:themeColor="text1"/>
          <w:szCs w:val="22"/>
        </w:rPr>
        <w:br/>
      </w:r>
    </w:p>
    <w:p w:rsidR="00723DFE" w:rsidRPr="007D4608" w:rsidRDefault="009B3BF9" w:rsidP="000C457B">
      <w:pPr>
        <w:pStyle w:val="ListParagraph"/>
        <w:numPr>
          <w:ilvl w:val="1"/>
          <w:numId w:val="2"/>
        </w:numPr>
        <w:spacing w:after="240" w:line="276" w:lineRule="auto"/>
        <w:rPr>
          <w:rFonts w:cs="Arial"/>
          <w:color w:val="000000" w:themeColor="text1"/>
          <w:szCs w:val="22"/>
        </w:rPr>
      </w:pPr>
      <w:r w:rsidRPr="009B3BF9">
        <w:rPr>
          <w:rFonts w:cs="Arial"/>
          <w:color w:val="000000" w:themeColor="text1"/>
          <w:szCs w:val="22"/>
        </w:rPr>
        <w:t>Specifically we would like you to address the following questions</w:t>
      </w:r>
      <w:proofErr w:type="gramStart"/>
      <w:r>
        <w:rPr>
          <w:rFonts w:cs="Arial"/>
          <w:color w:val="000000" w:themeColor="text1"/>
          <w:szCs w:val="22"/>
        </w:rPr>
        <w:t>:</w:t>
      </w:r>
      <w:proofErr w:type="gramEnd"/>
      <w:r>
        <w:rPr>
          <w:rFonts w:cs="Arial"/>
          <w:color w:val="000000" w:themeColor="text1"/>
          <w:szCs w:val="22"/>
        </w:rPr>
        <w:br/>
      </w:r>
      <w:r w:rsidR="005663EE">
        <w:rPr>
          <w:rFonts w:cs="Arial"/>
          <w:color w:val="000000" w:themeColor="text1"/>
          <w:szCs w:val="22"/>
        </w:rPr>
        <w:br/>
      </w:r>
      <w:r w:rsidR="002B403B">
        <w:rPr>
          <w:rFonts w:cs="Arial"/>
          <w:color w:val="000000" w:themeColor="text1"/>
          <w:szCs w:val="22"/>
        </w:rPr>
        <w:t>a)</w:t>
      </w:r>
      <w:r w:rsidR="005663EE">
        <w:rPr>
          <w:rFonts w:cs="Arial"/>
          <w:color w:val="000000" w:themeColor="text1"/>
          <w:szCs w:val="22"/>
        </w:rPr>
        <w:t xml:space="preserve">. </w:t>
      </w:r>
      <w:r w:rsidR="000629D7">
        <w:rPr>
          <w:rFonts w:cs="Arial"/>
          <w:color w:val="000000" w:themeColor="text1"/>
          <w:szCs w:val="22"/>
        </w:rPr>
        <w:t>w</w:t>
      </w:r>
      <w:r>
        <w:rPr>
          <w:rFonts w:cs="Arial"/>
          <w:color w:val="000000" w:themeColor="text1"/>
          <w:szCs w:val="22"/>
        </w:rPr>
        <w:t>hat has been the impact of Heritage Endowments on an organisation’</w:t>
      </w:r>
      <w:r w:rsidR="005663EE">
        <w:rPr>
          <w:rFonts w:cs="Arial"/>
          <w:color w:val="000000" w:themeColor="text1"/>
          <w:szCs w:val="22"/>
        </w:rPr>
        <w:t xml:space="preserve">s ability to manage </w:t>
      </w:r>
      <w:r w:rsidR="00C31B0F">
        <w:rPr>
          <w:rFonts w:cs="Arial"/>
          <w:color w:val="000000" w:themeColor="text1"/>
          <w:szCs w:val="22"/>
        </w:rPr>
        <w:t xml:space="preserve">their </w:t>
      </w:r>
      <w:r w:rsidR="005663EE">
        <w:rPr>
          <w:rFonts w:cs="Arial"/>
          <w:color w:val="000000" w:themeColor="text1"/>
          <w:szCs w:val="22"/>
        </w:rPr>
        <w:t>heritage</w:t>
      </w:r>
      <w:r w:rsidR="00C31B0F">
        <w:rPr>
          <w:rFonts w:cs="Arial"/>
          <w:color w:val="000000" w:themeColor="text1"/>
          <w:szCs w:val="22"/>
        </w:rPr>
        <w:t xml:space="preserve"> in the longer term</w:t>
      </w:r>
      <w:r w:rsidR="005663EE">
        <w:rPr>
          <w:rFonts w:cs="Arial"/>
          <w:color w:val="000000" w:themeColor="text1"/>
          <w:szCs w:val="22"/>
        </w:rPr>
        <w:t>?</w:t>
      </w:r>
      <w:r w:rsidR="005663EE">
        <w:rPr>
          <w:rFonts w:cs="Arial"/>
          <w:color w:val="000000" w:themeColor="text1"/>
          <w:szCs w:val="22"/>
        </w:rPr>
        <w:br/>
      </w:r>
      <w:r w:rsidR="002B403B">
        <w:rPr>
          <w:rFonts w:cs="Arial"/>
          <w:color w:val="000000" w:themeColor="text1"/>
          <w:szCs w:val="22"/>
        </w:rPr>
        <w:t>b)</w:t>
      </w:r>
      <w:r w:rsidR="005663EE">
        <w:rPr>
          <w:rFonts w:cs="Arial"/>
          <w:color w:val="000000" w:themeColor="text1"/>
          <w:szCs w:val="22"/>
        </w:rPr>
        <w:t xml:space="preserve">. </w:t>
      </w:r>
      <w:r>
        <w:rPr>
          <w:rFonts w:cs="Arial"/>
          <w:color w:val="000000" w:themeColor="text1"/>
          <w:szCs w:val="22"/>
        </w:rPr>
        <w:t>to what extent has</w:t>
      </w:r>
      <w:r w:rsidR="00C31B0F">
        <w:rPr>
          <w:rFonts w:cs="Arial"/>
          <w:color w:val="000000" w:themeColor="text1"/>
          <w:szCs w:val="22"/>
        </w:rPr>
        <w:t xml:space="preserve"> introducing the lower grant banding of £250,000 through</w:t>
      </w:r>
      <w:r>
        <w:rPr>
          <w:rFonts w:cs="Arial"/>
          <w:color w:val="000000" w:themeColor="text1"/>
          <w:szCs w:val="22"/>
        </w:rPr>
        <w:t xml:space="preserve"> Heritage Endowments supported smal</w:t>
      </w:r>
      <w:r w:rsidR="005663EE">
        <w:rPr>
          <w:rFonts w:cs="Arial"/>
          <w:color w:val="000000" w:themeColor="text1"/>
          <w:szCs w:val="22"/>
        </w:rPr>
        <w:t>ler organisations?</w:t>
      </w:r>
      <w:r w:rsidR="00E86DC7">
        <w:rPr>
          <w:rFonts w:cs="Arial"/>
          <w:color w:val="000000" w:themeColor="text1"/>
          <w:szCs w:val="22"/>
        </w:rPr>
        <w:br/>
      </w:r>
      <w:r w:rsidR="002B403B">
        <w:rPr>
          <w:rFonts w:cs="Arial"/>
          <w:color w:val="000000" w:themeColor="text1"/>
          <w:szCs w:val="22"/>
        </w:rPr>
        <w:t>c)</w:t>
      </w:r>
      <w:r w:rsidR="005663EE" w:rsidRPr="007D4608">
        <w:rPr>
          <w:rFonts w:cs="Arial"/>
          <w:color w:val="000000" w:themeColor="text1"/>
          <w:szCs w:val="22"/>
        </w:rPr>
        <w:t xml:space="preserve">. </w:t>
      </w:r>
      <w:r w:rsidRPr="007D4608">
        <w:rPr>
          <w:rFonts w:cs="Arial"/>
          <w:color w:val="000000" w:themeColor="text1"/>
          <w:szCs w:val="22"/>
        </w:rPr>
        <w:t>how can heritage organisations effectively engage with different types of donors</w:t>
      </w:r>
      <w:r w:rsidR="00C31B0F" w:rsidRPr="007D4608">
        <w:rPr>
          <w:rFonts w:cs="Arial"/>
          <w:color w:val="000000" w:themeColor="text1"/>
          <w:szCs w:val="22"/>
        </w:rPr>
        <w:t xml:space="preserve"> in order</w:t>
      </w:r>
      <w:r w:rsidRPr="007D4608">
        <w:rPr>
          <w:rFonts w:cs="Arial"/>
          <w:color w:val="000000" w:themeColor="text1"/>
          <w:szCs w:val="22"/>
        </w:rPr>
        <w:t xml:space="preserve"> </w:t>
      </w:r>
      <w:r w:rsidR="00C31B0F" w:rsidRPr="007D4608">
        <w:rPr>
          <w:rFonts w:cs="Arial"/>
          <w:color w:val="000000" w:themeColor="text1"/>
          <w:szCs w:val="22"/>
        </w:rPr>
        <w:t xml:space="preserve">to </w:t>
      </w:r>
      <w:r w:rsidR="000629D7" w:rsidRPr="007D4608">
        <w:rPr>
          <w:rFonts w:cs="Arial"/>
          <w:color w:val="000000" w:themeColor="text1"/>
          <w:szCs w:val="22"/>
        </w:rPr>
        <w:t>build an</w:t>
      </w:r>
      <w:r w:rsidRPr="007D4608">
        <w:rPr>
          <w:rFonts w:cs="Arial"/>
          <w:color w:val="000000" w:themeColor="text1"/>
          <w:szCs w:val="22"/>
        </w:rPr>
        <w:t xml:space="preserve"> endowment fund (including effective/successful </w:t>
      </w:r>
      <w:r w:rsidR="00723DFE" w:rsidRPr="007D4608">
        <w:rPr>
          <w:rFonts w:cs="Arial"/>
          <w:color w:val="000000" w:themeColor="text1"/>
          <w:szCs w:val="22"/>
        </w:rPr>
        <w:t xml:space="preserve">fundraising </w:t>
      </w:r>
      <w:r w:rsidR="005663EE" w:rsidRPr="007D4608">
        <w:rPr>
          <w:rFonts w:cs="Arial"/>
          <w:color w:val="000000" w:themeColor="text1"/>
          <w:szCs w:val="22"/>
        </w:rPr>
        <w:t>methods)?</w:t>
      </w:r>
      <w:r w:rsidR="005663EE" w:rsidRPr="007D4608">
        <w:rPr>
          <w:rFonts w:cs="Arial"/>
          <w:color w:val="000000" w:themeColor="text1"/>
          <w:szCs w:val="22"/>
        </w:rPr>
        <w:br/>
      </w:r>
      <w:r w:rsidR="002B403B">
        <w:rPr>
          <w:rFonts w:cs="Arial"/>
          <w:color w:val="000000" w:themeColor="text1"/>
          <w:szCs w:val="22"/>
        </w:rPr>
        <w:t>d)</w:t>
      </w:r>
      <w:r w:rsidR="005663EE" w:rsidRPr="007D4608">
        <w:rPr>
          <w:rFonts w:cs="Arial"/>
          <w:color w:val="000000" w:themeColor="text1"/>
          <w:szCs w:val="22"/>
        </w:rPr>
        <w:t xml:space="preserve">. </w:t>
      </w:r>
      <w:r w:rsidRPr="007D4608">
        <w:rPr>
          <w:rFonts w:cs="Arial"/>
          <w:color w:val="000000" w:themeColor="text1"/>
          <w:szCs w:val="22"/>
        </w:rPr>
        <w:t xml:space="preserve">what factors contribute to successful endowment </w:t>
      </w:r>
      <w:r w:rsidR="000629D7" w:rsidRPr="007D4608">
        <w:rPr>
          <w:rFonts w:cs="Arial"/>
          <w:color w:val="000000" w:themeColor="text1"/>
          <w:szCs w:val="22"/>
        </w:rPr>
        <w:t>fundraising?</w:t>
      </w:r>
    </w:p>
    <w:p w:rsidR="00A42AF1" w:rsidRDefault="000629D7" w:rsidP="000C457B">
      <w:pPr>
        <w:pStyle w:val="ListParagraph"/>
        <w:spacing w:after="240" w:line="276" w:lineRule="auto"/>
        <w:rPr>
          <w:rFonts w:cs="Arial"/>
          <w:color w:val="000000" w:themeColor="text1"/>
          <w:szCs w:val="22"/>
        </w:rPr>
      </w:pPr>
      <w:r>
        <w:rPr>
          <w:rFonts w:cs="Arial"/>
          <w:color w:val="000000" w:themeColor="text1"/>
          <w:szCs w:val="22"/>
        </w:rPr>
        <w:t>e</w:t>
      </w:r>
      <w:r w:rsidR="002B403B">
        <w:rPr>
          <w:rFonts w:cs="Arial"/>
          <w:color w:val="000000" w:themeColor="text1"/>
          <w:szCs w:val="22"/>
        </w:rPr>
        <w:t>)</w:t>
      </w:r>
      <w:r w:rsidR="00723DFE">
        <w:rPr>
          <w:rFonts w:cs="Arial"/>
          <w:color w:val="000000" w:themeColor="text1"/>
          <w:szCs w:val="22"/>
        </w:rPr>
        <w:t xml:space="preserve">. </w:t>
      </w:r>
      <w:r>
        <w:rPr>
          <w:rFonts w:cs="Arial"/>
          <w:color w:val="000000" w:themeColor="text1"/>
          <w:szCs w:val="22"/>
        </w:rPr>
        <w:t>h</w:t>
      </w:r>
      <w:r w:rsidR="00723DFE">
        <w:rPr>
          <w:rFonts w:cs="Arial"/>
          <w:color w:val="000000" w:themeColor="text1"/>
          <w:szCs w:val="22"/>
        </w:rPr>
        <w:t>ow has the money awarded to resource campaigns been spent and to what extent has this been beneficial to grantees in supporting them to deliver their fundraising</w:t>
      </w:r>
      <w:r>
        <w:rPr>
          <w:rFonts w:cs="Arial"/>
          <w:color w:val="000000" w:themeColor="text1"/>
          <w:szCs w:val="22"/>
        </w:rPr>
        <w:t xml:space="preserve"> campaign?</w:t>
      </w:r>
      <w:r w:rsidR="00A42AF1" w:rsidRPr="009B3BF9">
        <w:rPr>
          <w:rFonts w:cs="Arial"/>
          <w:color w:val="000000" w:themeColor="text1"/>
          <w:szCs w:val="22"/>
        </w:rPr>
        <w:br/>
      </w:r>
    </w:p>
    <w:p w:rsidR="000C457B" w:rsidRPr="000C457B" w:rsidRDefault="005663EE" w:rsidP="000C457B">
      <w:pPr>
        <w:pStyle w:val="ListParagraph"/>
        <w:numPr>
          <w:ilvl w:val="1"/>
          <w:numId w:val="2"/>
        </w:numPr>
        <w:spacing w:after="240" w:line="276" w:lineRule="auto"/>
        <w:rPr>
          <w:rFonts w:cs="Arial"/>
          <w:color w:val="000000" w:themeColor="text1"/>
          <w:szCs w:val="22"/>
        </w:rPr>
      </w:pPr>
      <w:r>
        <w:rPr>
          <w:rFonts w:cs="Arial"/>
          <w:color w:val="000000" w:themeColor="text1"/>
          <w:szCs w:val="22"/>
        </w:rPr>
        <w:lastRenderedPageBreak/>
        <w:t>We would like the contractor</w:t>
      </w:r>
      <w:r w:rsidR="00C04DFD">
        <w:rPr>
          <w:rFonts w:cs="Arial"/>
          <w:color w:val="000000" w:themeColor="text1"/>
          <w:szCs w:val="22"/>
        </w:rPr>
        <w:t xml:space="preserve"> to organise and facilitate </w:t>
      </w:r>
      <w:r w:rsidR="00DA2F57">
        <w:rPr>
          <w:rFonts w:cs="Arial"/>
          <w:color w:val="000000" w:themeColor="text1"/>
          <w:szCs w:val="22"/>
        </w:rPr>
        <w:t xml:space="preserve">two </w:t>
      </w:r>
      <w:r w:rsidR="00C04DFD">
        <w:rPr>
          <w:rFonts w:cs="Arial"/>
          <w:color w:val="000000" w:themeColor="text1"/>
          <w:szCs w:val="22"/>
        </w:rPr>
        <w:t>opportunit</w:t>
      </w:r>
      <w:r w:rsidR="00DA2F57">
        <w:rPr>
          <w:rFonts w:cs="Arial"/>
          <w:color w:val="000000" w:themeColor="text1"/>
          <w:szCs w:val="22"/>
        </w:rPr>
        <w:t>ies</w:t>
      </w:r>
      <w:r w:rsidR="00C04DFD">
        <w:rPr>
          <w:rFonts w:cs="Arial"/>
          <w:color w:val="000000" w:themeColor="text1"/>
          <w:szCs w:val="22"/>
        </w:rPr>
        <w:t xml:space="preserve"> for grantees to come together, network and build relationships, with the aim of sharing learning, insights and best practice to inform project delivery.  The emphasis will be on enabling, building capability and creating the right conditions for grantees to use and take up the learning.  There should be a focus on sustainability so the networks and relationships can continue post Heritage Endowments funding.</w:t>
      </w:r>
      <w:r w:rsidR="002C3BCE">
        <w:rPr>
          <w:rFonts w:cs="Arial"/>
          <w:color w:val="000000" w:themeColor="text1"/>
          <w:szCs w:val="22"/>
        </w:rPr>
        <w:t xml:space="preserve">  HLF will fund travel expenses for grantees but we expect the contractor to budget for venue hire, refreshments and facilitation.  Value for money when choosing venues should be a consideration.</w:t>
      </w:r>
    </w:p>
    <w:p w:rsidR="000B4E51" w:rsidRPr="000B4E51" w:rsidRDefault="0082194B" w:rsidP="000B4E51">
      <w:pPr>
        <w:pStyle w:val="Heading1"/>
        <w:numPr>
          <w:ilvl w:val="0"/>
          <w:numId w:val="2"/>
        </w:numPr>
      </w:pPr>
      <w:r w:rsidRPr="0082194B">
        <w:t>Outputs</w:t>
      </w:r>
    </w:p>
    <w:p w:rsidR="00441942" w:rsidRDefault="00441942" w:rsidP="00441942">
      <w:pPr>
        <w:numPr>
          <w:ilvl w:val="1"/>
          <w:numId w:val="2"/>
        </w:numPr>
        <w:spacing w:after="240" w:line="276" w:lineRule="auto"/>
        <w:rPr>
          <w:rFonts w:cs="Arial"/>
          <w:szCs w:val="22"/>
        </w:rPr>
      </w:pPr>
      <w:r w:rsidRPr="00441942">
        <w:rPr>
          <w:rFonts w:cs="Arial"/>
          <w:szCs w:val="22"/>
        </w:rPr>
        <w:t>The following outputs will be required:</w:t>
      </w:r>
    </w:p>
    <w:p w:rsidR="00CD33AB" w:rsidRDefault="00CD33AB" w:rsidP="00CD33AB">
      <w:pPr>
        <w:pStyle w:val="Heading1"/>
        <w:rPr>
          <w:rStyle w:val="PageNumber"/>
          <w:rFonts w:cs="Arial"/>
        </w:rPr>
      </w:pPr>
      <w:r w:rsidRPr="00647563">
        <w:rPr>
          <w:rStyle w:val="PageNumber"/>
          <w:rFonts w:cs="Arial"/>
        </w:rPr>
        <w:t>A project plan with specific deliverables* and timetable will be agreed with the successful consultant/</w:t>
      </w:r>
      <w:proofErr w:type="spellStart"/>
      <w:r w:rsidRPr="00647563">
        <w:rPr>
          <w:rStyle w:val="PageNumber"/>
          <w:rFonts w:cs="Arial"/>
        </w:rPr>
        <w:t>ies</w:t>
      </w:r>
      <w:proofErr w:type="spellEnd"/>
      <w:r w:rsidRPr="00647563">
        <w:rPr>
          <w:rStyle w:val="PageNumber"/>
          <w:rFonts w:cs="Arial"/>
        </w:rPr>
        <w:t xml:space="preserve">. However, </w:t>
      </w:r>
      <w:r>
        <w:rPr>
          <w:rStyle w:val="PageNumber"/>
          <w:rFonts w:cs="Arial"/>
        </w:rPr>
        <w:t xml:space="preserve">HLF </w:t>
      </w:r>
      <w:r w:rsidRPr="00647563">
        <w:rPr>
          <w:rStyle w:val="PageNumber"/>
          <w:rFonts w:cs="Arial"/>
        </w:rPr>
        <w:t>expects the following deliverables in accordance with the following timetable as a minimum:</w:t>
      </w:r>
    </w:p>
    <w:p w:rsidR="00632758" w:rsidRDefault="00632758" w:rsidP="00632758"/>
    <w:p w:rsidR="00632758" w:rsidRPr="00632758" w:rsidRDefault="00632758" w:rsidP="00632758"/>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CD33AB" w:rsidRPr="00647563" w:rsidTr="0049026E">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rsidR="00CD33AB" w:rsidRPr="00647563" w:rsidRDefault="00CD33AB" w:rsidP="0049026E">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CD33AB" w:rsidRPr="00647563" w:rsidRDefault="00CD33AB" w:rsidP="0049026E">
            <w:pPr>
              <w:jc w:val="both"/>
              <w:rPr>
                <w:rFonts w:cs="Arial"/>
                <w:b/>
                <w:bCs/>
              </w:rPr>
            </w:pPr>
            <w:r w:rsidRPr="00647563">
              <w:rPr>
                <w:rFonts w:cs="Arial"/>
                <w:b/>
                <w:bCs/>
              </w:rPr>
              <w:t>Due date</w:t>
            </w:r>
          </w:p>
        </w:tc>
      </w:tr>
      <w:tr w:rsidR="00CD33AB" w:rsidRPr="00647563" w:rsidTr="0049026E">
        <w:tc>
          <w:tcPr>
            <w:tcW w:w="5092" w:type="dxa"/>
            <w:tcBorders>
              <w:top w:val="single" w:sz="4" w:space="0" w:color="auto"/>
              <w:left w:val="single" w:sz="4" w:space="0" w:color="auto"/>
              <w:bottom w:val="single" w:sz="4" w:space="0" w:color="auto"/>
              <w:right w:val="single" w:sz="4" w:space="0" w:color="auto"/>
            </w:tcBorders>
            <w:hideMark/>
          </w:tcPr>
          <w:p w:rsidR="00CD33AB" w:rsidRPr="00647563" w:rsidRDefault="00CD33AB" w:rsidP="0049026E">
            <w:pPr>
              <w:jc w:val="both"/>
              <w:rPr>
                <w:rFonts w:cs="Arial"/>
                <w:color w:val="000000"/>
              </w:rPr>
            </w:pPr>
            <w:r w:rsidRPr="00647563">
              <w:rPr>
                <w:rStyle w:val="PageNumber"/>
                <w:rFonts w:cs="Arial"/>
                <w:color w:val="000000"/>
              </w:rPr>
              <w:t>Inception Meeting to agre</w:t>
            </w:r>
            <w:r w:rsidRPr="00647563">
              <w:rPr>
                <w:rFonts w:cs="Arial"/>
                <w:color w:val="000000"/>
              </w:rPr>
              <w:t>e plans</w:t>
            </w:r>
            <w:r w:rsidR="005663EE">
              <w:rPr>
                <w:rFonts w:cs="Arial"/>
                <w:color w:val="000000"/>
              </w:rPr>
              <w:t>, including reporting structures, learning events and a communication and dissemination strategy</w:t>
            </w:r>
          </w:p>
        </w:tc>
        <w:tc>
          <w:tcPr>
            <w:tcW w:w="2126" w:type="dxa"/>
            <w:tcBorders>
              <w:top w:val="single" w:sz="4" w:space="0" w:color="auto"/>
              <w:left w:val="single" w:sz="4" w:space="0" w:color="auto"/>
              <w:bottom w:val="single" w:sz="4" w:space="0" w:color="auto"/>
              <w:right w:val="single" w:sz="4" w:space="0" w:color="auto"/>
            </w:tcBorders>
            <w:hideMark/>
          </w:tcPr>
          <w:p w:rsidR="00CD33AB" w:rsidRPr="00647563" w:rsidRDefault="00CD33AB" w:rsidP="0049026E">
            <w:pPr>
              <w:rPr>
                <w:rFonts w:cs="Arial"/>
              </w:rPr>
            </w:pPr>
            <w:r w:rsidRPr="00647563">
              <w:rPr>
                <w:rFonts w:cs="Arial"/>
              </w:rPr>
              <w:t xml:space="preserve">TBC </w:t>
            </w:r>
          </w:p>
        </w:tc>
      </w:tr>
      <w:tr w:rsidR="00CD33AB" w:rsidRPr="00647563" w:rsidTr="0049026E">
        <w:tc>
          <w:tcPr>
            <w:tcW w:w="5092" w:type="dxa"/>
            <w:tcBorders>
              <w:top w:val="single" w:sz="4" w:space="0" w:color="auto"/>
              <w:left w:val="single" w:sz="4" w:space="0" w:color="auto"/>
              <w:bottom w:val="single" w:sz="4" w:space="0" w:color="auto"/>
              <w:right w:val="single" w:sz="4" w:space="0" w:color="auto"/>
            </w:tcBorders>
            <w:hideMark/>
          </w:tcPr>
          <w:p w:rsidR="00CD33AB" w:rsidRPr="00647563" w:rsidRDefault="00CD33AB" w:rsidP="0049026E">
            <w:pPr>
              <w:jc w:val="both"/>
              <w:rPr>
                <w:rFonts w:cs="Arial"/>
              </w:rPr>
            </w:pPr>
            <w:r w:rsidRPr="00647563">
              <w:rPr>
                <w:rFonts w:cs="Arial"/>
              </w:rPr>
              <w:t>Make arrangements to contact all grantees.</w:t>
            </w:r>
          </w:p>
        </w:tc>
        <w:tc>
          <w:tcPr>
            <w:tcW w:w="2126" w:type="dxa"/>
            <w:tcBorders>
              <w:top w:val="single" w:sz="4" w:space="0" w:color="auto"/>
              <w:left w:val="single" w:sz="4" w:space="0" w:color="auto"/>
              <w:bottom w:val="single" w:sz="4" w:space="0" w:color="auto"/>
              <w:right w:val="single" w:sz="4" w:space="0" w:color="auto"/>
            </w:tcBorders>
            <w:hideMark/>
          </w:tcPr>
          <w:p w:rsidR="00CD33AB" w:rsidRPr="00647563" w:rsidRDefault="00CD33AB" w:rsidP="0049026E">
            <w:pPr>
              <w:rPr>
                <w:rFonts w:cs="Arial"/>
              </w:rPr>
            </w:pPr>
            <w:r w:rsidRPr="00647563">
              <w:rPr>
                <w:rFonts w:cs="Arial"/>
              </w:rPr>
              <w:t xml:space="preserve">Within 10 working days of contract start date </w:t>
            </w:r>
          </w:p>
        </w:tc>
      </w:tr>
      <w:tr w:rsidR="00CD33AB" w:rsidRPr="00647563" w:rsidTr="0049026E">
        <w:tc>
          <w:tcPr>
            <w:tcW w:w="5092" w:type="dxa"/>
            <w:tcBorders>
              <w:top w:val="single" w:sz="4" w:space="0" w:color="auto"/>
              <w:left w:val="single" w:sz="4" w:space="0" w:color="auto"/>
              <w:bottom w:val="single" w:sz="4" w:space="0" w:color="auto"/>
              <w:right w:val="single" w:sz="4" w:space="0" w:color="auto"/>
            </w:tcBorders>
            <w:hideMark/>
          </w:tcPr>
          <w:p w:rsidR="00CD33AB" w:rsidRPr="00647563" w:rsidRDefault="00CD33AB" w:rsidP="00632758">
            <w:pPr>
              <w:jc w:val="both"/>
              <w:rPr>
                <w:rFonts w:cs="Arial"/>
              </w:rPr>
            </w:pPr>
            <w:r w:rsidRPr="00647563">
              <w:rPr>
                <w:rFonts w:cs="Arial"/>
              </w:rPr>
              <w:t xml:space="preserve">Facilitate </w:t>
            </w:r>
            <w:r w:rsidR="00337D2E">
              <w:rPr>
                <w:rFonts w:cs="Arial"/>
              </w:rPr>
              <w:t xml:space="preserve">an </w:t>
            </w:r>
            <w:r w:rsidR="007D4608" w:rsidRPr="00647563">
              <w:rPr>
                <w:rFonts w:cs="Arial"/>
              </w:rPr>
              <w:t>event</w:t>
            </w:r>
            <w:r w:rsidR="00337D2E">
              <w:rPr>
                <w:rFonts w:cs="Arial"/>
              </w:rPr>
              <w:t xml:space="preserve"> for </w:t>
            </w:r>
            <w:r w:rsidR="007D4608">
              <w:rPr>
                <w:rFonts w:cs="Arial"/>
              </w:rPr>
              <w:t>grantees</w:t>
            </w:r>
            <w:r w:rsidR="007D4608" w:rsidRPr="00647563">
              <w:rPr>
                <w:rFonts w:cs="Arial"/>
              </w:rPr>
              <w:t xml:space="preserve"> to</w:t>
            </w:r>
            <w:r>
              <w:rPr>
                <w:rFonts w:cs="Arial"/>
              </w:rPr>
              <w:t xml:space="preserve"> promote peer learning and share best practice</w:t>
            </w:r>
            <w:r w:rsidR="00A140CF">
              <w:rPr>
                <w:rFonts w:cs="Arial"/>
              </w:rPr>
              <w:t>, followed by the production of a key messages paper which captures learning, best practice and emerging findings</w:t>
            </w:r>
            <w:r>
              <w:rPr>
                <w:rFonts w:cs="Arial"/>
              </w:rPr>
              <w:t>.</w:t>
            </w:r>
          </w:p>
        </w:tc>
        <w:tc>
          <w:tcPr>
            <w:tcW w:w="2126" w:type="dxa"/>
            <w:tcBorders>
              <w:top w:val="single" w:sz="4" w:space="0" w:color="auto"/>
              <w:left w:val="single" w:sz="4" w:space="0" w:color="auto"/>
              <w:bottom w:val="single" w:sz="4" w:space="0" w:color="auto"/>
              <w:right w:val="single" w:sz="4" w:space="0" w:color="auto"/>
            </w:tcBorders>
            <w:hideMark/>
          </w:tcPr>
          <w:p w:rsidR="00CD33AB" w:rsidRPr="00647563" w:rsidRDefault="00632758" w:rsidP="00632758">
            <w:pPr>
              <w:rPr>
                <w:rFonts w:cs="Arial"/>
              </w:rPr>
            </w:pPr>
            <w:r>
              <w:rPr>
                <w:rFonts w:cs="Arial"/>
              </w:rPr>
              <w:t xml:space="preserve">March </w:t>
            </w:r>
            <w:r w:rsidR="00C73C83">
              <w:rPr>
                <w:rFonts w:cs="Arial"/>
              </w:rPr>
              <w:t>2018</w:t>
            </w:r>
            <w:r w:rsidR="006B4F27">
              <w:rPr>
                <w:rFonts w:cs="Arial"/>
              </w:rPr>
              <w:t xml:space="preserve"> </w:t>
            </w:r>
          </w:p>
        </w:tc>
      </w:tr>
      <w:tr w:rsidR="00C73C83" w:rsidRPr="00647563" w:rsidTr="0049026E">
        <w:tc>
          <w:tcPr>
            <w:tcW w:w="5092" w:type="dxa"/>
            <w:tcBorders>
              <w:top w:val="single" w:sz="4" w:space="0" w:color="auto"/>
              <w:left w:val="single" w:sz="4" w:space="0" w:color="auto"/>
              <w:bottom w:val="single" w:sz="4" w:space="0" w:color="auto"/>
              <w:right w:val="single" w:sz="4" w:space="0" w:color="auto"/>
            </w:tcBorders>
          </w:tcPr>
          <w:p w:rsidR="00C73C83" w:rsidRPr="00647563" w:rsidRDefault="00C73C83" w:rsidP="00632758">
            <w:pPr>
              <w:jc w:val="both"/>
              <w:rPr>
                <w:rFonts w:cs="Arial"/>
              </w:rPr>
            </w:pPr>
            <w:r w:rsidRPr="00647563">
              <w:rPr>
                <w:rFonts w:cs="Arial"/>
              </w:rPr>
              <w:t xml:space="preserve">Facilitate </w:t>
            </w:r>
            <w:r>
              <w:rPr>
                <w:rFonts w:cs="Arial"/>
              </w:rPr>
              <w:t xml:space="preserve">an </w:t>
            </w:r>
            <w:r w:rsidRPr="00647563">
              <w:rPr>
                <w:rFonts w:cs="Arial"/>
              </w:rPr>
              <w:t>event</w:t>
            </w:r>
            <w:r>
              <w:rPr>
                <w:rFonts w:cs="Arial"/>
              </w:rPr>
              <w:t xml:space="preserve"> for grantees</w:t>
            </w:r>
            <w:r w:rsidRPr="00647563">
              <w:rPr>
                <w:rFonts w:cs="Arial"/>
              </w:rPr>
              <w:t xml:space="preserve"> to</w:t>
            </w:r>
            <w:r>
              <w:rPr>
                <w:rFonts w:cs="Arial"/>
              </w:rPr>
              <w:t xml:space="preserve"> promote peer learning and share best practice</w:t>
            </w:r>
            <w:r w:rsidR="00A140CF">
              <w:rPr>
                <w:rFonts w:cs="Arial"/>
              </w:rPr>
              <w:t>, followed by the production of a key messages paper which captures learning, best practice and emerging findings</w:t>
            </w:r>
            <w:r>
              <w:rPr>
                <w:rFonts w:cs="Arial"/>
              </w:rPr>
              <w:t>.</w:t>
            </w:r>
          </w:p>
        </w:tc>
        <w:tc>
          <w:tcPr>
            <w:tcW w:w="2126" w:type="dxa"/>
            <w:tcBorders>
              <w:top w:val="single" w:sz="4" w:space="0" w:color="auto"/>
              <w:left w:val="single" w:sz="4" w:space="0" w:color="auto"/>
              <w:bottom w:val="single" w:sz="4" w:space="0" w:color="auto"/>
              <w:right w:val="single" w:sz="4" w:space="0" w:color="auto"/>
            </w:tcBorders>
          </w:tcPr>
          <w:p w:rsidR="00C73C83" w:rsidRDefault="00632758" w:rsidP="00632758">
            <w:pPr>
              <w:rPr>
                <w:rFonts w:cs="Arial"/>
              </w:rPr>
            </w:pPr>
            <w:r>
              <w:rPr>
                <w:rFonts w:cs="Arial"/>
              </w:rPr>
              <w:t xml:space="preserve">March </w:t>
            </w:r>
            <w:r w:rsidR="00C73C83">
              <w:rPr>
                <w:rFonts w:cs="Arial"/>
              </w:rPr>
              <w:t>2019</w:t>
            </w:r>
            <w:r w:rsidR="006B4F27">
              <w:rPr>
                <w:rFonts w:cs="Arial"/>
              </w:rPr>
              <w:t xml:space="preserve"> </w:t>
            </w:r>
          </w:p>
        </w:tc>
      </w:tr>
      <w:tr w:rsidR="001C54FE" w:rsidRPr="00647563" w:rsidTr="0049026E">
        <w:tc>
          <w:tcPr>
            <w:tcW w:w="5092" w:type="dxa"/>
            <w:tcBorders>
              <w:top w:val="single" w:sz="4" w:space="0" w:color="auto"/>
              <w:left w:val="single" w:sz="4" w:space="0" w:color="auto"/>
              <w:bottom w:val="single" w:sz="4" w:space="0" w:color="auto"/>
              <w:right w:val="single" w:sz="4" w:space="0" w:color="auto"/>
            </w:tcBorders>
          </w:tcPr>
          <w:p w:rsidR="001C54FE" w:rsidRPr="00647563" w:rsidRDefault="001C54FE" w:rsidP="005C21DB">
            <w:pPr>
              <w:jc w:val="both"/>
              <w:rPr>
                <w:rFonts w:cs="Arial"/>
              </w:rPr>
            </w:pPr>
            <w:r w:rsidRPr="00647563">
              <w:rPr>
                <w:rFonts w:cs="Arial"/>
              </w:rPr>
              <w:t>A</w:t>
            </w:r>
            <w:r>
              <w:rPr>
                <w:rFonts w:cs="Arial"/>
              </w:rPr>
              <w:t>n interim report detailing learning to date from projects and any recommendations to ensure outcomes are achieved, with structure agreed with HLF</w:t>
            </w:r>
          </w:p>
        </w:tc>
        <w:tc>
          <w:tcPr>
            <w:tcW w:w="2126" w:type="dxa"/>
            <w:tcBorders>
              <w:top w:val="single" w:sz="4" w:space="0" w:color="auto"/>
              <w:left w:val="single" w:sz="4" w:space="0" w:color="auto"/>
              <w:bottom w:val="single" w:sz="4" w:space="0" w:color="auto"/>
              <w:right w:val="single" w:sz="4" w:space="0" w:color="auto"/>
            </w:tcBorders>
          </w:tcPr>
          <w:p w:rsidR="001C54FE" w:rsidRPr="00647563" w:rsidRDefault="00632758" w:rsidP="005C21DB">
            <w:pPr>
              <w:rPr>
                <w:rFonts w:cs="Arial"/>
              </w:rPr>
            </w:pPr>
            <w:r>
              <w:rPr>
                <w:rFonts w:cs="Arial"/>
              </w:rPr>
              <w:t xml:space="preserve">March </w:t>
            </w:r>
            <w:r w:rsidR="001C54FE">
              <w:rPr>
                <w:rFonts w:cs="Arial"/>
              </w:rPr>
              <w:t>20</w:t>
            </w:r>
            <w:r>
              <w:rPr>
                <w:rFonts w:cs="Arial"/>
              </w:rPr>
              <w:t>20</w:t>
            </w:r>
          </w:p>
        </w:tc>
      </w:tr>
      <w:tr w:rsidR="001C54FE" w:rsidRPr="00647563" w:rsidTr="0049026E">
        <w:tc>
          <w:tcPr>
            <w:tcW w:w="5092" w:type="dxa"/>
            <w:tcBorders>
              <w:top w:val="single" w:sz="4" w:space="0" w:color="auto"/>
              <w:left w:val="single" w:sz="4" w:space="0" w:color="auto"/>
              <w:bottom w:val="single" w:sz="4" w:space="0" w:color="auto"/>
              <w:right w:val="single" w:sz="4" w:space="0" w:color="auto"/>
            </w:tcBorders>
            <w:hideMark/>
          </w:tcPr>
          <w:p w:rsidR="001C54FE" w:rsidRPr="00647563" w:rsidRDefault="001C54FE" w:rsidP="00AA37EE">
            <w:pPr>
              <w:jc w:val="both"/>
              <w:rPr>
                <w:rFonts w:cs="Arial"/>
              </w:rPr>
            </w:pPr>
            <w:r>
              <w:rPr>
                <w:rFonts w:cs="Arial"/>
              </w:rPr>
              <w:t xml:space="preserve"> A final report, of 50 pages maximum, with structure agreed with HLF</w:t>
            </w:r>
          </w:p>
        </w:tc>
        <w:tc>
          <w:tcPr>
            <w:tcW w:w="2126" w:type="dxa"/>
            <w:tcBorders>
              <w:top w:val="single" w:sz="4" w:space="0" w:color="auto"/>
              <w:left w:val="single" w:sz="4" w:space="0" w:color="auto"/>
              <w:bottom w:val="single" w:sz="4" w:space="0" w:color="auto"/>
              <w:right w:val="single" w:sz="4" w:space="0" w:color="auto"/>
            </w:tcBorders>
            <w:hideMark/>
          </w:tcPr>
          <w:p w:rsidR="001C54FE" w:rsidRPr="00647563" w:rsidRDefault="001C54FE" w:rsidP="0049026E">
            <w:pPr>
              <w:rPr>
                <w:rFonts w:cs="Arial"/>
              </w:rPr>
            </w:pPr>
            <w:r>
              <w:rPr>
                <w:rFonts w:cs="Arial"/>
              </w:rPr>
              <w:t>December 2021</w:t>
            </w:r>
          </w:p>
        </w:tc>
      </w:tr>
    </w:tbl>
    <w:p w:rsidR="00CD33AB" w:rsidRPr="00647563" w:rsidRDefault="00CD33AB" w:rsidP="00CD33AB">
      <w:pPr>
        <w:pStyle w:val="Heading1"/>
      </w:pPr>
      <w:r w:rsidRPr="00647563">
        <w:t xml:space="preserve">The above represents our minimum requirements. </w:t>
      </w:r>
    </w:p>
    <w:p w:rsidR="00CD33AB" w:rsidRPr="00647563" w:rsidRDefault="00CD33AB" w:rsidP="00CD33AB">
      <w:pPr>
        <w:pStyle w:val="Heading1"/>
      </w:pPr>
      <w:r w:rsidRPr="00647563">
        <w:t xml:space="preserve">* </w:t>
      </w:r>
      <w:r>
        <w:t xml:space="preserve">HLF </w:t>
      </w:r>
      <w:r w:rsidRPr="00647563">
        <w:t>reserve</w:t>
      </w:r>
      <w:r>
        <w:t>s</w:t>
      </w:r>
      <w:r w:rsidRPr="00647563">
        <w:t xml:space="preserve"> the right to amend this timetable where required.</w:t>
      </w:r>
    </w:p>
    <w:p w:rsidR="00441942" w:rsidRPr="00847015" w:rsidRDefault="00DF1B4E" w:rsidP="00441942">
      <w:pPr>
        <w:numPr>
          <w:ilvl w:val="1"/>
          <w:numId w:val="2"/>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rsidR="00441942" w:rsidRDefault="0082194B" w:rsidP="00441942">
      <w:pPr>
        <w:numPr>
          <w:ilvl w:val="1"/>
          <w:numId w:val="2"/>
        </w:numPr>
        <w:spacing w:after="240" w:line="276" w:lineRule="auto"/>
        <w:rPr>
          <w:rFonts w:cs="Arial"/>
          <w:szCs w:val="22"/>
        </w:rPr>
      </w:pPr>
      <w:r w:rsidRPr="00847015">
        <w:rPr>
          <w:rFonts w:cs="Arial"/>
          <w:szCs w:val="22"/>
        </w:rPr>
        <w:lastRenderedPageBreak/>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rsidR="00441942" w:rsidRPr="007C42CF" w:rsidRDefault="00441942" w:rsidP="00441942">
      <w:pPr>
        <w:numPr>
          <w:ilvl w:val="1"/>
          <w:numId w:val="2"/>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rsidR="0082194B" w:rsidRPr="00697E37" w:rsidRDefault="00E4627B" w:rsidP="00697E37">
      <w:pPr>
        <w:pStyle w:val="ListParagraph"/>
        <w:numPr>
          <w:ilvl w:val="1"/>
          <w:numId w:val="2"/>
        </w:numPr>
        <w:spacing w:after="240"/>
        <w:contextualSpacing w:val="0"/>
      </w:pPr>
      <w:r w:rsidRPr="007C5D75">
        <w:t>All bidders are required to adhere to all appropriate regulations and guidelines on the collection, storage, transmission and destruction of personal data (</w:t>
      </w:r>
      <w:hyperlink r:id="rId12" w:history="1">
        <w:r w:rsidRPr="007C5D75">
          <w:rPr>
            <w:rStyle w:val="Hyperlink"/>
          </w:rPr>
          <w:t>MRS/SRA, Data Protection Act 1998: Guidelines for Social Research, April 2013</w:t>
        </w:r>
      </w:hyperlink>
      <w:r w:rsidRPr="007C5D75">
        <w:t>).</w:t>
      </w:r>
    </w:p>
    <w:p w:rsidR="0082194B" w:rsidRPr="0082194B" w:rsidRDefault="00C26086" w:rsidP="0082194B">
      <w:pPr>
        <w:pStyle w:val="Heading1"/>
        <w:numPr>
          <w:ilvl w:val="0"/>
          <w:numId w:val="2"/>
        </w:numPr>
      </w:pPr>
      <w:r>
        <w:t>Contract</w:t>
      </w:r>
      <w:r w:rsidR="0082194B" w:rsidRPr="0082194B">
        <w:t xml:space="preserve"> management</w:t>
      </w:r>
    </w:p>
    <w:p w:rsidR="00DB2497" w:rsidRPr="00C26086" w:rsidRDefault="00E4627B" w:rsidP="00697E37">
      <w:pPr>
        <w:numPr>
          <w:ilvl w:val="1"/>
          <w:numId w:val="2"/>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337D2E">
        <w:rPr>
          <w:rFonts w:cs="Arial"/>
          <w:szCs w:val="22"/>
        </w:rPr>
        <w:t>January 2018</w:t>
      </w:r>
      <w:r w:rsidR="001C54FE">
        <w:rPr>
          <w:rFonts w:cs="Arial"/>
          <w:szCs w:val="22"/>
        </w:rPr>
        <w:t xml:space="preserve"> </w:t>
      </w:r>
      <w:r w:rsidRPr="00056B22">
        <w:rPr>
          <w:rFonts w:cs="Arial"/>
          <w:szCs w:val="22"/>
        </w:rPr>
        <w:t>and be completed by</w:t>
      </w:r>
      <w:r w:rsidR="00337D2E">
        <w:rPr>
          <w:rFonts w:cs="Arial"/>
          <w:szCs w:val="22"/>
        </w:rPr>
        <w:t xml:space="preserve"> January 2022</w:t>
      </w:r>
      <w:r w:rsidRPr="00056B22">
        <w:rPr>
          <w:rFonts w:cs="Arial"/>
          <w:szCs w:val="22"/>
        </w:rPr>
        <w:t>.</w:t>
      </w:r>
      <w:r>
        <w:rPr>
          <w:rFonts w:cs="Arial"/>
          <w:szCs w:val="22"/>
        </w:rPr>
        <w:t xml:space="preserve"> The final report shall be submitted to HLF by</w:t>
      </w:r>
      <w:r w:rsidRPr="0082194B">
        <w:rPr>
          <w:rFonts w:cs="Arial"/>
          <w:szCs w:val="22"/>
        </w:rPr>
        <w:t xml:space="preserve"> </w:t>
      </w:r>
      <w:r w:rsidR="00337D2E" w:rsidRPr="000629D7">
        <w:rPr>
          <w:rFonts w:cs="Arial"/>
          <w:color w:val="000000" w:themeColor="text1"/>
          <w:szCs w:val="22"/>
        </w:rPr>
        <w:t>December 2021</w:t>
      </w:r>
      <w:r w:rsidR="00DB2497" w:rsidRPr="000629D7">
        <w:rPr>
          <w:rFonts w:cs="Arial"/>
          <w:color w:val="000000" w:themeColor="text1"/>
          <w:szCs w:val="22"/>
        </w:rPr>
        <w:t>.</w:t>
      </w:r>
    </w:p>
    <w:p w:rsidR="00C26086" w:rsidRPr="00697E37" w:rsidRDefault="00C26086" w:rsidP="00C26086">
      <w:pPr>
        <w:spacing w:before="240" w:after="200" w:line="276" w:lineRule="auto"/>
        <w:ind w:left="720"/>
        <w:contextualSpacing/>
        <w:rPr>
          <w:rFonts w:cs="Arial"/>
          <w:szCs w:val="22"/>
        </w:rPr>
      </w:pPr>
    </w:p>
    <w:p w:rsidR="0082194B" w:rsidRDefault="0082194B" w:rsidP="00697E37">
      <w:pPr>
        <w:numPr>
          <w:ilvl w:val="1"/>
          <w:numId w:val="2"/>
        </w:numPr>
        <w:spacing w:before="240" w:after="200" w:line="276" w:lineRule="auto"/>
        <w:contextualSpacing/>
        <w:rPr>
          <w:rFonts w:cs="Arial"/>
          <w:szCs w:val="22"/>
        </w:rPr>
      </w:pPr>
      <w:r w:rsidRPr="0082194B">
        <w:rPr>
          <w:rFonts w:cs="Arial"/>
          <w:szCs w:val="22"/>
        </w:rPr>
        <w:t xml:space="preserve">The anticipated budget is </w:t>
      </w:r>
      <w:r w:rsidR="000C457B">
        <w:rPr>
          <w:rFonts w:cs="Arial"/>
          <w:szCs w:val="22"/>
        </w:rPr>
        <w:t>up £3</w:t>
      </w:r>
      <w:r w:rsidR="00A140CF">
        <w:rPr>
          <w:rFonts w:cs="Arial"/>
          <w:szCs w:val="22"/>
        </w:rPr>
        <w:t xml:space="preserve">0,000 </w:t>
      </w:r>
      <w:r w:rsidRPr="0082194B">
        <w:rPr>
          <w:rFonts w:cs="Arial"/>
          <w:szCs w:val="22"/>
        </w:rPr>
        <w:t xml:space="preserve">to include all expenses and VAT. The contract </w:t>
      </w:r>
      <w:r w:rsidRPr="00C72BAF">
        <w:rPr>
          <w:rFonts w:cs="Arial"/>
          <w:szCs w:val="22"/>
        </w:rPr>
        <w:t>will be let by the National Heritage Memorial Fund.</w:t>
      </w:r>
      <w:r w:rsidR="000C457B" w:rsidRPr="00C72BAF">
        <w:rPr>
          <w:rFonts w:cs="Arial"/>
          <w:szCs w:val="22"/>
        </w:rPr>
        <w:t xml:space="preserve">  Payments will be made in four</w:t>
      </w:r>
      <w:r w:rsidR="00A140CF" w:rsidRPr="00C72BAF">
        <w:rPr>
          <w:rFonts w:cs="Arial"/>
          <w:szCs w:val="22"/>
        </w:rPr>
        <w:t xml:space="preserve"> instalments.  The first payment will be made upon signing of the c</w:t>
      </w:r>
      <w:r w:rsidR="000C457B" w:rsidRPr="00C72BAF">
        <w:rPr>
          <w:rFonts w:cs="Arial"/>
          <w:szCs w:val="22"/>
        </w:rPr>
        <w:t xml:space="preserve">ontract and inception meeting. </w:t>
      </w:r>
      <w:r w:rsidR="00A140CF" w:rsidRPr="00C72BAF">
        <w:rPr>
          <w:rFonts w:cs="Arial"/>
          <w:szCs w:val="22"/>
        </w:rPr>
        <w:t xml:space="preserve">The second one upon receipt of the 2019 key messages paper, the </w:t>
      </w:r>
      <w:r w:rsidR="000C457B" w:rsidRPr="00C72BAF">
        <w:rPr>
          <w:rFonts w:cs="Arial"/>
          <w:szCs w:val="22"/>
        </w:rPr>
        <w:t xml:space="preserve">third on receipt of the 2020 interim report </w:t>
      </w:r>
      <w:r w:rsidR="00A140CF" w:rsidRPr="00C72BAF">
        <w:rPr>
          <w:rFonts w:cs="Arial"/>
          <w:szCs w:val="22"/>
        </w:rPr>
        <w:t>and the final payment upon HLF’s receipt of an approved final copy of the report in January 2022.</w:t>
      </w:r>
      <w:r w:rsidR="00CD6BCA">
        <w:rPr>
          <w:rFonts w:cs="Arial"/>
          <w:szCs w:val="22"/>
        </w:rPr>
        <w:br/>
      </w:r>
    </w:p>
    <w:p w:rsidR="00CF253B" w:rsidRPr="00CF253B" w:rsidRDefault="0082194B" w:rsidP="00CF253B">
      <w:pPr>
        <w:numPr>
          <w:ilvl w:val="1"/>
          <w:numId w:val="2"/>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rsidR="0082194B" w:rsidRPr="00697E37" w:rsidRDefault="0082194B" w:rsidP="00697E37">
      <w:pPr>
        <w:numPr>
          <w:ilvl w:val="1"/>
          <w:numId w:val="2"/>
        </w:numPr>
        <w:spacing w:after="200" w:line="276" w:lineRule="auto"/>
        <w:contextualSpacing/>
        <w:rPr>
          <w:rFonts w:cs="Arial"/>
          <w:szCs w:val="22"/>
        </w:rPr>
      </w:pPr>
      <w:r w:rsidRPr="0082194B">
        <w:rPr>
          <w:rFonts w:cs="Arial"/>
          <w:szCs w:val="22"/>
        </w:rPr>
        <w:t>The research will be managed on a day to day basis for HLF by</w:t>
      </w:r>
      <w:r w:rsidR="00A140CF">
        <w:rPr>
          <w:rFonts w:cs="Arial"/>
          <w:szCs w:val="22"/>
        </w:rPr>
        <w:t xml:space="preserve"> </w:t>
      </w:r>
      <w:r w:rsidR="000C457B">
        <w:rPr>
          <w:rFonts w:cs="Arial"/>
          <w:szCs w:val="22"/>
        </w:rPr>
        <w:t>Hilary Leavy.</w:t>
      </w:r>
    </w:p>
    <w:p w:rsidR="0082194B" w:rsidRPr="0082194B" w:rsidRDefault="00CF253B" w:rsidP="0082194B">
      <w:pPr>
        <w:pStyle w:val="Heading1"/>
        <w:numPr>
          <w:ilvl w:val="0"/>
          <w:numId w:val="2"/>
        </w:numPr>
      </w:pPr>
      <w:r>
        <w:t>Award Criteria</w:t>
      </w:r>
    </w:p>
    <w:p w:rsidR="0082194B" w:rsidRPr="0082194B" w:rsidRDefault="0082194B" w:rsidP="0082194B">
      <w:pPr>
        <w:numPr>
          <w:ilvl w:val="1"/>
          <w:numId w:val="2"/>
        </w:numPr>
        <w:spacing w:after="240" w:line="276" w:lineRule="auto"/>
        <w:rPr>
          <w:rFonts w:cs="Arial"/>
          <w:szCs w:val="22"/>
        </w:rPr>
      </w:pPr>
      <w:r w:rsidRPr="0082194B">
        <w:rPr>
          <w:rFonts w:cs="Arial"/>
          <w:szCs w:val="22"/>
        </w:rPr>
        <w:t>A proposal for undertaking the work should</w:t>
      </w:r>
      <w:r w:rsidR="006B4F27">
        <w:rPr>
          <w:rFonts w:cs="Arial"/>
          <w:szCs w:val="22"/>
        </w:rPr>
        <w:t xml:space="preserve"> be a maximum of 15 pages and</w:t>
      </w:r>
      <w:r w:rsidRPr="0082194B">
        <w:rPr>
          <w:rFonts w:cs="Arial"/>
          <w:szCs w:val="22"/>
        </w:rPr>
        <w:t xml:space="preserve"> include:</w:t>
      </w:r>
    </w:p>
    <w:p w:rsidR="0082194B" w:rsidRPr="0082194B" w:rsidRDefault="00C26086" w:rsidP="0082194B">
      <w:pPr>
        <w:numPr>
          <w:ilvl w:val="0"/>
          <w:numId w:val="3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rsidR="0082194B" w:rsidRPr="0082194B" w:rsidRDefault="0082194B" w:rsidP="0082194B">
      <w:pPr>
        <w:numPr>
          <w:ilvl w:val="0"/>
          <w:numId w:val="33"/>
        </w:numPr>
        <w:tabs>
          <w:tab w:val="left" w:pos="1080"/>
        </w:tabs>
        <w:spacing w:after="200" w:line="276" w:lineRule="auto"/>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projects. The project manager / lead contact should be identified;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82194B">
      <w:pPr>
        <w:numPr>
          <w:ilvl w:val="0"/>
          <w:numId w:val="33"/>
        </w:numPr>
        <w:tabs>
          <w:tab w:val="left" w:pos="1080"/>
        </w:tabs>
        <w:spacing w:after="200" w:line="276" w:lineRule="auto"/>
        <w:rPr>
          <w:rFonts w:cs="Arial"/>
          <w:szCs w:val="22"/>
        </w:rPr>
      </w:pPr>
      <w:proofErr w:type="gramStart"/>
      <w:r w:rsidRPr="0082194B">
        <w:rPr>
          <w:rFonts w:cs="Arial"/>
          <w:szCs w:val="22"/>
        </w:rPr>
        <w:t>an</w:t>
      </w:r>
      <w:proofErr w:type="gramEnd"/>
      <w:r w:rsidRPr="0082194B">
        <w:rPr>
          <w:rFonts w:cs="Arial"/>
          <w:szCs w:val="22"/>
        </w:rPr>
        <w:t xml:space="preserve"> overall cost for the work.</w:t>
      </w:r>
    </w:p>
    <w:p w:rsidR="0082194B" w:rsidRPr="0082194B" w:rsidRDefault="0082194B" w:rsidP="0082194B">
      <w:pPr>
        <w:numPr>
          <w:ilvl w:val="1"/>
          <w:numId w:val="2"/>
        </w:numPr>
        <w:spacing w:after="240" w:line="276" w:lineRule="auto"/>
        <w:rPr>
          <w:rFonts w:cs="Arial"/>
          <w:szCs w:val="22"/>
        </w:rPr>
      </w:pPr>
      <w:r w:rsidRPr="0082194B">
        <w:rPr>
          <w:rFonts w:cs="Arial"/>
          <w:szCs w:val="22"/>
        </w:rPr>
        <w:t xml:space="preserve">Your Bid will be scored out of 100%. </w:t>
      </w:r>
    </w:p>
    <w:p w:rsidR="000C457B" w:rsidRDefault="001B0833" w:rsidP="000C457B">
      <w:pPr>
        <w:pStyle w:val="BodyTextIndent2"/>
        <w:spacing w:after="240"/>
        <w:ind w:left="709"/>
        <w:rPr>
          <w:b w:val="0"/>
          <w:szCs w:val="22"/>
          <w:lang w:eastAsia="en-US"/>
        </w:rPr>
      </w:pPr>
      <w:r w:rsidRPr="00517834">
        <w:rPr>
          <w:b w:val="0"/>
          <w:szCs w:val="22"/>
        </w:rPr>
        <w:t>70% of the marks will be allocated to your response to the Quality Question</w:t>
      </w:r>
      <w:r>
        <w:rPr>
          <w:b w:val="0"/>
          <w:szCs w:val="22"/>
        </w:rPr>
        <w:t>s b</w:t>
      </w:r>
      <w:r w:rsidRPr="00517834">
        <w:rPr>
          <w:b w:val="0"/>
          <w:szCs w:val="22"/>
        </w:rPr>
        <w:t xml:space="preserve">elow. 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rsidR="000C457B" w:rsidRDefault="001B0833" w:rsidP="001B0833">
      <w:pPr>
        <w:pStyle w:val="BodyTextIndent2"/>
        <w:spacing w:after="0"/>
        <w:ind w:left="709"/>
        <w:rPr>
          <w:b w:val="0"/>
          <w:szCs w:val="22"/>
        </w:rPr>
      </w:pPr>
      <w:r w:rsidRPr="00517834">
        <w:rPr>
          <w:b w:val="0"/>
          <w:szCs w:val="22"/>
        </w:rPr>
        <w:lastRenderedPageBreak/>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rsidR="000C457B" w:rsidRDefault="000C457B" w:rsidP="001B0833">
      <w:pPr>
        <w:pStyle w:val="BodyTextIndent2"/>
        <w:spacing w:after="0"/>
        <w:ind w:left="709"/>
        <w:rPr>
          <w:b w:val="0"/>
          <w:szCs w:val="22"/>
        </w:rPr>
      </w:pPr>
    </w:p>
    <w:p w:rsidR="00D27AC4" w:rsidRPr="00517834" w:rsidRDefault="00D27AC4" w:rsidP="001B0833">
      <w:pPr>
        <w:pStyle w:val="BodyTextIndent2"/>
        <w:spacing w:after="0"/>
        <w:ind w:left="709"/>
        <w:rPr>
          <w:b w:val="0"/>
          <w:szCs w:val="22"/>
        </w:rPr>
      </w:pPr>
      <w:r>
        <w:rPr>
          <w:b w:val="0"/>
          <w:color w:val="FF0000"/>
          <w:szCs w:val="22"/>
        </w:rPr>
        <w:br/>
      </w:r>
    </w:p>
    <w:tbl>
      <w:tblPr>
        <w:tblStyle w:val="TableGrid"/>
        <w:tblW w:w="0" w:type="auto"/>
        <w:tblLook w:val="04A0" w:firstRow="1" w:lastRow="0" w:firstColumn="1" w:lastColumn="0" w:noHBand="0" w:noVBand="1"/>
      </w:tblPr>
      <w:tblGrid>
        <w:gridCol w:w="6771"/>
        <w:gridCol w:w="2471"/>
      </w:tblGrid>
      <w:tr w:rsidR="00D27AC4" w:rsidTr="003C4396">
        <w:tc>
          <w:tcPr>
            <w:tcW w:w="6771" w:type="dxa"/>
          </w:tcPr>
          <w:p w:rsidR="00D27AC4" w:rsidRDefault="00D27AC4" w:rsidP="00D27AC4">
            <w:pPr>
              <w:pStyle w:val="ListParagraph"/>
              <w:numPr>
                <w:ilvl w:val="0"/>
                <w:numId w:val="46"/>
              </w:numPr>
              <w:contextualSpacing w:val="0"/>
              <w:rPr>
                <w:rFonts w:cs="Arial"/>
              </w:rPr>
            </w:pPr>
            <w:r>
              <w:rPr>
                <w:rFonts w:cs="Arial"/>
              </w:rPr>
              <w:t>Demonstrated a clear understanding of the aims, objectives and main concerns of the evaluation.</w:t>
            </w:r>
          </w:p>
          <w:p w:rsidR="00D27AC4" w:rsidRPr="002A3985" w:rsidRDefault="00D27AC4" w:rsidP="003C4396">
            <w:pPr>
              <w:pStyle w:val="ListParagraph"/>
              <w:rPr>
                <w:rFonts w:cs="Arial"/>
              </w:rPr>
            </w:pPr>
          </w:p>
        </w:tc>
        <w:tc>
          <w:tcPr>
            <w:tcW w:w="2471" w:type="dxa"/>
          </w:tcPr>
          <w:p w:rsidR="00D27AC4" w:rsidRDefault="00D27AC4" w:rsidP="003C4396">
            <w:pPr>
              <w:pStyle w:val="ListParagraph"/>
              <w:rPr>
                <w:rFonts w:cs="Arial"/>
              </w:rPr>
            </w:pPr>
            <w:r>
              <w:rPr>
                <w:rFonts w:cs="Arial"/>
              </w:rPr>
              <w:t xml:space="preserve">Weighing </w:t>
            </w:r>
          </w:p>
          <w:p w:rsidR="00D27AC4" w:rsidRDefault="00D27AC4" w:rsidP="003C4396">
            <w:pPr>
              <w:pStyle w:val="ListParagraph"/>
              <w:rPr>
                <w:rFonts w:cs="Arial"/>
              </w:rPr>
            </w:pPr>
            <w:r>
              <w:rPr>
                <w:rFonts w:cs="Arial"/>
              </w:rPr>
              <w:t>25%</w:t>
            </w:r>
          </w:p>
        </w:tc>
      </w:tr>
      <w:tr w:rsidR="00D27AC4" w:rsidTr="003C4396">
        <w:tc>
          <w:tcPr>
            <w:tcW w:w="6771" w:type="dxa"/>
          </w:tcPr>
          <w:p w:rsidR="00D27AC4" w:rsidRPr="002A3985" w:rsidRDefault="00D27AC4" w:rsidP="00D27AC4">
            <w:pPr>
              <w:pStyle w:val="ListParagraph"/>
              <w:numPr>
                <w:ilvl w:val="0"/>
                <w:numId w:val="46"/>
              </w:numPr>
              <w:contextualSpacing w:val="0"/>
              <w:rPr>
                <w:rFonts w:cs="Arial"/>
              </w:rPr>
            </w:pPr>
            <w:r>
              <w:rPr>
                <w:rFonts w:cs="Arial"/>
              </w:rPr>
              <w:t>Demonstrated an awareness of the different policy contexts, evaluation and issu</w:t>
            </w:r>
            <w:r w:rsidR="00FD017D">
              <w:rPr>
                <w:rFonts w:cs="Arial"/>
              </w:rPr>
              <w:t>es relating to endowment fundraising</w:t>
            </w:r>
            <w:r>
              <w:rPr>
                <w:rFonts w:cs="Arial"/>
              </w:rPr>
              <w:br/>
            </w:r>
          </w:p>
        </w:tc>
        <w:tc>
          <w:tcPr>
            <w:tcW w:w="2471" w:type="dxa"/>
          </w:tcPr>
          <w:p w:rsidR="00D27AC4" w:rsidRDefault="00D27AC4" w:rsidP="003C4396">
            <w:pPr>
              <w:pStyle w:val="ListParagraph"/>
              <w:rPr>
                <w:rFonts w:cs="Arial"/>
              </w:rPr>
            </w:pPr>
            <w:r>
              <w:rPr>
                <w:rFonts w:cs="Arial"/>
              </w:rPr>
              <w:t>Weighting</w:t>
            </w:r>
          </w:p>
          <w:p w:rsidR="00D27AC4" w:rsidRDefault="00D27AC4" w:rsidP="003C4396">
            <w:pPr>
              <w:pStyle w:val="ListParagraph"/>
              <w:rPr>
                <w:rFonts w:cs="Arial"/>
              </w:rPr>
            </w:pPr>
            <w:r>
              <w:rPr>
                <w:rFonts w:cs="Arial"/>
              </w:rPr>
              <w:t>25%</w:t>
            </w:r>
          </w:p>
        </w:tc>
      </w:tr>
      <w:tr w:rsidR="00D27AC4" w:rsidTr="003C4396">
        <w:tc>
          <w:tcPr>
            <w:tcW w:w="6771" w:type="dxa"/>
          </w:tcPr>
          <w:p w:rsidR="00D27AC4" w:rsidRDefault="00D27AC4" w:rsidP="00D27AC4">
            <w:pPr>
              <w:pStyle w:val="ListParagraph"/>
              <w:numPr>
                <w:ilvl w:val="0"/>
                <w:numId w:val="46"/>
              </w:numPr>
              <w:contextualSpacing w:val="0"/>
              <w:rPr>
                <w:rFonts w:cs="Arial"/>
              </w:rPr>
            </w:pPr>
            <w:r>
              <w:rPr>
                <w:rFonts w:cs="Arial"/>
              </w:rPr>
              <w:t>Demonstrated experience of hosting learning events.</w:t>
            </w:r>
          </w:p>
          <w:p w:rsidR="00D27AC4" w:rsidRPr="002A3985" w:rsidRDefault="00D27AC4" w:rsidP="003C4396">
            <w:pPr>
              <w:pStyle w:val="ListParagraph"/>
              <w:rPr>
                <w:rFonts w:cs="Arial"/>
              </w:rPr>
            </w:pPr>
          </w:p>
        </w:tc>
        <w:tc>
          <w:tcPr>
            <w:tcW w:w="2471" w:type="dxa"/>
          </w:tcPr>
          <w:p w:rsidR="00D27AC4" w:rsidRDefault="00D27AC4" w:rsidP="003C4396">
            <w:pPr>
              <w:pStyle w:val="ListParagraph"/>
              <w:rPr>
                <w:rFonts w:cs="Arial"/>
              </w:rPr>
            </w:pPr>
            <w:r>
              <w:rPr>
                <w:rFonts w:cs="Arial"/>
              </w:rPr>
              <w:t>Weighting</w:t>
            </w:r>
          </w:p>
          <w:p w:rsidR="00D27AC4" w:rsidRDefault="00D27AC4" w:rsidP="00A07B2C">
            <w:pPr>
              <w:pStyle w:val="ListParagraph"/>
              <w:rPr>
                <w:rFonts w:cs="Arial"/>
              </w:rPr>
            </w:pPr>
            <w:r>
              <w:rPr>
                <w:rFonts w:cs="Arial"/>
              </w:rPr>
              <w:t>1</w:t>
            </w:r>
            <w:r w:rsidR="00A07B2C">
              <w:rPr>
                <w:rFonts w:cs="Arial"/>
              </w:rPr>
              <w:t>0</w:t>
            </w:r>
            <w:r>
              <w:rPr>
                <w:rFonts w:cs="Arial"/>
              </w:rPr>
              <w:t>%</w:t>
            </w:r>
          </w:p>
        </w:tc>
      </w:tr>
      <w:tr w:rsidR="00D27AC4" w:rsidTr="003C4396">
        <w:tc>
          <w:tcPr>
            <w:tcW w:w="6771" w:type="dxa"/>
          </w:tcPr>
          <w:p w:rsidR="00D27AC4" w:rsidRPr="00FD017D" w:rsidRDefault="00D27AC4" w:rsidP="00FD017D">
            <w:pPr>
              <w:pStyle w:val="ListParagraph"/>
              <w:numPr>
                <w:ilvl w:val="0"/>
                <w:numId w:val="46"/>
              </w:numPr>
              <w:contextualSpacing w:val="0"/>
              <w:rPr>
                <w:rFonts w:cs="Arial"/>
              </w:rPr>
            </w:pPr>
            <w:r>
              <w:rPr>
                <w:rFonts w:cs="Arial"/>
              </w:rPr>
              <w:t>Demonstrated the bidder has the capacity and resources to carry out the evaluation within the timescale, or if working in partnership, each organisation has the capacity to fulfil its role and roles of each partner is clear.</w:t>
            </w:r>
          </w:p>
        </w:tc>
        <w:tc>
          <w:tcPr>
            <w:tcW w:w="2471" w:type="dxa"/>
          </w:tcPr>
          <w:p w:rsidR="00D27AC4" w:rsidRDefault="00D27AC4" w:rsidP="003C4396">
            <w:pPr>
              <w:pStyle w:val="ListParagraph"/>
              <w:rPr>
                <w:rFonts w:cs="Arial"/>
              </w:rPr>
            </w:pPr>
            <w:r>
              <w:rPr>
                <w:rFonts w:cs="Arial"/>
              </w:rPr>
              <w:t>Weighting</w:t>
            </w:r>
          </w:p>
          <w:p w:rsidR="00D27AC4" w:rsidRDefault="00D27AC4" w:rsidP="003C4396">
            <w:pPr>
              <w:pStyle w:val="ListParagraph"/>
              <w:rPr>
                <w:rFonts w:cs="Arial"/>
              </w:rPr>
            </w:pPr>
            <w:r>
              <w:rPr>
                <w:rFonts w:cs="Arial"/>
              </w:rPr>
              <w:t>10%</w:t>
            </w:r>
          </w:p>
        </w:tc>
      </w:tr>
      <w:tr w:rsidR="00D27AC4" w:rsidTr="003C4396">
        <w:tc>
          <w:tcPr>
            <w:tcW w:w="6771" w:type="dxa"/>
          </w:tcPr>
          <w:p w:rsidR="00D27AC4" w:rsidRDefault="00D27AC4" w:rsidP="00D27AC4">
            <w:pPr>
              <w:pStyle w:val="ListParagraph"/>
              <w:numPr>
                <w:ilvl w:val="0"/>
                <w:numId w:val="46"/>
              </w:numPr>
              <w:contextualSpacing w:val="0"/>
              <w:rPr>
                <w:rFonts w:cs="Arial"/>
              </w:rPr>
            </w:pPr>
            <w:r>
              <w:rPr>
                <w:rFonts w:cs="Arial"/>
              </w:rPr>
              <w:t>Demonstrated a clear and realistic project plan, showing phases of the evaluation, tasks for each phase and roles and responsibilities for each member of the team.</w:t>
            </w:r>
            <w:r w:rsidR="00C3726D">
              <w:rPr>
                <w:rFonts w:cs="Arial"/>
              </w:rPr>
              <w:t xml:space="preserve">  Within this plan consideration should be given to survey response fatigue and plans to </w:t>
            </w:r>
            <w:proofErr w:type="gramStart"/>
            <w:r w:rsidR="00C3726D">
              <w:rPr>
                <w:rFonts w:cs="Arial"/>
              </w:rPr>
              <w:t>mitigate</w:t>
            </w:r>
            <w:proofErr w:type="gramEnd"/>
            <w:r w:rsidR="00C3726D">
              <w:rPr>
                <w:rFonts w:cs="Arial"/>
              </w:rPr>
              <w:t xml:space="preserve"> against this and keep grantees engaged with the evaluation, for </w:t>
            </w:r>
            <w:r w:rsidR="00A07B2C">
              <w:rPr>
                <w:rFonts w:cs="Arial"/>
              </w:rPr>
              <w:t>its</w:t>
            </w:r>
            <w:r w:rsidR="00C3726D">
              <w:rPr>
                <w:rFonts w:cs="Arial"/>
              </w:rPr>
              <w:t xml:space="preserve"> duration.</w:t>
            </w:r>
          </w:p>
          <w:p w:rsidR="00D27AC4" w:rsidRPr="008D5A89" w:rsidRDefault="00D27AC4" w:rsidP="003C4396">
            <w:pPr>
              <w:pStyle w:val="ListParagraph"/>
              <w:rPr>
                <w:rFonts w:cs="Arial"/>
              </w:rPr>
            </w:pPr>
          </w:p>
        </w:tc>
        <w:tc>
          <w:tcPr>
            <w:tcW w:w="2471" w:type="dxa"/>
          </w:tcPr>
          <w:p w:rsidR="00D27AC4" w:rsidRDefault="00D27AC4" w:rsidP="003C4396">
            <w:pPr>
              <w:pStyle w:val="ListParagraph"/>
              <w:rPr>
                <w:rFonts w:cs="Arial"/>
              </w:rPr>
            </w:pPr>
            <w:r>
              <w:rPr>
                <w:rFonts w:cs="Arial"/>
              </w:rPr>
              <w:t>Weighting</w:t>
            </w:r>
          </w:p>
          <w:p w:rsidR="00D27AC4" w:rsidRDefault="00D27AC4" w:rsidP="00A07B2C">
            <w:pPr>
              <w:pStyle w:val="ListParagraph"/>
              <w:rPr>
                <w:rFonts w:cs="Arial"/>
              </w:rPr>
            </w:pPr>
            <w:r>
              <w:rPr>
                <w:rFonts w:cs="Arial"/>
              </w:rPr>
              <w:t>1</w:t>
            </w:r>
            <w:r w:rsidR="00A07B2C">
              <w:rPr>
                <w:rFonts w:cs="Arial"/>
              </w:rPr>
              <w:t>5</w:t>
            </w:r>
            <w:r>
              <w:rPr>
                <w:rFonts w:cs="Arial"/>
              </w:rPr>
              <w:t>%</w:t>
            </w:r>
          </w:p>
        </w:tc>
      </w:tr>
      <w:tr w:rsidR="00D27AC4" w:rsidTr="003C4396">
        <w:tc>
          <w:tcPr>
            <w:tcW w:w="6771" w:type="dxa"/>
          </w:tcPr>
          <w:p w:rsidR="00D27AC4" w:rsidRDefault="00D27AC4" w:rsidP="00D27AC4">
            <w:pPr>
              <w:pStyle w:val="ListParagraph"/>
              <w:numPr>
                <w:ilvl w:val="0"/>
                <w:numId w:val="46"/>
              </w:numPr>
              <w:contextualSpacing w:val="0"/>
              <w:rPr>
                <w:rFonts w:cs="Arial"/>
              </w:rPr>
            </w:pPr>
            <w:r>
              <w:rPr>
                <w:rFonts w:cs="Arial"/>
              </w:rPr>
              <w:t>Demonstrated well considered plans for dissemination of evaluation findings.</w:t>
            </w:r>
          </w:p>
          <w:p w:rsidR="00D27AC4" w:rsidRPr="008D5A89" w:rsidRDefault="00D27AC4" w:rsidP="003C4396">
            <w:pPr>
              <w:pStyle w:val="ListParagraph"/>
              <w:rPr>
                <w:rFonts w:cs="Arial"/>
              </w:rPr>
            </w:pPr>
          </w:p>
        </w:tc>
        <w:tc>
          <w:tcPr>
            <w:tcW w:w="2471" w:type="dxa"/>
          </w:tcPr>
          <w:p w:rsidR="00D27AC4" w:rsidRDefault="00D27AC4" w:rsidP="003C4396">
            <w:pPr>
              <w:pStyle w:val="ListParagraph"/>
              <w:rPr>
                <w:rFonts w:cs="Arial"/>
              </w:rPr>
            </w:pPr>
            <w:r>
              <w:rPr>
                <w:rFonts w:cs="Arial"/>
              </w:rPr>
              <w:t>Weighting</w:t>
            </w:r>
          </w:p>
          <w:p w:rsidR="00D27AC4" w:rsidRDefault="00D27AC4" w:rsidP="003C4396">
            <w:pPr>
              <w:pStyle w:val="ListParagraph"/>
              <w:rPr>
                <w:rFonts w:cs="Arial"/>
              </w:rPr>
            </w:pPr>
            <w:r>
              <w:rPr>
                <w:rFonts w:cs="Arial"/>
              </w:rPr>
              <w:t>15%</w:t>
            </w:r>
          </w:p>
        </w:tc>
      </w:tr>
    </w:tbl>
    <w:p w:rsidR="001B0833" w:rsidRPr="00517834" w:rsidRDefault="001B0833" w:rsidP="001B0833">
      <w:pPr>
        <w:pStyle w:val="BodyTextIndent2"/>
        <w:spacing w:after="0"/>
        <w:ind w:left="709"/>
        <w:rPr>
          <w:b w:val="0"/>
          <w:szCs w:val="22"/>
        </w:rPr>
      </w:pPr>
    </w:p>
    <w:p w:rsidR="001B0833" w:rsidRPr="00697E37" w:rsidRDefault="001B0833" w:rsidP="00D27AC4">
      <w:pPr>
        <w:pStyle w:val="Bullettext"/>
        <w:numPr>
          <w:ilvl w:val="0"/>
          <w:numId w:val="0"/>
        </w:numPr>
        <w:spacing w:after="240"/>
        <w:ind w:left="1495"/>
        <w:contextualSpacing/>
        <w:rPr>
          <w:rFonts w:cs="Arial"/>
          <w:b/>
        </w:rPr>
      </w:pP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w:t>
            </w:r>
            <w:r w:rsidRPr="009E147C">
              <w:rPr>
                <w:rFonts w:cs="Arial"/>
                <w:lang w:val="en-US"/>
              </w:rPr>
              <w:lastRenderedPageBreak/>
              <w:t xml:space="preserve">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6B27B4" w:rsidRDefault="001B0833" w:rsidP="006B27B4">
      <w:pPr>
        <w:spacing w:before="240"/>
        <w:rPr>
          <w:rFonts w:cs="Arial"/>
          <w:b/>
          <w:bCs/>
          <w:iCs/>
          <w:u w:val="single"/>
        </w:rPr>
      </w:pPr>
      <w:r w:rsidRPr="00517834">
        <w:rPr>
          <w:rFonts w:cs="Arial"/>
          <w:b/>
          <w:bCs/>
          <w:iCs/>
          <w:u w:val="single"/>
        </w:rPr>
        <w:t>30% of marks will be awarded for Price.</w:t>
      </w:r>
    </w:p>
    <w:p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rsidR="00E00936" w:rsidRDefault="00E00936" w:rsidP="00E00936">
      <w:pPr>
        <w:pStyle w:val="Heading2"/>
        <w:rPr>
          <w:u w:val="single"/>
          <w:lang w:val="en-US"/>
        </w:rPr>
      </w:pPr>
      <w:r w:rsidRPr="00E00936">
        <w:rPr>
          <w:u w:val="single"/>
          <w:lang w:val="en-US"/>
        </w:rPr>
        <w:t>Price Criterion at 30%</w:t>
      </w:r>
    </w:p>
    <w:p w:rsidR="00E00936" w:rsidRPr="00697E37" w:rsidRDefault="00E00936" w:rsidP="00E00936">
      <w:pPr>
        <w:pStyle w:val="ListParagraph"/>
        <w:numPr>
          <w:ilvl w:val="0"/>
          <w:numId w:val="39"/>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697E37" w:rsidRDefault="00E00936" w:rsidP="001B0833">
      <w:pPr>
        <w:pStyle w:val="ListParagraph"/>
        <w:numPr>
          <w:ilvl w:val="0"/>
          <w:numId w:val="39"/>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1B0833" w:rsidRPr="00E00936" w:rsidRDefault="001B0833" w:rsidP="00E00936">
      <w:pPr>
        <w:pStyle w:val="ListParagraph"/>
        <w:numPr>
          <w:ilvl w:val="0"/>
          <w:numId w:val="39"/>
        </w:numPr>
        <w:spacing w:after="240"/>
        <w:rPr>
          <w:rFonts w:cs="Arial"/>
          <w:bCs/>
          <w:iCs/>
        </w:rPr>
      </w:pPr>
      <w:r w:rsidRPr="00E00936">
        <w:rPr>
          <w:rFonts w:cs="Arial"/>
          <w:bCs/>
          <w:iCs/>
        </w:rPr>
        <w:t>The scores for quality and price will be added together to obtain the overall score for each Bidder.</w:t>
      </w:r>
    </w:p>
    <w:p w:rsidR="001B0833" w:rsidRPr="006B27B4" w:rsidRDefault="001B0833" w:rsidP="006B27B4">
      <w:pPr>
        <w:pStyle w:val="Heading2"/>
        <w:rPr>
          <w:u w:val="single"/>
        </w:rPr>
      </w:pPr>
      <w:r w:rsidRPr="00164796">
        <w:rPr>
          <w:u w:val="single"/>
        </w:rPr>
        <w:t xml:space="preserve">Table </w:t>
      </w:r>
      <w:proofErr w:type="gramStart"/>
      <w:r w:rsidRPr="00164796">
        <w:rPr>
          <w:u w:val="single"/>
        </w:rPr>
        <w:t>A</w:t>
      </w:r>
      <w:proofErr w:type="gramEnd"/>
      <w:r w:rsidRPr="00164796">
        <w:rPr>
          <w:u w:val="single"/>
        </w:rPr>
        <w:t xml:space="preserve">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rsidTr="00E63058">
        <w:trPr>
          <w:tblHeader/>
        </w:trPr>
        <w:tc>
          <w:tcPr>
            <w:tcW w:w="3655" w:type="dxa"/>
          </w:tcPr>
          <w:p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CF253B" w:rsidP="00AA7BD2">
            <w:pPr>
              <w:rPr>
                <w:rFonts w:cs="Arial"/>
                <w:b/>
                <w:bCs/>
                <w:iCs/>
                <w:lang w:val="en-US"/>
              </w:rPr>
            </w:pPr>
            <w:r w:rsidRPr="0082194B">
              <w:rPr>
                <w:rFonts w:cs="Arial"/>
                <w:bCs/>
                <w:i/>
                <w:iCs/>
                <w:lang w:val="en-US"/>
              </w:rPr>
              <w:t>@£300</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9E147C">
        <w:tc>
          <w:tcPr>
            <w:tcW w:w="3655"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r w:rsidR="00C26086">
        <w:rPr>
          <w:rFonts w:cs="Arial"/>
          <w:bCs/>
          <w:i/>
          <w:iCs/>
          <w:u w:val="single"/>
        </w:rPr>
        <w:t>.</w:t>
      </w:r>
    </w:p>
    <w:p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CF253B">
      <w:pPr>
        <w:pStyle w:val="Heading1"/>
        <w:numPr>
          <w:ilvl w:val="0"/>
          <w:numId w:val="2"/>
        </w:numPr>
      </w:pPr>
      <w:r w:rsidRPr="0034414E">
        <w:t>Procurement Process</w:t>
      </w:r>
    </w:p>
    <w:p w:rsidR="00E4627B" w:rsidRDefault="0082194B" w:rsidP="00E4627B">
      <w:pPr>
        <w:numPr>
          <w:ilvl w:val="1"/>
          <w:numId w:val="2"/>
        </w:numPr>
        <w:spacing w:after="240" w:line="276" w:lineRule="auto"/>
        <w:rPr>
          <w:rFonts w:cs="Arial"/>
          <w:szCs w:val="22"/>
        </w:rPr>
      </w:pPr>
      <w:r w:rsidRPr="0082194B">
        <w:rPr>
          <w:rFonts w:cs="Arial"/>
          <w:szCs w:val="22"/>
        </w:rPr>
        <w:t>HLF reserves the right to reject abnormally low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rsidR="00E4627B" w:rsidRPr="00E4627B" w:rsidRDefault="00E4627B" w:rsidP="00E4627B">
      <w:pPr>
        <w:numPr>
          <w:ilvl w:val="1"/>
          <w:numId w:val="2"/>
        </w:numPr>
        <w:spacing w:after="240" w:line="276" w:lineRule="auto"/>
        <w:rPr>
          <w:rFonts w:cs="Arial"/>
          <w:szCs w:val="22"/>
        </w:rPr>
      </w:pPr>
      <w:r w:rsidRPr="00E4627B">
        <w:t>The procurement timetable will be:</w:t>
      </w:r>
    </w:p>
    <w:p w:rsidR="00DC6B35" w:rsidRDefault="00DC6B35" w:rsidP="00E63058">
      <w:r>
        <w:t>Deadline for clarification questions*:</w:t>
      </w:r>
      <w:r w:rsidR="00153B0D">
        <w:t xml:space="preserve"> 31</w:t>
      </w:r>
      <w:r w:rsidR="006B4F27">
        <w:t xml:space="preserve"> October 2017</w:t>
      </w:r>
    </w:p>
    <w:p w:rsidR="00E4627B" w:rsidRPr="00E4627B" w:rsidRDefault="00E4627B" w:rsidP="00E63058">
      <w:r w:rsidRPr="00E4627B">
        <w:t xml:space="preserve">Tender return deadline: completed proposal to be returned to HLF by </w:t>
      </w:r>
      <w:r w:rsidR="006B4F27">
        <w:t>11.00 am on 14 November 2017</w:t>
      </w:r>
      <w:r w:rsidRPr="00E4627B">
        <w:t>.</w:t>
      </w:r>
    </w:p>
    <w:p w:rsidR="00E4627B" w:rsidRPr="00E4627B" w:rsidRDefault="00E4627B" w:rsidP="00E63058">
      <w:r w:rsidRPr="00847015">
        <w:t xml:space="preserve"> </w:t>
      </w:r>
      <w:r w:rsidR="00C26086" w:rsidRPr="00847015">
        <w:t>Clarification meetings</w:t>
      </w:r>
      <w:r w:rsidR="00DC6B35">
        <w:t>*</w:t>
      </w:r>
      <w:r w:rsidR="005D2D99">
        <w:t>*</w:t>
      </w:r>
      <w:r w:rsidRPr="00847015">
        <w:t xml:space="preserve"> may be held with shortlisted c</w:t>
      </w:r>
      <w:bookmarkStart w:id="0" w:name="_GoBack"/>
      <w:bookmarkEnd w:id="0"/>
      <w:r w:rsidRPr="00847015">
        <w:t>onsultants and w</w:t>
      </w:r>
      <w:r w:rsidRPr="00E4627B">
        <w:t xml:space="preserve">ould take place on </w:t>
      </w:r>
      <w:r w:rsidR="006B4F27">
        <w:t>week commencing 20 November 2017</w:t>
      </w:r>
    </w:p>
    <w:p w:rsidR="00DB2497" w:rsidRPr="007D4608" w:rsidRDefault="00DB2497" w:rsidP="00E63058">
      <w:r>
        <w:t>HLF will n</w:t>
      </w:r>
      <w:r w:rsidR="00E4627B" w:rsidRPr="00E4627B">
        <w:t>otify</w:t>
      </w:r>
      <w:r>
        <w:t xml:space="preserve"> bidders of our procurement decision </w:t>
      </w:r>
      <w:r w:rsidR="00C26086">
        <w:t>week commencing:</w:t>
      </w:r>
      <w:r w:rsidR="006B4F27">
        <w:t xml:space="preserve"> 27 November 2017</w:t>
      </w:r>
      <w:r w:rsidR="00E4627B" w:rsidRPr="00DB2497">
        <w:rPr>
          <w:i/>
        </w:rPr>
        <w:t>.</w:t>
      </w:r>
      <w:r w:rsidR="00DC6B35">
        <w:br/>
      </w:r>
      <w:r w:rsidR="00DC6B35">
        <w:br/>
        <w:t>*HLF will upload responses to clarification on our website</w:t>
      </w:r>
      <w:r w:rsidR="00571E12">
        <w:t xml:space="preserve">, </w:t>
      </w:r>
      <w:hyperlink r:id="rId13" w:history="1">
        <w:r w:rsidR="00571E12" w:rsidRPr="00571E12">
          <w:rPr>
            <w:rStyle w:val="Hyperlink"/>
          </w:rPr>
          <w:t>here</w:t>
        </w:r>
      </w:hyperlink>
      <w:r w:rsidR="00571E12">
        <w:t>.</w:t>
      </w:r>
      <w:r w:rsidR="00DC6B35">
        <w:rPr>
          <w:i/>
        </w:rPr>
        <w:t xml:space="preserve">  </w:t>
      </w:r>
      <w:r w:rsidR="00DC6B35">
        <w:t>Please note that we will make the anonymised questions, and our responses to them, available to everyone on the HLF website.</w:t>
      </w:r>
      <w:r w:rsidR="005D2D99">
        <w:rPr>
          <w:i/>
        </w:rPr>
        <w:br/>
      </w:r>
      <w:r w:rsidR="005D2D99">
        <w:rPr>
          <w:i/>
        </w:rPr>
        <w:br/>
      </w:r>
      <w:r w:rsidR="00DC6B35">
        <w:t>*</w:t>
      </w:r>
      <w:r w:rsidR="005D2D99">
        <w:rPr>
          <w:i/>
        </w:rPr>
        <w:t>*</w:t>
      </w:r>
      <w:r w:rsidR="005D2D99">
        <w:t xml:space="preserve">We reserve the right to carry out clarifications if necessary; these may be carried out via </w:t>
      </w:r>
      <w:r w:rsidR="005D2D99">
        <w:lastRenderedPageBreak/>
        <w:t>email or by inviting bidders to attend a clarification meeting.  In order to ensure that both HLF’s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rsidR="00C26086" w:rsidRPr="00697E37" w:rsidRDefault="00C26086" w:rsidP="00E63058">
      <w:pPr>
        <w:rPr>
          <w:i/>
        </w:rPr>
      </w:pPr>
    </w:p>
    <w:p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6B4F27">
        <w:t xml:space="preserve">11.00 am on 14 November 2017 </w:t>
      </w:r>
      <w:r w:rsidRPr="004D2C5F">
        <w:t>to the following contact:</w:t>
      </w:r>
    </w:p>
    <w:p w:rsidR="000C457B" w:rsidRDefault="000C457B" w:rsidP="00E4627B">
      <w:pPr>
        <w:ind w:left="720"/>
        <w:rPr>
          <w:rFonts w:cs="Arial"/>
          <w:color w:val="000000" w:themeColor="text1"/>
          <w:szCs w:val="22"/>
        </w:rPr>
      </w:pPr>
      <w:r>
        <w:rPr>
          <w:rFonts w:cs="Arial"/>
          <w:color w:val="000000" w:themeColor="text1"/>
          <w:szCs w:val="22"/>
        </w:rPr>
        <w:t>Hilary Leavy</w:t>
      </w:r>
    </w:p>
    <w:p w:rsidR="00E4627B" w:rsidRPr="00056B22" w:rsidRDefault="00E4627B" w:rsidP="00E4627B">
      <w:pPr>
        <w:ind w:left="720"/>
        <w:rPr>
          <w:rFonts w:cs="Arial"/>
          <w:szCs w:val="22"/>
        </w:rPr>
      </w:pPr>
      <w:r w:rsidRPr="00056B22">
        <w:rPr>
          <w:rFonts w:cs="Arial"/>
          <w:szCs w:val="22"/>
        </w:rPr>
        <w:t>Heritage Lottery Fund</w:t>
      </w:r>
    </w:p>
    <w:p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rsidR="00E4627B" w:rsidRDefault="00E4627B" w:rsidP="00E4627B">
      <w:pPr>
        <w:ind w:left="720"/>
        <w:rPr>
          <w:rFonts w:cs="Arial"/>
          <w:szCs w:val="22"/>
        </w:rPr>
      </w:pPr>
      <w:r>
        <w:rPr>
          <w:rFonts w:cs="Arial"/>
          <w:szCs w:val="22"/>
        </w:rPr>
        <w:t>SW1W 8NL</w:t>
      </w:r>
    </w:p>
    <w:p w:rsidR="00C26086" w:rsidRDefault="00153B0D" w:rsidP="00697E37">
      <w:pPr>
        <w:ind w:left="720"/>
      </w:pPr>
      <w:hyperlink r:id="rId14" w:history="1">
        <w:r w:rsidR="000C457B" w:rsidRPr="00CA18D1">
          <w:rPr>
            <w:rStyle w:val="Hyperlink"/>
          </w:rPr>
          <w:t>hilary.leavy@hlf.org.uk</w:t>
        </w:r>
      </w:hyperlink>
    </w:p>
    <w:p w:rsidR="000C457B" w:rsidRPr="00E4627B" w:rsidRDefault="000C457B" w:rsidP="000C457B">
      <w:pPr>
        <w:rPr>
          <w:rFonts w:cs="Arial"/>
          <w:color w:val="FF0000"/>
          <w:szCs w:val="22"/>
        </w:rPr>
      </w:pPr>
    </w:p>
    <w:p w:rsidR="0082194B" w:rsidRPr="00697E37" w:rsidRDefault="00E4627B" w:rsidP="0082194B">
      <w:pPr>
        <w:numPr>
          <w:ilvl w:val="1"/>
          <w:numId w:val="2"/>
        </w:numPr>
        <w:spacing w:after="240" w:line="276" w:lineRule="auto"/>
        <w:rPr>
          <w:rFonts w:cs="Arial"/>
          <w:szCs w:val="22"/>
        </w:rPr>
      </w:pPr>
      <w:r w:rsidRPr="00E4627B">
        <w:rPr>
          <w:szCs w:val="22"/>
        </w:rPr>
        <w:t xml:space="preserve">Please visit the </w:t>
      </w:r>
      <w:hyperlink r:id="rId15"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A103BE" w:rsidRPr="00783C36" w:rsidRDefault="00A103BE" w:rsidP="00A103BE">
      <w:pPr>
        <w:pStyle w:val="Heading1"/>
      </w:pPr>
      <w:r w:rsidRPr="00783C36">
        <w:lastRenderedPageBreak/>
        <w:t>Appendix: Accessibility and formatting guidance</w:t>
      </w:r>
    </w:p>
    <w:p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t>
      </w:r>
      <w:proofErr w:type="spellStart"/>
      <w:r>
        <w:t>WebAIM</w:t>
      </w:r>
      <w:proofErr w:type="spellEnd"/>
      <w:r>
        <w:t xml:space="preserve"> for more detailed information. </w:t>
      </w:r>
    </w:p>
    <w:p w:rsidR="00A103BE" w:rsidRPr="00164469" w:rsidRDefault="00A103BE" w:rsidP="00A103BE">
      <w:pPr>
        <w:pStyle w:val="Heading2"/>
      </w:pPr>
      <w:r w:rsidRPr="00164469">
        <w:t>Readability</w:t>
      </w:r>
    </w:p>
    <w:p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rsidR="00A103BE" w:rsidRPr="008C409D" w:rsidRDefault="00A103BE" w:rsidP="00A103BE">
      <w:pPr>
        <w:numPr>
          <w:ilvl w:val="0"/>
          <w:numId w:val="38"/>
        </w:numPr>
        <w:contextualSpacing/>
        <w:rPr>
          <w:szCs w:val="24"/>
          <w:lang w:eastAsia="en-GB"/>
        </w:rPr>
      </w:pPr>
      <w:r w:rsidRPr="008C409D">
        <w:rPr>
          <w:szCs w:val="24"/>
          <w:lang w:eastAsia="en-GB"/>
        </w:rPr>
        <w:t>The size of the font is at least 11pt;</w:t>
      </w:r>
    </w:p>
    <w:p w:rsidR="00A103BE" w:rsidRPr="008C409D" w:rsidRDefault="00A103BE" w:rsidP="00A103BE">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8C409D" w:rsidRDefault="00A103BE" w:rsidP="00A103BE">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rsidR="00A103BE" w:rsidRPr="008C409D" w:rsidRDefault="00A103BE" w:rsidP="00A103BE">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6" w:history="1">
        <w:r w:rsidRPr="008C409D">
          <w:rPr>
            <w:rFonts w:cs="Arial"/>
            <w:color w:val="0000FF"/>
            <w:u w:val="single"/>
          </w:rPr>
          <w:t>RNIB website</w:t>
        </w:r>
      </w:hyperlink>
      <w:r w:rsidRPr="008C409D">
        <w:rPr>
          <w:rFonts w:cs="Arial"/>
        </w:rPr>
        <w:t>.</w:t>
      </w:r>
    </w:p>
    <w:p w:rsidR="00A103BE" w:rsidRPr="00A103BE" w:rsidRDefault="00A103BE" w:rsidP="00A103BE">
      <w:pPr>
        <w:pStyle w:val="Heading2"/>
      </w:pPr>
      <w:r w:rsidRPr="00A103BE">
        <w:t>Accessibility</w:t>
      </w:r>
    </w:p>
    <w:p w:rsidR="00A103BE" w:rsidRPr="008C409D" w:rsidRDefault="00A103BE" w:rsidP="00A103BE">
      <w:r w:rsidRPr="008C409D">
        <w:t>Reports should adhere to the following guidelines:</w:t>
      </w:r>
    </w:p>
    <w:p w:rsidR="00A103BE" w:rsidRPr="006738C2" w:rsidRDefault="00A103BE" w:rsidP="00A103BE">
      <w:pPr>
        <w:pStyle w:val="Heading3"/>
      </w:pPr>
      <w:r w:rsidRPr="006738C2">
        <w:t>Formatting</w:t>
      </w:r>
    </w:p>
    <w:p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A103BE" w:rsidRPr="008C409D" w:rsidRDefault="00A103BE" w:rsidP="00A103BE">
      <w:pPr>
        <w:pStyle w:val="Heading3"/>
      </w:pPr>
      <w:bookmarkStart w:id="1" w:name="_Toc322438558"/>
      <w:r w:rsidRPr="008C409D">
        <w:t>Spacing</w:t>
      </w:r>
      <w:bookmarkEnd w:id="1"/>
    </w:p>
    <w:p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8C409D" w:rsidRDefault="00A103BE" w:rsidP="00A103BE">
      <w:pPr>
        <w:pStyle w:val="Heading3"/>
      </w:pPr>
      <w:r w:rsidRPr="008C409D">
        <w:t>Alternative text</w:t>
      </w:r>
    </w:p>
    <w:p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8C409D" w:rsidRDefault="00A103BE" w:rsidP="00A103BE">
      <w:pPr>
        <w:pStyle w:val="Heading3"/>
      </w:pPr>
      <w:r w:rsidRPr="008C409D">
        <w:t>Images</w:t>
      </w:r>
    </w:p>
    <w:p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rsidR="00A103BE" w:rsidRPr="008C409D" w:rsidRDefault="00A103BE" w:rsidP="00A103BE">
      <w:pPr>
        <w:pStyle w:val="Heading3"/>
      </w:pPr>
      <w:r w:rsidRPr="008C409D">
        <w:lastRenderedPageBreak/>
        <w:t>Tables</w:t>
      </w:r>
    </w:p>
    <w:p w:rsidR="00A103BE" w:rsidRPr="008C409D" w:rsidRDefault="00A103BE" w:rsidP="00A103BE">
      <w:pPr>
        <w:contextualSpacing/>
      </w:pPr>
      <w:r w:rsidRPr="008C409D">
        <w:t>These should be for used for presenting data and not for layout or design. They should also be simple, and include a descriptive title.</w:t>
      </w:r>
    </w:p>
    <w:p w:rsidR="00A103BE" w:rsidRPr="008C409D" w:rsidRDefault="00A103BE" w:rsidP="00A103BE">
      <w:pPr>
        <w:pStyle w:val="Heading3"/>
      </w:pPr>
      <w:r w:rsidRPr="008C409D">
        <w:t>Additional documents</w:t>
      </w:r>
    </w:p>
    <w:p w:rsidR="00A103BE" w:rsidRPr="008C409D" w:rsidRDefault="00A103BE" w:rsidP="00A103BE">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rsidR="00A103BE" w:rsidRPr="00164469" w:rsidRDefault="00A103BE" w:rsidP="00A103BE">
      <w:pPr>
        <w:pStyle w:val="Heading3"/>
      </w:pPr>
      <w:r w:rsidRPr="00164469">
        <w:t>Acknowledgement</w:t>
      </w:r>
    </w:p>
    <w:p w:rsidR="00A103BE" w:rsidRPr="00164469" w:rsidRDefault="00A103BE" w:rsidP="00A103BE">
      <w:pPr>
        <w:rPr>
          <w:rFonts w:cs="Arial"/>
        </w:rPr>
      </w:pPr>
      <w:r w:rsidRPr="00164469">
        <w:rPr>
          <w:rFonts w:cs="Arial"/>
        </w:rPr>
        <w:t xml:space="preserve">All reports should acknowledge HLF. Our logo can be found on the </w:t>
      </w:r>
      <w:hyperlink r:id="rId17" w:history="1">
        <w:r w:rsidRPr="00164469">
          <w:rPr>
            <w:rStyle w:val="Hyperlink"/>
            <w:rFonts w:cs="Arial"/>
          </w:rPr>
          <w:t>HLF website</w:t>
        </w:r>
      </w:hyperlink>
      <w:r w:rsidRPr="00164469">
        <w:rPr>
          <w:rFonts w:cs="Arial"/>
        </w:rPr>
        <w:t>.</w:t>
      </w:r>
    </w:p>
    <w:p w:rsidR="00A103BE" w:rsidRPr="00164469" w:rsidRDefault="00A103BE" w:rsidP="00A103BE">
      <w:pPr>
        <w:pStyle w:val="Heading3"/>
      </w:pPr>
      <w:r w:rsidRPr="00164469">
        <w:t>Further resources</w:t>
      </w:r>
    </w:p>
    <w:p w:rsidR="00A103BE" w:rsidRPr="00164469" w:rsidRDefault="00A103BE" w:rsidP="00A103BE">
      <w:pPr>
        <w:rPr>
          <w:rFonts w:cs="Arial"/>
        </w:rPr>
      </w:pPr>
      <w:r w:rsidRPr="00164469">
        <w:rPr>
          <w:rFonts w:cs="Arial"/>
        </w:rPr>
        <w:t>Please refer to the links below for further information:</w:t>
      </w:r>
    </w:p>
    <w:p w:rsidR="00A103BE" w:rsidRPr="00164469" w:rsidRDefault="00A103BE" w:rsidP="00A103BE">
      <w:pPr>
        <w:rPr>
          <w:rFonts w:cs="Arial"/>
        </w:rPr>
      </w:pPr>
    </w:p>
    <w:p w:rsidR="00A103BE" w:rsidRPr="00164469" w:rsidRDefault="00153B0D" w:rsidP="00A103BE">
      <w:pPr>
        <w:pStyle w:val="ListParagraph"/>
        <w:numPr>
          <w:ilvl w:val="0"/>
          <w:numId w:val="45"/>
        </w:numPr>
        <w:spacing w:after="200" w:line="276" w:lineRule="auto"/>
        <w:rPr>
          <w:rFonts w:cs="Arial"/>
        </w:rPr>
      </w:pPr>
      <w:hyperlink r:id="rId18" w:history="1">
        <w:r w:rsidR="00A103BE" w:rsidRPr="00164469">
          <w:rPr>
            <w:rStyle w:val="Hyperlink"/>
            <w:rFonts w:cs="Arial"/>
          </w:rPr>
          <w:t>'Microsoft Word: creating accessible documents' - webaim.org</w:t>
        </w:r>
      </w:hyperlink>
    </w:p>
    <w:p w:rsidR="00A103BE" w:rsidRPr="00164469" w:rsidRDefault="00153B0D" w:rsidP="00A103BE">
      <w:pPr>
        <w:pStyle w:val="ListParagraph"/>
        <w:numPr>
          <w:ilvl w:val="0"/>
          <w:numId w:val="45"/>
        </w:numPr>
        <w:spacing w:after="200" w:line="276" w:lineRule="auto"/>
        <w:rPr>
          <w:rFonts w:cs="Arial"/>
        </w:rPr>
      </w:pPr>
      <w:hyperlink r:id="rId19" w:history="1">
        <w:r w:rsidR="00A103BE" w:rsidRPr="00164469">
          <w:rPr>
            <w:rStyle w:val="Hyperlink"/>
            <w:rFonts w:cs="Arial"/>
          </w:rPr>
          <w:t>'How to create an accessible PDF' - GOV.UK</w:t>
        </w:r>
      </w:hyperlink>
    </w:p>
    <w:p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20" w:history="1">
        <w:r w:rsidRPr="00164469">
          <w:rPr>
            <w:rStyle w:val="Hyperlink"/>
            <w:rFonts w:cs="Arial"/>
          </w:rPr>
          <w:t>Shaw Trust</w:t>
        </w:r>
      </w:hyperlink>
      <w:r w:rsidRPr="00164469">
        <w:rPr>
          <w:rFonts w:cs="Arial"/>
        </w:rPr>
        <w:t xml:space="preserve"> and </w:t>
      </w:r>
      <w:hyperlink r:id="rId21" w:history="1">
        <w:r w:rsidRPr="00164469">
          <w:rPr>
            <w:rStyle w:val="Hyperlink"/>
            <w:rFonts w:cs="Arial"/>
          </w:rPr>
          <w:t>The Accessible Digital Documents Company</w:t>
        </w:r>
      </w:hyperlink>
      <w:r w:rsidRPr="00164469">
        <w:rPr>
          <w:rFonts w:cs="Arial"/>
        </w:rPr>
        <w:t>.</w:t>
      </w:r>
    </w:p>
    <w:p w:rsidR="00A103BE" w:rsidRPr="00164469" w:rsidRDefault="00A103BE" w:rsidP="00A103BE">
      <w:pPr>
        <w:rPr>
          <w:rFonts w:cs="Arial"/>
        </w:rPr>
      </w:pPr>
    </w:p>
    <w:p w:rsidR="00A103BE" w:rsidRPr="00164469" w:rsidRDefault="00A103BE" w:rsidP="00A103BE">
      <w:pPr>
        <w:rPr>
          <w:rFonts w:cs="Arial"/>
        </w:rPr>
      </w:pPr>
      <w:r w:rsidRPr="00164469">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6B" w:rsidRDefault="00800B6B">
      <w:r>
        <w:separator/>
      </w:r>
    </w:p>
  </w:endnote>
  <w:endnote w:type="continuationSeparator" w:id="0">
    <w:p w:rsidR="00800B6B" w:rsidRDefault="0080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153B0D">
      <w:rPr>
        <w:rStyle w:val="PageNumber"/>
        <w:rFonts w:cs="Arial"/>
        <w:noProof/>
        <w:sz w:val="20"/>
      </w:rPr>
      <w:t>2</w:t>
    </w:r>
    <w:r w:rsidRPr="00FE2F89">
      <w:rPr>
        <w:rStyle w:val="PageNumber"/>
        <w:rFonts w:cs="Arial"/>
        <w:sz w:val="20"/>
      </w:rPr>
      <w:fldChar w:fldCharType="end"/>
    </w:r>
  </w:p>
  <w:p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Default="00847015"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847015" w:rsidRPr="00DC45DF" w:rsidRDefault="00847015" w:rsidP="00C93A35">
    <w:pPr>
      <w:pStyle w:val="Footer"/>
      <w:ind w:left="-1260" w:right="-1176"/>
      <w:jc w:val="center"/>
      <w:rPr>
        <w:sz w:val="20"/>
      </w:rPr>
    </w:pPr>
  </w:p>
  <w:p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6B" w:rsidRDefault="00800B6B">
      <w:r>
        <w:separator/>
      </w:r>
    </w:p>
  </w:footnote>
  <w:footnote w:type="continuationSeparator" w:id="0">
    <w:p w:rsidR="00800B6B" w:rsidRDefault="00800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Default="00847015"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6">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F5438A9"/>
    <w:multiLevelType w:val="hybridMultilevel"/>
    <w:tmpl w:val="B8B47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6">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BD34A4"/>
    <w:multiLevelType w:val="hybridMultilevel"/>
    <w:tmpl w:val="38F44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3">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0F85BE2"/>
    <w:multiLevelType w:val="hybridMultilevel"/>
    <w:tmpl w:val="605C0A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9D3C85"/>
    <w:multiLevelType w:val="hybridMultilevel"/>
    <w:tmpl w:val="D8DC1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9">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33"/>
  </w:num>
  <w:num w:numId="3">
    <w:abstractNumId w:val="49"/>
  </w:num>
  <w:num w:numId="4">
    <w:abstractNumId w:val="37"/>
  </w:num>
  <w:num w:numId="5">
    <w:abstractNumId w:val="12"/>
  </w:num>
  <w:num w:numId="6">
    <w:abstractNumId w:val="20"/>
  </w:num>
  <w:num w:numId="7">
    <w:abstractNumId w:val="35"/>
  </w:num>
  <w:num w:numId="8">
    <w:abstractNumId w:val="4"/>
  </w:num>
  <w:num w:numId="9">
    <w:abstractNumId w:val="45"/>
  </w:num>
  <w:num w:numId="10">
    <w:abstractNumId w:val="23"/>
  </w:num>
  <w:num w:numId="11">
    <w:abstractNumId w:val="26"/>
  </w:num>
  <w:num w:numId="12">
    <w:abstractNumId w:val="13"/>
  </w:num>
  <w:num w:numId="13">
    <w:abstractNumId w:val="47"/>
  </w:num>
  <w:num w:numId="14">
    <w:abstractNumId w:val="2"/>
  </w:num>
  <w:num w:numId="15">
    <w:abstractNumId w:val="1"/>
  </w:num>
  <w:num w:numId="16">
    <w:abstractNumId w:val="22"/>
  </w:num>
  <w:num w:numId="17">
    <w:abstractNumId w:val="46"/>
  </w:num>
  <w:num w:numId="18">
    <w:abstractNumId w:val="17"/>
  </w:num>
  <w:num w:numId="19">
    <w:abstractNumId w:val="34"/>
  </w:num>
  <w:num w:numId="20">
    <w:abstractNumId w:val="21"/>
  </w:num>
  <w:num w:numId="21">
    <w:abstractNumId w:val="10"/>
  </w:num>
  <w:num w:numId="22">
    <w:abstractNumId w:val="5"/>
  </w:num>
  <w:num w:numId="23">
    <w:abstractNumId w:val="11"/>
  </w:num>
  <w:num w:numId="24">
    <w:abstractNumId w:val="38"/>
  </w:num>
  <w:num w:numId="25">
    <w:abstractNumId w:val="39"/>
  </w:num>
  <w:num w:numId="26">
    <w:abstractNumId w:val="14"/>
  </w:num>
  <w:num w:numId="27">
    <w:abstractNumId w:val="9"/>
  </w:num>
  <w:num w:numId="28">
    <w:abstractNumId w:val="7"/>
  </w:num>
  <w:num w:numId="29">
    <w:abstractNumId w:val="0"/>
  </w:num>
  <w:num w:numId="30">
    <w:abstractNumId w:val="27"/>
  </w:num>
  <w:num w:numId="31">
    <w:abstractNumId w:val="41"/>
  </w:num>
  <w:num w:numId="32">
    <w:abstractNumId w:val="32"/>
  </w:num>
  <w:num w:numId="33">
    <w:abstractNumId w:val="15"/>
  </w:num>
  <w:num w:numId="34">
    <w:abstractNumId w:val="42"/>
  </w:num>
  <w:num w:numId="35">
    <w:abstractNumId w:val="6"/>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8"/>
  </w:num>
  <w:num w:numId="39">
    <w:abstractNumId w:val="43"/>
  </w:num>
  <w:num w:numId="40">
    <w:abstractNumId w:val="40"/>
  </w:num>
  <w:num w:numId="41">
    <w:abstractNumId w:val="18"/>
  </w:num>
  <w:num w:numId="42">
    <w:abstractNumId w:val="25"/>
  </w:num>
  <w:num w:numId="43">
    <w:abstractNumId w:val="48"/>
  </w:num>
  <w:num w:numId="44">
    <w:abstractNumId w:val="19"/>
  </w:num>
  <w:num w:numId="45">
    <w:abstractNumId w:val="31"/>
  </w:num>
  <w:num w:numId="46">
    <w:abstractNumId w:val="16"/>
  </w:num>
  <w:num w:numId="47">
    <w:abstractNumId w:val="36"/>
  </w:num>
  <w:num w:numId="48">
    <w:abstractNumId w:val="24"/>
  </w:num>
  <w:num w:numId="49">
    <w:abstractNumId w:val="28"/>
  </w:num>
  <w:num w:numId="50">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63"/>
    <w:rsid w:val="00010655"/>
    <w:rsid w:val="000232DC"/>
    <w:rsid w:val="00023FF3"/>
    <w:rsid w:val="000302FA"/>
    <w:rsid w:val="00044308"/>
    <w:rsid w:val="00056B22"/>
    <w:rsid w:val="000600B0"/>
    <w:rsid w:val="000629D7"/>
    <w:rsid w:val="00065DF2"/>
    <w:rsid w:val="0007195E"/>
    <w:rsid w:val="00080479"/>
    <w:rsid w:val="00084D37"/>
    <w:rsid w:val="00087032"/>
    <w:rsid w:val="000A2D9E"/>
    <w:rsid w:val="000B1288"/>
    <w:rsid w:val="000B4E51"/>
    <w:rsid w:val="000C0DC9"/>
    <w:rsid w:val="000C1537"/>
    <w:rsid w:val="000C457B"/>
    <w:rsid w:val="000C4FFB"/>
    <w:rsid w:val="000D05FE"/>
    <w:rsid w:val="000E4409"/>
    <w:rsid w:val="00100665"/>
    <w:rsid w:val="0010334A"/>
    <w:rsid w:val="0011075E"/>
    <w:rsid w:val="0012514A"/>
    <w:rsid w:val="00130E94"/>
    <w:rsid w:val="00131128"/>
    <w:rsid w:val="001467AF"/>
    <w:rsid w:val="00153B0D"/>
    <w:rsid w:val="00156E03"/>
    <w:rsid w:val="00157446"/>
    <w:rsid w:val="00164796"/>
    <w:rsid w:val="00175979"/>
    <w:rsid w:val="00183CA1"/>
    <w:rsid w:val="001855AF"/>
    <w:rsid w:val="00193C0A"/>
    <w:rsid w:val="001A510E"/>
    <w:rsid w:val="001A5F4A"/>
    <w:rsid w:val="001B0833"/>
    <w:rsid w:val="001B0A45"/>
    <w:rsid w:val="001B3754"/>
    <w:rsid w:val="001B633C"/>
    <w:rsid w:val="001C3408"/>
    <w:rsid w:val="001C54FE"/>
    <w:rsid w:val="001D5F79"/>
    <w:rsid w:val="001E0220"/>
    <w:rsid w:val="001F667D"/>
    <w:rsid w:val="0021230D"/>
    <w:rsid w:val="00230F44"/>
    <w:rsid w:val="00234ED8"/>
    <w:rsid w:val="002409F5"/>
    <w:rsid w:val="00245CDA"/>
    <w:rsid w:val="00252DBB"/>
    <w:rsid w:val="00274270"/>
    <w:rsid w:val="00286E4F"/>
    <w:rsid w:val="0029057B"/>
    <w:rsid w:val="002A3C07"/>
    <w:rsid w:val="002B403B"/>
    <w:rsid w:val="002B736C"/>
    <w:rsid w:val="002C3BCE"/>
    <w:rsid w:val="002D1955"/>
    <w:rsid w:val="002D6957"/>
    <w:rsid w:val="002E6DE0"/>
    <w:rsid w:val="002F2E3D"/>
    <w:rsid w:val="0030091E"/>
    <w:rsid w:val="0030363F"/>
    <w:rsid w:val="00304AC1"/>
    <w:rsid w:val="00310EB0"/>
    <w:rsid w:val="003119D1"/>
    <w:rsid w:val="0032402A"/>
    <w:rsid w:val="00334094"/>
    <w:rsid w:val="00337632"/>
    <w:rsid w:val="00337D2E"/>
    <w:rsid w:val="003440FF"/>
    <w:rsid w:val="003653D3"/>
    <w:rsid w:val="00370C76"/>
    <w:rsid w:val="00372811"/>
    <w:rsid w:val="00374149"/>
    <w:rsid w:val="00390875"/>
    <w:rsid w:val="003A137A"/>
    <w:rsid w:val="003A3FA3"/>
    <w:rsid w:val="003A6577"/>
    <w:rsid w:val="003B180F"/>
    <w:rsid w:val="003B186B"/>
    <w:rsid w:val="003B28E9"/>
    <w:rsid w:val="003C0CAC"/>
    <w:rsid w:val="003C5497"/>
    <w:rsid w:val="003D688D"/>
    <w:rsid w:val="003E1863"/>
    <w:rsid w:val="00406171"/>
    <w:rsid w:val="00410299"/>
    <w:rsid w:val="0042281E"/>
    <w:rsid w:val="004328A0"/>
    <w:rsid w:val="00437E6F"/>
    <w:rsid w:val="00441942"/>
    <w:rsid w:val="00457454"/>
    <w:rsid w:val="00481AC9"/>
    <w:rsid w:val="00485DF2"/>
    <w:rsid w:val="004A1711"/>
    <w:rsid w:val="004A57F3"/>
    <w:rsid w:val="004A60CE"/>
    <w:rsid w:val="004C39CE"/>
    <w:rsid w:val="004C558D"/>
    <w:rsid w:val="004C68BD"/>
    <w:rsid w:val="004C69E3"/>
    <w:rsid w:val="004D2D17"/>
    <w:rsid w:val="004D30D5"/>
    <w:rsid w:val="004D31DE"/>
    <w:rsid w:val="004E0346"/>
    <w:rsid w:val="004E161A"/>
    <w:rsid w:val="004E50DD"/>
    <w:rsid w:val="004F29AC"/>
    <w:rsid w:val="004F2D8D"/>
    <w:rsid w:val="00506D30"/>
    <w:rsid w:val="00511955"/>
    <w:rsid w:val="00525D11"/>
    <w:rsid w:val="00525F85"/>
    <w:rsid w:val="00533801"/>
    <w:rsid w:val="00543341"/>
    <w:rsid w:val="00551CF6"/>
    <w:rsid w:val="005663EE"/>
    <w:rsid w:val="00571E12"/>
    <w:rsid w:val="00586075"/>
    <w:rsid w:val="0058712E"/>
    <w:rsid w:val="0059222F"/>
    <w:rsid w:val="005949B6"/>
    <w:rsid w:val="005956B7"/>
    <w:rsid w:val="005A5561"/>
    <w:rsid w:val="005C5052"/>
    <w:rsid w:val="005D2D99"/>
    <w:rsid w:val="005D726F"/>
    <w:rsid w:val="005D78CC"/>
    <w:rsid w:val="005E2B6C"/>
    <w:rsid w:val="005E6084"/>
    <w:rsid w:val="005F01C7"/>
    <w:rsid w:val="005F3B9A"/>
    <w:rsid w:val="005F7F3F"/>
    <w:rsid w:val="00601065"/>
    <w:rsid w:val="006018FA"/>
    <w:rsid w:val="006101AF"/>
    <w:rsid w:val="0061033A"/>
    <w:rsid w:val="0061657B"/>
    <w:rsid w:val="00617D51"/>
    <w:rsid w:val="00626563"/>
    <w:rsid w:val="006309C5"/>
    <w:rsid w:val="00632758"/>
    <w:rsid w:val="00635984"/>
    <w:rsid w:val="0063783B"/>
    <w:rsid w:val="0064695C"/>
    <w:rsid w:val="00646D58"/>
    <w:rsid w:val="0066252D"/>
    <w:rsid w:val="00667856"/>
    <w:rsid w:val="00671D59"/>
    <w:rsid w:val="00690EA9"/>
    <w:rsid w:val="0069257C"/>
    <w:rsid w:val="00697E37"/>
    <w:rsid w:val="006B27B4"/>
    <w:rsid w:val="006B4F27"/>
    <w:rsid w:val="006D3573"/>
    <w:rsid w:val="006E4C66"/>
    <w:rsid w:val="006F2D71"/>
    <w:rsid w:val="006F375E"/>
    <w:rsid w:val="006F41A3"/>
    <w:rsid w:val="006F47FA"/>
    <w:rsid w:val="00701F0C"/>
    <w:rsid w:val="0070362F"/>
    <w:rsid w:val="007041AF"/>
    <w:rsid w:val="00705DBB"/>
    <w:rsid w:val="00711011"/>
    <w:rsid w:val="00723DFE"/>
    <w:rsid w:val="00730BBE"/>
    <w:rsid w:val="00734E40"/>
    <w:rsid w:val="00743E11"/>
    <w:rsid w:val="00766541"/>
    <w:rsid w:val="00774489"/>
    <w:rsid w:val="00785B3B"/>
    <w:rsid w:val="007A096A"/>
    <w:rsid w:val="007A3B89"/>
    <w:rsid w:val="007B4B9B"/>
    <w:rsid w:val="007C0317"/>
    <w:rsid w:val="007C29BF"/>
    <w:rsid w:val="007C40BC"/>
    <w:rsid w:val="007C42CF"/>
    <w:rsid w:val="007D4608"/>
    <w:rsid w:val="007D5EE0"/>
    <w:rsid w:val="007D7154"/>
    <w:rsid w:val="007D750C"/>
    <w:rsid w:val="007F22D4"/>
    <w:rsid w:val="00800B6B"/>
    <w:rsid w:val="00807DE0"/>
    <w:rsid w:val="0082194B"/>
    <w:rsid w:val="0082540F"/>
    <w:rsid w:val="008341BC"/>
    <w:rsid w:val="0084478B"/>
    <w:rsid w:val="00847015"/>
    <w:rsid w:val="00860E33"/>
    <w:rsid w:val="0086443C"/>
    <w:rsid w:val="0087078E"/>
    <w:rsid w:val="00871A60"/>
    <w:rsid w:val="00895A89"/>
    <w:rsid w:val="008A38C7"/>
    <w:rsid w:val="008A4DA4"/>
    <w:rsid w:val="008A5F51"/>
    <w:rsid w:val="008D4111"/>
    <w:rsid w:val="008E4937"/>
    <w:rsid w:val="0090103C"/>
    <w:rsid w:val="009012D3"/>
    <w:rsid w:val="00914043"/>
    <w:rsid w:val="00916A9D"/>
    <w:rsid w:val="00916ECA"/>
    <w:rsid w:val="00933D4B"/>
    <w:rsid w:val="0097623A"/>
    <w:rsid w:val="00986BD2"/>
    <w:rsid w:val="009901B6"/>
    <w:rsid w:val="009970CC"/>
    <w:rsid w:val="009A0AFE"/>
    <w:rsid w:val="009B0D88"/>
    <w:rsid w:val="009B3BF9"/>
    <w:rsid w:val="009C7A47"/>
    <w:rsid w:val="009D7BCE"/>
    <w:rsid w:val="009E147C"/>
    <w:rsid w:val="009E7000"/>
    <w:rsid w:val="009F733A"/>
    <w:rsid w:val="00A05123"/>
    <w:rsid w:val="00A06A66"/>
    <w:rsid w:val="00A07B2C"/>
    <w:rsid w:val="00A103BE"/>
    <w:rsid w:val="00A140CF"/>
    <w:rsid w:val="00A263F6"/>
    <w:rsid w:val="00A313B1"/>
    <w:rsid w:val="00A3484F"/>
    <w:rsid w:val="00A37458"/>
    <w:rsid w:val="00A41680"/>
    <w:rsid w:val="00A41848"/>
    <w:rsid w:val="00A42AF1"/>
    <w:rsid w:val="00A52F79"/>
    <w:rsid w:val="00A61094"/>
    <w:rsid w:val="00A70C89"/>
    <w:rsid w:val="00A75320"/>
    <w:rsid w:val="00A75D04"/>
    <w:rsid w:val="00A75F0A"/>
    <w:rsid w:val="00A77FE7"/>
    <w:rsid w:val="00A83298"/>
    <w:rsid w:val="00A83C91"/>
    <w:rsid w:val="00A87B76"/>
    <w:rsid w:val="00A96B6A"/>
    <w:rsid w:val="00AA004E"/>
    <w:rsid w:val="00AA00D4"/>
    <w:rsid w:val="00AA37EE"/>
    <w:rsid w:val="00AA7BD2"/>
    <w:rsid w:val="00AB6493"/>
    <w:rsid w:val="00AC14FF"/>
    <w:rsid w:val="00AC368F"/>
    <w:rsid w:val="00AE0C61"/>
    <w:rsid w:val="00AE2088"/>
    <w:rsid w:val="00AE436A"/>
    <w:rsid w:val="00AF57EC"/>
    <w:rsid w:val="00B11CB8"/>
    <w:rsid w:val="00B3228E"/>
    <w:rsid w:val="00B42AA0"/>
    <w:rsid w:val="00B47373"/>
    <w:rsid w:val="00B50AEE"/>
    <w:rsid w:val="00B52005"/>
    <w:rsid w:val="00B61E0C"/>
    <w:rsid w:val="00B62348"/>
    <w:rsid w:val="00B63A91"/>
    <w:rsid w:val="00B66C11"/>
    <w:rsid w:val="00B755B1"/>
    <w:rsid w:val="00B831A0"/>
    <w:rsid w:val="00BA1623"/>
    <w:rsid w:val="00BA554C"/>
    <w:rsid w:val="00BA6125"/>
    <w:rsid w:val="00BB427C"/>
    <w:rsid w:val="00BC0577"/>
    <w:rsid w:val="00BC6770"/>
    <w:rsid w:val="00BD163B"/>
    <w:rsid w:val="00BD4BBE"/>
    <w:rsid w:val="00C04DFD"/>
    <w:rsid w:val="00C10E1D"/>
    <w:rsid w:val="00C231DD"/>
    <w:rsid w:val="00C26086"/>
    <w:rsid w:val="00C31B0F"/>
    <w:rsid w:val="00C3726D"/>
    <w:rsid w:val="00C507FB"/>
    <w:rsid w:val="00C53228"/>
    <w:rsid w:val="00C72BAF"/>
    <w:rsid w:val="00C73C83"/>
    <w:rsid w:val="00C75004"/>
    <w:rsid w:val="00C75AE9"/>
    <w:rsid w:val="00C777DD"/>
    <w:rsid w:val="00C819A0"/>
    <w:rsid w:val="00C93A35"/>
    <w:rsid w:val="00CB4162"/>
    <w:rsid w:val="00CB4ACA"/>
    <w:rsid w:val="00CB6EA7"/>
    <w:rsid w:val="00CD33AB"/>
    <w:rsid w:val="00CD6BCA"/>
    <w:rsid w:val="00CD6F79"/>
    <w:rsid w:val="00CD7B50"/>
    <w:rsid w:val="00CE43E4"/>
    <w:rsid w:val="00CF0490"/>
    <w:rsid w:val="00CF253B"/>
    <w:rsid w:val="00CF3EFA"/>
    <w:rsid w:val="00CF6323"/>
    <w:rsid w:val="00D00803"/>
    <w:rsid w:val="00D02935"/>
    <w:rsid w:val="00D07124"/>
    <w:rsid w:val="00D13DCB"/>
    <w:rsid w:val="00D20CFD"/>
    <w:rsid w:val="00D22C1B"/>
    <w:rsid w:val="00D23D3E"/>
    <w:rsid w:val="00D27190"/>
    <w:rsid w:val="00D27AC4"/>
    <w:rsid w:val="00D32ACE"/>
    <w:rsid w:val="00D54BBE"/>
    <w:rsid w:val="00D56044"/>
    <w:rsid w:val="00D61E71"/>
    <w:rsid w:val="00D62225"/>
    <w:rsid w:val="00D721B9"/>
    <w:rsid w:val="00D74D78"/>
    <w:rsid w:val="00D74FFB"/>
    <w:rsid w:val="00D83401"/>
    <w:rsid w:val="00D92A41"/>
    <w:rsid w:val="00DA0AEF"/>
    <w:rsid w:val="00DA2F57"/>
    <w:rsid w:val="00DB2497"/>
    <w:rsid w:val="00DB5DDE"/>
    <w:rsid w:val="00DC350E"/>
    <w:rsid w:val="00DC45DF"/>
    <w:rsid w:val="00DC6B35"/>
    <w:rsid w:val="00DD0D84"/>
    <w:rsid w:val="00DD29EF"/>
    <w:rsid w:val="00DD60E7"/>
    <w:rsid w:val="00DD78BF"/>
    <w:rsid w:val="00DF17DC"/>
    <w:rsid w:val="00DF1B4E"/>
    <w:rsid w:val="00DF3BDB"/>
    <w:rsid w:val="00E00936"/>
    <w:rsid w:val="00E01E77"/>
    <w:rsid w:val="00E041AC"/>
    <w:rsid w:val="00E04BF0"/>
    <w:rsid w:val="00E13B2A"/>
    <w:rsid w:val="00E15BBB"/>
    <w:rsid w:val="00E446E6"/>
    <w:rsid w:val="00E4627B"/>
    <w:rsid w:val="00E61EE1"/>
    <w:rsid w:val="00E63058"/>
    <w:rsid w:val="00E7611E"/>
    <w:rsid w:val="00E83D56"/>
    <w:rsid w:val="00E86DC7"/>
    <w:rsid w:val="00E87C87"/>
    <w:rsid w:val="00E91339"/>
    <w:rsid w:val="00EA3ED2"/>
    <w:rsid w:val="00EA7234"/>
    <w:rsid w:val="00ED3A60"/>
    <w:rsid w:val="00ED5E78"/>
    <w:rsid w:val="00EE1D43"/>
    <w:rsid w:val="00EF0AA1"/>
    <w:rsid w:val="00EF1286"/>
    <w:rsid w:val="00EF48E1"/>
    <w:rsid w:val="00F03DBE"/>
    <w:rsid w:val="00F2013B"/>
    <w:rsid w:val="00F44D6F"/>
    <w:rsid w:val="00F45311"/>
    <w:rsid w:val="00F471F2"/>
    <w:rsid w:val="00F52988"/>
    <w:rsid w:val="00F61389"/>
    <w:rsid w:val="00F61636"/>
    <w:rsid w:val="00F70CBA"/>
    <w:rsid w:val="00F721AD"/>
    <w:rsid w:val="00F75A7D"/>
    <w:rsid w:val="00F86528"/>
    <w:rsid w:val="00F970EE"/>
    <w:rsid w:val="00FA3F8F"/>
    <w:rsid w:val="00FB5F73"/>
    <w:rsid w:val="00FC222D"/>
    <w:rsid w:val="00FC6B0C"/>
    <w:rsid w:val="00FD017D"/>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494304516">
      <w:bodyDiv w:val="1"/>
      <w:marLeft w:val="0"/>
      <w:marRight w:val="0"/>
      <w:marTop w:val="0"/>
      <w:marBottom w:val="0"/>
      <w:divBdr>
        <w:top w:val="none" w:sz="0" w:space="0" w:color="auto"/>
        <w:left w:val="none" w:sz="0" w:space="0" w:color="auto"/>
        <w:bottom w:val="none" w:sz="0" w:space="0" w:color="auto"/>
        <w:right w:val="none" w:sz="0" w:space="0" w:color="auto"/>
      </w:divBdr>
    </w:div>
    <w:div w:id="954866051">
      <w:bodyDiv w:val="1"/>
      <w:marLeft w:val="0"/>
      <w:marRight w:val="0"/>
      <w:marTop w:val="0"/>
      <w:marBottom w:val="0"/>
      <w:divBdr>
        <w:top w:val="none" w:sz="0" w:space="0" w:color="auto"/>
        <w:left w:val="none" w:sz="0" w:space="0" w:color="auto"/>
        <w:bottom w:val="none" w:sz="0" w:space="0" w:color="auto"/>
        <w:right w:val="none" w:sz="0" w:space="0" w:color="auto"/>
      </w:divBdr>
    </w:div>
    <w:div w:id="1002045741">
      <w:bodyDiv w:val="1"/>
      <w:marLeft w:val="0"/>
      <w:marRight w:val="0"/>
      <w:marTop w:val="0"/>
      <w:marBottom w:val="0"/>
      <w:divBdr>
        <w:top w:val="none" w:sz="0" w:space="0" w:color="auto"/>
        <w:left w:val="none" w:sz="0" w:space="0" w:color="auto"/>
        <w:bottom w:val="none" w:sz="0" w:space="0" w:color="auto"/>
        <w:right w:val="none" w:sz="0" w:space="0" w:color="auto"/>
      </w:divBdr>
    </w:div>
    <w:div w:id="1375809853">
      <w:bodyDiv w:val="1"/>
      <w:marLeft w:val="0"/>
      <w:marRight w:val="0"/>
      <w:marTop w:val="0"/>
      <w:marBottom w:val="0"/>
      <w:divBdr>
        <w:top w:val="none" w:sz="0" w:space="0" w:color="auto"/>
        <w:left w:val="none" w:sz="0" w:space="0" w:color="auto"/>
        <w:bottom w:val="none" w:sz="0" w:space="0" w:color="auto"/>
        <w:right w:val="none" w:sz="0" w:space="0" w:color="auto"/>
      </w:divBdr>
    </w:div>
    <w:div w:id="18001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lf.org.uk/about-us/corporate-information/transparency/tenders" TargetMode="External"/><Relationship Id="rId18" Type="http://schemas.openxmlformats.org/officeDocument/2006/relationships/hyperlink" Target="http://webaim.org/techniques/wo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ccessible-digital-documents.com/" TargetMode="External"/><Relationship Id="rId7" Type="http://schemas.openxmlformats.org/officeDocument/2006/relationships/footnotes" Target="footnotes.xml"/><Relationship Id="rId12" Type="http://schemas.openxmlformats.org/officeDocument/2006/relationships/hyperlink" Target="https://www.mrs.org.uk/pdf/2013-04-23%20MRS%20SRA%20-%20DP%20Guidelines%20updated.pdf" TargetMode="External"/><Relationship Id="rId17" Type="http://schemas.openxmlformats.org/officeDocument/2006/relationships/hyperlink" Target="http://www.hlf.org.uk/grantholders/acknowledgement/Pages/Logosandacknowledgement.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nib.org.uk/Pages/Home.aspx" TargetMode="External"/><Relationship Id="rId20" Type="http://schemas.openxmlformats.org/officeDocument/2006/relationships/hyperlink" Target="http://webacc.shaw-trust.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lf.org.uk/catalyst-endowments-evaluatio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lf.org.uk/Pages/Home.aspx" TargetMode="External"/><Relationship Id="rId23" Type="http://schemas.openxmlformats.org/officeDocument/2006/relationships/footer" Target="footer2.xml"/><Relationship Id="rId10" Type="http://schemas.openxmlformats.org/officeDocument/2006/relationships/hyperlink" Target="https://www.hlf.org.uk/looking-funding/our-grant-programmes/catalyst-endowments" TargetMode="External"/><Relationship Id="rId19" Type="http://schemas.openxmlformats.org/officeDocument/2006/relationships/hyperlink" Target="https://www.gov.uk/guidance/how-to-publish-on-gov-uk/accessible-pdfs" TargetMode="External"/><Relationship Id="rId4" Type="http://schemas.microsoft.com/office/2007/relationships/stylesWithEffects" Target="stylesWithEffect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mailto:hilary.leavy@hlf.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C4A0-5A0B-47F4-9909-F560CA80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3722</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Gemma Thorpe</cp:lastModifiedBy>
  <cp:revision>3</cp:revision>
  <cp:lastPrinted>2017-10-04T08:51:00Z</cp:lastPrinted>
  <dcterms:created xsi:type="dcterms:W3CDTF">2017-10-18T08:20:00Z</dcterms:created>
  <dcterms:modified xsi:type="dcterms:W3CDTF">2017-10-18T10:03:00Z</dcterms:modified>
</cp:coreProperties>
</file>