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855" w:rsidRPr="008D4855" w:rsidRDefault="008D4855" w:rsidP="008D4855">
      <w:pPr>
        <w:pStyle w:val="Heading1"/>
        <w:keepNext w:val="0"/>
        <w:spacing w:after="300"/>
        <w:ind w:right="0"/>
        <w:rPr>
          <w:sz w:val="22"/>
          <w:szCs w:val="22"/>
        </w:rPr>
      </w:pPr>
      <w:r w:rsidRPr="008D4855">
        <w:rPr>
          <w:sz w:val="22"/>
          <w:szCs w:val="22"/>
        </w:rPr>
        <w:t>TCA 3/7/102</w:t>
      </w:r>
      <w:r w:rsidR="00182788">
        <w:rPr>
          <w:sz w:val="22"/>
          <w:szCs w:val="22"/>
        </w:rPr>
        <w:t>3</w:t>
      </w:r>
    </w:p>
    <w:p w:rsidR="008D4855" w:rsidRPr="008D4855" w:rsidRDefault="008D4855" w:rsidP="008D4855">
      <w:pPr>
        <w:pStyle w:val="Heading1"/>
        <w:keepNext w:val="0"/>
        <w:spacing w:after="300"/>
        <w:ind w:right="0"/>
        <w:rPr>
          <w:sz w:val="22"/>
          <w:szCs w:val="22"/>
        </w:rPr>
      </w:pPr>
      <w:r w:rsidRPr="008D4855">
        <w:rPr>
          <w:sz w:val="22"/>
          <w:szCs w:val="22"/>
        </w:rPr>
        <w:t>INSTRUCTIONS ON SUBMISSION OF TENDERS</w:t>
      </w:r>
    </w:p>
    <w:p w:rsidR="008D4855" w:rsidRPr="008D4855" w:rsidRDefault="008D4855" w:rsidP="008D4855">
      <w:pPr>
        <w:keepLines/>
        <w:suppressLineNumbers/>
        <w:suppressAutoHyphens/>
        <w:spacing w:before="120" w:after="120"/>
        <w:ind w:left="709" w:hanging="709"/>
        <w:jc w:val="both"/>
        <w:rPr>
          <w:rFonts w:ascii="Arial" w:hAnsi="Arial" w:cs="Arial"/>
        </w:rPr>
      </w:pPr>
      <w:r>
        <w:t>1.</w:t>
      </w:r>
      <w:r>
        <w:tab/>
      </w:r>
      <w:r w:rsidRPr="008D4855">
        <w:rPr>
          <w:rFonts w:ascii="Arial" w:hAnsi="Arial" w:cs="Arial"/>
        </w:rPr>
        <w:t xml:space="preserve">The </w:t>
      </w:r>
      <w:r w:rsidR="00463459">
        <w:rPr>
          <w:rFonts w:ascii="Arial" w:hAnsi="Arial" w:cs="Arial"/>
        </w:rPr>
        <w:t xml:space="preserve">MCA </w:t>
      </w:r>
      <w:r w:rsidRPr="008D4855">
        <w:rPr>
          <w:rFonts w:ascii="Arial" w:hAnsi="Arial" w:cs="Arial"/>
        </w:rPr>
        <w:t xml:space="preserve">looks forward to receiving your tender for the work described in the attached documents. To ensure fairness all tenderers are required to submit their tenders in accordance with these instructions. </w:t>
      </w:r>
      <w:r w:rsidRPr="008D4855">
        <w:rPr>
          <w:rFonts w:ascii="Arial" w:hAnsi="Arial" w:cs="Arial"/>
          <w:b/>
        </w:rPr>
        <w:t>Failure to comply could invalidate your tender</w:t>
      </w:r>
      <w:r w:rsidRPr="008D4855">
        <w:rPr>
          <w:rFonts w:ascii="Arial" w:hAnsi="Arial" w:cs="Arial"/>
        </w:rPr>
        <w:t>.</w:t>
      </w:r>
    </w:p>
    <w:p w:rsidR="008D4855" w:rsidRDefault="008D4855" w:rsidP="008D4855">
      <w:pPr>
        <w:pStyle w:val="DfTLevel1"/>
        <w:keepLines/>
        <w:numPr>
          <w:ilvl w:val="0"/>
          <w:numId w:val="5"/>
        </w:numPr>
        <w:suppressLineNumbers/>
        <w:spacing w:before="120" w:after="120"/>
        <w:jc w:val="both"/>
        <w:rPr>
          <w:rFonts w:cs="Arial"/>
          <w:sz w:val="22"/>
          <w:szCs w:val="22"/>
        </w:rPr>
      </w:pPr>
      <w:r w:rsidRPr="008D4855">
        <w:rPr>
          <w:rFonts w:cs="Arial"/>
          <w:sz w:val="22"/>
          <w:szCs w:val="22"/>
        </w:rPr>
        <w:t xml:space="preserve">The decision not to submit a Tender should be indicated by </w:t>
      </w:r>
      <w:r w:rsidRPr="008D4855">
        <w:rPr>
          <w:rFonts w:cs="Arial"/>
          <w:b/>
          <w:sz w:val="22"/>
          <w:szCs w:val="22"/>
        </w:rPr>
        <w:t xml:space="preserve">e-mail </w:t>
      </w:r>
      <w:r>
        <w:rPr>
          <w:rFonts w:cs="Arial"/>
          <w:sz w:val="22"/>
          <w:szCs w:val="22"/>
        </w:rPr>
        <w:t xml:space="preserve">to </w:t>
      </w:r>
      <w:hyperlink r:id="rId5" w:history="1">
        <w:r w:rsidRPr="008D4855">
          <w:rPr>
            <w:rStyle w:val="Hyperlink"/>
            <w:rFonts w:cs="Arial"/>
            <w:sz w:val="22"/>
            <w:szCs w:val="22"/>
          </w:rPr>
          <w:t>contracts@mcga.gov.uk</w:t>
        </w:r>
      </w:hyperlink>
      <w:r w:rsidRPr="008D4855">
        <w:rPr>
          <w:rFonts w:cs="Arial"/>
          <w:b/>
          <w:sz w:val="22"/>
          <w:szCs w:val="22"/>
          <w:u w:val="single"/>
        </w:rPr>
        <w:t>.</w:t>
      </w:r>
      <w:r w:rsidRPr="008D4855">
        <w:rPr>
          <w:rFonts w:cs="Arial"/>
          <w:sz w:val="22"/>
          <w:szCs w:val="22"/>
        </w:rPr>
        <w:t xml:space="preserve"> If you are willing to state your reasons this would be appreciated and may help to inform us on future procurement exercises.</w:t>
      </w:r>
    </w:p>
    <w:p w:rsidR="00463459" w:rsidRDefault="00463459" w:rsidP="00463459">
      <w:pPr>
        <w:pStyle w:val="DfTLevel1"/>
        <w:keepLines/>
        <w:suppressLineNumbers/>
        <w:spacing w:before="120" w:after="120"/>
        <w:jc w:val="both"/>
        <w:rPr>
          <w:rFonts w:cs="Arial"/>
          <w:sz w:val="22"/>
          <w:szCs w:val="22"/>
        </w:rPr>
      </w:pPr>
    </w:p>
    <w:p w:rsid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Communications During the Tender Process</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sidRPr="00463459">
        <w:rPr>
          <w:rFonts w:cs="Arial"/>
          <w:sz w:val="22"/>
          <w:szCs w:val="22"/>
        </w:rPr>
        <w:t>This contract has been advertised on the Contracts Finder portal</w:t>
      </w:r>
      <w:r>
        <w:rPr>
          <w:rFonts w:cs="Arial"/>
          <w:sz w:val="22"/>
          <w:szCs w:val="22"/>
        </w:rPr>
        <w:t>, and all communications with tenderers during the process will, as far as possible, take place via that portal</w:t>
      </w:r>
      <w:r w:rsidRPr="00463459">
        <w:rPr>
          <w:rFonts w:cs="Arial"/>
          <w:sz w:val="22"/>
          <w:szCs w:val="22"/>
        </w:rPr>
        <w:t>.</w:t>
      </w:r>
      <w:r>
        <w:rPr>
          <w:rFonts w:cs="Arial"/>
          <w:sz w:val="22"/>
          <w:szCs w:val="22"/>
        </w:rPr>
        <w:t xml:space="preserve">  Tender documents, including the specification and documents for return with your tender, can be found in the ‘Attachments’ section of the Contracts Finder advertisement.</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Tenderers are welcome to ask questions about any aspect of the procurement process.  Such queries should be addressed to the Procurement Team at </w:t>
      </w:r>
      <w:hyperlink r:id="rId6" w:history="1">
        <w:r w:rsidRPr="00541D74">
          <w:rPr>
            <w:rStyle w:val="Hyperlink"/>
            <w:rFonts w:cs="Arial"/>
            <w:sz w:val="22"/>
            <w:szCs w:val="22"/>
          </w:rPr>
          <w:t>contracts@mcga.gov.uk</w:t>
        </w:r>
      </w:hyperlink>
      <w:r>
        <w:rPr>
          <w:rFonts w:cs="Arial"/>
          <w:sz w:val="22"/>
          <w:szCs w:val="22"/>
        </w:rPr>
        <w:t xml:space="preserve">, and should contain the reference number or title of the contract.  The deadline for submission of queries is </w:t>
      </w:r>
      <w:r w:rsidRPr="00463459">
        <w:rPr>
          <w:rFonts w:cs="Arial"/>
          <w:b/>
          <w:sz w:val="22"/>
          <w:szCs w:val="22"/>
        </w:rPr>
        <w:t xml:space="preserve">5pm on </w:t>
      </w:r>
      <w:r w:rsidR="00182788">
        <w:rPr>
          <w:rFonts w:cs="Arial"/>
          <w:b/>
          <w:sz w:val="22"/>
          <w:szCs w:val="22"/>
        </w:rPr>
        <w:t>6</w:t>
      </w:r>
      <w:r w:rsidRPr="00463459">
        <w:rPr>
          <w:rFonts w:cs="Arial"/>
          <w:b/>
          <w:sz w:val="22"/>
          <w:szCs w:val="22"/>
          <w:vertAlign w:val="superscript"/>
        </w:rPr>
        <w:t>th</w:t>
      </w:r>
      <w:r w:rsidRPr="00463459">
        <w:rPr>
          <w:rFonts w:cs="Arial"/>
          <w:b/>
          <w:sz w:val="22"/>
          <w:szCs w:val="22"/>
        </w:rPr>
        <w:t xml:space="preserve"> </w:t>
      </w:r>
      <w:r w:rsidR="00182788">
        <w:rPr>
          <w:rFonts w:cs="Arial"/>
          <w:b/>
          <w:sz w:val="22"/>
          <w:szCs w:val="22"/>
        </w:rPr>
        <w:t>Novem</w:t>
      </w:r>
      <w:r w:rsidRPr="00463459">
        <w:rPr>
          <w:rFonts w:cs="Arial"/>
          <w:b/>
          <w:sz w:val="22"/>
          <w:szCs w:val="22"/>
        </w:rPr>
        <w:t>ber 2017</w:t>
      </w:r>
      <w:r>
        <w:rPr>
          <w:rFonts w:cs="Arial"/>
          <w:sz w:val="22"/>
          <w:szCs w:val="22"/>
        </w:rPr>
        <w:t xml:space="preserve">.  </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In the interest of fairness, all answers will be published on the Contracts Finder website as a further attachment to the advertisement, unless clearly only relevant to one supplier.  </w:t>
      </w:r>
      <w:r w:rsidRPr="00463459">
        <w:rPr>
          <w:rFonts w:cs="Arial"/>
          <w:b/>
          <w:sz w:val="22"/>
          <w:szCs w:val="22"/>
        </w:rPr>
        <w:t>Answers to questions will not be individually emailed to tenderers</w:t>
      </w:r>
      <w:r>
        <w:rPr>
          <w:rFonts w:cs="Arial"/>
          <w:sz w:val="22"/>
          <w:szCs w:val="22"/>
        </w:rPr>
        <w:t>, so you are strongly advised to keep up to date with any additional documents posted to the site.</w:t>
      </w:r>
    </w:p>
    <w:p w:rsid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Please ensure that you have read all documents attached to the Contracts Finder advert before asking a question, as your query may already have been answered. </w:t>
      </w:r>
    </w:p>
    <w:p w:rsidR="00463459" w:rsidRPr="00463459" w:rsidRDefault="00463459" w:rsidP="00463459">
      <w:pPr>
        <w:pStyle w:val="DfTLevel1"/>
        <w:keepLines/>
        <w:numPr>
          <w:ilvl w:val="0"/>
          <w:numId w:val="14"/>
        </w:numPr>
        <w:suppressLineNumbers/>
        <w:spacing w:before="120" w:after="120"/>
        <w:ind w:left="709" w:hanging="709"/>
        <w:jc w:val="both"/>
        <w:rPr>
          <w:rFonts w:cs="Arial"/>
          <w:sz w:val="22"/>
          <w:szCs w:val="22"/>
        </w:rPr>
      </w:pPr>
      <w:r>
        <w:rPr>
          <w:rFonts w:cs="Arial"/>
          <w:sz w:val="22"/>
          <w:szCs w:val="22"/>
        </w:rPr>
        <w:t xml:space="preserve">The MCA will inform all tenderers individually </w:t>
      </w:r>
      <w:proofErr w:type="gramStart"/>
      <w:r>
        <w:rPr>
          <w:rFonts w:cs="Arial"/>
          <w:sz w:val="22"/>
          <w:szCs w:val="22"/>
        </w:rPr>
        <w:t>whether or not</w:t>
      </w:r>
      <w:proofErr w:type="gramEnd"/>
      <w:r>
        <w:rPr>
          <w:rFonts w:cs="Arial"/>
          <w:sz w:val="22"/>
          <w:szCs w:val="22"/>
        </w:rPr>
        <w:t xml:space="preserve"> they have been successful in the tendering process.</w:t>
      </w:r>
    </w:p>
    <w:p w:rsidR="008D4855" w:rsidRDefault="008D4855" w:rsidP="008D4855">
      <w:pPr>
        <w:keepLines/>
        <w:suppressLineNumbers/>
        <w:suppressAutoHyphens/>
        <w:spacing w:before="120" w:after="120"/>
        <w:jc w:val="both"/>
        <w:rPr>
          <w:rFonts w:ascii="Arial" w:hAnsi="Arial" w:cs="Arial"/>
        </w:rPr>
      </w:pPr>
    </w:p>
    <w:p w:rsidR="008D4855" w:rsidRPr="008D4855" w:rsidRDefault="008D4855" w:rsidP="008D4855">
      <w:pPr>
        <w:keepLines/>
        <w:suppressLineNumbers/>
        <w:suppressAutoHyphens/>
        <w:spacing w:before="120" w:after="120"/>
        <w:jc w:val="both"/>
        <w:rPr>
          <w:rFonts w:ascii="Arial" w:hAnsi="Arial" w:cs="Arial"/>
          <w:b/>
        </w:rPr>
      </w:pPr>
      <w:r>
        <w:rPr>
          <w:rFonts w:ascii="Arial" w:hAnsi="Arial" w:cs="Arial"/>
          <w:b/>
        </w:rPr>
        <w:t>Submission of T</w:t>
      </w:r>
      <w:r w:rsidRPr="008D4855">
        <w:rPr>
          <w:rFonts w:ascii="Arial" w:hAnsi="Arial" w:cs="Arial"/>
          <w:b/>
        </w:rPr>
        <w:t>enders</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You should send your tender in a plain envelope, to the address</w:t>
      </w:r>
      <w:r w:rsidR="00463459">
        <w:rPr>
          <w:rFonts w:cs="Arial"/>
          <w:sz w:val="22"/>
          <w:szCs w:val="22"/>
        </w:rPr>
        <w:t xml:space="preserve"> on the </w:t>
      </w:r>
      <w:proofErr w:type="spellStart"/>
      <w:r w:rsidR="00463459">
        <w:rPr>
          <w:rFonts w:cs="Arial"/>
          <w:sz w:val="22"/>
          <w:szCs w:val="22"/>
        </w:rPr>
        <w:t>eTender</w:t>
      </w:r>
      <w:proofErr w:type="spellEnd"/>
      <w:r w:rsidR="00463459">
        <w:rPr>
          <w:rFonts w:cs="Arial"/>
          <w:sz w:val="22"/>
          <w:szCs w:val="22"/>
        </w:rPr>
        <w:t xml:space="preserve"> Label</w:t>
      </w:r>
      <w:r w:rsidRPr="008D4855">
        <w:rPr>
          <w:rFonts w:cs="Arial"/>
          <w:sz w:val="22"/>
          <w:szCs w:val="22"/>
        </w:rPr>
        <w:t xml:space="preserve">. It is your responsibility to ensure </w:t>
      </w:r>
      <w:r>
        <w:rPr>
          <w:rFonts w:cs="Arial"/>
          <w:sz w:val="22"/>
          <w:szCs w:val="22"/>
        </w:rPr>
        <w:t xml:space="preserve">that </w:t>
      </w:r>
      <w:r w:rsidRPr="008D4855">
        <w:rPr>
          <w:rFonts w:cs="Arial"/>
          <w:sz w:val="22"/>
          <w:szCs w:val="22"/>
        </w:rPr>
        <w:t xml:space="preserve">your tender arrives at the address shown no later than </w:t>
      </w:r>
      <w:r w:rsidRPr="008D4855">
        <w:rPr>
          <w:rFonts w:cs="Arial"/>
          <w:b/>
          <w:sz w:val="22"/>
          <w:szCs w:val="22"/>
        </w:rPr>
        <w:t xml:space="preserve">11am on </w:t>
      </w:r>
      <w:r w:rsidR="00182788">
        <w:rPr>
          <w:rFonts w:cs="Arial"/>
          <w:b/>
          <w:sz w:val="22"/>
          <w:szCs w:val="22"/>
        </w:rPr>
        <w:t>20</w:t>
      </w:r>
      <w:r w:rsidRPr="008D4855">
        <w:rPr>
          <w:rFonts w:cs="Arial"/>
          <w:b/>
          <w:sz w:val="22"/>
          <w:szCs w:val="22"/>
          <w:vertAlign w:val="superscript"/>
        </w:rPr>
        <w:t>th</w:t>
      </w:r>
      <w:r w:rsidRPr="008D4855">
        <w:rPr>
          <w:rFonts w:cs="Arial"/>
          <w:b/>
          <w:sz w:val="22"/>
          <w:szCs w:val="22"/>
        </w:rPr>
        <w:t xml:space="preserve"> November 2017</w:t>
      </w:r>
      <w:r>
        <w:rPr>
          <w:rFonts w:cs="Arial"/>
          <w:sz w:val="22"/>
          <w:szCs w:val="22"/>
        </w:rPr>
        <w:t xml:space="preserve"> </w:t>
      </w:r>
      <w:r w:rsidRPr="008D4855">
        <w:rPr>
          <w:rFonts w:cs="Arial"/>
          <w:sz w:val="22"/>
          <w:szCs w:val="22"/>
        </w:rPr>
        <w:t>(unless the date is subsequently amended in writing by the</w:t>
      </w:r>
      <w:r w:rsidR="00463459">
        <w:rPr>
          <w:rFonts w:cs="Arial"/>
          <w:sz w:val="22"/>
          <w:szCs w:val="22"/>
        </w:rPr>
        <w:t xml:space="preserve"> MCA</w:t>
      </w:r>
      <w:r w:rsidRPr="008D4855">
        <w:rPr>
          <w:rFonts w:cs="Arial"/>
          <w:sz w:val="22"/>
          <w:szCs w:val="22"/>
        </w:rPr>
        <w:t>). Your tender may be submitted before the due date</w:t>
      </w:r>
      <w:r w:rsidR="00463459">
        <w:rPr>
          <w:rFonts w:cs="Arial"/>
          <w:sz w:val="22"/>
          <w:szCs w:val="22"/>
        </w:rPr>
        <w:t xml:space="preserve">, but </w:t>
      </w:r>
      <w:r w:rsidR="00463459" w:rsidRPr="00463459">
        <w:rPr>
          <w:rFonts w:cs="Arial"/>
          <w:b/>
          <w:sz w:val="22"/>
          <w:szCs w:val="22"/>
        </w:rPr>
        <w:t>a</w:t>
      </w:r>
      <w:r w:rsidR="00463459" w:rsidRPr="008D4855">
        <w:rPr>
          <w:rFonts w:cs="Arial"/>
          <w:b/>
          <w:sz w:val="22"/>
          <w:szCs w:val="22"/>
        </w:rPr>
        <w:t>ll</w:t>
      </w:r>
      <w:r w:rsidR="00463459" w:rsidRPr="008D4855">
        <w:rPr>
          <w:rFonts w:cs="Arial"/>
          <w:sz w:val="22"/>
          <w:szCs w:val="22"/>
        </w:rPr>
        <w:t xml:space="preserve"> late tenders will be rejected</w:t>
      </w:r>
      <w:r w:rsidRPr="008D4855">
        <w:rPr>
          <w:rFonts w:cs="Arial"/>
          <w:sz w:val="22"/>
          <w:szCs w:val="22"/>
        </w:rPr>
        <w:t>.</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Tenders </w:t>
      </w:r>
      <w:r w:rsidRPr="008D4855">
        <w:rPr>
          <w:rFonts w:cs="Arial"/>
          <w:b/>
          <w:sz w:val="22"/>
          <w:szCs w:val="22"/>
        </w:rPr>
        <w:t>must not</w:t>
      </w:r>
      <w:r w:rsidRPr="008D4855">
        <w:rPr>
          <w:rFonts w:cs="Arial"/>
          <w:sz w:val="22"/>
          <w:szCs w:val="22"/>
        </w:rPr>
        <w:t xml:space="preserve"> be submitted by e-mail.  The legal status of documents submitted by e-mail has yet to be clarified sufficiently to satisfy the </w:t>
      </w:r>
      <w:r w:rsidR="00A75443">
        <w:rPr>
          <w:rFonts w:cs="Arial"/>
          <w:sz w:val="22"/>
          <w:szCs w:val="22"/>
        </w:rPr>
        <w:t>MCA</w:t>
      </w:r>
      <w:r w:rsidRPr="008D4855">
        <w:rPr>
          <w:rFonts w:cs="Arial"/>
          <w:sz w:val="22"/>
          <w:szCs w:val="22"/>
        </w:rPr>
        <w:t xml:space="preserve">’s needs to ensure the integrity and probity of the Tender process. </w:t>
      </w:r>
    </w:p>
    <w:p w:rsidR="008D4855" w:rsidRP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t xml:space="preserve">The envelope and any other packaging or labelling </w:t>
      </w:r>
      <w:r w:rsidRPr="008D4855">
        <w:rPr>
          <w:rFonts w:cs="Arial"/>
          <w:b/>
          <w:sz w:val="22"/>
          <w:szCs w:val="22"/>
        </w:rPr>
        <w:t>should not identify the tenderer</w:t>
      </w:r>
      <w:r w:rsidRPr="008D4855">
        <w:rPr>
          <w:rFonts w:cs="Arial"/>
          <w:sz w:val="22"/>
          <w:szCs w:val="22"/>
        </w:rPr>
        <w:t>. (You should note that courier firms often put the sender’s name and address on their outer envelopes).</w:t>
      </w:r>
    </w:p>
    <w:p w:rsidR="008D4855" w:rsidRDefault="008D4855" w:rsidP="00463459">
      <w:pPr>
        <w:pStyle w:val="DfTLevel1"/>
        <w:keepLines/>
        <w:numPr>
          <w:ilvl w:val="0"/>
          <w:numId w:val="14"/>
        </w:numPr>
        <w:suppressLineNumbers/>
        <w:spacing w:before="120" w:after="120"/>
        <w:ind w:hanging="720"/>
        <w:jc w:val="both"/>
        <w:rPr>
          <w:rFonts w:cs="Arial"/>
          <w:sz w:val="22"/>
          <w:szCs w:val="22"/>
        </w:rPr>
      </w:pPr>
      <w:r w:rsidRPr="008D4855">
        <w:rPr>
          <w:rFonts w:cs="Arial"/>
          <w:sz w:val="22"/>
          <w:szCs w:val="22"/>
        </w:rPr>
        <w:lastRenderedPageBreak/>
        <w:t>You must ensure that your tender is completed legibly, in ink or typed, in English, with all prices in Sterling (exclusive of VAT), and is signed and dated where required. Any manuscript amendments you make to your tender, prior to submission, must be initialled and preferably also noted separately. Correction fluid must not be used.</w:t>
      </w:r>
    </w:p>
    <w:p w:rsidR="008D4855" w:rsidRPr="00FC464A" w:rsidRDefault="00463459" w:rsidP="00FC464A">
      <w:pPr>
        <w:spacing w:after="0"/>
        <w:jc w:val="both"/>
        <w:rPr>
          <w:rFonts w:ascii="Arial" w:hAnsi="Arial" w:cs="Arial"/>
        </w:rPr>
      </w:pPr>
      <w:r>
        <w:rPr>
          <w:rFonts w:ascii="Arial" w:hAnsi="Arial" w:cs="Arial"/>
        </w:rPr>
        <w:t>12</w:t>
      </w:r>
      <w:r w:rsidR="008D4855" w:rsidRPr="00FC464A">
        <w:rPr>
          <w:rFonts w:ascii="Arial" w:hAnsi="Arial" w:cs="Arial"/>
        </w:rPr>
        <w:t>.</w:t>
      </w:r>
      <w:r w:rsidR="008D4855" w:rsidRPr="00FC464A">
        <w:rPr>
          <w:rFonts w:ascii="Arial" w:hAnsi="Arial" w:cs="Arial"/>
        </w:rPr>
        <w:tab/>
        <w:t>You must include as part of your tender:</w:t>
      </w:r>
    </w:p>
    <w:p w:rsidR="008D4855" w:rsidRPr="008D4855" w:rsidRDefault="008D4855" w:rsidP="008D4855">
      <w:pPr>
        <w:spacing w:after="0"/>
        <w:ind w:left="735" w:hanging="735"/>
        <w:jc w:val="both"/>
        <w:rPr>
          <w:rFonts w:ascii="Arial" w:hAnsi="Arial" w:cs="Arial"/>
        </w:rPr>
      </w:pPr>
    </w:p>
    <w:p w:rsidR="008D4855" w:rsidRDefault="008D4855" w:rsidP="008D4855">
      <w:pPr>
        <w:pStyle w:val="ListParagraph"/>
        <w:numPr>
          <w:ilvl w:val="0"/>
          <w:numId w:val="1"/>
        </w:numPr>
        <w:spacing w:after="0" w:line="240" w:lineRule="auto"/>
        <w:ind w:left="1134" w:hanging="425"/>
        <w:jc w:val="both"/>
        <w:rPr>
          <w:rFonts w:ascii="Arial" w:hAnsi="Arial" w:cs="Arial"/>
        </w:rPr>
      </w:pPr>
      <w:r w:rsidRPr="008D4855">
        <w:rPr>
          <w:rFonts w:ascii="Arial" w:hAnsi="Arial" w:cs="Arial"/>
        </w:rPr>
        <w:t>The MCA’s Form of Tender, signed and dated by an authorised representative of the tendering organisation;</w:t>
      </w:r>
    </w:p>
    <w:p w:rsidR="001839D4" w:rsidRPr="008D4855" w:rsidRDefault="001839D4" w:rsidP="001839D4">
      <w:pPr>
        <w:pStyle w:val="ListParagraph"/>
        <w:spacing w:after="0" w:line="240" w:lineRule="auto"/>
        <w:ind w:left="1134"/>
        <w:jc w:val="both"/>
        <w:rPr>
          <w:rFonts w:ascii="Arial" w:hAnsi="Arial" w:cs="Arial"/>
        </w:rPr>
      </w:pPr>
    </w:p>
    <w:p w:rsidR="008D4855" w:rsidRPr="001839D4" w:rsidRDefault="008D4855" w:rsidP="008D4855">
      <w:pPr>
        <w:pStyle w:val="ListParagraph"/>
        <w:numPr>
          <w:ilvl w:val="0"/>
          <w:numId w:val="1"/>
        </w:numPr>
        <w:spacing w:after="0" w:line="240" w:lineRule="auto"/>
        <w:ind w:left="1134"/>
        <w:jc w:val="both"/>
        <w:rPr>
          <w:rFonts w:ascii="Arial" w:eastAsia="Times New Roman" w:hAnsi="Arial" w:cs="Arial"/>
          <w:lang w:val="en-US"/>
        </w:rPr>
      </w:pPr>
      <w:r w:rsidRPr="008D4855">
        <w:rPr>
          <w:rFonts w:ascii="Arial" w:hAnsi="Arial" w:cs="Arial"/>
        </w:rPr>
        <w:t>Lead time for delivery of the equipment to Barnsley;</w:t>
      </w:r>
    </w:p>
    <w:p w:rsidR="001839D4" w:rsidRPr="001839D4" w:rsidRDefault="001839D4" w:rsidP="001839D4">
      <w:pPr>
        <w:pStyle w:val="ListParagraph"/>
        <w:rPr>
          <w:rFonts w:ascii="Arial" w:eastAsia="Times New Roman" w:hAnsi="Arial" w:cs="Arial"/>
          <w:lang w:val="en-US"/>
        </w:rPr>
      </w:pPr>
    </w:p>
    <w:p w:rsidR="001839D4" w:rsidRPr="001839D4" w:rsidRDefault="00FC464A" w:rsidP="008D4855">
      <w:pPr>
        <w:pStyle w:val="ListParagraph"/>
        <w:numPr>
          <w:ilvl w:val="0"/>
          <w:numId w:val="1"/>
        </w:numPr>
        <w:spacing w:after="0" w:line="240" w:lineRule="auto"/>
        <w:ind w:left="1134"/>
        <w:jc w:val="both"/>
        <w:rPr>
          <w:rFonts w:ascii="Arial" w:eastAsia="Times New Roman" w:hAnsi="Arial" w:cs="Arial"/>
          <w:lang w:val="en-US"/>
        </w:rPr>
      </w:pPr>
      <w:r>
        <w:rPr>
          <w:rFonts w:ascii="Arial" w:eastAsia="Times New Roman" w:hAnsi="Arial" w:cs="Arial"/>
          <w:lang w:val="en-US"/>
        </w:rPr>
        <w:t>A completed Pricing Schedule showing full costs for your proposed solution (</w:t>
      </w:r>
      <w:r w:rsidR="00A75443">
        <w:rPr>
          <w:rFonts w:ascii="Arial" w:eastAsia="Times New Roman" w:hAnsi="Arial" w:cs="Arial"/>
          <w:lang w:val="en-US"/>
        </w:rPr>
        <w:t xml:space="preserve">the MCA’s </w:t>
      </w:r>
      <w:r>
        <w:rPr>
          <w:rFonts w:ascii="Arial" w:eastAsia="Times New Roman" w:hAnsi="Arial" w:cs="Arial"/>
          <w:lang w:val="en-US"/>
        </w:rPr>
        <w:t>template</w:t>
      </w:r>
      <w:r w:rsidR="00A75443">
        <w:rPr>
          <w:rFonts w:ascii="Arial" w:eastAsia="Times New Roman" w:hAnsi="Arial" w:cs="Arial"/>
          <w:lang w:val="en-US"/>
        </w:rPr>
        <w:t xml:space="preserve"> Pricing Schedule must be used, and</w:t>
      </w:r>
      <w:r>
        <w:rPr>
          <w:rFonts w:ascii="Arial" w:eastAsia="Times New Roman" w:hAnsi="Arial" w:cs="Arial"/>
          <w:lang w:val="en-US"/>
        </w:rPr>
        <w:t xml:space="preserve"> </w:t>
      </w:r>
      <w:r w:rsidR="00A75443">
        <w:rPr>
          <w:rFonts w:ascii="Arial" w:eastAsia="Times New Roman" w:hAnsi="Arial" w:cs="Arial"/>
          <w:lang w:val="en-US"/>
        </w:rPr>
        <w:t xml:space="preserve">can </w:t>
      </w:r>
      <w:r>
        <w:rPr>
          <w:rFonts w:ascii="Arial" w:eastAsia="Times New Roman" w:hAnsi="Arial" w:cs="Arial"/>
          <w:lang w:val="en-US"/>
        </w:rPr>
        <w:t>be downloaded from Contracts Finder);</w:t>
      </w:r>
    </w:p>
    <w:p w:rsidR="001839D4" w:rsidRPr="001839D4" w:rsidRDefault="001839D4" w:rsidP="001839D4">
      <w:pPr>
        <w:spacing w:after="0" w:line="240" w:lineRule="auto"/>
        <w:jc w:val="both"/>
        <w:rPr>
          <w:rFonts w:ascii="Arial" w:eastAsia="Times New Roman" w:hAnsi="Arial" w:cs="Arial"/>
          <w:lang w:val="en-US"/>
        </w:rPr>
      </w:pPr>
    </w:p>
    <w:p w:rsidR="00182788" w:rsidRDefault="008D4855" w:rsidP="001839D4">
      <w:pPr>
        <w:keepLines/>
        <w:numPr>
          <w:ilvl w:val="0"/>
          <w:numId w:val="1"/>
        </w:numPr>
        <w:suppressLineNumbers/>
        <w:suppressAutoHyphens/>
        <w:spacing w:before="120" w:after="0" w:line="240" w:lineRule="auto"/>
        <w:jc w:val="both"/>
        <w:rPr>
          <w:rFonts w:ascii="Arial" w:hAnsi="Arial" w:cs="Arial"/>
        </w:rPr>
      </w:pPr>
      <w:r w:rsidRPr="00463459">
        <w:rPr>
          <w:rFonts w:ascii="Arial" w:hAnsi="Arial" w:cs="Arial"/>
        </w:rPr>
        <w:t>A full system specification for</w:t>
      </w:r>
      <w:r w:rsidR="00182788">
        <w:rPr>
          <w:rFonts w:ascii="Arial" w:hAnsi="Arial" w:cs="Arial"/>
        </w:rPr>
        <w:t xml:space="preserve"> your temporary storage solution</w:t>
      </w:r>
      <w:r w:rsidRPr="00463459">
        <w:rPr>
          <w:rFonts w:ascii="Arial" w:hAnsi="Arial" w:cs="Arial"/>
        </w:rPr>
        <w:t xml:space="preserve">, including all major critical parts and assemblies, and a complete and comprehensive method statement describing how the system operates.  </w:t>
      </w:r>
      <w:r w:rsidR="001839D4" w:rsidRPr="00463459">
        <w:rPr>
          <w:rFonts w:ascii="Arial" w:hAnsi="Arial" w:cs="Arial"/>
        </w:rPr>
        <w:t>This must cover</w:t>
      </w:r>
      <w:r w:rsidR="00182788">
        <w:rPr>
          <w:rFonts w:ascii="Arial" w:hAnsi="Arial" w:cs="Arial"/>
        </w:rPr>
        <w:t>:</w:t>
      </w:r>
    </w:p>
    <w:p w:rsidR="00182788" w:rsidRDefault="00182788" w:rsidP="00182788">
      <w:pPr>
        <w:pStyle w:val="ListParagrap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overall weight and dimensions of the system(s) when deployed, including draft and freeboard, and when stored using the proposed storage method;</w:t>
      </w:r>
    </w:p>
    <w:p w:rsidR="002B3170" w:rsidRDefault="002B3170" w:rsidP="00E340A2">
      <w:pPr>
        <w:spacing w:after="0" w:line="240" w:lineRule="auto"/>
        <w:ind w:left="2160"/>
        <w:jc w:val="both"/>
        <w:rPr>
          <w:rFonts w:ascii="Arial" w:hAnsi="Arial" w:cs="Arial"/>
        </w:rPr>
      </w:pPr>
    </w:p>
    <w:p w:rsidR="002B3170" w:rsidRDefault="002B3170" w:rsidP="00182788">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The configuration of the system when stored, e.g. folded, deflated;</w:t>
      </w:r>
    </w:p>
    <w:p w:rsidR="00182788" w:rsidRDefault="00182788" w:rsidP="00182788">
      <w:pPr>
        <w:spacing w:after="0" w:line="240" w:lineRule="auto"/>
        <w:ind w:left="2160"/>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storage capacity of each system;</w:t>
      </w:r>
    </w:p>
    <w:p w:rsidR="00182788" w:rsidRPr="00182788" w:rsidRDefault="00182788" w:rsidP="00182788">
      <w:pPr>
        <w:tabs>
          <w:tab w:val="num" w:pos="2160"/>
        </w:tabs>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All major components;</w:t>
      </w:r>
    </w:p>
    <w:p w:rsidR="00182788" w:rsidRPr="00182788" w:rsidRDefault="00182788" w:rsidP="00182788">
      <w:pPr>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construction material;</w:t>
      </w:r>
    </w:p>
    <w:p w:rsidR="00293FD2" w:rsidRDefault="00293FD2" w:rsidP="00E340A2">
      <w:pPr>
        <w:pStyle w:val="ListParagraph"/>
        <w:spacing w:after="0"/>
        <w:rPr>
          <w:rFonts w:ascii="Arial" w:hAnsi="Arial" w:cs="Arial"/>
        </w:rPr>
      </w:pPr>
    </w:p>
    <w:p w:rsidR="00293FD2" w:rsidRDefault="00293FD2" w:rsidP="00182788">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Details of product filler connections;</w:t>
      </w:r>
    </w:p>
    <w:p w:rsidR="00182788" w:rsidRPr="00182788" w:rsidRDefault="00182788" w:rsidP="00182788">
      <w:pPr>
        <w:spacing w:after="0" w:line="240" w:lineRule="auto"/>
        <w:jc w:val="both"/>
        <w:rPr>
          <w:rFonts w:ascii="Arial" w:hAnsi="Arial" w:cs="Arial"/>
        </w:rPr>
      </w:pPr>
    </w:p>
    <w:p w:rsid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Recommendations for transfer pumps;</w:t>
      </w:r>
    </w:p>
    <w:p w:rsidR="00293FD2" w:rsidRDefault="00293FD2" w:rsidP="00E340A2">
      <w:pPr>
        <w:pStyle w:val="ListParagraph"/>
        <w:spacing w:after="0"/>
        <w:rPr>
          <w:rFonts w:ascii="Arial" w:hAnsi="Arial" w:cs="Arial"/>
        </w:rPr>
      </w:pPr>
    </w:p>
    <w:p w:rsidR="00293FD2" w:rsidRPr="00E340A2" w:rsidRDefault="00293FD2" w:rsidP="00E340A2">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 xml:space="preserve"> Details of all essential ancillaries;</w:t>
      </w:r>
    </w:p>
    <w:p w:rsidR="00293FD2" w:rsidRDefault="00293FD2" w:rsidP="00E340A2">
      <w:pPr>
        <w:spacing w:after="0" w:line="240" w:lineRule="auto"/>
        <w:ind w:left="2160"/>
        <w:jc w:val="both"/>
        <w:rPr>
          <w:rFonts w:ascii="Arial" w:hAnsi="Arial" w:cs="Arial"/>
        </w:rPr>
      </w:pPr>
    </w:p>
    <w:p w:rsidR="00293FD2" w:rsidRPr="00293FD2" w:rsidRDefault="00293FD2" w:rsidP="00293FD2">
      <w:pPr>
        <w:numPr>
          <w:ilvl w:val="0"/>
          <w:numId w:val="19"/>
        </w:numPr>
        <w:tabs>
          <w:tab w:val="clear" w:pos="720"/>
          <w:tab w:val="num" w:pos="2160"/>
        </w:tabs>
        <w:spacing w:after="0" w:line="240" w:lineRule="auto"/>
        <w:ind w:left="2160"/>
        <w:jc w:val="both"/>
        <w:rPr>
          <w:rFonts w:ascii="Arial" w:hAnsi="Arial" w:cs="Arial"/>
        </w:rPr>
      </w:pPr>
      <w:r>
        <w:rPr>
          <w:rFonts w:ascii="Arial" w:hAnsi="Arial" w:cs="Arial"/>
        </w:rPr>
        <w:t>Details of optional ancillaries;</w:t>
      </w:r>
    </w:p>
    <w:p w:rsidR="00182788" w:rsidRPr="00182788" w:rsidRDefault="00182788" w:rsidP="00182788">
      <w:pPr>
        <w:spacing w:after="0" w:line="240" w:lineRule="auto"/>
        <w:jc w:val="both"/>
        <w:rPr>
          <w:rFonts w:ascii="Arial" w:hAnsi="Arial" w:cs="Arial"/>
        </w:rPr>
      </w:pPr>
    </w:p>
    <w:p w:rsidR="00182788" w:rsidRP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The strength and durability of the construction material including:</w:t>
      </w:r>
    </w:p>
    <w:p w:rsidR="00182788" w:rsidRP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Tensile strength,</w:t>
      </w:r>
    </w:p>
    <w:p w:rsidR="00182788" w:rsidRP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UV resistance,</w:t>
      </w:r>
    </w:p>
    <w:p w:rsidR="00182788" w:rsidRDefault="00182788" w:rsidP="00182788">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Seawater resistance,</w:t>
      </w:r>
    </w:p>
    <w:p w:rsidR="00293FD2" w:rsidRPr="00182788" w:rsidRDefault="00293FD2" w:rsidP="00182788">
      <w:pPr>
        <w:pStyle w:val="ListParagraph"/>
        <w:numPr>
          <w:ilvl w:val="0"/>
          <w:numId w:val="20"/>
        </w:numPr>
        <w:tabs>
          <w:tab w:val="clear" w:pos="2160"/>
          <w:tab w:val="num" w:pos="2880"/>
        </w:tabs>
        <w:spacing w:after="0" w:line="240" w:lineRule="auto"/>
        <w:ind w:left="2880"/>
        <w:jc w:val="both"/>
        <w:rPr>
          <w:rFonts w:ascii="Arial" w:hAnsi="Arial" w:cs="Arial"/>
        </w:rPr>
      </w:pPr>
      <w:r>
        <w:rPr>
          <w:rFonts w:ascii="Arial" w:hAnsi="Arial" w:cs="Arial"/>
        </w:rPr>
        <w:t>Resistance to hydrocarbons,</w:t>
      </w:r>
    </w:p>
    <w:p w:rsidR="00293FD2" w:rsidRPr="00E340A2" w:rsidRDefault="00182788" w:rsidP="00293FD2">
      <w:pPr>
        <w:pStyle w:val="ListParagraph"/>
        <w:numPr>
          <w:ilvl w:val="0"/>
          <w:numId w:val="20"/>
        </w:numPr>
        <w:tabs>
          <w:tab w:val="clear" w:pos="2160"/>
          <w:tab w:val="num" w:pos="2880"/>
        </w:tabs>
        <w:spacing w:after="0" w:line="240" w:lineRule="auto"/>
        <w:ind w:left="2880"/>
        <w:jc w:val="both"/>
        <w:rPr>
          <w:rFonts w:ascii="Arial" w:hAnsi="Arial" w:cs="Arial"/>
        </w:rPr>
      </w:pPr>
      <w:r w:rsidRPr="00182788">
        <w:rPr>
          <w:rFonts w:ascii="Arial" w:hAnsi="Arial" w:cs="Arial"/>
        </w:rPr>
        <w:t>Temperature resistance;</w:t>
      </w:r>
    </w:p>
    <w:p w:rsidR="00182788" w:rsidRPr="00182788" w:rsidRDefault="00182788" w:rsidP="00182788">
      <w:pPr>
        <w:pStyle w:val="ListParagraph"/>
        <w:spacing w:after="0" w:line="240" w:lineRule="auto"/>
        <w:ind w:left="2880"/>
        <w:jc w:val="both"/>
        <w:rPr>
          <w:rFonts w:ascii="Arial" w:hAnsi="Arial" w:cs="Arial"/>
        </w:rPr>
      </w:pPr>
    </w:p>
    <w:p w:rsidR="00182788" w:rsidRPr="00182788" w:rsidRDefault="00182788" w:rsidP="00182788">
      <w:pPr>
        <w:numPr>
          <w:ilvl w:val="0"/>
          <w:numId w:val="19"/>
        </w:numPr>
        <w:tabs>
          <w:tab w:val="clear" w:pos="720"/>
          <w:tab w:val="num" w:pos="2160"/>
        </w:tabs>
        <w:spacing w:after="0" w:line="240" w:lineRule="auto"/>
        <w:ind w:left="2160"/>
        <w:jc w:val="both"/>
        <w:rPr>
          <w:rFonts w:ascii="Arial" w:hAnsi="Arial" w:cs="Arial"/>
        </w:rPr>
      </w:pPr>
      <w:r w:rsidRPr="00182788">
        <w:rPr>
          <w:rFonts w:ascii="Arial" w:hAnsi="Arial" w:cs="Arial"/>
        </w:rPr>
        <w:t>Operating parameters and limitations. This could include, but is not limited to:</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Minimum vessel specifications e.g. bollard pull,</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Maximum towing speed,</w:t>
      </w:r>
    </w:p>
    <w:p w:rsidR="00182788" w:rsidRPr="00182788" w:rsidRDefault="00182788" w:rsidP="00182788">
      <w:pPr>
        <w:pStyle w:val="ListParagraph"/>
        <w:numPr>
          <w:ilvl w:val="0"/>
          <w:numId w:val="21"/>
        </w:numPr>
        <w:spacing w:after="0" w:line="240" w:lineRule="auto"/>
        <w:ind w:left="2847"/>
        <w:jc w:val="both"/>
        <w:rPr>
          <w:rFonts w:ascii="Arial" w:hAnsi="Arial" w:cs="Arial"/>
        </w:rPr>
      </w:pPr>
      <w:r w:rsidRPr="00182788">
        <w:rPr>
          <w:rFonts w:ascii="Arial" w:hAnsi="Arial" w:cs="Arial"/>
        </w:rPr>
        <w:t>Any impact of tow on vessel manoeuvrability,</w:t>
      </w:r>
    </w:p>
    <w:p w:rsidR="00293FD2" w:rsidRPr="00E340A2" w:rsidRDefault="00182788" w:rsidP="00293FD2">
      <w:pPr>
        <w:pStyle w:val="ListParagraph"/>
        <w:numPr>
          <w:ilvl w:val="0"/>
          <w:numId w:val="21"/>
        </w:numPr>
        <w:spacing w:after="0" w:line="240" w:lineRule="auto"/>
        <w:ind w:left="2847"/>
        <w:jc w:val="both"/>
        <w:rPr>
          <w:rFonts w:ascii="Arial" w:hAnsi="Arial" w:cs="Arial"/>
        </w:rPr>
      </w:pPr>
      <w:r w:rsidRPr="00182788">
        <w:rPr>
          <w:rFonts w:ascii="Arial" w:hAnsi="Arial" w:cs="Arial"/>
        </w:rPr>
        <w:t xml:space="preserve">Any sea state limitations e.g. wave height; </w:t>
      </w:r>
    </w:p>
    <w:p w:rsidR="00182788" w:rsidRDefault="00182788" w:rsidP="00182788">
      <w:pPr>
        <w:keepLines/>
        <w:numPr>
          <w:ilvl w:val="0"/>
          <w:numId w:val="19"/>
        </w:numPr>
        <w:suppressLineNumbers/>
        <w:tabs>
          <w:tab w:val="clear" w:pos="720"/>
          <w:tab w:val="num" w:pos="2160"/>
        </w:tabs>
        <w:suppressAutoHyphens/>
        <w:spacing w:before="120" w:after="0" w:line="240" w:lineRule="auto"/>
        <w:ind w:left="2127"/>
        <w:jc w:val="both"/>
        <w:rPr>
          <w:rFonts w:ascii="Arial" w:hAnsi="Arial" w:cs="Arial"/>
        </w:rPr>
      </w:pPr>
      <w:r w:rsidRPr="00182788">
        <w:rPr>
          <w:rFonts w:ascii="Arial" w:hAnsi="Arial" w:cs="Arial"/>
        </w:rPr>
        <w:t>The method for decanting; and</w:t>
      </w:r>
    </w:p>
    <w:p w:rsidR="00182788" w:rsidRPr="00182788" w:rsidRDefault="00182788" w:rsidP="00182788">
      <w:pPr>
        <w:keepLines/>
        <w:numPr>
          <w:ilvl w:val="0"/>
          <w:numId w:val="19"/>
        </w:numPr>
        <w:suppressLineNumbers/>
        <w:tabs>
          <w:tab w:val="clear" w:pos="720"/>
          <w:tab w:val="num" w:pos="2160"/>
        </w:tabs>
        <w:suppressAutoHyphens/>
        <w:spacing w:before="120" w:after="0" w:line="240" w:lineRule="auto"/>
        <w:ind w:left="2127"/>
        <w:jc w:val="both"/>
        <w:rPr>
          <w:rFonts w:ascii="Arial" w:hAnsi="Arial" w:cs="Arial"/>
        </w:rPr>
      </w:pPr>
      <w:r w:rsidRPr="00182788">
        <w:rPr>
          <w:rFonts w:ascii="Arial" w:hAnsi="Arial" w:cs="Arial"/>
        </w:rPr>
        <w:t>A storage solution.</w:t>
      </w:r>
    </w:p>
    <w:p w:rsidR="00182788" w:rsidRDefault="00182788" w:rsidP="00182788">
      <w:pPr>
        <w:pStyle w:val="ListParagraph"/>
        <w:rPr>
          <w:rFonts w:ascii="Arial" w:hAnsi="Arial" w:cs="Arial"/>
        </w:rPr>
      </w:pPr>
    </w:p>
    <w:p w:rsidR="008D4855" w:rsidRPr="00463459" w:rsidRDefault="00463459" w:rsidP="00182788">
      <w:pPr>
        <w:keepLines/>
        <w:suppressLineNumbers/>
        <w:suppressAutoHyphens/>
        <w:spacing w:before="120" w:after="0" w:line="240" w:lineRule="auto"/>
        <w:ind w:left="1095"/>
        <w:jc w:val="both"/>
        <w:rPr>
          <w:rFonts w:ascii="Arial" w:hAnsi="Arial" w:cs="Arial"/>
        </w:rPr>
      </w:pPr>
      <w:r w:rsidRPr="00463459">
        <w:rPr>
          <w:rFonts w:ascii="Arial" w:hAnsi="Arial" w:cs="Arial"/>
        </w:rPr>
        <w:t>Where reference is made to an International, European or British Standard you may offer an equivalent, provided that your Standard offers equivalent guarantees of safety, suitability and fitness for purpose to the one specified.  It is your responsibility to demonstrate that your Standard is equivalent to the one specified</w:t>
      </w:r>
      <w:r w:rsidR="001839D4" w:rsidRPr="00463459">
        <w:rPr>
          <w:rFonts w:ascii="Arial" w:hAnsi="Arial" w:cs="Arial"/>
        </w:rPr>
        <w:t>;</w:t>
      </w:r>
      <w:r w:rsidR="008D4855" w:rsidRPr="00463459">
        <w:rPr>
          <w:rFonts w:ascii="Arial" w:hAnsi="Arial" w:cs="Arial"/>
        </w:rPr>
        <w:t xml:space="preserve">  </w:t>
      </w:r>
    </w:p>
    <w:p w:rsidR="00FC464A" w:rsidRPr="00FC464A" w:rsidRDefault="00FC464A" w:rsidP="00FC464A">
      <w:pPr>
        <w:pStyle w:val="ListParagraph"/>
        <w:rPr>
          <w:rFonts w:ascii="Arial" w:hAnsi="Arial" w:cs="Arial"/>
        </w:rPr>
      </w:pPr>
    </w:p>
    <w:p w:rsidR="00463459" w:rsidRDefault="00FC464A" w:rsidP="00463459">
      <w:pPr>
        <w:pStyle w:val="ListParagraph"/>
        <w:numPr>
          <w:ilvl w:val="0"/>
          <w:numId w:val="1"/>
        </w:numPr>
        <w:spacing w:after="0" w:line="240" w:lineRule="auto"/>
        <w:jc w:val="both"/>
        <w:rPr>
          <w:rFonts w:ascii="Arial" w:hAnsi="Arial" w:cs="Arial"/>
        </w:rPr>
      </w:pPr>
      <w:r w:rsidRPr="008D4855">
        <w:rPr>
          <w:rFonts w:ascii="Arial" w:hAnsi="Arial" w:cs="Arial"/>
        </w:rPr>
        <w:t>Recommendations for any ancillaries, spare parts or consumables for the</w:t>
      </w:r>
      <w:r w:rsidR="00182788">
        <w:rPr>
          <w:rFonts w:ascii="Arial" w:hAnsi="Arial" w:cs="Arial"/>
        </w:rPr>
        <w:t xml:space="preserve"> temporary storage solution</w:t>
      </w:r>
      <w:r w:rsidRPr="008D4855">
        <w:rPr>
          <w:rFonts w:ascii="Arial" w:hAnsi="Arial" w:cs="Arial"/>
        </w:rPr>
        <w:t>, not already included in the price of either system, with separate quotes</w:t>
      </w:r>
      <w:r>
        <w:rPr>
          <w:rFonts w:ascii="Arial" w:hAnsi="Arial" w:cs="Arial"/>
        </w:rPr>
        <w:t xml:space="preserve"> on the Pricing Schedule;</w:t>
      </w:r>
      <w:r w:rsidRPr="008D4855">
        <w:rPr>
          <w:rFonts w:ascii="Arial" w:hAnsi="Arial" w:cs="Arial"/>
        </w:rPr>
        <w:t xml:space="preserve"> </w:t>
      </w:r>
    </w:p>
    <w:p w:rsidR="00463459" w:rsidRPr="00463459" w:rsidRDefault="00463459" w:rsidP="00463459">
      <w:pPr>
        <w:pStyle w:val="ListParagraph"/>
        <w:rPr>
          <w:rFonts w:ascii="Arial" w:hAnsi="Arial" w:cs="Arial"/>
        </w:rPr>
      </w:pPr>
    </w:p>
    <w:p w:rsidR="001839D4" w:rsidRPr="00463459" w:rsidRDefault="001839D4" w:rsidP="00463459">
      <w:pPr>
        <w:pStyle w:val="ListParagraph"/>
        <w:numPr>
          <w:ilvl w:val="0"/>
          <w:numId w:val="1"/>
        </w:numPr>
        <w:spacing w:after="0" w:line="240" w:lineRule="auto"/>
        <w:jc w:val="both"/>
        <w:rPr>
          <w:rFonts w:ascii="Arial" w:hAnsi="Arial" w:cs="Arial"/>
        </w:rPr>
      </w:pPr>
      <w:r w:rsidRPr="00463459">
        <w:rPr>
          <w:rFonts w:ascii="Arial" w:hAnsi="Arial" w:cs="Arial"/>
        </w:rPr>
        <w:t xml:space="preserve">A statement of how your proposed </w:t>
      </w:r>
      <w:r w:rsidR="00FC464A" w:rsidRPr="00463459">
        <w:rPr>
          <w:rFonts w:ascii="Arial" w:hAnsi="Arial" w:cs="Arial"/>
        </w:rPr>
        <w:t>solution</w:t>
      </w:r>
      <w:r w:rsidRPr="00463459">
        <w:rPr>
          <w:rFonts w:ascii="Arial" w:hAnsi="Arial" w:cs="Arial"/>
        </w:rPr>
        <w:t xml:space="preserve"> promotes sustainable procurement, as set out in sections 1</w:t>
      </w:r>
      <w:r w:rsidR="00F80676">
        <w:rPr>
          <w:rFonts w:ascii="Arial" w:hAnsi="Arial" w:cs="Arial"/>
        </w:rPr>
        <w:t>7</w:t>
      </w:r>
      <w:r w:rsidR="00182788">
        <w:rPr>
          <w:rFonts w:ascii="Arial" w:hAnsi="Arial" w:cs="Arial"/>
        </w:rPr>
        <w:t xml:space="preserve"> - 1</w:t>
      </w:r>
      <w:r w:rsidR="00F80676">
        <w:rPr>
          <w:rFonts w:ascii="Arial" w:hAnsi="Arial" w:cs="Arial"/>
        </w:rPr>
        <w:t>8</w:t>
      </w:r>
      <w:r w:rsidRPr="00463459">
        <w:rPr>
          <w:rFonts w:ascii="Arial" w:hAnsi="Arial" w:cs="Arial"/>
        </w:rPr>
        <w:t xml:space="preserve"> of the specification</w:t>
      </w:r>
      <w:r w:rsidR="00463459" w:rsidRPr="00463459">
        <w:rPr>
          <w:rFonts w:ascii="Arial" w:hAnsi="Arial" w:cs="Arial"/>
        </w:rPr>
        <w:t>.  You must ensure that any environmental claim you make is fully in accordance with the Green Claims Code - this is available on the sustainable development website:</w:t>
      </w:r>
      <w:r w:rsidR="00463459" w:rsidRPr="00463459">
        <w:rPr>
          <w:rFonts w:cs="Arial"/>
        </w:rPr>
        <w:t xml:space="preserve"> </w:t>
      </w:r>
      <w:hyperlink r:id="rId7" w:history="1">
        <w:r w:rsidR="00463459" w:rsidRPr="00463459">
          <w:rPr>
            <w:rStyle w:val="Hyperlink"/>
            <w:rFonts w:ascii="Arial" w:hAnsi="Arial" w:cs="Arial"/>
          </w:rPr>
          <w:t>http://www.defra.gov.uk/environment/business/marketing/glc/code.htm</w:t>
        </w:r>
      </w:hyperlink>
      <w:r w:rsidRPr="00463459">
        <w:rPr>
          <w:rFonts w:ascii="Arial" w:hAnsi="Arial" w:cs="Arial"/>
        </w:rPr>
        <w:t>;</w:t>
      </w:r>
    </w:p>
    <w:p w:rsidR="00FC464A" w:rsidRPr="00FC464A" w:rsidRDefault="00FC464A" w:rsidP="00FC464A">
      <w:pPr>
        <w:pStyle w:val="ListParagraph"/>
        <w:rPr>
          <w:rFonts w:ascii="Arial" w:hAnsi="Arial" w:cs="Arial"/>
        </w:rPr>
      </w:pPr>
    </w:p>
    <w:p w:rsidR="00FC464A" w:rsidRPr="00FC464A" w:rsidRDefault="00FC464A" w:rsidP="00FC464A">
      <w:pPr>
        <w:pStyle w:val="ListParagraph"/>
        <w:spacing w:after="0"/>
        <w:jc w:val="both"/>
        <w:rPr>
          <w:rFonts w:ascii="Arial" w:hAnsi="Arial" w:cs="Arial"/>
        </w:rPr>
      </w:pPr>
      <w:r w:rsidRPr="008D4855">
        <w:rPr>
          <w:rFonts w:ascii="Arial" w:hAnsi="Arial" w:cs="Arial"/>
        </w:rPr>
        <w:t xml:space="preserve">Although </w:t>
      </w:r>
      <w:r>
        <w:rPr>
          <w:rFonts w:ascii="Arial" w:hAnsi="Arial" w:cs="Arial"/>
        </w:rPr>
        <w:t xml:space="preserve">you </w:t>
      </w:r>
      <w:r w:rsidRPr="008D4855">
        <w:rPr>
          <w:rFonts w:ascii="Arial" w:hAnsi="Arial" w:cs="Arial"/>
        </w:rPr>
        <w:t xml:space="preserve">may have this information available on the internet or on printed literature, to assist the MCA with the evaluation process it is </w:t>
      </w:r>
      <w:r w:rsidRPr="00FC464A">
        <w:rPr>
          <w:rFonts w:ascii="Arial" w:hAnsi="Arial" w:cs="Arial"/>
          <w:b/>
        </w:rPr>
        <w:t>essential</w:t>
      </w:r>
      <w:r w:rsidRPr="008D4855">
        <w:rPr>
          <w:rFonts w:ascii="Arial" w:hAnsi="Arial" w:cs="Arial"/>
        </w:rPr>
        <w:t xml:space="preserve"> that the responses be provided in the order set out above.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alter any of the</w:t>
      </w:r>
      <w:r w:rsidR="00463459">
        <w:rPr>
          <w:rFonts w:cs="Arial"/>
          <w:sz w:val="22"/>
          <w:szCs w:val="22"/>
        </w:rPr>
        <w:t xml:space="preserve"> MCA</w:t>
      </w:r>
      <w:r w:rsidRPr="008D4855">
        <w:rPr>
          <w:rFonts w:cs="Arial"/>
          <w:sz w:val="22"/>
          <w:szCs w:val="22"/>
        </w:rPr>
        <w:t xml:space="preserve">’s </w:t>
      </w:r>
      <w:r w:rsidR="00463459">
        <w:rPr>
          <w:rFonts w:cs="Arial"/>
          <w:sz w:val="22"/>
          <w:szCs w:val="22"/>
        </w:rPr>
        <w:t>t</w:t>
      </w:r>
      <w:r w:rsidRPr="008D4855">
        <w:rPr>
          <w:rFonts w:cs="Arial"/>
          <w:sz w:val="22"/>
          <w:szCs w:val="22"/>
        </w:rPr>
        <w:t>ender documents.</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tell anyone else, even approximately, what your tender price is or will be, before the date of contract award. The only exception is if you need an insurance quotation to calculate your tender price - in which case you may give your insurance company or brokers any essential information they ask for, </w:t>
      </w:r>
      <w:proofErr w:type="gramStart"/>
      <w:r w:rsidRPr="008D4855">
        <w:rPr>
          <w:rFonts w:cs="Arial"/>
          <w:sz w:val="22"/>
          <w:szCs w:val="22"/>
        </w:rPr>
        <w:t>provided that</w:t>
      </w:r>
      <w:proofErr w:type="gramEnd"/>
      <w:r w:rsidRPr="008D4855">
        <w:rPr>
          <w:rFonts w:cs="Arial"/>
          <w:sz w:val="22"/>
          <w:szCs w:val="22"/>
        </w:rPr>
        <w:t xml:space="preserve"> you do so in strict confidence.</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You must not try to obtain any information about anyone else’s tender or proposed tender before the date of contract award.</w:t>
      </w:r>
    </w:p>
    <w:p w:rsidR="008D4855" w:rsidRP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You must not make any arrangements with anyone else about </w:t>
      </w:r>
      <w:proofErr w:type="gramStart"/>
      <w:r w:rsidRPr="008D4855">
        <w:rPr>
          <w:rFonts w:cs="Arial"/>
          <w:sz w:val="22"/>
          <w:szCs w:val="22"/>
        </w:rPr>
        <w:t>whether or not</w:t>
      </w:r>
      <w:proofErr w:type="gramEnd"/>
      <w:r w:rsidRPr="008D4855">
        <w:rPr>
          <w:rFonts w:cs="Arial"/>
          <w:sz w:val="22"/>
          <w:szCs w:val="22"/>
        </w:rPr>
        <w:t xml:space="preserve"> they should tender, or about their or your tender price. The only exception is where tenderers are considering joint or team bids, which will be allowed providing all participants to the discussions surrounding the bid are clearly stated in the tender response. (See also ‘Group Bids’ below).</w:t>
      </w:r>
    </w:p>
    <w:p w:rsidR="008D4855" w:rsidRDefault="008D4855" w:rsidP="00463459">
      <w:pPr>
        <w:pStyle w:val="DfTLevel1"/>
        <w:keepLines/>
        <w:numPr>
          <w:ilvl w:val="0"/>
          <w:numId w:val="15"/>
        </w:numPr>
        <w:suppressLineNumbers/>
        <w:spacing w:before="120" w:after="120"/>
        <w:ind w:hanging="720"/>
        <w:jc w:val="both"/>
        <w:rPr>
          <w:rFonts w:cs="Arial"/>
          <w:sz w:val="22"/>
          <w:szCs w:val="22"/>
        </w:rPr>
      </w:pPr>
      <w:r w:rsidRPr="008D4855">
        <w:rPr>
          <w:rFonts w:cs="Arial"/>
          <w:sz w:val="22"/>
          <w:szCs w:val="22"/>
        </w:rPr>
        <w:t xml:space="preserve">Tender documents must not be transferred to anyone without the prior approval of the </w:t>
      </w:r>
      <w:r w:rsidR="00463459">
        <w:rPr>
          <w:rFonts w:cs="Arial"/>
          <w:sz w:val="22"/>
          <w:szCs w:val="22"/>
        </w:rPr>
        <w:t xml:space="preserve">MCA </w:t>
      </w:r>
      <w:r w:rsidRPr="008D4855">
        <w:rPr>
          <w:rFonts w:cs="Arial"/>
          <w:sz w:val="22"/>
          <w:szCs w:val="22"/>
        </w:rPr>
        <w:t>in writing.</w:t>
      </w:r>
    </w:p>
    <w:p w:rsidR="00FC464A" w:rsidRDefault="00FC464A" w:rsidP="00FC464A">
      <w:pPr>
        <w:pStyle w:val="DfTLevel1"/>
        <w:keepLines/>
        <w:suppressLineNumbers/>
        <w:spacing w:before="120" w:after="120"/>
        <w:jc w:val="both"/>
        <w:rPr>
          <w:rFonts w:cs="Arial"/>
          <w:sz w:val="22"/>
          <w:szCs w:val="22"/>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BE2886" w:rsidRDefault="00BE2886" w:rsidP="00FC464A">
      <w:pPr>
        <w:keepLines/>
        <w:suppressLineNumbers/>
        <w:suppressAutoHyphens/>
        <w:spacing w:before="120" w:after="120"/>
        <w:ind w:left="720" w:hanging="720"/>
        <w:jc w:val="both"/>
        <w:rPr>
          <w:rFonts w:ascii="Arial" w:hAnsi="Arial" w:cs="Arial"/>
          <w:b/>
        </w:rPr>
      </w:pPr>
    </w:p>
    <w:p w:rsidR="00FC464A" w:rsidRPr="00FC464A" w:rsidRDefault="00FC464A" w:rsidP="00FC464A">
      <w:pPr>
        <w:keepLines/>
        <w:suppressLineNumbers/>
        <w:suppressAutoHyphens/>
        <w:spacing w:before="120" w:after="120"/>
        <w:ind w:left="720" w:hanging="720"/>
        <w:jc w:val="both"/>
        <w:rPr>
          <w:rFonts w:ascii="Arial" w:hAnsi="Arial" w:cs="Arial"/>
          <w:b/>
        </w:rPr>
      </w:pPr>
      <w:r w:rsidRPr="00FC464A">
        <w:rPr>
          <w:rFonts w:ascii="Arial" w:hAnsi="Arial" w:cs="Arial"/>
          <w:b/>
        </w:rPr>
        <w:t xml:space="preserve">Group </w:t>
      </w:r>
      <w:r>
        <w:rPr>
          <w:rFonts w:ascii="Arial" w:hAnsi="Arial" w:cs="Arial"/>
          <w:b/>
        </w:rPr>
        <w:t>B</w:t>
      </w:r>
      <w:r w:rsidRPr="00FC464A">
        <w:rPr>
          <w:rFonts w:ascii="Arial" w:hAnsi="Arial" w:cs="Arial"/>
          <w:b/>
        </w:rPr>
        <w:t>ids</w:t>
      </w:r>
    </w:p>
    <w:p w:rsidR="00182788" w:rsidRPr="00E340A2" w:rsidRDefault="00F55A6C" w:rsidP="00E340A2">
      <w:pPr>
        <w:pStyle w:val="ListParagraph"/>
        <w:keepLines/>
        <w:numPr>
          <w:ilvl w:val="0"/>
          <w:numId w:val="15"/>
        </w:numPr>
        <w:suppressLineNumbers/>
        <w:suppressAutoHyphens/>
        <w:spacing w:before="120" w:after="120"/>
        <w:ind w:hanging="720"/>
        <w:jc w:val="both"/>
        <w:rPr>
          <w:rFonts w:ascii="Arial" w:hAnsi="Arial" w:cs="Arial"/>
        </w:rPr>
      </w:pPr>
      <w:r w:rsidRPr="00E340A2">
        <w:rPr>
          <w:rFonts w:ascii="Arial" w:hAnsi="Arial" w:cs="Arial"/>
        </w:rPr>
        <w:t xml:space="preserve">The MCA welcomes tenders from groups/consortia of suppliers, each providing part of the specified requirement.  </w:t>
      </w:r>
      <w:r w:rsidR="00FC464A" w:rsidRPr="00E340A2">
        <w:rPr>
          <w:rFonts w:ascii="Arial" w:hAnsi="Arial" w:cs="Arial"/>
        </w:rPr>
        <w:t xml:space="preserve">In the event of a group of suppliers submitting an acceptable offer, the group will be required to nominate a lead partner with whom the Department can contract. </w:t>
      </w:r>
      <w:r w:rsidRPr="00E340A2">
        <w:rPr>
          <w:rFonts w:ascii="Arial" w:hAnsi="Arial" w:cs="Arial"/>
        </w:rPr>
        <w:t xml:space="preserve"> </w:t>
      </w:r>
      <w:r w:rsidR="00FC464A" w:rsidRPr="00E340A2">
        <w:rPr>
          <w:rFonts w:ascii="Arial" w:hAnsi="Arial" w:cs="Arial"/>
        </w:rPr>
        <w:t>Alternatively</w:t>
      </w:r>
      <w:r w:rsidRPr="00E340A2">
        <w:rPr>
          <w:rFonts w:ascii="Arial" w:hAnsi="Arial" w:cs="Arial"/>
        </w:rPr>
        <w:t>,</w:t>
      </w:r>
      <w:r w:rsidR="00FC464A" w:rsidRPr="00E340A2">
        <w:rPr>
          <w:rFonts w:ascii="Arial" w:hAnsi="Arial" w:cs="Arial"/>
        </w:rPr>
        <w:t xml:space="preserve"> the group will need to form themselves into a single legal entity before the contract is awarded. An undertaking that the group will so form themselves, if required by the Department, must be provided when the tender is submitted.</w:t>
      </w:r>
    </w:p>
    <w:p w:rsidR="00E340A2" w:rsidRPr="00E340A2" w:rsidRDefault="00E340A2" w:rsidP="00E340A2">
      <w:pPr>
        <w:pStyle w:val="ListParagraph"/>
        <w:keepLines/>
        <w:suppressLineNumbers/>
        <w:suppressAutoHyphens/>
        <w:spacing w:before="120" w:after="120"/>
        <w:jc w:val="both"/>
        <w:rPr>
          <w:rFonts w:ascii="Arial" w:hAnsi="Arial" w:cs="Arial"/>
          <w:b/>
        </w:rPr>
      </w:pPr>
    </w:p>
    <w:p w:rsidR="00FC464A" w:rsidRPr="00FC464A" w:rsidRDefault="00FC464A" w:rsidP="00FC464A">
      <w:pPr>
        <w:keepLines/>
        <w:suppressLineNumbers/>
        <w:suppressAutoHyphens/>
        <w:spacing w:before="120" w:after="120"/>
        <w:jc w:val="both"/>
        <w:rPr>
          <w:rFonts w:ascii="Arial" w:hAnsi="Arial" w:cs="Arial"/>
          <w:b/>
        </w:rPr>
      </w:pPr>
      <w:r>
        <w:rPr>
          <w:rFonts w:ascii="Arial" w:hAnsi="Arial" w:cs="Arial"/>
          <w:b/>
        </w:rPr>
        <w:t>Alternative T</w:t>
      </w:r>
      <w:r w:rsidRPr="00FC464A">
        <w:rPr>
          <w:rFonts w:ascii="Arial" w:hAnsi="Arial" w:cs="Arial"/>
          <w:b/>
        </w:rPr>
        <w:t>enders</w:t>
      </w:r>
    </w:p>
    <w:p w:rsidR="00FC464A" w:rsidRPr="008D4855" w:rsidRDefault="00F80676" w:rsidP="00E340A2">
      <w:pPr>
        <w:pStyle w:val="DfTLevel1"/>
        <w:keepLines/>
        <w:suppressLineNumbers/>
        <w:spacing w:before="120" w:after="120"/>
        <w:ind w:left="709" w:hanging="709"/>
        <w:jc w:val="both"/>
        <w:rPr>
          <w:rFonts w:cs="Arial"/>
          <w:sz w:val="22"/>
          <w:szCs w:val="22"/>
        </w:rPr>
      </w:pPr>
      <w:r>
        <w:rPr>
          <w:rFonts w:cs="Arial"/>
          <w:sz w:val="22"/>
          <w:szCs w:val="22"/>
        </w:rPr>
        <w:t xml:space="preserve">19. </w:t>
      </w:r>
      <w:r w:rsidR="00E340A2">
        <w:rPr>
          <w:rFonts w:cs="Arial"/>
          <w:sz w:val="22"/>
          <w:szCs w:val="22"/>
        </w:rPr>
        <w:tab/>
      </w:r>
      <w:r w:rsidR="00FC464A" w:rsidRPr="008D4855">
        <w:rPr>
          <w:rFonts w:cs="Arial"/>
          <w:sz w:val="22"/>
          <w:szCs w:val="22"/>
        </w:rPr>
        <w:t xml:space="preserve">If you wish you may tender </w:t>
      </w:r>
      <w:proofErr w:type="gramStart"/>
      <w:r w:rsidR="00FC464A" w:rsidRPr="008D4855">
        <w:rPr>
          <w:rFonts w:cs="Arial"/>
          <w:sz w:val="22"/>
          <w:szCs w:val="22"/>
        </w:rPr>
        <w:t>on the basis of</w:t>
      </w:r>
      <w:proofErr w:type="gramEnd"/>
      <w:r w:rsidR="00FC464A" w:rsidRPr="008D4855">
        <w:rPr>
          <w:rFonts w:cs="Arial"/>
          <w:sz w:val="22"/>
          <w:szCs w:val="22"/>
        </w:rPr>
        <w:t xml:space="preserve"> an alternative specification</w:t>
      </w:r>
      <w:r w:rsidR="00F55A6C">
        <w:rPr>
          <w:rFonts w:cs="Arial"/>
          <w:sz w:val="22"/>
          <w:szCs w:val="22"/>
        </w:rPr>
        <w:t>,</w:t>
      </w:r>
      <w:r w:rsidR="00FC464A" w:rsidRPr="008D4855">
        <w:rPr>
          <w:rFonts w:cs="Arial"/>
          <w:sz w:val="22"/>
          <w:szCs w:val="22"/>
        </w:rPr>
        <w:t xml:space="preserve"> but if you do this then you must also submit a separate, primary, tender based strictly on the </w:t>
      </w:r>
      <w:r w:rsidR="00463459">
        <w:rPr>
          <w:rFonts w:cs="Arial"/>
          <w:sz w:val="22"/>
          <w:szCs w:val="22"/>
        </w:rPr>
        <w:t xml:space="preserve">MCA’s </w:t>
      </w:r>
      <w:r w:rsidR="00FC464A" w:rsidRPr="008D4855">
        <w:rPr>
          <w:rFonts w:cs="Arial"/>
          <w:sz w:val="22"/>
          <w:szCs w:val="22"/>
        </w:rPr>
        <w:t xml:space="preserve">specification. </w:t>
      </w:r>
      <w:r w:rsidR="00F55A6C">
        <w:rPr>
          <w:rFonts w:cs="Arial"/>
          <w:sz w:val="22"/>
          <w:szCs w:val="22"/>
        </w:rPr>
        <w:t xml:space="preserve"> </w:t>
      </w:r>
      <w:r w:rsidR="00FC464A" w:rsidRPr="008D4855">
        <w:rPr>
          <w:rFonts w:cs="Arial"/>
          <w:sz w:val="22"/>
          <w:szCs w:val="22"/>
        </w:rPr>
        <w:t>Alternative tenders must be fully priced to show clearly how and where costs differ from the primary tender.</w:t>
      </w:r>
      <w:r w:rsidR="00F55A6C">
        <w:rPr>
          <w:rFonts w:cs="Arial"/>
          <w:sz w:val="22"/>
          <w:szCs w:val="22"/>
        </w:rPr>
        <w:t xml:space="preserve"> </w:t>
      </w:r>
      <w:r w:rsidR="00FC464A" w:rsidRPr="008D4855">
        <w:rPr>
          <w:rFonts w:cs="Arial"/>
          <w:sz w:val="22"/>
          <w:szCs w:val="22"/>
        </w:rPr>
        <w:t xml:space="preserve"> You should also note that the </w:t>
      </w:r>
      <w:r w:rsidR="00463459">
        <w:rPr>
          <w:rFonts w:cs="Arial"/>
          <w:sz w:val="22"/>
          <w:szCs w:val="22"/>
        </w:rPr>
        <w:t xml:space="preserve">MCA </w:t>
      </w:r>
      <w:r w:rsidR="00FC464A" w:rsidRPr="008D4855">
        <w:rPr>
          <w:rFonts w:cs="Arial"/>
          <w:sz w:val="22"/>
          <w:szCs w:val="22"/>
        </w:rPr>
        <w:t>reserves the right to accept an alternative tender without recourse to re-tendering.</w:t>
      </w:r>
    </w:p>
    <w:p w:rsidR="00FC464A" w:rsidRDefault="00FC464A" w:rsidP="008D4855">
      <w:pPr>
        <w:keepLines/>
        <w:suppressLineNumbers/>
        <w:suppressAutoHyphens/>
        <w:spacing w:before="120" w:after="120"/>
        <w:jc w:val="both"/>
        <w:rPr>
          <w:rFonts w:ascii="Arial" w:hAnsi="Arial" w:cs="Arial"/>
        </w:rPr>
      </w:pPr>
    </w:p>
    <w:p w:rsidR="008D4855" w:rsidRPr="00FC464A" w:rsidRDefault="00FC464A" w:rsidP="008D4855">
      <w:pPr>
        <w:keepLines/>
        <w:suppressLineNumbers/>
        <w:suppressAutoHyphens/>
        <w:spacing w:before="120" w:after="120"/>
        <w:jc w:val="both"/>
        <w:rPr>
          <w:rFonts w:ascii="Arial" w:hAnsi="Arial" w:cs="Arial"/>
          <w:b/>
        </w:rPr>
      </w:pPr>
      <w:r w:rsidRPr="00FC464A">
        <w:rPr>
          <w:rFonts w:ascii="Arial" w:hAnsi="Arial" w:cs="Arial"/>
          <w:b/>
        </w:rPr>
        <w:t xml:space="preserve">Tender </w:t>
      </w:r>
      <w:r>
        <w:rPr>
          <w:rFonts w:ascii="Arial" w:hAnsi="Arial" w:cs="Arial"/>
          <w:b/>
        </w:rPr>
        <w:t>V</w:t>
      </w:r>
      <w:r w:rsidRPr="00FC464A">
        <w:rPr>
          <w:rFonts w:ascii="Arial" w:hAnsi="Arial" w:cs="Arial"/>
          <w:b/>
        </w:rPr>
        <w:t>alidity</w:t>
      </w:r>
    </w:p>
    <w:p w:rsidR="008D4855" w:rsidRDefault="00F80676" w:rsidP="00E340A2">
      <w:pPr>
        <w:pStyle w:val="DfTLevel1"/>
        <w:keepLines/>
        <w:suppressLineNumbers/>
        <w:spacing w:before="120" w:after="120"/>
        <w:ind w:left="720" w:hanging="720"/>
        <w:jc w:val="both"/>
        <w:rPr>
          <w:rFonts w:cs="Arial"/>
          <w:sz w:val="22"/>
          <w:szCs w:val="22"/>
        </w:rPr>
      </w:pPr>
      <w:r>
        <w:rPr>
          <w:rFonts w:cs="Arial"/>
          <w:sz w:val="22"/>
          <w:szCs w:val="22"/>
        </w:rPr>
        <w:t xml:space="preserve">20. </w:t>
      </w:r>
      <w:r w:rsidR="00E340A2">
        <w:rPr>
          <w:rFonts w:cs="Arial"/>
          <w:sz w:val="22"/>
          <w:szCs w:val="22"/>
        </w:rPr>
        <w:tab/>
      </w:r>
      <w:r w:rsidR="008D4855" w:rsidRPr="008D4855">
        <w:rPr>
          <w:rFonts w:cs="Arial"/>
          <w:sz w:val="22"/>
          <w:szCs w:val="22"/>
        </w:rPr>
        <w:t xml:space="preserve">The </w:t>
      </w:r>
      <w:r w:rsidR="00463459">
        <w:rPr>
          <w:rFonts w:cs="Arial"/>
          <w:sz w:val="22"/>
          <w:szCs w:val="22"/>
        </w:rPr>
        <w:t xml:space="preserve">MCA </w:t>
      </w:r>
      <w:r w:rsidR="008D4855" w:rsidRPr="008D4855">
        <w:rPr>
          <w:rFonts w:cs="Arial"/>
          <w:sz w:val="22"/>
          <w:szCs w:val="22"/>
        </w:rPr>
        <w:t>will assume that your tender will remain open for acceptance for a minimum of 60 calendar days from the Tender Deadline.</w:t>
      </w:r>
    </w:p>
    <w:p w:rsidR="00F55A6C" w:rsidRDefault="00F55A6C" w:rsidP="00F55A6C">
      <w:pPr>
        <w:pStyle w:val="DfTLevel1"/>
        <w:keepLines/>
        <w:suppressLineNumbers/>
        <w:spacing w:before="120" w:after="120"/>
        <w:jc w:val="both"/>
        <w:rPr>
          <w:rFonts w:cs="Arial"/>
          <w:sz w:val="22"/>
          <w:szCs w:val="22"/>
        </w:rPr>
      </w:pPr>
    </w:p>
    <w:p w:rsidR="00F55A6C" w:rsidRPr="00F55A6C" w:rsidRDefault="00D56170" w:rsidP="00F55A6C">
      <w:pPr>
        <w:keepLines/>
        <w:suppressLineNumbers/>
        <w:suppressAutoHyphens/>
        <w:spacing w:before="120" w:after="120"/>
        <w:jc w:val="both"/>
        <w:rPr>
          <w:rFonts w:ascii="Arial" w:hAnsi="Arial" w:cs="Arial"/>
          <w:b/>
        </w:rPr>
      </w:pPr>
      <w:r>
        <w:rPr>
          <w:rFonts w:ascii="Arial" w:hAnsi="Arial" w:cs="Arial"/>
          <w:b/>
        </w:rPr>
        <w:t xml:space="preserve">Scoring of Tenders and </w:t>
      </w:r>
      <w:r w:rsidR="00F55A6C" w:rsidRPr="00F55A6C">
        <w:rPr>
          <w:rFonts w:ascii="Arial" w:hAnsi="Arial" w:cs="Arial"/>
          <w:b/>
        </w:rPr>
        <w:t xml:space="preserve">Acceptance </w:t>
      </w:r>
      <w:r w:rsidR="00F55A6C">
        <w:rPr>
          <w:rFonts w:ascii="Arial" w:hAnsi="Arial" w:cs="Arial"/>
          <w:b/>
        </w:rPr>
        <w:t>o</w:t>
      </w:r>
      <w:r w:rsidR="00F55A6C" w:rsidRPr="00F55A6C">
        <w:rPr>
          <w:rFonts w:ascii="Arial" w:hAnsi="Arial" w:cs="Arial"/>
          <w:b/>
        </w:rPr>
        <w:t xml:space="preserve">f </w:t>
      </w:r>
      <w:r w:rsidR="00F55A6C">
        <w:rPr>
          <w:rFonts w:ascii="Arial" w:hAnsi="Arial" w:cs="Arial"/>
          <w:b/>
        </w:rPr>
        <w:t>O</w:t>
      </w:r>
      <w:r w:rsidR="00F55A6C" w:rsidRPr="00F55A6C">
        <w:rPr>
          <w:rFonts w:ascii="Arial" w:hAnsi="Arial" w:cs="Arial"/>
          <w:b/>
        </w:rPr>
        <w:t>ffers</w:t>
      </w:r>
    </w:p>
    <w:p w:rsidR="00F55A6C" w:rsidRDefault="00F80676" w:rsidP="00E340A2">
      <w:pPr>
        <w:pStyle w:val="DfTLevel1"/>
        <w:keepLines/>
        <w:suppressLineNumbers/>
        <w:spacing w:before="120" w:after="120"/>
        <w:ind w:left="709" w:hanging="709"/>
        <w:jc w:val="both"/>
        <w:rPr>
          <w:rFonts w:cs="Arial"/>
          <w:sz w:val="22"/>
          <w:szCs w:val="22"/>
        </w:rPr>
      </w:pPr>
      <w:r>
        <w:rPr>
          <w:rFonts w:cs="Arial"/>
          <w:sz w:val="22"/>
          <w:szCs w:val="22"/>
        </w:rPr>
        <w:t xml:space="preserve">21. </w:t>
      </w:r>
      <w:r w:rsidR="00E340A2">
        <w:rPr>
          <w:rFonts w:cs="Arial"/>
          <w:sz w:val="22"/>
          <w:szCs w:val="22"/>
        </w:rPr>
        <w:tab/>
      </w:r>
      <w:r w:rsidR="00F55A6C" w:rsidRPr="008D4855">
        <w:rPr>
          <w:rFonts w:cs="Arial"/>
          <w:sz w:val="22"/>
          <w:szCs w:val="22"/>
        </w:rPr>
        <w:t xml:space="preserve">The </w:t>
      </w:r>
      <w:r w:rsidR="00463459">
        <w:rPr>
          <w:rFonts w:cs="Arial"/>
          <w:sz w:val="22"/>
          <w:szCs w:val="22"/>
        </w:rPr>
        <w:t xml:space="preserve">MCA </w:t>
      </w:r>
      <w:r w:rsidR="00F55A6C" w:rsidRPr="008D4855">
        <w:rPr>
          <w:rFonts w:cs="Arial"/>
          <w:sz w:val="22"/>
          <w:szCs w:val="22"/>
        </w:rPr>
        <w:t>will safeguard all tenders received and open them once the tender deadline has expired.</w:t>
      </w:r>
    </w:p>
    <w:p w:rsidR="00F55A6C" w:rsidRDefault="00F80676" w:rsidP="00E340A2">
      <w:pPr>
        <w:pStyle w:val="DfTLevel1"/>
        <w:keepLines/>
        <w:suppressLineNumbers/>
        <w:spacing w:before="120" w:after="120"/>
        <w:ind w:left="720" w:hanging="720"/>
        <w:jc w:val="both"/>
        <w:rPr>
          <w:rFonts w:cs="Arial"/>
          <w:sz w:val="22"/>
          <w:szCs w:val="22"/>
        </w:rPr>
      </w:pPr>
      <w:r>
        <w:rPr>
          <w:rFonts w:cs="Arial"/>
          <w:sz w:val="22"/>
          <w:szCs w:val="22"/>
        </w:rPr>
        <w:t xml:space="preserve">22. </w:t>
      </w:r>
      <w:r w:rsidR="00E340A2">
        <w:rPr>
          <w:rFonts w:cs="Arial"/>
          <w:sz w:val="22"/>
          <w:szCs w:val="22"/>
        </w:rPr>
        <w:tab/>
      </w:r>
      <w:r w:rsidR="00F55A6C">
        <w:rPr>
          <w:rFonts w:cs="Arial"/>
          <w:sz w:val="22"/>
          <w:szCs w:val="22"/>
        </w:rPr>
        <w:t>The scoring criteria for the contract will be as follows:</w:t>
      </w:r>
    </w:p>
    <w:p w:rsidR="00463459" w:rsidRPr="00463459" w:rsidRDefault="00F55A6C"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b/>
          <w:vanish/>
        </w:rPr>
        <w:t>o process for awarding the contract will be as follows:</w:t>
      </w:r>
      <w:r>
        <w:rPr>
          <w:rFonts w:ascii="Arial" w:hAnsi="Arial" w:cs="Arial"/>
          <w:b/>
          <w:vanish/>
        </w:rPr>
        <w:cr/>
        <w:t xml:space="preserve">ng part of the tenderered requirement.  </w:t>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r>
        <w:rPr>
          <w:rFonts w:ascii="Arial" w:hAnsi="Arial" w:cs="Arial"/>
          <w:b/>
          <w:vanish/>
        </w:rPr>
        <w:pgNum/>
      </w:r>
    </w:p>
    <w:tbl>
      <w:tblPr>
        <w:tblStyle w:val="TableGrid"/>
        <w:tblW w:w="0" w:type="auto"/>
        <w:tblLook w:val="04A0" w:firstRow="1" w:lastRow="0" w:firstColumn="1" w:lastColumn="0" w:noHBand="0" w:noVBand="1"/>
      </w:tblPr>
      <w:tblGrid>
        <w:gridCol w:w="2337"/>
        <w:gridCol w:w="3754"/>
        <w:gridCol w:w="1559"/>
        <w:gridCol w:w="1700"/>
      </w:tblGrid>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Criterion Weighting</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center"/>
              <w:rPr>
                <w:rFonts w:ascii="Arial" w:hAnsi="Arial" w:cs="Arial"/>
                <w:b/>
              </w:rPr>
            </w:pPr>
            <w:r w:rsidRPr="006D057C">
              <w:rPr>
                <w:rFonts w:ascii="Arial" w:hAnsi="Arial" w:cs="Arial"/>
                <w:b/>
              </w:rPr>
              <w:t>Sub-Criteria Weightings</w:t>
            </w:r>
          </w:p>
        </w:tc>
      </w:tr>
      <w:tr w:rsidR="000515F4" w:rsidTr="000515F4">
        <w:tc>
          <w:tcPr>
            <w:tcW w:w="2337" w:type="dxa"/>
          </w:tcPr>
          <w:p w:rsidR="000515F4" w:rsidRPr="006D057C" w:rsidRDefault="000515F4"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Delivery Timeframe</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0515F4" w:rsidTr="000515F4">
        <w:tc>
          <w:tcPr>
            <w:tcW w:w="2337" w:type="dxa"/>
          </w:tcPr>
          <w:p w:rsidR="000515F4" w:rsidRPr="006D057C" w:rsidRDefault="00182788"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rFonts w:ascii="Arial" w:hAnsi="Arial" w:cs="Arial"/>
                <w:b/>
              </w:rPr>
            </w:pPr>
            <w:r>
              <w:rPr>
                <w:rFonts w:ascii="Arial" w:hAnsi="Arial" w:cs="Arial"/>
                <w:b/>
              </w:rPr>
              <w:t>Storage Capacity 300m</w:t>
            </w:r>
            <w:r w:rsidRPr="00182788">
              <w:rPr>
                <w:rFonts w:ascii="Arial" w:hAnsi="Arial" w:cs="Arial"/>
                <w:b/>
                <w:sz w:val="14"/>
              </w:rPr>
              <w:t>3</w:t>
            </w:r>
            <w:r w:rsidR="00A75443">
              <w:rPr>
                <w:rFonts w:ascii="Arial" w:hAnsi="Arial" w:cs="Arial"/>
                <w:b/>
                <w:sz w:val="14"/>
              </w:rPr>
              <w:t xml:space="preserve"> </w:t>
            </w:r>
            <w:r w:rsidR="00A75443" w:rsidRPr="00E340A2">
              <w:rPr>
                <w:rFonts w:ascii="Arial" w:hAnsi="Arial" w:cs="Arial"/>
                <w:b/>
              </w:rPr>
              <w:t>in smaller systems of 25 – 50 tonnes</w:t>
            </w:r>
          </w:p>
        </w:tc>
        <w:tc>
          <w:tcPr>
            <w:tcW w:w="3754"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CRITICAL</w:t>
            </w:r>
          </w:p>
        </w:tc>
        <w:tc>
          <w:tcPr>
            <w:tcW w:w="1700" w:type="dxa"/>
          </w:tcPr>
          <w:p w:rsidR="000515F4" w:rsidRPr="006D057C"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182788" w:rsidTr="000515F4">
        <w:tc>
          <w:tcPr>
            <w:tcW w:w="2337"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3754"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700" w:type="dxa"/>
          </w:tcPr>
          <w:p w:rsidR="00182788"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Price</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40%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6D057C">
              <w:rPr>
                <w:rFonts w:ascii="Arial" w:hAnsi="Arial" w:cs="Arial"/>
                <w:b/>
              </w:rPr>
              <w:t xml:space="preserve">Compliance </w:t>
            </w:r>
            <w:r>
              <w:rPr>
                <w:rFonts w:ascii="Arial" w:hAnsi="Arial" w:cs="Arial"/>
                <w:b/>
              </w:rPr>
              <w:t>with the Technical Requirement</w:t>
            </w:r>
          </w:p>
        </w:tc>
        <w:tc>
          <w:tcPr>
            <w:tcW w:w="3754"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559" w:type="dxa"/>
          </w:tcPr>
          <w:p w:rsidR="006D057C" w:rsidRPr="006D057C" w:rsidRDefault="00182788"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6</w:t>
            </w:r>
            <w:r w:rsidR="006D057C" w:rsidRPr="006D057C">
              <w:rPr>
                <w:rFonts w:ascii="Arial" w:hAnsi="Arial" w:cs="Arial"/>
                <w:b/>
              </w:rPr>
              <w:t>0%</w:t>
            </w:r>
          </w:p>
        </w:tc>
        <w:tc>
          <w:tcPr>
            <w:tcW w:w="1700"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D56170" w:rsidTr="000515F4">
        <w:tc>
          <w:tcPr>
            <w:tcW w:w="2337"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D56170"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Durability of solution</w:t>
            </w:r>
            <w:r w:rsidR="004A18B4">
              <w:rPr>
                <w:rFonts w:ascii="Arial" w:hAnsi="Arial" w:cs="Arial"/>
              </w:rPr>
              <w:t>, including tensile strength</w:t>
            </w:r>
          </w:p>
        </w:tc>
        <w:tc>
          <w:tcPr>
            <w:tcW w:w="1559" w:type="dxa"/>
          </w:tcPr>
          <w:p w:rsidR="00D56170" w:rsidRPr="006D057C" w:rsidRDefault="00D5617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D56170"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Ability to compress/fold for transit</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Resistance to oil, sunlight, water</w:t>
            </w:r>
            <w:r w:rsidR="00BE2886">
              <w:rPr>
                <w:rFonts w:ascii="Arial" w:hAnsi="Arial" w:cs="Arial"/>
              </w:rPr>
              <w:t>, hydrocarbons</w:t>
            </w:r>
            <w:r>
              <w:rPr>
                <w:rFonts w:ascii="Arial" w:hAnsi="Arial" w:cs="Arial"/>
              </w:rPr>
              <w:t xml:space="preserve"> and extremes of temperature</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P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Operating Parameters - t</w:t>
            </w:r>
            <w:r w:rsidR="00672510">
              <w:rPr>
                <w:rFonts w:ascii="Arial" w:hAnsi="Arial" w:cs="Arial"/>
              </w:rPr>
              <w:t>owing capability</w:t>
            </w:r>
            <w:r w:rsidR="004A18B4">
              <w:rPr>
                <w:rFonts w:ascii="Arial" w:hAnsi="Arial" w:cs="Arial"/>
              </w:rPr>
              <w:t xml:space="preserve"> no less than 4 knots</w:t>
            </w:r>
            <w:r>
              <w:rPr>
                <w:rFonts w:ascii="Arial" w:hAnsi="Arial" w:cs="Arial"/>
              </w:rPr>
              <w:t xml:space="preserve"> and wave height up to 2.5m</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B0023D" w:rsidTr="000515F4">
        <w:tc>
          <w:tcPr>
            <w:tcW w:w="2337" w:type="dxa"/>
          </w:tcPr>
          <w:p w:rsidR="00B0023D" w:rsidRPr="006D057C"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B0023D" w:rsidRPr="00FB6BEB"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Method of decanting</w:t>
            </w:r>
            <w:r w:rsidR="00FB6BEB">
              <w:rPr>
                <w:rFonts w:ascii="Arial" w:hAnsi="Arial" w:cs="Arial"/>
              </w:rPr>
              <w:t xml:space="preserve"> – effectiveness and risk of secondary spill</w:t>
            </w:r>
          </w:p>
        </w:tc>
        <w:tc>
          <w:tcPr>
            <w:tcW w:w="1559" w:type="dxa"/>
          </w:tcPr>
          <w:p w:rsidR="00B0023D" w:rsidRPr="00FB6BEB" w:rsidRDefault="00B0023D"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B0023D" w:rsidRPr="00FB6BEB"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E340A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Filler c</w:t>
            </w:r>
            <w:r w:rsidR="004A18B4" w:rsidRPr="00E340A2">
              <w:rPr>
                <w:rFonts w:ascii="Arial" w:hAnsi="Arial" w:cs="Arial"/>
              </w:rPr>
              <w:t>onnections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Necessary ancillaries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4A18B4" w:rsidTr="000515F4">
        <w:tc>
          <w:tcPr>
            <w:tcW w:w="2337"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4A18B4" w:rsidRPr="00E340A2"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Optional ancillaries</w:t>
            </w:r>
          </w:p>
        </w:tc>
        <w:tc>
          <w:tcPr>
            <w:tcW w:w="1559" w:type="dxa"/>
          </w:tcPr>
          <w:p w:rsidR="004A18B4" w:rsidRPr="006D057C" w:rsidRDefault="004A18B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4A18B4"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11.5%</w:t>
            </w:r>
          </w:p>
        </w:tc>
      </w:tr>
      <w:tr w:rsidR="006D057C" w:rsidTr="000515F4">
        <w:tc>
          <w:tcPr>
            <w:tcW w:w="2337"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Pr="00E340A2"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E340A2">
              <w:rPr>
                <w:rFonts w:ascii="Arial" w:hAnsi="Arial" w:cs="Arial"/>
              </w:rPr>
              <w:t>Warranty</w:t>
            </w:r>
          </w:p>
        </w:tc>
        <w:tc>
          <w:tcPr>
            <w:tcW w:w="1559" w:type="dxa"/>
          </w:tcPr>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11AB1"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8%</w:t>
            </w:r>
          </w:p>
        </w:tc>
      </w:tr>
      <w:tr w:rsidR="006D057C" w:rsidTr="000515F4">
        <w:tc>
          <w:tcPr>
            <w:tcW w:w="2337"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Ease of Operation</w:t>
            </w:r>
          </w:p>
        </w:tc>
        <w:tc>
          <w:tcPr>
            <w:tcW w:w="3754" w:type="dxa"/>
          </w:tcPr>
          <w:p w:rsidR="006D057C" w:rsidRPr="000515F4"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6D057C" w:rsidRPr="000515F4"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3</w:t>
            </w:r>
            <w:r w:rsidR="006D057C" w:rsidRPr="000515F4">
              <w:rPr>
                <w:rFonts w:ascii="Arial" w:hAnsi="Arial" w:cs="Arial"/>
                <w:b/>
              </w:rPr>
              <w:t>5%</w:t>
            </w:r>
          </w:p>
        </w:tc>
        <w:tc>
          <w:tcPr>
            <w:tcW w:w="1700"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r>
      <w:tr w:rsidR="006D057C" w:rsidTr="000515F4">
        <w:tc>
          <w:tcPr>
            <w:tcW w:w="2337"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6D057C"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Deployable from the shore or a vessel</w:t>
            </w:r>
          </w:p>
        </w:tc>
        <w:tc>
          <w:tcPr>
            <w:tcW w:w="1559" w:type="dxa"/>
          </w:tcPr>
          <w:p w:rsid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6D057C"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50%</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Pr="00FB6BEB"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Decanting Method</w:t>
            </w:r>
            <w:r w:rsidR="00FB6BEB">
              <w:rPr>
                <w:rFonts w:ascii="Arial" w:hAnsi="Arial" w:cs="Arial"/>
              </w:rPr>
              <w:t xml:space="preserve"> – ease of use for responders</w:t>
            </w:r>
          </w:p>
        </w:tc>
        <w:tc>
          <w:tcPr>
            <w:tcW w:w="1559" w:type="dxa"/>
          </w:tcPr>
          <w:p w:rsidR="000515F4" w:rsidRPr="00FB6BEB"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Pr="00FB6BEB" w:rsidRDefault="00275472"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FB6BEB">
              <w:rPr>
                <w:rFonts w:ascii="Arial" w:hAnsi="Arial" w:cs="Arial"/>
              </w:rPr>
              <w:t>50%</w:t>
            </w:r>
          </w:p>
        </w:tc>
      </w:tr>
      <w:tr w:rsidR="000515F4" w:rsidTr="000515F4">
        <w:tc>
          <w:tcPr>
            <w:tcW w:w="2337"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Sustainability</w:t>
            </w:r>
          </w:p>
        </w:tc>
        <w:tc>
          <w:tcPr>
            <w:tcW w:w="3754"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c>
          <w:tcPr>
            <w:tcW w:w="1559"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0515F4">
              <w:rPr>
                <w:rFonts w:ascii="Arial" w:hAnsi="Arial" w:cs="Arial"/>
                <w:b/>
              </w:rPr>
              <w:t>5%</w:t>
            </w:r>
          </w:p>
        </w:tc>
        <w:tc>
          <w:tcPr>
            <w:tcW w:w="1700" w:type="dxa"/>
          </w:tcPr>
          <w:p w:rsidR="000515F4" w:rsidRP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672510"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Emissions and u</w:t>
            </w:r>
            <w:r w:rsidR="000515F4">
              <w:rPr>
                <w:rFonts w:ascii="Arial" w:hAnsi="Arial" w:cs="Arial"/>
              </w:rPr>
              <w:t>se of resources in manufacturing</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672510">
              <w:rPr>
                <w:rFonts w:ascii="Arial" w:hAnsi="Arial" w:cs="Arial"/>
              </w:rPr>
              <w:t>0</w:t>
            </w:r>
            <w:r>
              <w:rPr>
                <w:rFonts w:ascii="Arial" w:hAnsi="Arial" w:cs="Arial"/>
              </w:rPr>
              <w:t>%</w:t>
            </w:r>
          </w:p>
        </w:tc>
      </w:tr>
      <w:tr w:rsidR="000515F4" w:rsidTr="000515F4">
        <w:tc>
          <w:tcPr>
            <w:tcW w:w="2337"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3754"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Poor working conditions / equality and diversity issues</w:t>
            </w:r>
          </w:p>
        </w:tc>
        <w:tc>
          <w:tcPr>
            <w:tcW w:w="1559"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tc>
        <w:tc>
          <w:tcPr>
            <w:tcW w:w="1700" w:type="dxa"/>
          </w:tcPr>
          <w:p w:rsidR="000515F4" w:rsidRDefault="000515F4"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5</w:t>
            </w:r>
            <w:r w:rsidR="00672510">
              <w:rPr>
                <w:rFonts w:ascii="Arial" w:hAnsi="Arial" w:cs="Arial"/>
              </w:rPr>
              <w:t>0</w:t>
            </w:r>
            <w:r>
              <w:rPr>
                <w:rFonts w:ascii="Arial" w:hAnsi="Arial" w:cs="Arial"/>
              </w:rPr>
              <w:t>%</w:t>
            </w:r>
          </w:p>
        </w:tc>
      </w:tr>
    </w:tbl>
    <w:p w:rsidR="006D057C" w:rsidRPr="006D057C" w:rsidRDefault="006D057C" w:rsidP="006D057C">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u w:val="single"/>
        </w:rPr>
      </w:pPr>
    </w:p>
    <w:p w:rsidR="00463459" w:rsidRDefault="000515F4" w:rsidP="000515F4">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ind w:left="0"/>
        <w:jc w:val="both"/>
        <w:rPr>
          <w:rFonts w:ascii="Arial" w:hAnsi="Arial" w:cs="Arial"/>
        </w:rPr>
      </w:pPr>
      <w:r>
        <w:rPr>
          <w:rFonts w:ascii="Arial" w:hAnsi="Arial" w:cs="Arial"/>
        </w:rPr>
        <w:t>Compliance with the Technical Requirement, Ease of Operation and Sustainability together make up the Quality section of the scoring, which will be worth 60% of the overall score (with Price receiving the other 40%).</w:t>
      </w:r>
    </w:p>
    <w:p w:rsidR="008A2449" w:rsidRPr="00F55A6C" w:rsidRDefault="008A2449" w:rsidP="00463459">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463459" w:rsidRPr="00CA4F82" w:rsidRDefault="00CA4F82" w:rsidP="00CA4F82">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hanging="720"/>
        <w:jc w:val="both"/>
        <w:rPr>
          <w:rFonts w:ascii="Arial" w:hAnsi="Arial" w:cs="Arial"/>
        </w:rPr>
      </w:pPr>
      <w:r w:rsidRPr="00CA4F82">
        <w:rPr>
          <w:rFonts w:ascii="Arial" w:hAnsi="Arial" w:cs="Arial"/>
        </w:rPr>
        <w:t>The method of scoring all tenders will be:</w:t>
      </w:r>
    </w:p>
    <w:p w:rsidR="00463459" w:rsidRDefault="00463459"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542192" w:rsidRDefault="00542192" w:rsidP="00CA4F82">
      <w:pPr>
        <w:pStyle w:val="ListParagraph"/>
        <w:numPr>
          <w:ilvl w:val="1"/>
          <w:numId w:val="18"/>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Any scoring criterion shown as ‘Critical’ above will be assessed first.  These criteria are the most important ones to the MCA, and will be marked on a pass/fail basis.  Any supplier that fails on a Critical criterion will be excluded from this procurement and their tender will not be assessed further.</w:t>
      </w:r>
    </w:p>
    <w:p w:rsidR="00CA4F82" w:rsidRPr="00CA4F82" w:rsidRDefault="00CA4F82" w:rsidP="00CA4F82">
      <w:pPr>
        <w:pStyle w:val="ListParagraph"/>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p>
    <w:p w:rsidR="00CA4F82" w:rsidRPr="00CA4F82" w:rsidRDefault="00CA4F82" w:rsidP="00CA4F82">
      <w:pPr>
        <w:pStyle w:val="ListParagraph"/>
        <w:numPr>
          <w:ilvl w:val="1"/>
          <w:numId w:val="18"/>
        </w:numPr>
        <w:tabs>
          <w:tab w:val="left" w:pos="1134"/>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b/>
        </w:rPr>
      </w:pPr>
      <w:r w:rsidRPr="00CA4F82">
        <w:rPr>
          <w:rFonts w:ascii="Arial" w:hAnsi="Arial" w:cs="Arial"/>
        </w:rPr>
        <w:t>A score out of 3 will then be assigned to each sub-criterion for the other Quality aspects, according to the scheme below:</w:t>
      </w:r>
    </w:p>
    <w:p w:rsidR="00CA4F82" w:rsidRPr="00CA4F82" w:rsidRDefault="00CA4F82" w:rsidP="00CA4F82">
      <w:pPr>
        <w:pStyle w:val="ListParagraph"/>
        <w:rPr>
          <w:rFonts w:ascii="Arial" w:hAnsi="Arial" w:cs="Arial"/>
        </w:rPr>
      </w:pPr>
    </w:p>
    <w:p w:rsidR="00542192" w:rsidRPr="00CA4F82" w:rsidRDefault="00542192" w:rsidP="00CA4F82">
      <w:pPr>
        <w:pStyle w:val="ListParagraph"/>
        <w:tabs>
          <w:tab w:val="left" w:pos="1134"/>
          <w:tab w:val="left" w:pos="1440"/>
          <w:tab w:val="left" w:pos="2160"/>
          <w:tab w:val="left" w:pos="2880"/>
          <w:tab w:val="left" w:pos="3600"/>
          <w:tab w:val="left" w:pos="4320"/>
          <w:tab w:val="left" w:pos="5040"/>
          <w:tab w:val="left" w:pos="5760"/>
          <w:tab w:val="left" w:pos="6480"/>
          <w:tab w:val="left" w:pos="7200"/>
          <w:tab w:val="left" w:pos="7920"/>
        </w:tabs>
        <w:spacing w:after="0"/>
        <w:ind w:left="1500"/>
        <w:jc w:val="both"/>
        <w:rPr>
          <w:rFonts w:ascii="Arial" w:hAnsi="Arial" w:cs="Arial"/>
          <w:b/>
        </w:rPr>
      </w:pPr>
      <w:r w:rsidRPr="00CA4F82">
        <w:rPr>
          <w:rFonts w:ascii="Arial" w:hAnsi="Arial" w:cs="Arial"/>
        </w:rPr>
        <w:t xml:space="preserve"> </w:t>
      </w:r>
    </w:p>
    <w:p w:rsidR="00F55A6C" w:rsidRPr="00F55A6C" w:rsidRDefault="00CA4F8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0</w:t>
      </w:r>
      <w:r w:rsidR="00F55A6C" w:rsidRPr="00F55A6C">
        <w:rPr>
          <w:rFonts w:ascii="Arial" w:hAnsi="Arial" w:cs="Arial"/>
        </w:rPr>
        <w:t xml:space="preserve"> – Inadequate response</w:t>
      </w:r>
    </w:p>
    <w:p w:rsidR="00F55A6C" w:rsidRPr="00F55A6C" w:rsidRDefault="00F55A6C"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1</w:t>
      </w:r>
      <w:r w:rsidRPr="00F55A6C">
        <w:rPr>
          <w:rFonts w:ascii="Arial" w:hAnsi="Arial" w:cs="Arial"/>
        </w:rPr>
        <w:t xml:space="preserve"> – Major weaknesses in the response</w:t>
      </w:r>
    </w:p>
    <w:p w:rsidR="00F55A6C" w:rsidRP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2</w:t>
      </w:r>
      <w:r w:rsidR="00F55A6C" w:rsidRPr="00F55A6C">
        <w:rPr>
          <w:rFonts w:ascii="Arial" w:hAnsi="Arial" w:cs="Arial"/>
        </w:rPr>
        <w:t xml:space="preserve"> – Minor weaknesses in the response or detail missing</w:t>
      </w:r>
    </w:p>
    <w:p w:rsidR="00F55A6C" w:rsidRDefault="00542192" w:rsidP="00542192">
      <w:pPr>
        <w:pStyle w:val="ListParagraph"/>
        <w:tabs>
          <w:tab w:val="left" w:pos="720"/>
          <w:tab w:val="left" w:pos="1440"/>
          <w:tab w:val="left" w:pos="2880"/>
          <w:tab w:val="left" w:pos="3600"/>
          <w:tab w:val="left" w:pos="4320"/>
          <w:tab w:val="left" w:pos="5040"/>
          <w:tab w:val="left" w:pos="5760"/>
          <w:tab w:val="left" w:pos="6480"/>
          <w:tab w:val="left" w:pos="7200"/>
          <w:tab w:val="left" w:pos="7920"/>
        </w:tabs>
        <w:spacing w:after="0"/>
        <w:ind w:left="1560"/>
        <w:jc w:val="both"/>
        <w:rPr>
          <w:rFonts w:ascii="Arial" w:hAnsi="Arial" w:cs="Arial"/>
        </w:rPr>
      </w:pPr>
      <w:r w:rsidRPr="00CA4F82">
        <w:rPr>
          <w:rFonts w:ascii="Arial" w:hAnsi="Arial" w:cs="Arial"/>
          <w:b/>
        </w:rPr>
        <w:t>3</w:t>
      </w:r>
      <w:r w:rsidR="00F55A6C" w:rsidRPr="00F55A6C">
        <w:rPr>
          <w:rFonts w:ascii="Arial" w:hAnsi="Arial" w:cs="Arial"/>
        </w:rPr>
        <w:t xml:space="preserve"> – Satisfactory response that fully meets the requirement and includes all relevant supporting evidence</w:t>
      </w:r>
      <w:r w:rsidR="008E5471">
        <w:rPr>
          <w:rFonts w:ascii="Arial" w:hAnsi="Arial" w:cs="Arial"/>
        </w:rPr>
        <w:t>.</w:t>
      </w:r>
    </w:p>
    <w:p w:rsidR="008E5471" w:rsidRDefault="008E5471" w:rsidP="008E5471">
      <w:pPr>
        <w:tabs>
          <w:tab w:val="left" w:pos="720"/>
          <w:tab w:val="left" w:pos="144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CA4F82" w:rsidRDefault="008E5471" w:rsidP="00CA4F82">
      <w:pPr>
        <w:pStyle w:val="ListParagraph"/>
        <w:numPr>
          <w:ilvl w:val="1"/>
          <w:numId w:val="18"/>
        </w:numPr>
        <w:tabs>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CA4F82">
        <w:rPr>
          <w:rFonts w:ascii="Arial" w:hAnsi="Arial" w:cs="Arial"/>
        </w:rPr>
        <w:t>The score for each sub-criterion will be converted into a weighted percentage of the total</w:t>
      </w:r>
      <w:r w:rsidR="00CA4F82">
        <w:rPr>
          <w:rFonts w:ascii="Arial" w:hAnsi="Arial" w:cs="Arial"/>
        </w:rPr>
        <w:t xml:space="preserve"> score for the criterion it sits under</w:t>
      </w:r>
      <w:r w:rsidRPr="00CA4F82">
        <w:rPr>
          <w:rFonts w:ascii="Arial" w:hAnsi="Arial" w:cs="Arial"/>
        </w:rPr>
        <w:t>, using the formula:</w:t>
      </w:r>
    </w:p>
    <w:p w:rsidR="00F55A6C" w:rsidRPr="00F55A6C" w:rsidRDefault="00F55A6C"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8E5471" w:rsidRPr="008E5471" w:rsidRDefault="00F55A6C"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Quality Score</w:t>
      </w:r>
      <w:r w:rsidR="008E5471" w:rsidRPr="008E5471">
        <w:rPr>
          <w:rFonts w:ascii="Arial" w:hAnsi="Arial" w:cs="Arial"/>
          <w:b/>
        </w:rPr>
        <w:t xml:space="preserve"> for the </w:t>
      </w:r>
    </w:p>
    <w:p w:rsidR="00F55A6C" w:rsidRPr="008E5471" w:rsidRDefault="008E5471" w:rsidP="00CA4F82">
      <w:pPr>
        <w:pStyle w:val="ListParagraph"/>
        <w:numPr>
          <w:ilvl w:val="12"/>
          <w:numId w:val="18"/>
        </w:numPr>
        <w:tabs>
          <w:tab w:val="left" w:pos="720"/>
          <w:tab w:val="left" w:pos="1440"/>
          <w:tab w:val="left" w:pos="2160"/>
          <w:tab w:val="left" w:pos="2880"/>
          <w:tab w:val="left" w:pos="5040"/>
          <w:tab w:val="left" w:pos="5760"/>
          <w:tab w:val="left" w:pos="6480"/>
          <w:tab w:val="left" w:pos="7200"/>
          <w:tab w:val="left" w:pos="7920"/>
        </w:tabs>
        <w:spacing w:after="0"/>
        <w:jc w:val="both"/>
        <w:rPr>
          <w:rFonts w:ascii="Arial" w:hAnsi="Arial" w:cs="Arial"/>
          <w:b/>
        </w:rPr>
      </w:pPr>
      <w:r w:rsidRPr="008E5471">
        <w:rPr>
          <w:rFonts w:ascii="Arial" w:hAnsi="Arial" w:cs="Arial"/>
          <w:b/>
        </w:rPr>
        <w:t>sub-criterion</w:t>
      </w:r>
      <w:r w:rsidRPr="008E5471">
        <w:rPr>
          <w:rFonts w:ascii="Arial" w:hAnsi="Arial" w:cs="Arial"/>
          <w:b/>
        </w:rPr>
        <w:tab/>
      </w:r>
      <w:r w:rsidRPr="008E5471">
        <w:rPr>
          <w:rFonts w:ascii="Arial" w:hAnsi="Arial" w:cs="Arial"/>
          <w:b/>
        </w:rPr>
        <w:tab/>
      </w:r>
      <w:r w:rsidR="00F55A6C" w:rsidRPr="008E5471">
        <w:rPr>
          <w:rFonts w:ascii="Arial" w:hAnsi="Arial" w:cs="Arial"/>
          <w:b/>
        </w:rPr>
        <w:t xml:space="preserve"> </w:t>
      </w:r>
      <w:proofErr w:type="gramStart"/>
      <w:r w:rsidR="00F55A6C" w:rsidRPr="008E5471">
        <w:rPr>
          <w:rFonts w:ascii="Arial" w:hAnsi="Arial" w:cs="Arial"/>
          <w:b/>
        </w:rPr>
        <w:t>=  _</w:t>
      </w:r>
      <w:proofErr w:type="gramEnd"/>
      <w:r w:rsidR="00F55A6C" w:rsidRPr="008E5471">
        <w:rPr>
          <w:rFonts w:ascii="Arial" w:hAnsi="Arial" w:cs="Arial"/>
          <w:b/>
        </w:rPr>
        <w:t>_______Tenderer’s Score_______________  x Weightings</w:t>
      </w:r>
    </w:p>
    <w:p w:rsidR="00F55A6C" w:rsidRPr="008E5471" w:rsidRDefault="008E5471" w:rsidP="00CA4F82">
      <w:pPr>
        <w:pStyle w:val="ListParagraph"/>
        <w:numPr>
          <w:ilvl w:val="12"/>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Pr>
          <w:rFonts w:ascii="Arial" w:hAnsi="Arial" w:cs="Arial"/>
          <w:b/>
        </w:rPr>
        <w:tab/>
      </w:r>
      <w:r>
        <w:rPr>
          <w:rFonts w:ascii="Arial" w:hAnsi="Arial" w:cs="Arial"/>
          <w:b/>
        </w:rPr>
        <w:tab/>
      </w:r>
      <w:r>
        <w:rPr>
          <w:rFonts w:ascii="Arial" w:hAnsi="Arial" w:cs="Arial"/>
          <w:b/>
        </w:rPr>
        <w:tab/>
      </w:r>
      <w:r w:rsidRPr="008E5471">
        <w:rPr>
          <w:rFonts w:ascii="Arial" w:hAnsi="Arial" w:cs="Arial"/>
          <w:b/>
        </w:rPr>
        <w:t>H</w:t>
      </w:r>
      <w:r w:rsidR="00F55A6C" w:rsidRPr="008E5471">
        <w:rPr>
          <w:rFonts w:ascii="Arial" w:hAnsi="Arial" w:cs="Arial"/>
          <w:b/>
        </w:rPr>
        <w:t xml:space="preserve">ighest Quality Score Possible for the </w:t>
      </w:r>
      <w:r w:rsidRPr="008E5471">
        <w:rPr>
          <w:rFonts w:ascii="Arial" w:hAnsi="Arial" w:cs="Arial"/>
          <w:b/>
        </w:rPr>
        <w:t>Sub-</w:t>
      </w:r>
      <w:r w:rsidR="00F55A6C" w:rsidRPr="008E5471">
        <w:rPr>
          <w:rFonts w:ascii="Arial" w:hAnsi="Arial" w:cs="Arial"/>
          <w:b/>
        </w:rPr>
        <w:t>Criterion</w:t>
      </w:r>
    </w:p>
    <w:p w:rsidR="008E5471" w:rsidRDefault="008E5471"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D76D88" w:rsidRDefault="00D76D88" w:rsidP="008E5471">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b/>
        </w:rPr>
      </w:pPr>
    </w:p>
    <w:p w:rsidR="00D76D88" w:rsidRPr="0038304D" w:rsidRDefault="00D76D88"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 xml:space="preserve">Once all sub-criteria have been scored and weighted, the total weighted score for each </w:t>
      </w:r>
      <w:r w:rsidR="0038304D">
        <w:rPr>
          <w:rFonts w:ascii="Arial" w:hAnsi="Arial" w:cs="Arial"/>
        </w:rPr>
        <w:t xml:space="preserve">Quality </w:t>
      </w:r>
      <w:r w:rsidR="004F5847" w:rsidRPr="0038304D">
        <w:rPr>
          <w:rFonts w:ascii="Arial" w:hAnsi="Arial" w:cs="Arial"/>
        </w:rPr>
        <w:t>criterion will be calculated by:</w:t>
      </w:r>
    </w:p>
    <w:p w:rsid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916"/>
        <w:jc w:val="both"/>
        <w:rPr>
          <w:rFonts w:ascii="Arial" w:hAnsi="Arial" w:cs="Arial"/>
        </w:rPr>
      </w:pPr>
    </w:p>
    <w:p w:rsidR="004F5847" w:rsidRPr="004F5847" w:rsidRDefault="004F5847" w:rsidP="004F5847">
      <w:pPr>
        <w:tabs>
          <w:tab w:val="left" w:pos="1440"/>
          <w:tab w:val="left" w:pos="2160"/>
          <w:tab w:val="left" w:pos="2880"/>
          <w:tab w:val="left" w:pos="3600"/>
          <w:tab w:val="left" w:pos="4320"/>
          <w:tab w:val="left" w:pos="5040"/>
          <w:tab w:val="left" w:pos="5760"/>
          <w:tab w:val="left" w:pos="6480"/>
          <w:tab w:val="left" w:pos="7200"/>
          <w:tab w:val="left" w:pos="7920"/>
        </w:tabs>
        <w:spacing w:after="0"/>
        <w:ind w:left="709"/>
        <w:jc w:val="both"/>
        <w:rPr>
          <w:rFonts w:ascii="Arial" w:hAnsi="Arial" w:cs="Arial"/>
          <w:b/>
        </w:rPr>
      </w:pPr>
      <w:r w:rsidRPr="004F5847">
        <w:rPr>
          <w:rFonts w:ascii="Arial" w:hAnsi="Arial" w:cs="Arial"/>
          <w:b/>
        </w:rPr>
        <w:t xml:space="preserve">Weighted Score for the </w:t>
      </w:r>
    </w:p>
    <w:p w:rsidR="004F5847" w:rsidRDefault="004F5847" w:rsidP="004F5847">
      <w:pPr>
        <w:tabs>
          <w:tab w:val="left" w:pos="709"/>
          <w:tab w:val="left" w:pos="2160"/>
          <w:tab w:val="left" w:pos="2880"/>
          <w:tab w:val="left" w:pos="3600"/>
          <w:tab w:val="left" w:pos="5040"/>
          <w:tab w:val="left" w:pos="5760"/>
          <w:tab w:val="left" w:pos="6480"/>
          <w:tab w:val="left" w:pos="7200"/>
          <w:tab w:val="left" w:pos="7920"/>
        </w:tabs>
        <w:spacing w:after="0"/>
        <w:ind w:left="3686" w:hanging="3600"/>
        <w:jc w:val="both"/>
        <w:rPr>
          <w:rFonts w:ascii="Arial" w:hAnsi="Arial" w:cs="Arial"/>
          <w:b/>
        </w:rPr>
      </w:pPr>
      <w:r>
        <w:rPr>
          <w:rFonts w:ascii="Arial" w:hAnsi="Arial" w:cs="Arial"/>
          <w:b/>
        </w:rPr>
        <w:tab/>
      </w:r>
      <w:r w:rsidRPr="004F5847">
        <w:rPr>
          <w:rFonts w:ascii="Arial" w:hAnsi="Arial" w:cs="Arial"/>
          <w:b/>
        </w:rPr>
        <w:t xml:space="preserve">Criterion                           </w:t>
      </w:r>
      <w:r w:rsidRPr="004F5847">
        <w:rPr>
          <w:rFonts w:ascii="Arial" w:hAnsi="Arial" w:cs="Arial"/>
          <w:b/>
        </w:rPr>
        <w:tab/>
        <w:t>= (Total of the Weighted Scores for each sub-criterion) X Criterion Weighting</w:t>
      </w:r>
    </w:p>
    <w:p w:rsidR="00D76D88" w:rsidRDefault="00D76D88" w:rsidP="00D76D88">
      <w:pPr>
        <w:pStyle w:val="ListParagraph"/>
        <w:tabs>
          <w:tab w:val="left" w:pos="1440"/>
          <w:tab w:val="left" w:pos="2160"/>
          <w:tab w:val="left" w:pos="2880"/>
          <w:tab w:val="left" w:pos="3600"/>
          <w:tab w:val="left" w:pos="4320"/>
          <w:tab w:val="left" w:pos="5040"/>
          <w:tab w:val="left" w:pos="5760"/>
          <w:tab w:val="left" w:pos="6480"/>
          <w:tab w:val="left" w:pos="7200"/>
          <w:tab w:val="left" w:pos="7920"/>
        </w:tabs>
        <w:spacing w:after="0"/>
        <w:ind w:left="1276"/>
        <w:jc w:val="both"/>
        <w:rPr>
          <w:rFonts w:ascii="Arial" w:hAnsi="Arial" w:cs="Arial"/>
        </w:rPr>
      </w:pPr>
    </w:p>
    <w:p w:rsidR="00F55A6C" w:rsidRPr="0038304D" w:rsidRDefault="0038304D" w:rsidP="0038304D">
      <w:pPr>
        <w:pStyle w:val="ListParagraph"/>
        <w:numPr>
          <w:ilvl w:val="1"/>
          <w:numId w:val="15"/>
        </w:numPr>
        <w:tabs>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sidRPr="0038304D">
        <w:rPr>
          <w:rFonts w:ascii="Arial" w:hAnsi="Arial" w:cs="Arial"/>
        </w:rPr>
        <w:t>A final Q</w:t>
      </w:r>
      <w:r w:rsidR="004F5847" w:rsidRPr="0038304D">
        <w:rPr>
          <w:rFonts w:ascii="Arial" w:hAnsi="Arial" w:cs="Arial"/>
        </w:rPr>
        <w:t xml:space="preserve">uality score </w:t>
      </w:r>
      <w:r>
        <w:rPr>
          <w:rFonts w:ascii="Arial" w:hAnsi="Arial" w:cs="Arial"/>
        </w:rPr>
        <w:t>will be</w:t>
      </w:r>
      <w:r w:rsidR="004F5847" w:rsidRPr="0038304D">
        <w:rPr>
          <w:rFonts w:ascii="Arial" w:hAnsi="Arial" w:cs="Arial"/>
        </w:rPr>
        <w:t xml:space="preserve"> arrived at by adding up all weighted scores for </w:t>
      </w:r>
      <w:r w:rsidR="00A75443">
        <w:rPr>
          <w:rFonts w:ascii="Arial" w:hAnsi="Arial" w:cs="Arial"/>
        </w:rPr>
        <w:t xml:space="preserve">the Quality </w:t>
      </w:r>
      <w:r w:rsidR="004F5847" w:rsidRPr="0038304D">
        <w:rPr>
          <w:rFonts w:ascii="Arial" w:hAnsi="Arial" w:cs="Arial"/>
        </w:rPr>
        <w:t>criteria and multiplying by 0.6 (to represent the 60% weighting given to</w:t>
      </w:r>
      <w:r>
        <w:rPr>
          <w:rFonts w:ascii="Arial" w:hAnsi="Arial" w:cs="Arial"/>
        </w:rPr>
        <w:t xml:space="preserve"> the Q</w:t>
      </w:r>
      <w:r w:rsidR="004F5847" w:rsidRPr="0038304D">
        <w:rPr>
          <w:rFonts w:ascii="Arial" w:hAnsi="Arial" w:cs="Arial"/>
        </w:rPr>
        <w:t>uality score overall).</w:t>
      </w:r>
    </w:p>
    <w:p w:rsidR="006D057C" w:rsidRPr="006D057C" w:rsidRDefault="006D057C" w:rsidP="0038304D">
      <w:pPr>
        <w:pStyle w:val="ListParagraph"/>
        <w:numPr>
          <w:ilvl w:val="12"/>
          <w:numId w:val="15"/>
        </w:numPr>
        <w:tabs>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A75443" w:rsidP="0038304D">
      <w:pPr>
        <w:pStyle w:val="ListParagraph"/>
        <w:numPr>
          <w:ilvl w:val="1"/>
          <w:numId w:val="15"/>
        </w:numPr>
        <w:tabs>
          <w:tab w:val="left" w:pos="720"/>
          <w:tab w:val="left" w:pos="2160"/>
          <w:tab w:val="left" w:pos="2880"/>
          <w:tab w:val="left" w:pos="3600"/>
          <w:tab w:val="left" w:pos="4320"/>
          <w:tab w:val="left" w:pos="5040"/>
          <w:tab w:val="left" w:pos="5760"/>
          <w:tab w:val="left" w:pos="6480"/>
          <w:tab w:val="left" w:pos="7200"/>
          <w:tab w:val="left" w:pos="7920"/>
        </w:tabs>
        <w:spacing w:after="0"/>
        <w:ind w:left="1134"/>
        <w:jc w:val="both"/>
        <w:rPr>
          <w:rFonts w:ascii="Arial" w:hAnsi="Arial" w:cs="Arial"/>
        </w:rPr>
      </w:pPr>
      <w:r>
        <w:rPr>
          <w:rFonts w:ascii="Arial" w:hAnsi="Arial" w:cs="Arial"/>
        </w:rPr>
        <w:t xml:space="preserve">Each supplier’s </w:t>
      </w:r>
      <w:r w:rsidR="0038304D">
        <w:rPr>
          <w:rFonts w:ascii="Arial" w:hAnsi="Arial" w:cs="Arial"/>
        </w:rPr>
        <w:t>p</w:t>
      </w:r>
      <w:r w:rsidR="006D057C" w:rsidRPr="0038304D">
        <w:rPr>
          <w:rFonts w:ascii="Arial" w:hAnsi="Arial" w:cs="Arial"/>
        </w:rPr>
        <w:t>rice will be scored according to the formula</w:t>
      </w:r>
      <w:r w:rsidR="0038304D">
        <w:rPr>
          <w:rFonts w:ascii="Arial" w:hAnsi="Arial" w:cs="Arial"/>
        </w:rPr>
        <w:t xml:space="preserve"> below</w:t>
      </w:r>
      <w:r w:rsidR="006D057C" w:rsidRPr="0038304D">
        <w:rPr>
          <w:rFonts w:ascii="Arial" w:hAnsi="Arial" w:cs="Arial"/>
        </w:rPr>
        <w:t>:</w:t>
      </w:r>
    </w:p>
    <w:p w:rsidR="006D057C" w:rsidRPr="006D057C" w:rsidRDefault="006D057C" w:rsidP="006D057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F55A6C" w:rsidRPr="0038304D"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Price Score</w:t>
      </w:r>
      <w:r w:rsidR="00F55A6C" w:rsidRPr="0038304D">
        <w:rPr>
          <w:rFonts w:ascii="Arial" w:hAnsi="Arial" w:cs="Arial"/>
          <w:b/>
        </w:rPr>
        <w:t xml:space="preserve"> </w:t>
      </w:r>
      <w:proofErr w:type="gramStart"/>
      <w:r w:rsidR="00F55A6C" w:rsidRPr="0038304D">
        <w:rPr>
          <w:rFonts w:ascii="Arial" w:hAnsi="Arial" w:cs="Arial"/>
          <w:b/>
        </w:rPr>
        <w:t>=  _</w:t>
      </w:r>
      <w:proofErr w:type="gramEnd"/>
      <w:r w:rsidR="00F55A6C" w:rsidRPr="0038304D">
        <w:rPr>
          <w:rFonts w:ascii="Arial" w:hAnsi="Arial" w:cs="Arial"/>
          <w:b/>
        </w:rPr>
        <w:t xml:space="preserve">____Lowest </w:t>
      </w:r>
      <w:r w:rsidRPr="0038304D">
        <w:rPr>
          <w:rFonts w:ascii="Arial" w:hAnsi="Arial" w:cs="Arial"/>
          <w:b/>
        </w:rPr>
        <w:t>Price</w:t>
      </w:r>
      <w:r w:rsidR="00F55A6C" w:rsidRPr="0038304D">
        <w:rPr>
          <w:rFonts w:ascii="Arial" w:hAnsi="Arial" w:cs="Arial"/>
          <w:b/>
        </w:rPr>
        <w:t xml:space="preserve">____________  x </w:t>
      </w:r>
      <w:r w:rsidR="002051E1">
        <w:rPr>
          <w:rFonts w:ascii="Arial" w:hAnsi="Arial" w:cs="Arial"/>
          <w:b/>
        </w:rPr>
        <w:t>Price Weighting</w:t>
      </w:r>
    </w:p>
    <w:p w:rsidR="00F55A6C" w:rsidRDefault="006D057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r w:rsidRPr="0038304D">
        <w:rPr>
          <w:rFonts w:ascii="Arial" w:hAnsi="Arial" w:cs="Arial"/>
          <w:b/>
        </w:rPr>
        <w:tab/>
      </w:r>
      <w:r w:rsidRPr="0038304D">
        <w:rPr>
          <w:rFonts w:ascii="Arial" w:hAnsi="Arial" w:cs="Arial"/>
          <w:b/>
        </w:rPr>
        <w:tab/>
      </w:r>
      <w:r w:rsidRPr="0038304D">
        <w:rPr>
          <w:rFonts w:ascii="Arial" w:hAnsi="Arial" w:cs="Arial"/>
          <w:b/>
        </w:rPr>
        <w:tab/>
        <w:t>Each Tenderer</w:t>
      </w:r>
      <w:r w:rsidR="00F55A6C" w:rsidRPr="0038304D">
        <w:rPr>
          <w:rFonts w:ascii="Arial" w:hAnsi="Arial" w:cs="Arial"/>
          <w:b/>
        </w:rPr>
        <w:t xml:space="preserve">’s </w:t>
      </w:r>
      <w:r w:rsidRPr="0038304D">
        <w:rPr>
          <w:rFonts w:ascii="Arial" w:hAnsi="Arial" w:cs="Arial"/>
          <w:b/>
        </w:rPr>
        <w:t>Price</w:t>
      </w:r>
    </w:p>
    <w:p w:rsidR="002051E1" w:rsidRDefault="002051E1" w:rsidP="00E340A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b/>
        </w:rPr>
      </w:pPr>
    </w:p>
    <w:p w:rsidR="002051E1"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Pr>
          <w:rFonts w:ascii="Arial" w:hAnsi="Arial" w:cs="Arial"/>
        </w:rPr>
        <w:t>Price will be scored based on the total cost of the contract, not each aspect individually.  For the purposes of this contract, the total price for the full 300m</w:t>
      </w:r>
      <w:r w:rsidRPr="00E340A2">
        <w:rPr>
          <w:rFonts w:ascii="Arial" w:hAnsi="Arial" w:cs="Arial"/>
          <w:vertAlign w:val="superscript"/>
        </w:rPr>
        <w:t>3</w:t>
      </w:r>
      <w:r>
        <w:rPr>
          <w:rFonts w:ascii="Arial" w:hAnsi="Arial" w:cs="Arial"/>
        </w:rPr>
        <w:t xml:space="preserve"> of storage will be assessed, rather than the cost per small unit.  As a result, the figure for ‘Each Tenderer’s Price’ in the above formula will be ‘Total Cost for 300m</w:t>
      </w:r>
      <w:r w:rsidRPr="00E340A2">
        <w:rPr>
          <w:rFonts w:ascii="Arial" w:hAnsi="Arial" w:cs="Arial"/>
          <w:vertAlign w:val="superscript"/>
        </w:rPr>
        <w:t>3</w:t>
      </w:r>
      <w:r>
        <w:rPr>
          <w:rFonts w:ascii="Arial" w:hAnsi="Arial" w:cs="Arial"/>
        </w:rPr>
        <w:t xml:space="preserve"> of Storage + Delivery to Barnsley’.  Prices for optional ancillaries are requested for information only and will not be scored.</w:t>
      </w:r>
    </w:p>
    <w:p w:rsidR="002051E1"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p>
    <w:p w:rsidR="002051E1" w:rsidRPr="00E340A2" w:rsidRDefault="002051E1" w:rsidP="00E340A2">
      <w:p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ind w:left="720"/>
        <w:jc w:val="both"/>
        <w:rPr>
          <w:rFonts w:ascii="Arial" w:hAnsi="Arial" w:cs="Arial"/>
        </w:rPr>
      </w:pPr>
      <w:r>
        <w:rPr>
          <w:rFonts w:ascii="Arial" w:hAnsi="Arial" w:cs="Arial"/>
        </w:rPr>
        <w:t>However, should the MCA decide to buy less than the full 300m</w:t>
      </w:r>
      <w:r w:rsidRPr="00E340A2">
        <w:rPr>
          <w:rFonts w:ascii="Arial" w:hAnsi="Arial" w:cs="Arial"/>
          <w:vertAlign w:val="superscript"/>
        </w:rPr>
        <w:t>3</w:t>
      </w:r>
      <w:r>
        <w:rPr>
          <w:rFonts w:ascii="Arial" w:hAnsi="Arial" w:cs="Arial"/>
        </w:rPr>
        <w:t xml:space="preserve"> of storage, we would expect to pay the price per individual system. </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38304D" w:rsidRDefault="0038304D" w:rsidP="0038304D">
      <w:pPr>
        <w:pStyle w:val="ListParagraph"/>
        <w:numPr>
          <w:ilvl w:val="12"/>
          <w:numId w:val="15"/>
        </w:numPr>
        <w:tabs>
          <w:tab w:val="left" w:pos="720"/>
          <w:tab w:val="left" w:pos="1134"/>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Pr>
          <w:rFonts w:ascii="Arial" w:hAnsi="Arial" w:cs="Arial"/>
        </w:rPr>
        <w:t>g.</w:t>
      </w:r>
      <w:r>
        <w:rPr>
          <w:rFonts w:ascii="Arial" w:hAnsi="Arial" w:cs="Arial"/>
        </w:rPr>
        <w:tab/>
        <w:t>Each supplier’s total score will be:</w:t>
      </w:r>
    </w:p>
    <w:p w:rsidR="0038304D" w:rsidRPr="0038304D" w:rsidRDefault="0038304D" w:rsidP="0038304D">
      <w:pPr>
        <w:pStyle w:val="ListParagraph"/>
        <w:rPr>
          <w:rFonts w:ascii="Arial" w:hAnsi="Arial" w:cs="Arial"/>
        </w:rPr>
      </w:pP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r w:rsidRPr="00463459">
        <w:rPr>
          <w:rFonts w:ascii="Arial" w:hAnsi="Arial" w:cs="Arial"/>
          <w:b/>
        </w:rPr>
        <w:t>TOTAL SCORE</w:t>
      </w:r>
      <w:r w:rsidRPr="00F55A6C">
        <w:rPr>
          <w:rFonts w:ascii="Arial" w:hAnsi="Arial" w:cs="Arial"/>
        </w:rPr>
        <w:t xml:space="preserve"> </w:t>
      </w:r>
      <w:r w:rsidRPr="0038304D">
        <w:rPr>
          <w:rFonts w:ascii="Arial" w:hAnsi="Arial" w:cs="Arial"/>
          <w:b/>
        </w:rPr>
        <w:t xml:space="preserve">= Total Quality Score + Total </w:t>
      </w:r>
      <w:r w:rsidR="0038304D" w:rsidRPr="0038304D">
        <w:rPr>
          <w:rFonts w:ascii="Arial" w:hAnsi="Arial" w:cs="Arial"/>
          <w:b/>
        </w:rPr>
        <w:t>Price</w:t>
      </w:r>
      <w:r w:rsidRPr="0038304D">
        <w:rPr>
          <w:rFonts w:ascii="Arial" w:hAnsi="Arial" w:cs="Arial"/>
          <w:b/>
        </w:rPr>
        <w:t xml:space="preserve"> Score</w:t>
      </w:r>
      <w:r w:rsidR="0038304D">
        <w:rPr>
          <w:rFonts w:ascii="Arial" w:hAnsi="Arial" w:cs="Arial"/>
        </w:rPr>
        <w:t>.</w:t>
      </w:r>
    </w:p>
    <w:p w:rsidR="00F55A6C" w:rsidRPr="00F55A6C" w:rsidRDefault="00F55A6C" w:rsidP="0038304D">
      <w:pPr>
        <w:pStyle w:val="ListParagraph"/>
        <w:numPr>
          <w:ilvl w:val="12"/>
          <w:numId w:val="15"/>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jc w:val="both"/>
        <w:rPr>
          <w:rFonts w:ascii="Arial" w:hAnsi="Arial" w:cs="Arial"/>
        </w:rPr>
      </w:pPr>
    </w:p>
    <w:p w:rsidR="006D057C" w:rsidRPr="0038304D" w:rsidRDefault="00463459"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r w:rsidRPr="0038304D">
        <w:rPr>
          <w:rFonts w:ascii="Arial" w:hAnsi="Arial" w:cs="Arial"/>
        </w:rPr>
        <w:t>The MCA intends to award the contract to the tenderer that receives the highest Total Score.</w:t>
      </w:r>
      <w:r w:rsidR="0038304D" w:rsidRPr="0038304D">
        <w:rPr>
          <w:rFonts w:ascii="Arial" w:hAnsi="Arial" w:cs="Arial"/>
        </w:rPr>
        <w:t xml:space="preserve">  </w:t>
      </w:r>
      <w:r w:rsidR="006D057C" w:rsidRPr="0038304D">
        <w:rPr>
          <w:rFonts w:ascii="Arial" w:hAnsi="Arial" w:cs="Arial"/>
          <w:b/>
        </w:rPr>
        <w:t>A worked example of how tenders will be scored, using hypothetical figures, is available on Contracts Finder</w:t>
      </w:r>
      <w:r w:rsidR="006D057C" w:rsidRPr="0038304D">
        <w:rPr>
          <w:rFonts w:ascii="Arial" w:hAnsi="Arial" w:cs="Arial"/>
        </w:rPr>
        <w:t>.</w:t>
      </w:r>
    </w:p>
    <w:p w:rsidR="0038304D" w:rsidRPr="0038304D" w:rsidRDefault="0038304D" w:rsidP="0038304D">
      <w:pPr>
        <w:pStyle w:val="ListParagraph"/>
        <w:keepLines/>
        <w:numPr>
          <w:ilvl w:val="12"/>
          <w:numId w:val="15"/>
        </w:num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rPr>
      </w:pPr>
    </w:p>
    <w:p w:rsidR="00F55A6C" w:rsidRPr="008D4855" w:rsidRDefault="00F80676" w:rsidP="00227E73">
      <w:pPr>
        <w:pStyle w:val="DfTLevel1"/>
        <w:keepLines/>
        <w:suppressLineNumbers/>
        <w:spacing w:before="120" w:after="120"/>
        <w:ind w:left="720" w:hanging="720"/>
        <w:jc w:val="both"/>
        <w:rPr>
          <w:rFonts w:cs="Arial"/>
          <w:sz w:val="22"/>
          <w:szCs w:val="22"/>
        </w:rPr>
      </w:pPr>
      <w:r>
        <w:rPr>
          <w:rFonts w:cs="Arial"/>
          <w:sz w:val="22"/>
          <w:szCs w:val="22"/>
        </w:rPr>
        <w:t xml:space="preserve">24. </w:t>
      </w:r>
      <w:r w:rsidR="006B0290">
        <w:rPr>
          <w:rFonts w:cs="Arial"/>
          <w:sz w:val="22"/>
          <w:szCs w:val="22"/>
        </w:rPr>
        <w:tab/>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227E73">
        <w:rPr>
          <w:rFonts w:cs="Arial"/>
          <w:vanish/>
          <w:sz w:val="22"/>
          <w:szCs w:val="22"/>
        </w:rPr>
        <w:pgNum/>
      </w:r>
      <w:r w:rsidR="00F55A6C" w:rsidRPr="008D4855">
        <w:rPr>
          <w:rFonts w:cs="Arial"/>
          <w:sz w:val="22"/>
          <w:szCs w:val="22"/>
        </w:rPr>
        <w:t>You should note that:-</w:t>
      </w:r>
    </w:p>
    <w:p w:rsidR="00F55A6C"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not to accept the lowest, or any, tender.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ind w:left="1134"/>
        <w:jc w:val="both"/>
        <w:rPr>
          <w:rFonts w:ascii="Arial" w:hAnsi="Arial" w:cs="Arial"/>
        </w:rPr>
      </w:pPr>
      <w:r w:rsidRPr="00463459">
        <w:rPr>
          <w:rFonts w:ascii="Arial" w:hAnsi="Arial" w:cs="Arial"/>
        </w:rPr>
        <w:t xml:space="preserve">The </w:t>
      </w:r>
      <w:r w:rsidR="00F14C0F">
        <w:rPr>
          <w:rFonts w:ascii="Arial" w:hAnsi="Arial" w:cs="Arial"/>
        </w:rPr>
        <w:t xml:space="preserve">MCA </w:t>
      </w:r>
      <w:r w:rsidRPr="00463459">
        <w:rPr>
          <w:rFonts w:ascii="Arial" w:hAnsi="Arial" w:cs="Arial"/>
        </w:rPr>
        <w:t>reserves the right to accept any part of the tender without accepting the remainder.</w:t>
      </w:r>
    </w:p>
    <w:p w:rsidR="00463459" w:rsidRPr="00463459" w:rsidRDefault="00463459" w:rsidP="00463459">
      <w:pPr>
        <w:pStyle w:val="ListParagraph"/>
        <w:keepLines/>
        <w:suppressLineNumbers/>
        <w:tabs>
          <w:tab w:val="left" w:pos="1134"/>
        </w:tabs>
        <w:suppressAutoHyphens/>
        <w:spacing w:before="120" w:after="120"/>
        <w:ind w:left="1134"/>
        <w:jc w:val="both"/>
        <w:rPr>
          <w:rFonts w:ascii="Arial" w:hAnsi="Arial" w:cs="Arial"/>
        </w:rPr>
      </w:pPr>
    </w:p>
    <w:p w:rsidR="00463459"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Acceptance of a tender/award of contract will be by written communication from the</w:t>
      </w:r>
      <w:r w:rsidR="00F14C0F">
        <w:rPr>
          <w:rFonts w:ascii="Arial" w:hAnsi="Arial" w:cs="Arial"/>
        </w:rPr>
        <w:t xml:space="preserve"> MCA</w:t>
      </w:r>
      <w:r w:rsidRPr="00463459">
        <w:rPr>
          <w:rFonts w:ascii="Arial" w:hAnsi="Arial" w:cs="Arial"/>
        </w:rPr>
        <w:t>.</w:t>
      </w:r>
    </w:p>
    <w:p w:rsidR="00463459" w:rsidRDefault="00463459" w:rsidP="00463459">
      <w:pPr>
        <w:pStyle w:val="ListParagraph"/>
        <w:keepLines/>
        <w:suppressLineNumbers/>
        <w:tabs>
          <w:tab w:val="left" w:pos="1134"/>
        </w:tabs>
        <w:suppressAutoHyphens/>
        <w:spacing w:before="120" w:after="120" w:line="240" w:lineRule="auto"/>
        <w:ind w:left="1134"/>
        <w:jc w:val="both"/>
        <w:rPr>
          <w:rFonts w:ascii="Arial" w:hAnsi="Arial" w:cs="Arial"/>
        </w:rPr>
      </w:pPr>
    </w:p>
    <w:p w:rsid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Where the tender process has been subject to the full EU Procurement Process, a mandatory 10</w:t>
      </w:r>
      <w:r w:rsidR="00F14C0F">
        <w:rPr>
          <w:rFonts w:ascii="Arial" w:hAnsi="Arial" w:cs="Arial"/>
        </w:rPr>
        <w:t>-</w:t>
      </w:r>
      <w:r w:rsidRPr="00463459">
        <w:rPr>
          <w:rFonts w:ascii="Arial" w:hAnsi="Arial" w:cs="Arial"/>
        </w:rPr>
        <w:t>day standstill period must be applied between communicating the award decision to tenderers and awarding the contract.</w:t>
      </w:r>
    </w:p>
    <w:p w:rsidR="00463459" w:rsidRPr="00463459" w:rsidRDefault="00463459" w:rsidP="00463459">
      <w:pPr>
        <w:pStyle w:val="ListParagraph"/>
        <w:tabs>
          <w:tab w:val="left" w:pos="1134"/>
        </w:tabs>
        <w:ind w:left="1134"/>
        <w:rPr>
          <w:rFonts w:ascii="Arial" w:hAnsi="Arial" w:cs="Arial"/>
        </w:rPr>
      </w:pPr>
    </w:p>
    <w:p w:rsidR="00F55A6C" w:rsidRPr="00463459" w:rsidRDefault="00F55A6C" w:rsidP="00463459">
      <w:pPr>
        <w:pStyle w:val="ListParagraph"/>
        <w:keepLines/>
        <w:numPr>
          <w:ilvl w:val="0"/>
          <w:numId w:val="10"/>
        </w:numPr>
        <w:suppressLineNumbers/>
        <w:tabs>
          <w:tab w:val="left" w:pos="1134"/>
        </w:tabs>
        <w:suppressAutoHyphens/>
        <w:spacing w:before="120" w:after="120" w:line="240" w:lineRule="auto"/>
        <w:ind w:left="1134"/>
        <w:jc w:val="both"/>
        <w:rPr>
          <w:rFonts w:ascii="Arial" w:hAnsi="Arial" w:cs="Arial"/>
        </w:rPr>
      </w:pPr>
      <w:r w:rsidRPr="00463459">
        <w:rPr>
          <w:rFonts w:ascii="Arial" w:hAnsi="Arial" w:cs="Arial"/>
        </w:rPr>
        <w:t>Complaints arising from the tender process should be directed in the first instance to the Procurement Team (</w:t>
      </w:r>
      <w:hyperlink r:id="rId8" w:history="1">
        <w:r w:rsidRPr="00463459">
          <w:rPr>
            <w:rStyle w:val="Hyperlink"/>
            <w:rFonts w:ascii="Arial" w:hAnsi="Arial" w:cs="Arial"/>
          </w:rPr>
          <w:t>contracts@mcga.gov.uk</w:t>
        </w:r>
      </w:hyperlink>
      <w:r w:rsidRPr="00463459">
        <w:rPr>
          <w:rFonts w:ascii="Arial" w:hAnsi="Arial" w:cs="Arial"/>
        </w:rPr>
        <w:t xml:space="preserve">). </w:t>
      </w:r>
      <w:r w:rsidR="008A2449">
        <w:rPr>
          <w:rFonts w:ascii="Arial" w:hAnsi="Arial" w:cs="Arial"/>
        </w:rPr>
        <w:t xml:space="preserve">If you are still aggrieved by the outcome then please contact the Crown Commercial Service customer service desk, at </w:t>
      </w:r>
      <w:hyperlink r:id="rId9" w:history="1">
        <w:r w:rsidR="008A2449" w:rsidRPr="00EF722F">
          <w:rPr>
            <w:rStyle w:val="Hyperlink"/>
            <w:rFonts w:ascii="Arial" w:hAnsi="Arial" w:cs="Arial"/>
          </w:rPr>
          <w:t>supplier@crowncommercial.gov.uk</w:t>
        </w:r>
      </w:hyperlink>
      <w:r w:rsidR="008A2449">
        <w:rPr>
          <w:rFonts w:ascii="Arial" w:hAnsi="Arial" w:cs="Arial"/>
        </w:rPr>
        <w:t xml:space="preserve">.  </w:t>
      </w:r>
    </w:p>
    <w:p w:rsidR="00F55A6C" w:rsidRPr="008D4855" w:rsidRDefault="00F55A6C" w:rsidP="00F55A6C">
      <w:pPr>
        <w:pStyle w:val="DfTLevel1"/>
        <w:keepLines/>
        <w:suppressLineNumbers/>
        <w:spacing w:before="120" w:after="1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Tender Costs</w:t>
      </w:r>
    </w:p>
    <w:p w:rsidR="00463459" w:rsidRDefault="00463459" w:rsidP="006B0290">
      <w:pPr>
        <w:pStyle w:val="DfTLevel1"/>
        <w:keepLines/>
        <w:numPr>
          <w:ilvl w:val="0"/>
          <w:numId w:val="22"/>
        </w:numPr>
        <w:suppressLineNumbers/>
        <w:spacing w:before="120" w:after="120"/>
        <w:ind w:hanging="720"/>
        <w:jc w:val="both"/>
        <w:rPr>
          <w:rFonts w:cs="Arial"/>
          <w:color w:val="000000"/>
          <w:sz w:val="22"/>
          <w:szCs w:val="22"/>
        </w:rPr>
      </w:pPr>
      <w:r w:rsidRPr="008D4855">
        <w:rPr>
          <w:rFonts w:cs="Arial"/>
          <w:color w:val="000000"/>
          <w:sz w:val="22"/>
          <w:szCs w:val="22"/>
        </w:rPr>
        <w:t xml:space="preserve">You should note that any expenditure, work or effort undertaken by you prior to the award of a contract is a matter solely for your own commercial judgement.  The </w:t>
      </w:r>
      <w:r w:rsidR="00F14C0F">
        <w:rPr>
          <w:rFonts w:cs="Arial"/>
          <w:color w:val="000000"/>
          <w:sz w:val="22"/>
          <w:szCs w:val="22"/>
        </w:rPr>
        <w:t xml:space="preserve">MCA </w:t>
      </w:r>
      <w:r w:rsidRPr="008D4855">
        <w:rPr>
          <w:rFonts w:cs="Arial"/>
          <w:color w:val="000000"/>
          <w:sz w:val="22"/>
          <w:szCs w:val="22"/>
        </w:rPr>
        <w:t xml:space="preserve">reserves the right to withdraw this tender invitation at any time or to re-invite tenders on the same or any alternative basis.  In such circumstances, and in any event, the </w:t>
      </w:r>
      <w:r w:rsidR="00F14C0F">
        <w:rPr>
          <w:rFonts w:cs="Arial"/>
          <w:color w:val="000000"/>
          <w:sz w:val="22"/>
          <w:szCs w:val="22"/>
        </w:rPr>
        <w:t>MCA</w:t>
      </w:r>
      <w:r w:rsidRPr="008D4855">
        <w:rPr>
          <w:rFonts w:cs="Arial"/>
          <w:color w:val="000000"/>
          <w:sz w:val="22"/>
          <w:szCs w:val="22"/>
        </w:rPr>
        <w:t xml:space="preserve"> and/or its advisers shall not be liable for any costs or loss of expenses whatsoever incurred by the bidder or any company, agent, subsidiary or organisation who may have contributed to the proposals submitted by the bidder in response to this tender invitation.</w:t>
      </w:r>
    </w:p>
    <w:p w:rsidR="001E72A9" w:rsidRPr="008D4855" w:rsidRDefault="001E72A9" w:rsidP="001E72A9">
      <w:pPr>
        <w:pStyle w:val="DfTLevel1"/>
        <w:keepLines/>
        <w:suppressLineNumbers/>
        <w:spacing w:before="120" w:after="120"/>
        <w:ind w:left="720"/>
        <w:jc w:val="both"/>
        <w:rPr>
          <w:rFonts w:cs="Arial"/>
          <w:sz w:val="22"/>
          <w:szCs w:val="22"/>
        </w:rPr>
      </w:pPr>
    </w:p>
    <w:p w:rsidR="00463459" w:rsidRPr="00463459" w:rsidRDefault="00463459" w:rsidP="00463459">
      <w:pPr>
        <w:pStyle w:val="DfTLevel1"/>
        <w:keepLines/>
        <w:suppressLineNumbers/>
        <w:spacing w:before="120" w:after="120"/>
        <w:jc w:val="both"/>
        <w:rPr>
          <w:rFonts w:cs="Arial"/>
          <w:b/>
          <w:sz w:val="22"/>
          <w:szCs w:val="22"/>
        </w:rPr>
      </w:pPr>
      <w:r w:rsidRPr="00463459">
        <w:rPr>
          <w:rFonts w:cs="Arial"/>
          <w:b/>
          <w:sz w:val="22"/>
          <w:szCs w:val="22"/>
        </w:rPr>
        <w:t>Trading Names/Invoicing</w:t>
      </w:r>
    </w:p>
    <w:p w:rsidR="00672510" w:rsidRPr="006B0290" w:rsidRDefault="00463459" w:rsidP="006B0290">
      <w:pPr>
        <w:pStyle w:val="ListParagraph"/>
        <w:keepLines/>
        <w:numPr>
          <w:ilvl w:val="0"/>
          <w:numId w:val="22"/>
        </w:numPr>
        <w:suppressLineNumbers/>
        <w:suppressAutoHyphens/>
        <w:spacing w:before="120" w:after="120"/>
        <w:ind w:hanging="720"/>
        <w:jc w:val="both"/>
        <w:rPr>
          <w:rFonts w:ascii="Arial" w:hAnsi="Arial" w:cs="Arial"/>
        </w:rPr>
      </w:pPr>
      <w:bookmarkStart w:id="0" w:name="_GoBack"/>
      <w:bookmarkEnd w:id="0"/>
      <w:r w:rsidRPr="006B0290">
        <w:rPr>
          <w:rFonts w:ascii="Arial" w:hAnsi="Arial" w:cs="Arial"/>
        </w:rPr>
        <w:t>If your tender is submitted in the name of one organisation but you intend submitting invoices in the name of another, or require payments to be made to another, please give full details. Otherwis</w:t>
      </w:r>
      <w:r w:rsidR="001E72A9" w:rsidRPr="006B0290">
        <w:rPr>
          <w:rFonts w:ascii="Arial" w:hAnsi="Arial" w:cs="Arial"/>
        </w:rPr>
        <w:t>e there may be delay in payment.</w:t>
      </w:r>
    </w:p>
    <w:p w:rsidR="001E72A9" w:rsidRPr="001E72A9" w:rsidRDefault="001E72A9" w:rsidP="001E72A9">
      <w:pPr>
        <w:pStyle w:val="ListParagraph"/>
        <w:keepLines/>
        <w:suppressLineNumbers/>
        <w:suppressAutoHyphens/>
        <w:spacing w:before="120" w:after="120"/>
        <w:jc w:val="both"/>
        <w:rPr>
          <w:rFonts w:ascii="Arial" w:hAnsi="Arial" w:cs="Arial"/>
          <w:b/>
          <w:spacing w:val="-3"/>
        </w:rPr>
      </w:pPr>
    </w:p>
    <w:p w:rsidR="008D4855" w:rsidRPr="00463459" w:rsidRDefault="00463459" w:rsidP="008D4855">
      <w:pPr>
        <w:pStyle w:val="DfTLevel1"/>
        <w:keepLines/>
        <w:suppressLineNumbers/>
        <w:tabs>
          <w:tab w:val="clear" w:pos="-720"/>
        </w:tabs>
        <w:spacing w:before="120" w:after="120"/>
        <w:jc w:val="both"/>
        <w:rPr>
          <w:rFonts w:cs="Arial"/>
          <w:b/>
          <w:spacing w:val="0"/>
          <w:sz w:val="22"/>
          <w:szCs w:val="22"/>
        </w:rPr>
      </w:pPr>
      <w:r w:rsidRPr="00463459">
        <w:rPr>
          <w:rFonts w:cs="Arial"/>
          <w:b/>
          <w:spacing w:val="0"/>
          <w:sz w:val="22"/>
          <w:szCs w:val="22"/>
        </w:rPr>
        <w:t xml:space="preserve">Access </w:t>
      </w:r>
      <w:r>
        <w:rPr>
          <w:rFonts w:cs="Arial"/>
          <w:b/>
          <w:spacing w:val="0"/>
          <w:sz w:val="22"/>
          <w:szCs w:val="22"/>
        </w:rPr>
        <w:t>t</w:t>
      </w:r>
      <w:r w:rsidRPr="00463459">
        <w:rPr>
          <w:rFonts w:cs="Arial"/>
          <w:b/>
          <w:spacing w:val="0"/>
          <w:sz w:val="22"/>
          <w:szCs w:val="22"/>
        </w:rPr>
        <w:t>o Government Information</w:t>
      </w:r>
    </w:p>
    <w:p w:rsidR="008D4855" w:rsidRPr="008D4855" w:rsidRDefault="00F80676" w:rsidP="001E72A9">
      <w:pPr>
        <w:pStyle w:val="DfTLevel1"/>
        <w:keepLines/>
        <w:suppressLineNumbers/>
        <w:spacing w:before="120" w:after="120"/>
        <w:ind w:left="720" w:hanging="720"/>
        <w:jc w:val="both"/>
        <w:rPr>
          <w:rFonts w:cs="Arial"/>
          <w:sz w:val="22"/>
          <w:szCs w:val="22"/>
        </w:rPr>
      </w:pPr>
      <w:r>
        <w:rPr>
          <w:rFonts w:cs="Arial"/>
          <w:sz w:val="22"/>
          <w:szCs w:val="22"/>
        </w:rPr>
        <w:t>27.</w:t>
      </w:r>
      <w:r>
        <w:rPr>
          <w:rFonts w:cs="Arial"/>
          <w:sz w:val="22"/>
          <w:szCs w:val="22"/>
        </w:rPr>
        <w:tab/>
      </w:r>
      <w:r w:rsidR="008D4855" w:rsidRPr="008D4855">
        <w:rPr>
          <w:rFonts w:cs="Arial"/>
          <w:sz w:val="22"/>
          <w:szCs w:val="22"/>
        </w:rPr>
        <w:t xml:space="preserve">Under the Freedom of Information Act 2000 (“FOIA”) and the Environmental Information Regulations 2004 (“EIRs”), the Department is obliged (subject to the application of any relevant exemptions and, where applicable, the public interest test) to disclose information in response to requests for information. </w:t>
      </w:r>
    </w:p>
    <w:p w:rsidR="00114363" w:rsidRPr="008D4855" w:rsidRDefault="008D4855" w:rsidP="008A2449">
      <w:pPr>
        <w:keepLines/>
        <w:numPr>
          <w:ilvl w:val="12"/>
          <w:numId w:val="0"/>
        </w:numPr>
        <w:suppressLineNumbers/>
        <w:suppressAutoHyphens/>
        <w:spacing w:before="120" w:after="0" w:line="240" w:lineRule="auto"/>
        <w:ind w:left="720"/>
        <w:jc w:val="both"/>
        <w:rPr>
          <w:rFonts w:ascii="Arial" w:hAnsi="Arial" w:cs="Arial"/>
        </w:rPr>
      </w:pPr>
      <w:r w:rsidRPr="008A2449">
        <w:rPr>
          <w:rFonts w:ascii="Arial" w:hAnsi="Arial" w:cs="Arial"/>
        </w:rPr>
        <w:t xml:space="preserve">You need to be aware that the Department could receive requests for </w:t>
      </w:r>
      <w:r w:rsidRPr="008A2449">
        <w:rPr>
          <w:rFonts w:ascii="Arial" w:hAnsi="Arial" w:cs="Arial"/>
          <w:i/>
        </w:rPr>
        <w:t>any</w:t>
      </w:r>
      <w:r w:rsidRPr="008A2449">
        <w:rPr>
          <w:rFonts w:ascii="Arial" w:hAnsi="Arial" w:cs="Arial"/>
        </w:rPr>
        <w:t xml:space="preserve"> information relating to this contract. The contract will include provisions to reflect the Department’s obligations under those disclosure regimes. The Department cannot contract out of its obligations in this respect and will only accept confidentiality clauses in </w:t>
      </w:r>
      <w:r w:rsidRPr="008A2449">
        <w:rPr>
          <w:rFonts w:ascii="Arial" w:hAnsi="Arial" w:cs="Arial"/>
          <w:u w:val="single"/>
        </w:rPr>
        <w:t>very</w:t>
      </w:r>
      <w:r w:rsidRPr="008A2449">
        <w:rPr>
          <w:rFonts w:ascii="Arial" w:hAnsi="Arial" w:cs="Arial"/>
        </w:rPr>
        <w:t xml:space="preserve"> exceptional and narrowly defined circumstances. In this regard, your attention is drawn to the Code of Practice (</w:t>
      </w:r>
      <w:proofErr w:type="gramStart"/>
      <w:r w:rsidRPr="008A2449">
        <w:rPr>
          <w:rFonts w:ascii="Arial" w:hAnsi="Arial" w:cs="Arial"/>
        </w:rPr>
        <w:t>in particular, section</w:t>
      </w:r>
      <w:proofErr w:type="gramEnd"/>
      <w:r w:rsidRPr="008A2449">
        <w:rPr>
          <w:rFonts w:ascii="Arial" w:hAnsi="Arial" w:cs="Arial"/>
        </w:rPr>
        <w:t xml:space="preserve"> V thereof) issued by the Lord Chancellor under section 45 of the FOIA (section IX of the Code of Practice issued under regulation 16 of the EIRs includes similar guidance).</w:t>
      </w:r>
    </w:p>
    <w:sectPr w:rsidR="00114363" w:rsidRPr="008D4855" w:rsidSect="006642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D96"/>
    <w:multiLevelType w:val="hybridMultilevel"/>
    <w:tmpl w:val="F13A0882"/>
    <w:lvl w:ilvl="0" w:tplc="0809000F">
      <w:start w:val="1"/>
      <w:numFmt w:val="decimal"/>
      <w:lvlText w:val="%1."/>
      <w:lvlJc w:val="left"/>
      <w:pPr>
        <w:ind w:left="540" w:hanging="180"/>
      </w:pPr>
    </w:lvl>
    <w:lvl w:ilvl="1" w:tplc="08090019">
      <w:start w:val="1"/>
      <w:numFmt w:val="lowerLetter"/>
      <w:lvlText w:val="%2."/>
      <w:lvlJc w:val="left"/>
      <w:pPr>
        <w:ind w:left="-450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1620" w:hanging="180"/>
      </w:pPr>
    </w:lvl>
    <w:lvl w:ilvl="6" w:tplc="0809000F" w:tentative="1">
      <w:start w:val="1"/>
      <w:numFmt w:val="decimal"/>
      <w:lvlText w:val="%7."/>
      <w:lvlJc w:val="left"/>
      <w:pPr>
        <w:ind w:left="-900" w:hanging="360"/>
      </w:pPr>
    </w:lvl>
    <w:lvl w:ilvl="7" w:tplc="08090019" w:tentative="1">
      <w:start w:val="1"/>
      <w:numFmt w:val="lowerLetter"/>
      <w:lvlText w:val="%8."/>
      <w:lvlJc w:val="left"/>
      <w:pPr>
        <w:ind w:left="-180" w:hanging="360"/>
      </w:pPr>
    </w:lvl>
    <w:lvl w:ilvl="8" w:tplc="0809001B" w:tentative="1">
      <w:start w:val="1"/>
      <w:numFmt w:val="lowerRoman"/>
      <w:lvlText w:val="%9."/>
      <w:lvlJc w:val="right"/>
      <w:pPr>
        <w:ind w:left="540" w:hanging="180"/>
      </w:pPr>
    </w:lvl>
  </w:abstractNum>
  <w:abstractNum w:abstractNumId="1" w15:restartNumberingAfterBreak="0">
    <w:nsid w:val="01FA11E0"/>
    <w:multiLevelType w:val="hybridMultilevel"/>
    <w:tmpl w:val="3A9A8798"/>
    <w:lvl w:ilvl="0" w:tplc="4782CAA0">
      <w:start w:val="13"/>
      <w:numFmt w:val="decimal"/>
      <w:lvlText w:val="%1."/>
      <w:lvlJc w:val="left"/>
      <w:pPr>
        <w:ind w:left="720" w:hanging="360"/>
      </w:pPr>
      <w:rPr>
        <w:rFonts w:hint="default"/>
        <w:b w:val="0"/>
      </w:rPr>
    </w:lvl>
    <w:lvl w:ilvl="1" w:tplc="77BAB328">
      <w:start w:val="4"/>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09015D0"/>
    <w:multiLevelType w:val="hybridMultilevel"/>
    <w:tmpl w:val="1BA84346"/>
    <w:lvl w:ilvl="0" w:tplc="08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1521F97"/>
    <w:multiLevelType w:val="hybridMultilevel"/>
    <w:tmpl w:val="8A0C6756"/>
    <w:lvl w:ilvl="0" w:tplc="B824B3AE">
      <w:start w:val="1"/>
      <w:numFmt w:val="low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4" w15:restartNumberingAfterBreak="0">
    <w:nsid w:val="17C172B2"/>
    <w:multiLevelType w:val="hybridMultilevel"/>
    <w:tmpl w:val="E6BA2CDE"/>
    <w:lvl w:ilvl="0" w:tplc="0809000F">
      <w:start w:val="23"/>
      <w:numFmt w:val="decimal"/>
      <w:lvlText w:val="%1."/>
      <w:lvlJc w:val="left"/>
      <w:pPr>
        <w:ind w:left="720" w:hanging="360"/>
      </w:pPr>
      <w:rPr>
        <w:rFonts w:hint="default"/>
        <w:b w:val="0"/>
        <w:u w:val="none"/>
      </w:rPr>
    </w:lvl>
    <w:lvl w:ilvl="1" w:tplc="9FE222B2">
      <w:start w:val="1"/>
      <w:numFmt w:val="lowerLetter"/>
      <w:lvlText w:val="%2."/>
      <w:lvlJc w:val="left"/>
      <w:pPr>
        <w:ind w:left="1500" w:hanging="42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D3366"/>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583E89"/>
    <w:multiLevelType w:val="hybridMultilevel"/>
    <w:tmpl w:val="842C12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76A17"/>
    <w:multiLevelType w:val="hybridMultilevel"/>
    <w:tmpl w:val="C9B4812A"/>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B30E4"/>
    <w:multiLevelType w:val="hybridMultilevel"/>
    <w:tmpl w:val="B2167EBC"/>
    <w:lvl w:ilvl="0" w:tplc="08090013">
      <w:start w:val="1"/>
      <w:numFmt w:val="upperRoman"/>
      <w:lvlText w:val="%1."/>
      <w:lvlJc w:val="right"/>
      <w:pPr>
        <w:ind w:left="1815" w:hanging="360"/>
      </w:pPr>
    </w:lvl>
    <w:lvl w:ilvl="1" w:tplc="08090019" w:tentative="1">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9" w15:restartNumberingAfterBreak="0">
    <w:nsid w:val="39AA75A2"/>
    <w:multiLevelType w:val="hybridMultilevel"/>
    <w:tmpl w:val="50A8C38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F375DD6"/>
    <w:multiLevelType w:val="hybridMultilevel"/>
    <w:tmpl w:val="6E264694"/>
    <w:lvl w:ilvl="0" w:tplc="355436B6">
      <w:start w:val="20"/>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2C2C40"/>
    <w:multiLevelType w:val="hybridMultilevel"/>
    <w:tmpl w:val="9CE0B7A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1CD095C"/>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D7DE1"/>
    <w:multiLevelType w:val="hybridMultilevel"/>
    <w:tmpl w:val="0246725E"/>
    <w:lvl w:ilvl="0" w:tplc="F032663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5C7AF9"/>
    <w:multiLevelType w:val="hybridMultilevel"/>
    <w:tmpl w:val="ABEE4A7E"/>
    <w:lvl w:ilvl="0" w:tplc="A2227818">
      <w:start w:val="4"/>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47486019"/>
    <w:multiLevelType w:val="singleLevel"/>
    <w:tmpl w:val="E9F622EC"/>
    <w:lvl w:ilvl="0">
      <w:start w:val="2"/>
      <w:numFmt w:val="decimal"/>
      <w:lvlText w:val="%1."/>
      <w:lvlJc w:val="left"/>
      <w:pPr>
        <w:tabs>
          <w:tab w:val="num" w:pos="720"/>
        </w:tabs>
        <w:ind w:left="720" w:hanging="720"/>
      </w:pPr>
      <w:rPr>
        <w:rFonts w:hint="default"/>
      </w:rPr>
    </w:lvl>
  </w:abstractNum>
  <w:abstractNum w:abstractNumId="16" w15:restartNumberingAfterBreak="0">
    <w:nsid w:val="4FDF6040"/>
    <w:multiLevelType w:val="hybridMultilevel"/>
    <w:tmpl w:val="9E22E9AE"/>
    <w:lvl w:ilvl="0" w:tplc="08090003">
      <w:start w:val="1"/>
      <w:numFmt w:val="bullet"/>
      <w:lvlText w:val="o"/>
      <w:lvlJc w:val="left"/>
      <w:pPr>
        <w:ind w:left="2535" w:hanging="360"/>
      </w:pPr>
      <w:rPr>
        <w:rFonts w:ascii="Courier New" w:hAnsi="Courier New" w:cs="Courier New"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17" w15:restartNumberingAfterBreak="0">
    <w:nsid w:val="52165E83"/>
    <w:multiLevelType w:val="hybridMultilevel"/>
    <w:tmpl w:val="7158CE2C"/>
    <w:lvl w:ilvl="0" w:tplc="0809001B">
      <w:start w:val="1"/>
      <w:numFmt w:val="lowerRoman"/>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DD6276"/>
    <w:multiLevelType w:val="hybridMultilevel"/>
    <w:tmpl w:val="24CE3EF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2395168"/>
    <w:multiLevelType w:val="hybridMultilevel"/>
    <w:tmpl w:val="C2D016D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382EB7"/>
    <w:multiLevelType w:val="hybridMultilevel"/>
    <w:tmpl w:val="77407382"/>
    <w:lvl w:ilvl="0" w:tplc="E188E3EA">
      <w:start w:val="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744FDF"/>
    <w:multiLevelType w:val="hybridMultilevel"/>
    <w:tmpl w:val="E2185880"/>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6"/>
  </w:num>
  <w:num w:numId="5">
    <w:abstractNumId w:val="15"/>
  </w:num>
  <w:num w:numId="6">
    <w:abstractNumId w:val="14"/>
  </w:num>
  <w:num w:numId="7">
    <w:abstractNumId w:val="19"/>
  </w:num>
  <w:num w:numId="8">
    <w:abstractNumId w:val="21"/>
  </w:num>
  <w:num w:numId="9">
    <w:abstractNumId w:val="11"/>
  </w:num>
  <w:num w:numId="10">
    <w:abstractNumId w:val="18"/>
  </w:num>
  <w:num w:numId="11">
    <w:abstractNumId w:val="5"/>
  </w:num>
  <w:num w:numId="12">
    <w:abstractNumId w:val="12"/>
  </w:num>
  <w:num w:numId="13">
    <w:abstractNumId w:val="10"/>
  </w:num>
  <w:num w:numId="14">
    <w:abstractNumId w:val="20"/>
  </w:num>
  <w:num w:numId="15">
    <w:abstractNumId w:val="1"/>
  </w:num>
  <w:num w:numId="16">
    <w:abstractNumId w:val="13"/>
  </w:num>
  <w:num w:numId="17">
    <w:abstractNumId w:val="0"/>
  </w:num>
  <w:num w:numId="18">
    <w:abstractNumId w:val="4"/>
  </w:num>
  <w:num w:numId="19">
    <w:abstractNumId w:val="17"/>
  </w:num>
  <w:num w:numId="20">
    <w:abstractNumId w:val="2"/>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3"/>
    <w:rsid w:val="000515F4"/>
    <w:rsid w:val="00114363"/>
    <w:rsid w:val="00182788"/>
    <w:rsid w:val="001839D4"/>
    <w:rsid w:val="001C2600"/>
    <w:rsid w:val="001D35E0"/>
    <w:rsid w:val="001E72A9"/>
    <w:rsid w:val="002051E1"/>
    <w:rsid w:val="00211AB1"/>
    <w:rsid w:val="00227E73"/>
    <w:rsid w:val="00275472"/>
    <w:rsid w:val="00293FD2"/>
    <w:rsid w:val="002B3170"/>
    <w:rsid w:val="0038304D"/>
    <w:rsid w:val="00463459"/>
    <w:rsid w:val="004A18B4"/>
    <w:rsid w:val="004C5F27"/>
    <w:rsid w:val="004F5847"/>
    <w:rsid w:val="00542192"/>
    <w:rsid w:val="00664266"/>
    <w:rsid w:val="00672510"/>
    <w:rsid w:val="006B0290"/>
    <w:rsid w:val="006D057C"/>
    <w:rsid w:val="00747486"/>
    <w:rsid w:val="00754830"/>
    <w:rsid w:val="008A2449"/>
    <w:rsid w:val="008D4855"/>
    <w:rsid w:val="008E5471"/>
    <w:rsid w:val="00906C17"/>
    <w:rsid w:val="00A75443"/>
    <w:rsid w:val="00AB1B4D"/>
    <w:rsid w:val="00B0023D"/>
    <w:rsid w:val="00BE2886"/>
    <w:rsid w:val="00CA4F82"/>
    <w:rsid w:val="00D56170"/>
    <w:rsid w:val="00D76D88"/>
    <w:rsid w:val="00E340A2"/>
    <w:rsid w:val="00F14C0F"/>
    <w:rsid w:val="00F55A6C"/>
    <w:rsid w:val="00F80676"/>
    <w:rsid w:val="00FB6BEB"/>
    <w:rsid w:val="00FC4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3463DB"/>
  <w15:chartTrackingRefBased/>
  <w15:docId w15:val="{B16F745D-2B8A-43A2-9983-5DD241AD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363"/>
    <w:pPr>
      <w:spacing w:after="160" w:line="259" w:lineRule="auto"/>
    </w:pPr>
    <w:rPr>
      <w:lang w:val="en-GB"/>
    </w:rPr>
  </w:style>
  <w:style w:type="paragraph" w:styleId="Heading1">
    <w:name w:val="heading 1"/>
    <w:basedOn w:val="Normal"/>
    <w:next w:val="Normal"/>
    <w:link w:val="Heading1Char"/>
    <w:qFormat/>
    <w:rsid w:val="008D4855"/>
    <w:pPr>
      <w:keepNext/>
      <w:keepLines/>
      <w:suppressLineNumbers/>
      <w:suppressAutoHyphens/>
      <w:spacing w:before="60" w:after="60" w:line="240" w:lineRule="auto"/>
      <w:ind w:right="142"/>
      <w:jc w:val="center"/>
      <w:outlineLvl w:val="0"/>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363"/>
    <w:pPr>
      <w:ind w:left="720"/>
      <w:contextualSpacing/>
    </w:pPr>
  </w:style>
  <w:style w:type="character" w:customStyle="1" w:styleId="Heading1Char">
    <w:name w:val="Heading 1 Char"/>
    <w:basedOn w:val="DefaultParagraphFont"/>
    <w:link w:val="Heading1"/>
    <w:rsid w:val="008D4855"/>
    <w:rPr>
      <w:rFonts w:ascii="Arial" w:eastAsia="Times New Roman" w:hAnsi="Arial" w:cs="Times New Roman"/>
      <w:b/>
      <w:sz w:val="20"/>
      <w:szCs w:val="20"/>
      <w:lang w:val="en-GB" w:eastAsia="en-GB"/>
    </w:rPr>
  </w:style>
  <w:style w:type="character" w:styleId="Hyperlink">
    <w:name w:val="Hyperlink"/>
    <w:rsid w:val="008D4855"/>
    <w:rPr>
      <w:color w:val="0000FF"/>
      <w:u w:val="single"/>
    </w:rPr>
  </w:style>
  <w:style w:type="paragraph" w:customStyle="1" w:styleId="DfTLevel1">
    <w:name w:val="DfT Level 1"/>
    <w:basedOn w:val="Normal"/>
    <w:rsid w:val="008D4855"/>
    <w:pPr>
      <w:tabs>
        <w:tab w:val="left" w:pos="-720"/>
      </w:tabs>
      <w:suppressAutoHyphens/>
      <w:spacing w:after="240" w:line="240" w:lineRule="auto"/>
    </w:pPr>
    <w:rPr>
      <w:rFonts w:ascii="Arial" w:eastAsia="Times New Roman" w:hAnsi="Arial" w:cs="Times New Roman"/>
      <w:spacing w:val="-2"/>
      <w:sz w:val="24"/>
      <w:szCs w:val="20"/>
      <w:lang w:eastAsia="en-GB"/>
    </w:rPr>
  </w:style>
  <w:style w:type="character" w:customStyle="1" w:styleId="UnresolvedMention1">
    <w:name w:val="Unresolved Mention1"/>
    <w:basedOn w:val="DefaultParagraphFont"/>
    <w:uiPriority w:val="99"/>
    <w:semiHidden/>
    <w:unhideWhenUsed/>
    <w:rsid w:val="00463459"/>
    <w:rPr>
      <w:color w:val="808080"/>
      <w:shd w:val="clear" w:color="auto" w:fill="E6E6E6"/>
    </w:rPr>
  </w:style>
  <w:style w:type="table" w:styleId="TableGrid">
    <w:name w:val="Table Grid"/>
    <w:basedOn w:val="TableNormal"/>
    <w:uiPriority w:val="59"/>
    <w:rsid w:val="006D0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8B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mcga.gov.uk" TargetMode="External"/><Relationship Id="rId3" Type="http://schemas.openxmlformats.org/officeDocument/2006/relationships/settings" Target="settings.xml"/><Relationship Id="rId7" Type="http://schemas.openxmlformats.org/officeDocument/2006/relationships/hyperlink" Target="http://www.defra.gov.uk/environment/business/marketing/glc/cod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racts@mcga.gov.uk" TargetMode="External"/><Relationship Id="rId11" Type="http://schemas.openxmlformats.org/officeDocument/2006/relationships/theme" Target="theme/theme1.xml"/><Relationship Id="rId5" Type="http://schemas.openxmlformats.org/officeDocument/2006/relationships/hyperlink" Target="mailto:contracts@mcga.gov.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pplier@crowncommerci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2214</Words>
  <Characters>12625</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TCA 3/7/1023</vt:lpstr>
      <vt:lpstr>INSTRUCTIONS ON SUBMISSION OF TENDERS</vt:lpstr>
    </vt:vector>
  </TitlesOfParts>
  <Company/>
  <LinksUpToDate>false</LinksUpToDate>
  <CharactersWithSpaces>14810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Whittle</dc:creator>
  <cp:keywords/>
  <dc:description/>
  <cp:lastModifiedBy>Cheryl Whittle</cp:lastModifiedBy>
  <cp:revision>1</cp:revision>
  <dcterms:created xsi:type="dcterms:W3CDTF">2017-10-20T08:37:00Z</dcterms:created>
  <dcterms:modified xsi:type="dcterms:W3CDTF">2017-10-23T09:01:00Z</dcterms:modified>
</cp:coreProperties>
</file>