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3038D" w14:textId="12FA071A" w:rsidR="009E010D" w:rsidRDefault="00A510A2" w:rsidP="000C7353">
      <w:pPr>
        <w:pStyle w:val="Heading1"/>
        <w:tabs>
          <w:tab w:val="left" w:pos="720"/>
          <w:tab w:val="left" w:pos="2700"/>
          <w:tab w:val="left" w:pos="3060"/>
        </w:tabs>
        <w:rPr>
          <w:rFonts w:cs="Arial"/>
          <w:color w:val="000080"/>
          <w:sz w:val="28"/>
          <w:szCs w:val="28"/>
        </w:rPr>
      </w:pPr>
      <w:r w:rsidRPr="00A510A2">
        <w:rPr>
          <w:rFonts w:cs="Arial"/>
          <w:color w:val="000080"/>
          <w:sz w:val="28"/>
          <w:szCs w:val="28"/>
        </w:rPr>
        <w:t xml:space="preserve">ANNEX </w:t>
      </w:r>
      <w:r w:rsidR="00D853E5">
        <w:rPr>
          <w:rFonts w:cs="Arial"/>
          <w:color w:val="000080"/>
          <w:sz w:val="28"/>
          <w:szCs w:val="28"/>
        </w:rPr>
        <w:t>1 – DETAILS OF TENDER COMPONENTS</w:t>
      </w:r>
    </w:p>
    <w:p w14:paraId="1CEF3D53" w14:textId="13CFA5CC" w:rsidR="00D853E5" w:rsidRDefault="00D853E5" w:rsidP="00D853E5"/>
    <w:p w14:paraId="333DB070" w14:textId="3145A326" w:rsidR="00D853E5" w:rsidRDefault="00D853E5" w:rsidP="00D853E5">
      <w:pPr>
        <w:pStyle w:val="Heading2"/>
        <w:tabs>
          <w:tab w:val="left" w:pos="720"/>
          <w:tab w:val="left" w:pos="900"/>
          <w:tab w:val="left" w:pos="2700"/>
          <w:tab w:val="left" w:pos="3060"/>
        </w:tabs>
        <w:ind w:left="993" w:hanging="993"/>
      </w:pPr>
      <w:bookmarkStart w:id="0" w:name="_Hlk114664174"/>
      <w:r>
        <w:t>CLIENT:</w:t>
      </w:r>
      <w:r>
        <w:tab/>
        <w:t xml:space="preserve"> LAKE DISTRICT NATIONAL PARK AUTHORITY – </w:t>
      </w:r>
      <w:r w:rsidR="002175AA">
        <w:t>BOWNESS BAY INFORMATION CENTRE</w:t>
      </w:r>
    </w:p>
    <w:bookmarkEnd w:id="0"/>
    <w:p w14:paraId="201849C5" w14:textId="5ED2C90E" w:rsidR="00D853E5" w:rsidRDefault="00D853E5" w:rsidP="00D853E5"/>
    <w:p w14:paraId="0BFAB8DD" w14:textId="77777777" w:rsidR="00D853E5" w:rsidRDefault="00D853E5" w:rsidP="00D853E5">
      <w:pPr>
        <w:rPr>
          <w:rFonts w:cs="Arial"/>
          <w:sz w:val="23"/>
          <w:szCs w:val="23"/>
        </w:rPr>
      </w:pPr>
    </w:p>
    <w:p w14:paraId="2C92BFA4" w14:textId="77777777" w:rsidR="00D853E5" w:rsidRPr="002175AA" w:rsidRDefault="00D853E5" w:rsidP="00D853E5">
      <w:pPr>
        <w:pStyle w:val="ListParagraph"/>
        <w:numPr>
          <w:ilvl w:val="0"/>
          <w:numId w:val="1"/>
        </w:numPr>
        <w:spacing w:after="120" w:line="276" w:lineRule="auto"/>
        <w:contextualSpacing w:val="0"/>
        <w:rPr>
          <w:rFonts w:ascii="Arial" w:hAnsi="Arial" w:cs="Arial"/>
          <w:b/>
          <w:bCs/>
        </w:rPr>
      </w:pPr>
      <w:r w:rsidRPr="002175AA">
        <w:rPr>
          <w:rFonts w:ascii="Arial" w:hAnsi="Arial" w:cs="Arial"/>
          <w:b/>
          <w:bCs/>
        </w:rPr>
        <w:t>Component 1</w:t>
      </w:r>
    </w:p>
    <w:p w14:paraId="14CEC9C0" w14:textId="2FAE53F2" w:rsidR="00D853E5" w:rsidRPr="002175AA" w:rsidRDefault="00D853E5" w:rsidP="00D853E5">
      <w:pPr>
        <w:pStyle w:val="ListParagraph"/>
        <w:numPr>
          <w:ilvl w:val="1"/>
          <w:numId w:val="1"/>
        </w:numPr>
        <w:spacing w:after="120" w:line="276" w:lineRule="auto"/>
        <w:ind w:hanging="508"/>
        <w:contextualSpacing w:val="0"/>
        <w:rPr>
          <w:rFonts w:ascii="Arial" w:hAnsi="Arial" w:cs="Arial"/>
          <w:sz w:val="23"/>
          <w:szCs w:val="23"/>
        </w:rPr>
      </w:pPr>
      <w:r w:rsidRPr="002175AA">
        <w:rPr>
          <w:rFonts w:ascii="Arial" w:hAnsi="Arial" w:cs="Arial"/>
          <w:sz w:val="23"/>
          <w:szCs w:val="23"/>
        </w:rPr>
        <w:t>Installation of an air source heat pump to replace the heating and domestic hot water currently provided by the gas boiler. We do not wish to retain any element of the gas-heated wet system.</w:t>
      </w:r>
      <w:r w:rsidRPr="002175AA">
        <w:rPr>
          <w:rFonts w:ascii="Arial" w:hAnsi="Arial" w:cs="Arial"/>
          <w:sz w:val="23"/>
          <w:szCs w:val="23"/>
        </w:rPr>
        <w:br/>
        <w:t>Heating – spaces to be heated include the main information / shop area, the rear office area and the public and staff toilets, although heating for the toilets may be independent of the heat pump (</w:t>
      </w:r>
      <w:proofErr w:type="spellStart"/>
      <w:r w:rsidRPr="002175AA">
        <w:rPr>
          <w:rFonts w:ascii="Arial" w:hAnsi="Arial" w:cs="Arial"/>
          <w:sz w:val="23"/>
          <w:szCs w:val="23"/>
        </w:rPr>
        <w:t>eg.</w:t>
      </w:r>
      <w:proofErr w:type="spellEnd"/>
      <w:r w:rsidRPr="002175AA">
        <w:rPr>
          <w:rFonts w:ascii="Arial" w:hAnsi="Arial" w:cs="Arial"/>
          <w:sz w:val="23"/>
          <w:szCs w:val="23"/>
        </w:rPr>
        <w:t xml:space="preserve"> convection heaters or heat recovery ventilation units). This does not include the café area which is heated independently or the rear store room which does not require heating. </w:t>
      </w:r>
    </w:p>
    <w:p w14:paraId="5C1E960D" w14:textId="77777777" w:rsidR="00D853E5" w:rsidRPr="002175AA" w:rsidRDefault="00D853E5" w:rsidP="00D853E5">
      <w:pPr>
        <w:pStyle w:val="ListParagraph"/>
        <w:numPr>
          <w:ilvl w:val="1"/>
          <w:numId w:val="1"/>
        </w:numPr>
        <w:spacing w:after="120" w:line="276" w:lineRule="auto"/>
        <w:ind w:hanging="508"/>
        <w:contextualSpacing w:val="0"/>
        <w:rPr>
          <w:rFonts w:ascii="Arial" w:hAnsi="Arial" w:cs="Arial"/>
          <w:sz w:val="23"/>
          <w:szCs w:val="23"/>
        </w:rPr>
      </w:pPr>
      <w:r w:rsidRPr="002175AA">
        <w:rPr>
          <w:rFonts w:ascii="Arial" w:hAnsi="Arial" w:cs="Arial"/>
          <w:sz w:val="23"/>
          <w:szCs w:val="23"/>
        </w:rPr>
        <w:t>Removal of all un-needed existing electro-mechanical / heating equipment, including from the loft space.</w:t>
      </w:r>
    </w:p>
    <w:p w14:paraId="1C6F5F9E" w14:textId="55EB77FE" w:rsidR="00D853E5" w:rsidRPr="002175AA" w:rsidRDefault="00D853E5" w:rsidP="00D853E5">
      <w:pPr>
        <w:pStyle w:val="ListParagraph"/>
        <w:numPr>
          <w:ilvl w:val="1"/>
          <w:numId w:val="1"/>
        </w:numPr>
        <w:spacing w:after="120" w:line="276" w:lineRule="auto"/>
        <w:ind w:hanging="508"/>
        <w:contextualSpacing w:val="0"/>
        <w:rPr>
          <w:rFonts w:ascii="Arial" w:hAnsi="Arial" w:cs="Arial"/>
          <w:sz w:val="23"/>
          <w:szCs w:val="23"/>
        </w:rPr>
      </w:pPr>
      <w:r w:rsidRPr="002175AA">
        <w:rPr>
          <w:rFonts w:ascii="Arial" w:hAnsi="Arial" w:cs="Arial"/>
          <w:sz w:val="23"/>
          <w:szCs w:val="23"/>
        </w:rPr>
        <w:t>Insulation of the entire ceiling to U-value of 0.16 W/m</w:t>
      </w:r>
      <w:r w:rsidRPr="002175AA">
        <w:rPr>
          <w:rFonts w:ascii="Arial" w:hAnsi="Arial" w:cs="Arial"/>
          <w:sz w:val="23"/>
          <w:szCs w:val="23"/>
          <w:vertAlign w:val="superscript"/>
        </w:rPr>
        <w:t>2</w:t>
      </w:r>
      <w:r w:rsidRPr="002175AA">
        <w:rPr>
          <w:rFonts w:ascii="Arial" w:hAnsi="Arial" w:cs="Arial"/>
          <w:sz w:val="23"/>
          <w:szCs w:val="23"/>
        </w:rPr>
        <w:t>k or better.</w:t>
      </w:r>
    </w:p>
    <w:p w14:paraId="77B403A4" w14:textId="77777777" w:rsidR="00D853E5" w:rsidRPr="002175AA" w:rsidRDefault="00D853E5" w:rsidP="00D853E5">
      <w:pPr>
        <w:spacing w:after="120" w:line="276" w:lineRule="auto"/>
        <w:rPr>
          <w:rFonts w:cs="Arial"/>
          <w:sz w:val="23"/>
          <w:szCs w:val="23"/>
        </w:rPr>
      </w:pPr>
    </w:p>
    <w:p w14:paraId="4FFCA336" w14:textId="77777777" w:rsidR="00D853E5" w:rsidRPr="002175AA" w:rsidRDefault="00D853E5" w:rsidP="00D853E5">
      <w:pPr>
        <w:pStyle w:val="ListParagraph"/>
        <w:numPr>
          <w:ilvl w:val="0"/>
          <w:numId w:val="1"/>
        </w:numPr>
        <w:spacing w:after="120" w:line="276" w:lineRule="auto"/>
        <w:contextualSpacing w:val="0"/>
        <w:rPr>
          <w:rFonts w:ascii="Arial" w:hAnsi="Arial" w:cs="Arial"/>
          <w:b/>
          <w:bCs/>
        </w:rPr>
      </w:pPr>
      <w:r w:rsidRPr="002175AA">
        <w:rPr>
          <w:rFonts w:ascii="Arial" w:hAnsi="Arial" w:cs="Arial"/>
          <w:b/>
          <w:bCs/>
        </w:rPr>
        <w:t>Component 2</w:t>
      </w:r>
    </w:p>
    <w:p w14:paraId="2A0E398B" w14:textId="77777777" w:rsidR="00D853E5" w:rsidRPr="002175AA" w:rsidRDefault="00D853E5" w:rsidP="00D853E5">
      <w:pPr>
        <w:pStyle w:val="ListParagraph"/>
        <w:numPr>
          <w:ilvl w:val="1"/>
          <w:numId w:val="1"/>
        </w:numPr>
        <w:spacing w:after="120" w:line="276" w:lineRule="auto"/>
        <w:contextualSpacing w:val="0"/>
        <w:rPr>
          <w:rFonts w:ascii="Arial" w:hAnsi="Arial" w:cs="Arial"/>
          <w:sz w:val="23"/>
          <w:szCs w:val="23"/>
        </w:rPr>
      </w:pPr>
      <w:r w:rsidRPr="002175AA">
        <w:rPr>
          <w:rFonts w:ascii="Arial" w:hAnsi="Arial" w:cs="Arial"/>
          <w:sz w:val="23"/>
          <w:szCs w:val="23"/>
        </w:rPr>
        <w:t>Installation of solar PV. The size of the array to be scaled to optimise supply of renewable electricity to the building based on the building’s electricity consumption.</w:t>
      </w:r>
    </w:p>
    <w:p w14:paraId="7EC244B0" w14:textId="77777777" w:rsidR="00D853E5" w:rsidRPr="002175AA" w:rsidRDefault="00D853E5" w:rsidP="00D853E5">
      <w:pPr>
        <w:pStyle w:val="ListParagraph"/>
        <w:numPr>
          <w:ilvl w:val="1"/>
          <w:numId w:val="1"/>
        </w:numPr>
        <w:spacing w:after="120" w:line="276" w:lineRule="auto"/>
        <w:contextualSpacing w:val="0"/>
        <w:rPr>
          <w:rFonts w:ascii="Arial" w:hAnsi="Arial" w:cs="Arial"/>
          <w:sz w:val="23"/>
          <w:szCs w:val="23"/>
        </w:rPr>
      </w:pPr>
      <w:r w:rsidRPr="002175AA">
        <w:rPr>
          <w:rFonts w:ascii="Arial" w:hAnsi="Arial" w:cs="Arial"/>
          <w:sz w:val="23"/>
          <w:szCs w:val="23"/>
        </w:rPr>
        <w:t xml:space="preserve">Installation of battery storage in conjunction with the above </w:t>
      </w:r>
      <w:r w:rsidRPr="002175AA">
        <w:rPr>
          <w:rFonts w:ascii="Arial" w:hAnsi="Arial" w:cs="Arial"/>
          <w:b/>
          <w:bCs/>
          <w:sz w:val="23"/>
          <w:szCs w:val="23"/>
        </w:rPr>
        <w:t>IF</w:t>
      </w:r>
      <w:r w:rsidRPr="002175AA">
        <w:rPr>
          <w:rFonts w:ascii="Arial" w:hAnsi="Arial" w:cs="Arial"/>
          <w:sz w:val="23"/>
          <w:szCs w:val="23"/>
        </w:rPr>
        <w:t xml:space="preserve"> this can be shown to improve the matching of supply of renewable electricity to the demand </w:t>
      </w:r>
      <w:r w:rsidRPr="002175AA">
        <w:rPr>
          <w:rFonts w:ascii="Arial" w:hAnsi="Arial" w:cs="Arial"/>
          <w:b/>
          <w:bCs/>
          <w:sz w:val="23"/>
          <w:szCs w:val="23"/>
        </w:rPr>
        <w:t>AND</w:t>
      </w:r>
      <w:r w:rsidRPr="002175AA">
        <w:rPr>
          <w:rFonts w:ascii="Arial" w:hAnsi="Arial" w:cs="Arial"/>
          <w:sz w:val="23"/>
          <w:szCs w:val="23"/>
        </w:rPr>
        <w:t xml:space="preserve"> can be demonstrated to achieve financial pay-back within the lifetime of the system.</w:t>
      </w:r>
    </w:p>
    <w:p w14:paraId="7DD200CE" w14:textId="77777777" w:rsidR="00D853E5" w:rsidRPr="002175AA" w:rsidRDefault="00D853E5" w:rsidP="00D853E5">
      <w:pPr>
        <w:spacing w:after="120" w:line="276" w:lineRule="auto"/>
        <w:rPr>
          <w:rFonts w:cs="Arial"/>
          <w:sz w:val="23"/>
          <w:szCs w:val="23"/>
        </w:rPr>
      </w:pPr>
    </w:p>
    <w:p w14:paraId="7C75DC30" w14:textId="77777777" w:rsidR="00D853E5" w:rsidRPr="002175AA" w:rsidRDefault="00D853E5" w:rsidP="00D853E5">
      <w:pPr>
        <w:pStyle w:val="ListParagraph"/>
        <w:numPr>
          <w:ilvl w:val="0"/>
          <w:numId w:val="1"/>
        </w:numPr>
        <w:spacing w:after="120" w:line="276" w:lineRule="auto"/>
        <w:contextualSpacing w:val="0"/>
        <w:rPr>
          <w:rFonts w:ascii="Arial" w:hAnsi="Arial" w:cs="Arial"/>
          <w:b/>
          <w:bCs/>
        </w:rPr>
      </w:pPr>
      <w:r w:rsidRPr="002175AA">
        <w:rPr>
          <w:rFonts w:ascii="Arial" w:hAnsi="Arial" w:cs="Arial"/>
          <w:b/>
          <w:bCs/>
        </w:rPr>
        <w:t>Component 3</w:t>
      </w:r>
    </w:p>
    <w:p w14:paraId="508D194B" w14:textId="77777777" w:rsidR="00D853E5" w:rsidRPr="002175AA" w:rsidRDefault="00D853E5" w:rsidP="00D853E5">
      <w:pPr>
        <w:pStyle w:val="ListParagraph"/>
        <w:numPr>
          <w:ilvl w:val="1"/>
          <w:numId w:val="1"/>
        </w:numPr>
        <w:spacing w:after="120" w:line="276" w:lineRule="auto"/>
        <w:contextualSpacing w:val="0"/>
        <w:rPr>
          <w:rFonts w:ascii="Arial" w:hAnsi="Arial" w:cs="Arial"/>
          <w:sz w:val="23"/>
          <w:szCs w:val="23"/>
        </w:rPr>
      </w:pPr>
      <w:r w:rsidRPr="002175AA">
        <w:rPr>
          <w:rFonts w:ascii="Arial" w:hAnsi="Arial" w:cs="Arial"/>
          <w:sz w:val="23"/>
          <w:szCs w:val="23"/>
        </w:rPr>
        <w:t>Replacement of rear cafe door on the southern elevation with a timber composite insulated unit to U-value of 0.81 W/m</w:t>
      </w:r>
      <w:r w:rsidRPr="002175AA">
        <w:rPr>
          <w:rFonts w:ascii="Arial" w:hAnsi="Arial" w:cs="Arial"/>
          <w:sz w:val="23"/>
          <w:szCs w:val="23"/>
          <w:vertAlign w:val="superscript"/>
        </w:rPr>
        <w:t>2</w:t>
      </w:r>
      <w:r w:rsidRPr="002175AA">
        <w:rPr>
          <w:rFonts w:ascii="Arial" w:hAnsi="Arial" w:cs="Arial"/>
          <w:sz w:val="23"/>
          <w:szCs w:val="23"/>
        </w:rPr>
        <w:t>k or better.</w:t>
      </w:r>
    </w:p>
    <w:p w14:paraId="501035D3" w14:textId="77777777" w:rsidR="00D853E5" w:rsidRPr="002175AA" w:rsidRDefault="00D853E5" w:rsidP="00D853E5">
      <w:pPr>
        <w:pStyle w:val="ListParagraph"/>
        <w:numPr>
          <w:ilvl w:val="1"/>
          <w:numId w:val="1"/>
        </w:numPr>
        <w:spacing w:after="120" w:line="276" w:lineRule="auto"/>
        <w:contextualSpacing w:val="0"/>
        <w:rPr>
          <w:rFonts w:ascii="Arial" w:hAnsi="Arial" w:cs="Arial"/>
          <w:sz w:val="23"/>
          <w:szCs w:val="23"/>
        </w:rPr>
      </w:pPr>
      <w:r w:rsidRPr="002175AA">
        <w:rPr>
          <w:rFonts w:ascii="Arial" w:hAnsi="Arial" w:cs="Arial"/>
          <w:sz w:val="23"/>
          <w:szCs w:val="23"/>
        </w:rPr>
        <w:t>Replacement of single-glazed store-room window with double-glazed unit to U-value of 2.0 W/m</w:t>
      </w:r>
      <w:r w:rsidRPr="002175AA">
        <w:rPr>
          <w:rFonts w:ascii="Arial" w:hAnsi="Arial" w:cs="Arial"/>
          <w:sz w:val="23"/>
          <w:szCs w:val="23"/>
          <w:vertAlign w:val="superscript"/>
        </w:rPr>
        <w:t>2</w:t>
      </w:r>
      <w:r w:rsidRPr="002175AA">
        <w:rPr>
          <w:rFonts w:ascii="Arial" w:hAnsi="Arial" w:cs="Arial"/>
          <w:sz w:val="23"/>
          <w:szCs w:val="23"/>
        </w:rPr>
        <w:t>k or better.</w:t>
      </w:r>
    </w:p>
    <w:p w14:paraId="0B6F361C" w14:textId="77777777" w:rsidR="00D853E5" w:rsidRPr="00D853E5" w:rsidRDefault="00D853E5" w:rsidP="00D853E5"/>
    <w:p w14:paraId="6CDBEBB2" w14:textId="77777777" w:rsidR="009E010D" w:rsidRDefault="009E010D" w:rsidP="000C7353">
      <w:pPr>
        <w:pStyle w:val="Heading2"/>
        <w:tabs>
          <w:tab w:val="left" w:pos="720"/>
          <w:tab w:val="left" w:pos="2700"/>
          <w:tab w:val="left" w:pos="3060"/>
        </w:tabs>
      </w:pPr>
    </w:p>
    <w:p w14:paraId="7EFFE253" w14:textId="2BDD1925" w:rsidR="00D30166" w:rsidRDefault="00D30166" w:rsidP="000C7353"/>
    <w:sectPr w:rsidR="00D30166" w:rsidSect="00CA4558">
      <w:headerReference w:type="default" r:id="rId7"/>
      <w:footerReference w:type="default" r:id="rId8"/>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DC68F" w14:textId="77777777" w:rsidR="000C2D87" w:rsidRDefault="000C2D87">
      <w:r>
        <w:separator/>
      </w:r>
    </w:p>
  </w:endnote>
  <w:endnote w:type="continuationSeparator" w:id="0">
    <w:p w14:paraId="2D5D4D06" w14:textId="77777777" w:rsidR="000C2D87" w:rsidRDefault="000C2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C0421" w14:textId="77777777" w:rsidR="009E010D" w:rsidRDefault="009E010D">
    <w:pPr>
      <w:pStyle w:val="Footer"/>
      <w:rPr>
        <w:sz w:val="16"/>
      </w:rPr>
    </w:pPr>
  </w:p>
  <w:p w14:paraId="33E767FD" w14:textId="7AFB930D" w:rsidR="009E010D" w:rsidRDefault="009E010D">
    <w:pPr>
      <w:pStyle w:val="Footer"/>
    </w:pPr>
    <w:r>
      <w:rPr>
        <w:sz w:val="16"/>
      </w:rPr>
      <w:t>Form of Tender</w:t>
    </w:r>
    <w:r>
      <w:rPr>
        <w:sz w:val="16"/>
      </w:rPr>
      <w:tab/>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A7C45" w14:textId="77777777" w:rsidR="000C2D87" w:rsidRDefault="000C2D87">
      <w:r>
        <w:separator/>
      </w:r>
    </w:p>
  </w:footnote>
  <w:footnote w:type="continuationSeparator" w:id="0">
    <w:p w14:paraId="2D8279C0" w14:textId="77777777" w:rsidR="000C2D87" w:rsidRDefault="000C2D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EDB78" w14:textId="77777777" w:rsidR="002175AA" w:rsidRPr="000C7353" w:rsidRDefault="002175AA" w:rsidP="002175AA">
    <w:pPr>
      <w:rPr>
        <w:rFonts w:cs="Arial"/>
        <w:b/>
        <w:bCs/>
        <w:sz w:val="32"/>
        <w:szCs w:val="32"/>
      </w:rPr>
    </w:pPr>
    <w:bookmarkStart w:id="1" w:name="_Hlk114664285"/>
    <w:r w:rsidRPr="00625BE1">
      <w:rPr>
        <w:rFonts w:cs="Arial"/>
        <w:b/>
        <w:bCs/>
        <w:sz w:val="32"/>
        <w:szCs w:val="32"/>
      </w:rPr>
      <w:t>Carbon reduction works at Bowness Bay Information Centre</w:t>
    </w:r>
    <w:r w:rsidRPr="00800A0C">
      <w:rPr>
        <w:rFonts w:cs="Arial"/>
        <w:b/>
        <w:sz w:val="28"/>
        <w:szCs w:val="28"/>
      </w:rPr>
      <w:t xml:space="preserve">, LA23 </w:t>
    </w:r>
    <w:r>
      <w:rPr>
        <w:rFonts w:cs="Arial"/>
        <w:b/>
        <w:sz w:val="28"/>
        <w:szCs w:val="28"/>
      </w:rPr>
      <w:t>3H</w:t>
    </w:r>
    <w:r w:rsidRPr="00800A0C">
      <w:rPr>
        <w:rFonts w:cs="Arial"/>
        <w:b/>
        <w:sz w:val="28"/>
        <w:szCs w:val="28"/>
      </w:rPr>
      <w:t xml:space="preserve">J  </w:t>
    </w:r>
  </w:p>
  <w:bookmarkEnd w:id="1"/>
  <w:p w14:paraId="011D3CDA" w14:textId="77777777" w:rsidR="009E010D" w:rsidRDefault="009E010D">
    <w:pPr>
      <w:pStyle w:val="Header"/>
      <w:rPr>
        <w:sz w:val="28"/>
        <w:u w:val="single"/>
      </w:rPr>
    </w:pPr>
    <w:r>
      <w:rPr>
        <w:sz w:val="28"/>
        <w:u w:val="single"/>
      </w:rPr>
      <w:tab/>
    </w:r>
    <w:r>
      <w:rPr>
        <w:sz w:val="28"/>
        <w:u w:val="single"/>
      </w:rPr>
      <w:tab/>
    </w:r>
  </w:p>
  <w:p w14:paraId="59B42799" w14:textId="77777777" w:rsidR="009E010D" w:rsidRDefault="009E01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C9564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58431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977"/>
    <w:rsid w:val="000047B1"/>
    <w:rsid w:val="00040D38"/>
    <w:rsid w:val="00044DC9"/>
    <w:rsid w:val="00085007"/>
    <w:rsid w:val="0009524E"/>
    <w:rsid w:val="000C2D87"/>
    <w:rsid w:val="000C7353"/>
    <w:rsid w:val="000E1DE5"/>
    <w:rsid w:val="00100BFE"/>
    <w:rsid w:val="00153CA2"/>
    <w:rsid w:val="001C7961"/>
    <w:rsid w:val="0020163E"/>
    <w:rsid w:val="00205534"/>
    <w:rsid w:val="002175AA"/>
    <w:rsid w:val="00230D41"/>
    <w:rsid w:val="00293378"/>
    <w:rsid w:val="002B6EEF"/>
    <w:rsid w:val="002F6ED3"/>
    <w:rsid w:val="003A76F8"/>
    <w:rsid w:val="003C28D6"/>
    <w:rsid w:val="003E1B27"/>
    <w:rsid w:val="003F21B7"/>
    <w:rsid w:val="00401EE4"/>
    <w:rsid w:val="004B0854"/>
    <w:rsid w:val="004C4563"/>
    <w:rsid w:val="004C7977"/>
    <w:rsid w:val="004F05E7"/>
    <w:rsid w:val="00504FC7"/>
    <w:rsid w:val="00510F5D"/>
    <w:rsid w:val="005C15F6"/>
    <w:rsid w:val="0062448D"/>
    <w:rsid w:val="006A779D"/>
    <w:rsid w:val="006A7D73"/>
    <w:rsid w:val="006D4089"/>
    <w:rsid w:val="00705F8B"/>
    <w:rsid w:val="007228B8"/>
    <w:rsid w:val="00815960"/>
    <w:rsid w:val="00874B0C"/>
    <w:rsid w:val="00890A64"/>
    <w:rsid w:val="008973A5"/>
    <w:rsid w:val="008B097F"/>
    <w:rsid w:val="008F1595"/>
    <w:rsid w:val="00935BAD"/>
    <w:rsid w:val="00976ECF"/>
    <w:rsid w:val="009852AB"/>
    <w:rsid w:val="00986058"/>
    <w:rsid w:val="009E010D"/>
    <w:rsid w:val="009E2BC4"/>
    <w:rsid w:val="009E7E93"/>
    <w:rsid w:val="00A018EA"/>
    <w:rsid w:val="00A33EDC"/>
    <w:rsid w:val="00A420BF"/>
    <w:rsid w:val="00A510A2"/>
    <w:rsid w:val="00A5194F"/>
    <w:rsid w:val="00AC4656"/>
    <w:rsid w:val="00AC4E35"/>
    <w:rsid w:val="00AD308B"/>
    <w:rsid w:val="00AF5F4C"/>
    <w:rsid w:val="00B33CFD"/>
    <w:rsid w:val="00B9606B"/>
    <w:rsid w:val="00BC734B"/>
    <w:rsid w:val="00C36FE2"/>
    <w:rsid w:val="00C65504"/>
    <w:rsid w:val="00C860D0"/>
    <w:rsid w:val="00C92EB8"/>
    <w:rsid w:val="00CA4558"/>
    <w:rsid w:val="00CF5683"/>
    <w:rsid w:val="00D00562"/>
    <w:rsid w:val="00D13380"/>
    <w:rsid w:val="00D30166"/>
    <w:rsid w:val="00D41E7B"/>
    <w:rsid w:val="00D51A76"/>
    <w:rsid w:val="00D60430"/>
    <w:rsid w:val="00D7241A"/>
    <w:rsid w:val="00D853E5"/>
    <w:rsid w:val="00DE0A1D"/>
    <w:rsid w:val="00E103D4"/>
    <w:rsid w:val="00E22175"/>
    <w:rsid w:val="00E31020"/>
    <w:rsid w:val="00E4124A"/>
    <w:rsid w:val="00E51279"/>
    <w:rsid w:val="00E75872"/>
    <w:rsid w:val="00E94538"/>
    <w:rsid w:val="00F125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3A70AE"/>
  <w15:docId w15:val="{F35A7191-BFF0-4D77-A7D9-F84C64372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szCs w:val="24"/>
      <w:lang w:eastAsia="en-US"/>
    </w:rPr>
  </w:style>
  <w:style w:type="paragraph" w:styleId="Heading1">
    <w:name w:val="heading 1"/>
    <w:basedOn w:val="Normal"/>
    <w:next w:val="Normal"/>
    <w:qFormat/>
    <w:pPr>
      <w:keepNext/>
      <w:tabs>
        <w:tab w:val="left" w:pos="1980"/>
      </w:tabs>
      <w:outlineLvl w:val="0"/>
    </w:pPr>
    <w:rPr>
      <w:b/>
      <w:bCs/>
      <w:sz w:val="24"/>
    </w:rPr>
  </w:style>
  <w:style w:type="paragraph" w:styleId="Heading2">
    <w:name w:val="heading 2"/>
    <w:basedOn w:val="Normal"/>
    <w:next w:val="Normal"/>
    <w:qFormat/>
    <w:pPr>
      <w:keepNext/>
      <w:tabs>
        <w:tab w:val="left" w:pos="1980"/>
      </w:tabs>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Title">
    <w:name w:val="Title"/>
    <w:basedOn w:val="Normal"/>
    <w:qFormat/>
    <w:pPr>
      <w:jc w:val="center"/>
    </w:pPr>
    <w:rPr>
      <w:b/>
      <w:bCs/>
    </w:rPr>
  </w:style>
  <w:style w:type="character" w:styleId="PageNumber">
    <w:name w:val="page number"/>
    <w:basedOn w:val="DefaultParagraphFont"/>
    <w:semiHidden/>
  </w:style>
  <w:style w:type="table" w:styleId="TableGrid">
    <w:name w:val="Table Grid"/>
    <w:basedOn w:val="TableNormal"/>
    <w:uiPriority w:val="59"/>
    <w:rsid w:val="00D301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0C7353"/>
    <w:rPr>
      <w:sz w:val="16"/>
      <w:szCs w:val="16"/>
    </w:rPr>
  </w:style>
  <w:style w:type="paragraph" w:styleId="CommentText">
    <w:name w:val="annotation text"/>
    <w:basedOn w:val="Normal"/>
    <w:link w:val="CommentTextChar"/>
    <w:unhideWhenUsed/>
    <w:rsid w:val="000C7353"/>
    <w:rPr>
      <w:sz w:val="20"/>
      <w:szCs w:val="20"/>
    </w:rPr>
  </w:style>
  <w:style w:type="character" w:customStyle="1" w:styleId="CommentTextChar">
    <w:name w:val="Comment Text Char"/>
    <w:basedOn w:val="DefaultParagraphFont"/>
    <w:link w:val="CommentText"/>
    <w:rsid w:val="000C7353"/>
    <w:rPr>
      <w:rFonts w:ascii="Arial" w:hAnsi="Arial"/>
      <w:lang w:eastAsia="en-US"/>
    </w:rPr>
  </w:style>
  <w:style w:type="paragraph" w:styleId="CommentSubject">
    <w:name w:val="annotation subject"/>
    <w:basedOn w:val="CommentText"/>
    <w:next w:val="CommentText"/>
    <w:link w:val="CommentSubjectChar"/>
    <w:uiPriority w:val="99"/>
    <w:semiHidden/>
    <w:unhideWhenUsed/>
    <w:rsid w:val="000C7353"/>
    <w:rPr>
      <w:b/>
      <w:bCs/>
    </w:rPr>
  </w:style>
  <w:style w:type="character" w:customStyle="1" w:styleId="CommentSubjectChar">
    <w:name w:val="Comment Subject Char"/>
    <w:basedOn w:val="CommentTextChar"/>
    <w:link w:val="CommentSubject"/>
    <w:uiPriority w:val="99"/>
    <w:semiHidden/>
    <w:rsid w:val="000C7353"/>
    <w:rPr>
      <w:rFonts w:ascii="Arial" w:hAnsi="Arial"/>
      <w:b/>
      <w:bCs/>
      <w:lang w:eastAsia="en-US"/>
    </w:rPr>
  </w:style>
  <w:style w:type="paragraph" w:styleId="ListParagraph">
    <w:name w:val="List Paragraph"/>
    <w:basedOn w:val="Normal"/>
    <w:uiPriority w:val="34"/>
    <w:qFormat/>
    <w:rsid w:val="00D853E5"/>
    <w:pPr>
      <w:ind w:left="720"/>
      <w:contextualSpacing/>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232</Words>
  <Characters>1327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FORM OF TENDER</vt:lpstr>
    </vt:vector>
  </TitlesOfParts>
  <Company>Lambert Laidlaw</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OF TENDER</dc:title>
  <dc:subject/>
  <dc:creator>Richard.Horner@lakedistrict.gov.uk</dc:creator>
  <cp:keywords/>
  <dc:description/>
  <cp:lastModifiedBy>Martin Sleath</cp:lastModifiedBy>
  <cp:revision>2</cp:revision>
  <cp:lastPrinted>2006-11-01T09:05:00Z</cp:lastPrinted>
  <dcterms:created xsi:type="dcterms:W3CDTF">2022-10-20T14:57:00Z</dcterms:created>
  <dcterms:modified xsi:type="dcterms:W3CDTF">2022-10-20T14:57:00Z</dcterms:modified>
</cp:coreProperties>
</file>