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745"/>
        </w:tabs>
        <w:spacing w:after="0" w:before="0" w:line="276" w:lineRule="auto"/>
        <w:ind w:left="0" w:right="0" w:firstLine="0"/>
        <w:jc w:val="center"/>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2">
      <w:pPr>
        <w:keepNext w:val="1"/>
        <w:keepLines w:val="1"/>
        <w:spacing w:after="26" w:line="250" w:lineRule="auto"/>
        <w:ind w:left="-5" w:hanging="10"/>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Joint Schedule 7 (Financial Difficulties)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2"/>
        <w:keepLines w:val="1"/>
        <w:numPr>
          <w:ilvl w:val="1"/>
          <w:numId w:val="8"/>
        </w:numPr>
        <w:spacing w:after="240" w:before="0" w:lineRule="auto"/>
        <w:ind w:left="709" w:hanging="709"/>
        <w:rPr>
          <w:rFonts w:ascii="Arial" w:cs="Arial" w:eastAsia="Arial" w:hAnsi="Arial"/>
          <w:i w:val="0"/>
          <w:sz w:val="24"/>
          <w:szCs w:val="24"/>
        </w:rPr>
      </w:pPr>
      <w:r w:rsidDel="00000000" w:rsidR="00000000" w:rsidRPr="00000000">
        <w:rPr>
          <w:rFonts w:ascii="Arial" w:cs="Arial" w:eastAsia="Arial" w:hAnsi="Arial"/>
          <w:i w:val="0"/>
          <w:sz w:val="24"/>
          <w:szCs w:val="24"/>
          <w:rtl w:val="0"/>
        </w:rPr>
        <w:t xml:space="preserve">DEFINITIONS</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this Schedule, the following definitions shall apply:</w:t>
      </w:r>
    </w:p>
    <w:tbl>
      <w:tblPr>
        <w:tblStyle w:val="Table1"/>
        <w:tblW w:w="8446.0" w:type="dxa"/>
        <w:jc w:val="left"/>
        <w:tblInd w:w="768.0" w:type="dxa"/>
        <w:tblLayout w:type="fixed"/>
        <w:tblLook w:val="0000"/>
      </w:tblPr>
      <w:tblGrid>
        <w:gridCol w:w="1997.3545470981742"/>
        <w:gridCol w:w="1997.3545470981742"/>
        <w:gridCol w:w="4451.290905803652"/>
        <w:tblGridChange w:id="0">
          <w:tblGrid>
            <w:gridCol w:w="1997.3545470981742"/>
            <w:gridCol w:w="1997.3545470981742"/>
            <w:gridCol w:w="4451.290905803652"/>
          </w:tblGrid>
        </w:tblGridChange>
      </w:tblGrid>
      <w:tr>
        <w:trPr>
          <w:cantSplit w:val="0"/>
          <w:trHeight w:val="1248" w:hRule="atLeast"/>
          <w:tblHeader w:val="0"/>
        </w:trPr>
        <w:tc>
          <w:tcPr/>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“Accounting Reference Date”</w:t>
            </w:r>
          </w:p>
        </w:tc>
        <w:tc>
          <w:tcPr/>
          <w:p w:rsidR="00000000" w:rsidDel="00000000" w:rsidP="00000000" w:rsidRDefault="00000000" w:rsidRPr="00000000" w14:paraId="0000000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8">
            <w:pPr>
              <w:ind w:left="11" w:firstLine="0"/>
              <w:rPr>
                <w:rFonts w:ascii="Arial" w:cs="Arial" w:eastAsia="Arial" w:hAnsi="Arial"/>
              </w:rPr>
            </w:pPr>
            <w:r w:rsidDel="00000000" w:rsidR="00000000" w:rsidRPr="00000000">
              <w:rPr>
                <w:rFonts w:ascii="Arial" w:cs="Arial" w:eastAsia="Arial" w:hAnsi="Arial"/>
                <w:rtl w:val="0"/>
              </w:rPr>
              <w:t xml:space="preserve">means in each year, the date to which each entity in the FDE Group prepares its annual audited financial statements;</w:t>
            </w:r>
          </w:p>
        </w:tc>
      </w:tr>
      <w:tr>
        <w:trPr>
          <w:cantSplit w:val="0"/>
          <w:trHeight w:val="1248" w:hRule="atLeast"/>
          <w:tblHeader w:val="0"/>
        </w:trPr>
        <w:tc>
          <w:tcPr/>
          <w:p w:rsidR="00000000" w:rsidDel="00000000" w:rsidP="00000000" w:rsidRDefault="00000000" w:rsidRPr="00000000" w14:paraId="00000009">
            <w:pPr>
              <w:rPr>
                <w:rFonts w:ascii="Trebuchet MS" w:cs="Trebuchet MS" w:eastAsia="Trebuchet MS" w:hAnsi="Trebuchet MS"/>
                <w:b w:val="1"/>
              </w:rPr>
            </w:pPr>
            <w:r w:rsidDel="00000000" w:rsidR="00000000" w:rsidRPr="00000000">
              <w:rPr>
                <w:rFonts w:ascii="Arial" w:cs="Arial" w:eastAsia="Arial" w:hAnsi="Arial"/>
                <w:b w:val="1"/>
                <w:rtl w:val="0"/>
              </w:rPr>
              <w:t xml:space="preserve">“Applicable Financial Indicators”</w:t>
            </w:r>
            <w:r w:rsidDel="00000000" w:rsidR="00000000" w:rsidRPr="00000000">
              <w:rPr>
                <w:rtl w:val="0"/>
              </w:rPr>
            </w:r>
          </w:p>
        </w:tc>
        <w:tc>
          <w:tcPr/>
          <w:p w:rsidR="00000000" w:rsidDel="00000000" w:rsidP="00000000" w:rsidRDefault="00000000" w:rsidRPr="00000000" w14:paraId="0000000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B">
            <w:pPr>
              <w:ind w:left="11" w:firstLine="0"/>
              <w:rPr>
                <w:rFonts w:ascii="Trebuchet MS" w:cs="Trebuchet MS" w:eastAsia="Trebuchet MS" w:hAnsi="Trebuchet MS"/>
              </w:rPr>
            </w:pPr>
            <w:r w:rsidDel="00000000" w:rsidR="00000000" w:rsidRPr="00000000">
              <w:rPr>
                <w:rFonts w:ascii="Arial" w:cs="Arial" w:eastAsia="Arial" w:hAnsi="Arial"/>
                <w:rtl w:val="0"/>
              </w:rPr>
              <w:t xml:space="preserve">means the financial indicators from Paragraph 5.1 of this Schedule which are to apply to the Monitored Suppliers as set out in Paragraph 6 of this Schedule;</w:t>
            </w: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“Appropriate Accepted Mitigation”</w:t>
            </w:r>
          </w:p>
        </w:tc>
        <w:tc>
          <w:tcPr/>
          <w:p w:rsidR="00000000" w:rsidDel="00000000" w:rsidP="00000000" w:rsidRDefault="00000000" w:rsidRPr="00000000" w14:paraId="0000000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E">
            <w:pPr>
              <w:spacing w:after="0" w:lineRule="auto"/>
              <w:rPr>
                <w:rFonts w:ascii="Arial" w:cs="Arial" w:eastAsia="Arial" w:hAnsi="Arial"/>
                <w:color w:val="000000"/>
              </w:rPr>
            </w:pPr>
            <w:r w:rsidDel="00000000" w:rsidR="00000000" w:rsidRPr="00000000">
              <w:rPr>
                <w:rFonts w:ascii="Arial" w:cs="Arial" w:eastAsia="Arial" w:hAnsi="Arial"/>
                <w:color w:val="000000"/>
                <w:rtl w:val="0"/>
              </w:rPr>
              <w:t xml:space="preserve">means a mitigation to a Financial Distress Event as agreed between the Parties, as follows:</w:t>
            </w:r>
          </w:p>
          <w:p w:rsidR="00000000" w:rsidDel="00000000" w:rsidP="00000000" w:rsidRDefault="00000000" w:rsidRPr="00000000" w14:paraId="0000000F">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Style w:val="Heading4"/>
              <w:numPr>
                <w:ilvl w:val="2"/>
                <w:numId w:val="6"/>
              </w:numPr>
              <w:ind w:left="709" w:hanging="709"/>
              <w:rPr>
                <w:rFonts w:ascii="Arial" w:cs="Arial" w:eastAsia="Arial" w:hAnsi="Arial"/>
              </w:rPr>
            </w:pPr>
            <w:r w:rsidDel="00000000" w:rsidR="00000000" w:rsidRPr="00000000">
              <w:rPr>
                <w:rFonts w:ascii="Arial" w:cs="Arial" w:eastAsia="Arial" w:hAnsi="Arial"/>
                <w:rtl w:val="0"/>
              </w:rPr>
              <w:t xml:space="preserve">as at the Effective Date, as set out in Annex 2 of this Schedule; and</w:t>
            </w:r>
          </w:p>
          <w:p w:rsidR="00000000" w:rsidDel="00000000" w:rsidP="00000000" w:rsidRDefault="00000000" w:rsidRPr="00000000" w14:paraId="00000011">
            <w:pPr>
              <w:pStyle w:val="Heading4"/>
              <w:numPr>
                <w:ilvl w:val="2"/>
                <w:numId w:val="6"/>
              </w:numPr>
              <w:ind w:left="709" w:hanging="709"/>
              <w:rPr>
                <w:rFonts w:ascii="Arial" w:cs="Arial" w:eastAsia="Arial" w:hAnsi="Arial"/>
              </w:rPr>
            </w:pPr>
            <w:r w:rsidDel="00000000" w:rsidR="00000000" w:rsidRPr="00000000">
              <w:rPr>
                <w:rFonts w:ascii="Arial" w:cs="Arial" w:eastAsia="Arial" w:hAnsi="Arial"/>
                <w:rtl w:val="0"/>
              </w:rPr>
              <w:t xml:space="preserve">during the term of the Contract, as set out in Paragraph 3.4 of this Schedule.</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All Appropriate Accepted Mitigations, including any new or amended Appropriate Accepted Mitigations must be documented and recorded in a format and location agreed between the Parties;</w:t>
            </w:r>
          </w:p>
        </w:tc>
      </w:tr>
      <w:tr>
        <w:trPr>
          <w:cantSplit w:val="0"/>
          <w:tblHeader w:val="0"/>
        </w:trP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“Board”</w:t>
            </w:r>
          </w:p>
        </w:tc>
        <w:tc>
          <w:tcPr/>
          <w:p w:rsidR="00000000" w:rsidDel="00000000" w:rsidP="00000000" w:rsidRDefault="00000000" w:rsidRPr="00000000" w14:paraId="00000014">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5">
            <w:pPr>
              <w:ind w:left="11" w:firstLine="0"/>
              <w:rPr>
                <w:rFonts w:ascii="Arial" w:cs="Arial" w:eastAsia="Arial" w:hAnsi="Arial"/>
              </w:rPr>
            </w:pPr>
            <w:r w:rsidDel="00000000" w:rsidR="00000000" w:rsidRPr="00000000">
              <w:rPr>
                <w:rFonts w:ascii="Arial" w:cs="Arial" w:eastAsia="Arial" w:hAnsi="Arial"/>
                <w:rtl w:val="0"/>
              </w:rPr>
              <w:t xml:space="preserve">means the Supplier’s board of directors;</w:t>
            </w:r>
          </w:p>
        </w:tc>
      </w:tr>
      <w:tr>
        <w:trPr>
          <w:cantSplit w:val="0"/>
          <w:tblHeader w:val="0"/>
        </w:trPr>
        <w:tc>
          <w:tcPr/>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b w:val="1"/>
                <w:rtl w:val="0"/>
              </w:rPr>
              <w:t xml:space="preserve">“Board Confirmation” </w:t>
            </w:r>
          </w:p>
        </w:tc>
        <w:tc>
          <w:tcPr/>
          <w:p w:rsidR="00000000" w:rsidDel="00000000" w:rsidP="00000000" w:rsidRDefault="00000000" w:rsidRPr="00000000" w14:paraId="0000001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8">
            <w:pPr>
              <w:ind w:left="11" w:firstLine="0"/>
              <w:rPr>
                <w:rFonts w:ascii="Arial" w:cs="Arial" w:eastAsia="Arial" w:hAnsi="Arial"/>
              </w:rPr>
            </w:pPr>
            <w:r w:rsidDel="00000000" w:rsidR="00000000" w:rsidRPr="00000000">
              <w:rPr>
                <w:rFonts w:ascii="Arial" w:cs="Arial" w:eastAsia="Arial" w:hAnsi="Arial"/>
                <w:rtl w:val="0"/>
              </w:rPr>
              <w:t xml:space="preserve">means written confirmation from the Board in accordance with Paragraph 8 of this Schedule;</w:t>
            </w:r>
          </w:p>
        </w:tc>
      </w:tr>
      <w:tr>
        <w:trPr>
          <w:cantSplit w:val="0"/>
          <w:tblHeader w:val="0"/>
        </w:trPr>
        <w:tc>
          <w:tcPr/>
          <w:p w:rsidR="00000000" w:rsidDel="00000000" w:rsidP="00000000" w:rsidRDefault="00000000" w:rsidRPr="00000000" w14:paraId="00000019">
            <w:pPr>
              <w:rPr>
                <w:rFonts w:ascii="Arial" w:cs="Arial" w:eastAsia="Arial" w:hAnsi="Arial"/>
                <w:b w:val="1"/>
              </w:rPr>
            </w:pPr>
            <w:r w:rsidDel="00000000" w:rsidR="00000000" w:rsidRPr="00000000">
              <w:rPr>
                <w:rFonts w:ascii="Arial" w:cs="Arial" w:eastAsia="Arial" w:hAnsi="Arial"/>
                <w:b w:val="1"/>
                <w:rtl w:val="0"/>
              </w:rPr>
              <w:t xml:space="preserve">“Credit Rating Level”</w:t>
            </w:r>
          </w:p>
        </w:tc>
        <w:tc>
          <w:tcPr/>
          <w:p w:rsidR="00000000" w:rsidDel="00000000" w:rsidP="00000000" w:rsidRDefault="00000000" w:rsidRPr="00000000" w14:paraId="0000001A">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B">
            <w:pPr>
              <w:ind w:left="11" w:firstLine="0"/>
              <w:rPr>
                <w:rFonts w:ascii="Arial" w:cs="Arial" w:eastAsia="Arial" w:hAnsi="Arial"/>
              </w:rPr>
            </w:pPr>
            <w:r w:rsidDel="00000000" w:rsidR="00000000" w:rsidRPr="00000000">
              <w:rPr>
                <w:rFonts w:ascii="Arial" w:cs="Arial" w:eastAsia="Arial" w:hAnsi="Arial"/>
                <w:color w:val="000000"/>
                <w:rtl w:val="0"/>
              </w:rPr>
              <w:t xml:space="preserve">means </w:t>
            </w:r>
            <w:r w:rsidDel="00000000" w:rsidR="00000000" w:rsidRPr="00000000">
              <w:rPr>
                <w:rFonts w:ascii="Arial" w:cs="Arial" w:eastAsia="Arial" w:hAnsi="Arial"/>
                <w:rtl w:val="0"/>
              </w:rPr>
              <w:t xml:space="preserve">a credit rating level as specified in Annex 1 of this Schedule;</w:t>
            </w:r>
          </w:p>
        </w:tc>
      </w:tr>
      <w:tr>
        <w:trPr>
          <w:cantSplit w:val="0"/>
          <w:trHeight w:val="687" w:hRule="atLeast"/>
          <w:tblHeader w:val="0"/>
        </w:trPr>
        <w:tc>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“Credit Rating Threshold”</w:t>
            </w:r>
          </w:p>
        </w:tc>
        <w:tc>
          <w:tcPr/>
          <w:p w:rsidR="00000000" w:rsidDel="00000000" w:rsidP="00000000" w:rsidRDefault="00000000" w:rsidRPr="00000000" w14:paraId="0000001D">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1E">
            <w:pPr>
              <w:ind w:left="11" w:firstLine="0"/>
              <w:rPr>
                <w:rFonts w:ascii="Arial" w:cs="Arial" w:eastAsia="Arial" w:hAnsi="Arial"/>
              </w:rPr>
            </w:pPr>
            <w:r w:rsidDel="00000000" w:rsidR="00000000" w:rsidRPr="00000000">
              <w:rPr>
                <w:rFonts w:ascii="Arial" w:cs="Arial" w:eastAsia="Arial" w:hAnsi="Arial"/>
                <w:color w:val="000000"/>
                <w:rtl w:val="0"/>
              </w:rPr>
              <w:t xml:space="preserve">means </w:t>
            </w:r>
            <w:r w:rsidDel="00000000" w:rsidR="00000000" w:rsidRPr="00000000">
              <w:rPr>
                <w:rFonts w:ascii="Arial" w:cs="Arial" w:eastAsia="Arial" w:hAnsi="Arial"/>
                <w:rtl w:val="0"/>
              </w:rPr>
              <w:t xml:space="preserve">the minimum Credit Rating Level for each entity in the FDE Group as set out in Annex 3 of this Schedule;</w:t>
            </w:r>
          </w:p>
        </w:tc>
      </w:tr>
      <w:tr>
        <w:trPr>
          <w:cantSplit w:val="0"/>
          <w:tblHeader w:val="0"/>
        </w:trPr>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“Financial Distress Event” or “FDE”</w:t>
            </w:r>
          </w:p>
        </w:tc>
        <w:tc>
          <w:tcPr/>
          <w:p w:rsidR="00000000" w:rsidDel="00000000" w:rsidP="00000000" w:rsidRDefault="00000000" w:rsidRPr="00000000" w14:paraId="00000020">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1">
            <w:pPr>
              <w:ind w:left="11" w:firstLine="0"/>
              <w:rPr>
                <w:rFonts w:ascii="Arial" w:cs="Arial" w:eastAsia="Arial" w:hAnsi="Arial"/>
              </w:rPr>
            </w:pPr>
            <w:r w:rsidDel="00000000" w:rsidR="00000000" w:rsidRPr="00000000">
              <w:rPr>
                <w:rFonts w:ascii="Arial" w:cs="Arial" w:eastAsia="Arial" w:hAnsi="Arial"/>
                <w:rtl w:val="0"/>
              </w:rPr>
              <w:t xml:space="preserve">means the occurrence of one or more events as listed in Paragraph 3.1 of this Schedule;</w:t>
            </w:r>
          </w:p>
        </w:tc>
      </w:tr>
      <w:tr>
        <w:trPr>
          <w:cantSplit w:val="0"/>
          <w:tblHeader w:val="0"/>
        </w:trPr>
        <w:tc>
          <w:tcPr/>
          <w:p w:rsidR="00000000" w:rsidDel="00000000" w:rsidP="00000000" w:rsidRDefault="00000000" w:rsidRPr="00000000" w14:paraId="00000022">
            <w:pPr>
              <w:rPr>
                <w:rFonts w:ascii="Arial" w:cs="Arial" w:eastAsia="Arial" w:hAnsi="Arial"/>
                <w:b w:val="1"/>
              </w:rPr>
            </w:pPr>
            <w:r w:rsidDel="00000000" w:rsidR="00000000" w:rsidRPr="00000000">
              <w:rPr>
                <w:rFonts w:ascii="Arial" w:cs="Arial" w:eastAsia="Arial" w:hAnsi="Arial"/>
                <w:b w:val="1"/>
                <w:rtl w:val="0"/>
              </w:rPr>
              <w:t xml:space="preserve">“Financial Distress Event Group” or “FDE Group”</w:t>
            </w:r>
          </w:p>
        </w:tc>
        <w:tc>
          <w:tcPr/>
          <w:p w:rsidR="00000000" w:rsidDel="00000000" w:rsidP="00000000" w:rsidRDefault="00000000" w:rsidRPr="00000000" w14:paraId="00000023">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4">
            <w:pPr>
              <w:ind w:left="11" w:firstLine="0"/>
              <w:rPr>
                <w:rFonts w:ascii="Arial" w:cs="Arial" w:eastAsia="Arial" w:hAnsi="Arial"/>
              </w:rPr>
            </w:pPr>
            <w:r w:rsidDel="00000000" w:rsidR="00000000" w:rsidRPr="00000000">
              <w:rPr>
                <w:rFonts w:ascii="Arial" w:cs="Arial" w:eastAsia="Arial" w:hAnsi="Arial"/>
                <w:rtl w:val="0"/>
              </w:rPr>
              <w:t xml:space="preserve">means the Supplier, Key Sub-contractors, the Guarantor, the Supplier’s ultimate parent undertaking, Key Sub-contractors’ ultimate parent undertakings, and the Monitored Suppliers;</w:t>
            </w:r>
          </w:p>
        </w:tc>
      </w:tr>
      <w:tr>
        <w:trPr>
          <w:cantSplit w:val="0"/>
          <w:tblHeader w:val="0"/>
        </w:trPr>
        <w:tc>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"Financial Distress Service Continuity Plan"</w:t>
            </w:r>
          </w:p>
        </w:tc>
        <w:tc>
          <w:tcPr/>
          <w:p w:rsidR="00000000" w:rsidDel="00000000" w:rsidP="00000000" w:rsidRDefault="00000000" w:rsidRPr="00000000" w14:paraId="00000026">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7">
            <w:pPr>
              <w:ind w:left="11" w:firstLine="0"/>
              <w:rPr>
                <w:rFonts w:ascii="Arial" w:cs="Arial" w:eastAsia="Arial" w:hAnsi="Arial"/>
              </w:rPr>
            </w:pPr>
            <w:r w:rsidDel="00000000" w:rsidR="00000000" w:rsidRPr="00000000">
              <w:rPr>
                <w:rFonts w:ascii="Arial" w:cs="Arial" w:eastAsia="Arial" w:hAnsi="Arial"/>
                <w:rtl w:val="0"/>
              </w:rPr>
              <w:t xml:space="preserve">a plan setting out how the Supplier will ensure the continued performance and delivery of the Deliverables in accordance with the Contract in the event that a Financial Distress Event occurs. This plan should include what CCS or the Buyer would need to put in place to ensure performance and delivery of the Deliverables in accordance with this Contract up to and including any Insolvency Event in respect of the relevant FDE Group entity;</w:t>
            </w:r>
          </w:p>
        </w:tc>
      </w:tr>
      <w:tr>
        <w:trPr>
          <w:cantSplit w:val="0"/>
          <w:tblHeader w:val="0"/>
        </w:trPr>
        <w:tc>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“Financial Indicators”</w:t>
            </w:r>
          </w:p>
        </w:tc>
        <w:tc>
          <w:tcPr/>
          <w:p w:rsidR="00000000" w:rsidDel="00000000" w:rsidP="00000000" w:rsidRDefault="00000000" w:rsidRPr="00000000" w14:paraId="0000002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A">
            <w:pPr>
              <w:ind w:left="11" w:firstLine="0"/>
              <w:rPr>
                <w:rFonts w:ascii="Arial" w:cs="Arial" w:eastAsia="Arial" w:hAnsi="Arial"/>
              </w:rPr>
            </w:pPr>
            <w:r w:rsidDel="00000000" w:rsidR="00000000" w:rsidRPr="00000000">
              <w:rPr>
                <w:rFonts w:ascii="Arial" w:cs="Arial" w:eastAsia="Arial" w:hAnsi="Arial"/>
                <w:rtl w:val="0"/>
              </w:rPr>
              <w:t xml:space="preserve">in respect of the Supplier, Key Sub-contractors, the Guarantor, the Supplier’s ultimate parent undertaking, the Key Sub-contractors’ ultimate parent undertakings, means each of the financial indicators set out at Paragraph 5.1 of this Schedule; and in respect of each Monitored Supplier, means those Applicable Financial Indicators;</w:t>
            </w:r>
          </w:p>
        </w:tc>
      </w:tr>
      <w:tr>
        <w:trPr>
          <w:cantSplit w:val="0"/>
          <w:tblHeader w:val="0"/>
        </w:trPr>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“Financial Target Thresholds” </w:t>
            </w:r>
          </w:p>
        </w:tc>
        <w:tc>
          <w:tcPr/>
          <w:p w:rsidR="00000000" w:rsidDel="00000000" w:rsidP="00000000" w:rsidRDefault="00000000" w:rsidRPr="00000000" w14:paraId="0000002C">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2D">
            <w:pPr>
              <w:ind w:left="11" w:firstLine="0"/>
              <w:rPr>
                <w:rFonts w:ascii="Arial" w:cs="Arial" w:eastAsia="Arial" w:hAnsi="Arial"/>
              </w:rPr>
            </w:pPr>
            <w:r w:rsidDel="00000000" w:rsidR="00000000" w:rsidRPr="00000000">
              <w:rPr>
                <w:rFonts w:ascii="Arial" w:cs="Arial" w:eastAsia="Arial" w:hAnsi="Arial"/>
                <w:rtl w:val="0"/>
              </w:rPr>
              <w:t xml:space="preserve">means the target thresholds for each of the Financial Indicators set out at Paragraph 5.1 of this Schedule;</w:t>
            </w:r>
          </w:p>
        </w:tc>
      </w:tr>
      <w:tr>
        <w:trPr>
          <w:cantSplit w:val="0"/>
          <w:tblHeader w:val="0"/>
        </w:trPr>
        <w:tc>
          <w:tcPr/>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“Monitored Suppliers”</w:t>
            </w:r>
          </w:p>
        </w:tc>
        <w:tc>
          <w:tcPr/>
          <w:p w:rsidR="00000000" w:rsidDel="00000000" w:rsidP="00000000" w:rsidRDefault="00000000" w:rsidRPr="00000000" w14:paraId="0000002F">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0">
            <w:pPr>
              <w:ind w:left="11" w:firstLine="0"/>
              <w:rPr>
                <w:rFonts w:ascii="Arial" w:cs="Arial" w:eastAsia="Arial" w:hAnsi="Arial"/>
              </w:rPr>
            </w:pPr>
            <w:r w:rsidDel="00000000" w:rsidR="00000000" w:rsidRPr="00000000">
              <w:rPr>
                <w:rFonts w:ascii="Arial" w:cs="Arial" w:eastAsia="Arial" w:hAnsi="Arial"/>
                <w:rtl w:val="0"/>
              </w:rPr>
              <w:t xml:space="preserve">means those entities specified at Paragraph 6 of this Schedule;</w:t>
            </w:r>
          </w:p>
        </w:tc>
      </w:tr>
      <w:tr>
        <w:trPr>
          <w:cantSplit w:val="0"/>
          <w:tblHeader w:val="0"/>
        </w:trPr>
        <w:tc>
          <w:tcPr/>
          <w:p w:rsidR="00000000" w:rsidDel="00000000" w:rsidP="00000000" w:rsidRDefault="00000000" w:rsidRPr="00000000" w14:paraId="00000031">
            <w:pPr>
              <w:rPr>
                <w:rFonts w:ascii="Arial" w:cs="Arial" w:eastAsia="Arial" w:hAnsi="Arial"/>
                <w:b w:val="1"/>
              </w:rPr>
            </w:pPr>
            <w:bookmarkStart w:colFirst="0" w:colLast="0" w:name="_heading=h.gjdgxs" w:id="0"/>
            <w:bookmarkEnd w:id="0"/>
            <w:r w:rsidDel="00000000" w:rsidR="00000000" w:rsidRPr="00000000">
              <w:rPr>
                <w:rFonts w:ascii="Arial" w:cs="Arial" w:eastAsia="Arial" w:hAnsi="Arial"/>
                <w:b w:val="1"/>
                <w:rtl w:val="0"/>
              </w:rPr>
              <w:t xml:space="preserve">“Primary Credit Ratings”</w:t>
            </w:r>
          </w:p>
        </w:tc>
        <w:tc>
          <w:tcPr/>
          <w:p w:rsidR="00000000" w:rsidDel="00000000" w:rsidP="00000000" w:rsidRDefault="00000000" w:rsidRPr="00000000" w14:paraId="00000032">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3">
            <w:pPr>
              <w:ind w:left="11" w:firstLine="0"/>
              <w:rPr>
                <w:rFonts w:ascii="Arial" w:cs="Arial" w:eastAsia="Arial" w:hAnsi="Arial"/>
                <w:b w:val="1"/>
              </w:rPr>
            </w:pPr>
            <w:r w:rsidDel="00000000" w:rsidR="00000000" w:rsidRPr="00000000">
              <w:rPr>
                <w:rFonts w:ascii="Arial" w:cs="Arial" w:eastAsia="Arial" w:hAnsi="Arial"/>
                <w:rtl w:val="0"/>
              </w:rPr>
              <w:t xml:space="preserve">means Companywatch</w:t>
            </w: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“Primary Credit Ratings Agency”</w:t>
            </w:r>
          </w:p>
        </w:tc>
        <w:tc>
          <w:tcPr/>
          <w:p w:rsidR="00000000" w:rsidDel="00000000" w:rsidP="00000000" w:rsidRDefault="00000000" w:rsidRPr="00000000" w14:paraId="00000035">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6">
            <w:pPr>
              <w:ind w:left="11" w:firstLine="0"/>
              <w:rPr>
                <w:rFonts w:ascii="Arial" w:cs="Arial" w:eastAsia="Arial" w:hAnsi="Arial"/>
              </w:rPr>
            </w:pPr>
            <w:r w:rsidDel="00000000" w:rsidR="00000000" w:rsidRPr="00000000">
              <w:rPr>
                <w:rFonts w:ascii="Arial" w:cs="Arial" w:eastAsia="Arial" w:hAnsi="Arial"/>
                <w:rtl w:val="0"/>
              </w:rPr>
              <w:t xml:space="preserve">means Companywatch</w:t>
            </w:r>
          </w:p>
        </w:tc>
      </w:tr>
      <w:tr>
        <w:trPr>
          <w:cantSplit w:val="0"/>
          <w:trHeight w:val="652" w:hRule="atLeast"/>
          <w:tblHeader w:val="0"/>
        </w:trPr>
        <w:tc>
          <w:tcPr/>
          <w:p w:rsidR="00000000" w:rsidDel="00000000" w:rsidP="00000000" w:rsidRDefault="00000000" w:rsidRPr="00000000" w14:paraId="00000037">
            <w:pPr>
              <w:rPr>
                <w:rFonts w:ascii="Arial" w:cs="Arial" w:eastAsia="Arial" w:hAnsi="Arial"/>
                <w:b w:val="1"/>
              </w:rPr>
            </w:pPr>
            <w:r w:rsidDel="00000000" w:rsidR="00000000" w:rsidRPr="00000000">
              <w:rPr>
                <w:rFonts w:ascii="Arial" w:cs="Arial" w:eastAsia="Arial" w:hAnsi="Arial"/>
                <w:b w:val="1"/>
                <w:rtl w:val="0"/>
              </w:rPr>
              <w:t xml:space="preserve">“Rating Agencies”</w:t>
            </w:r>
          </w:p>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ind w:left="11" w:firstLine="0"/>
              <w:rPr>
                <w:rFonts w:ascii="Arial" w:cs="Arial" w:eastAsia="Arial" w:hAnsi="Arial"/>
              </w:rPr>
            </w:pPr>
            <w:r w:rsidDel="00000000" w:rsidR="00000000" w:rsidRPr="00000000">
              <w:rPr>
                <w:rFonts w:ascii="Arial" w:cs="Arial" w:eastAsia="Arial" w:hAnsi="Arial"/>
                <w:color w:val="000000"/>
                <w:rtl w:val="0"/>
              </w:rPr>
              <w:t xml:space="preserve">means </w:t>
            </w:r>
            <w:r w:rsidDel="00000000" w:rsidR="00000000" w:rsidRPr="00000000">
              <w:rPr>
                <w:rFonts w:ascii="Arial" w:cs="Arial" w:eastAsia="Arial" w:hAnsi="Arial"/>
                <w:rtl w:val="0"/>
              </w:rPr>
              <w:t xml:space="preserve">the rating agencies listed in Annex 1 of this Schedule or such other rating agencies as CCS or the Buyer may decide to use;</w:t>
            </w:r>
          </w:p>
        </w:tc>
      </w:tr>
    </w:tbl>
    <w:p w:rsidR="00000000" w:rsidDel="00000000" w:rsidP="00000000" w:rsidRDefault="00000000" w:rsidRPr="00000000" w14:paraId="0000003B">
      <w:pPr>
        <w:pStyle w:val="Heading2"/>
        <w:keepLines w:val="1"/>
        <w:spacing w:after="240" w:before="0" w:lineRule="auto"/>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1.1 When this Schedule applies </w:t>
      </w:r>
    </w:p>
    <w:p w:rsidR="00000000" w:rsidDel="00000000" w:rsidP="00000000" w:rsidRDefault="00000000" w:rsidRPr="00000000" w14:paraId="0000003C">
      <w:pPr>
        <w:pStyle w:val="Heading3"/>
        <w:keepNext w:val="0"/>
        <w:keepLines w:val="1"/>
        <w:spacing w:after="24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1.2 The Parties shall comply with the provisions of this Schedule in relation to the assessment of the financial standing of the Monitored Companies and the consequences of a change to that financial standing. </w:t>
      </w:r>
    </w:p>
    <w:p w:rsidR="00000000" w:rsidDel="00000000" w:rsidP="00000000" w:rsidRDefault="00000000" w:rsidRPr="00000000" w14:paraId="0000003D">
      <w:pPr>
        <w:pStyle w:val="Heading3"/>
        <w:keepNext w:val="0"/>
        <w:keepLines w:val="1"/>
        <w:spacing w:after="24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1.3 The terms of this Schedule shall survive termination or expiry of this Contract: </w:t>
      </w:r>
    </w:p>
    <w:p w:rsidR="00000000" w:rsidDel="00000000" w:rsidP="00000000" w:rsidRDefault="00000000" w:rsidRPr="00000000" w14:paraId="0000003E">
      <w:pPr>
        <w:pStyle w:val="Heading3"/>
        <w:keepNext w:val="0"/>
        <w:keepLines w:val="1"/>
        <w:spacing w:after="24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1.3.1 under the Contract until the later of (a) the termination or expiry of the Contract or (b) the latest date of termination or expiry of any Order Contract entered into under the Contract (which might be after the date of termination or expiry of the Contract); and</w:t>
      </w:r>
    </w:p>
    <w:p w:rsidR="00000000" w:rsidDel="00000000" w:rsidP="00000000" w:rsidRDefault="00000000" w:rsidRPr="00000000" w14:paraId="0000003F">
      <w:pPr>
        <w:pStyle w:val="Heading3"/>
        <w:keepNext w:val="0"/>
        <w:keepLines w:val="1"/>
        <w:spacing w:after="240" w:before="0" w:lineRule="auto"/>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1.3.2 under the Order Contract until the termination or expiry of the Order Contract. </w:t>
      </w:r>
    </w:p>
    <w:p w:rsidR="00000000" w:rsidDel="00000000" w:rsidP="00000000" w:rsidRDefault="00000000" w:rsidRPr="00000000" w14:paraId="00000040">
      <w:pPr>
        <w:spacing w:after="136" w:line="259" w:lineRule="auto"/>
        <w:ind w:left="360" w:firstLine="0"/>
        <w:rPr>
          <w:rFonts w:ascii="Arial" w:cs="Arial" w:eastAsia="Arial" w:hAnsi="Arial"/>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1">
      <w:pPr>
        <w:pStyle w:val="Heading2"/>
        <w:keepLines w:val="1"/>
        <w:numPr>
          <w:ilvl w:val="1"/>
          <w:numId w:val="1"/>
        </w:numPr>
        <w:spacing w:after="240" w:before="0" w:lineRule="auto"/>
        <w:ind w:left="709" w:hanging="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WARRANTIES AND DUTY TO NOTIFY</w:t>
      </w:r>
    </w:p>
    <w:p w:rsidR="00000000" w:rsidDel="00000000" w:rsidP="00000000" w:rsidRDefault="00000000" w:rsidRPr="00000000" w14:paraId="00000042">
      <w:pPr>
        <w:pStyle w:val="Heading3"/>
        <w:keepNext w:val="0"/>
        <w:keepLines w:val="1"/>
        <w:numPr>
          <w:ilvl w:val="2"/>
          <w:numId w:val="1"/>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Supplier warrants and represents to CCS or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the Buyer for the benefit of the Buyer that as at the Effective Date:</w:t>
      </w:r>
    </w:p>
    <w:p w:rsidR="00000000" w:rsidDel="00000000" w:rsidP="00000000" w:rsidRDefault="00000000" w:rsidRPr="00000000" w14:paraId="00000043">
      <w:pPr>
        <w:pStyle w:val="Heading4"/>
        <w:numPr>
          <w:ilvl w:val="3"/>
          <w:numId w:val="1"/>
        </w:numPr>
        <w:ind w:left="1418" w:hanging="709"/>
        <w:rPr>
          <w:rFonts w:ascii="Arial" w:cs="Arial" w:eastAsia="Arial" w:hAnsi="Arial"/>
        </w:rPr>
      </w:pPr>
      <w:r w:rsidDel="00000000" w:rsidR="00000000" w:rsidRPr="00000000">
        <w:rPr>
          <w:rFonts w:ascii="Arial" w:cs="Arial" w:eastAsia="Arial" w:hAnsi="Arial"/>
          <w:rtl w:val="0"/>
        </w:rPr>
        <w:t xml:space="preserve">the long-term Primary Credit Ratings issued for each entity in the FDE Group by each of the Rating Agencies are as set out in Annex 3 of this Schedule; and</w:t>
      </w:r>
    </w:p>
    <w:p w:rsidR="00000000" w:rsidDel="00000000" w:rsidP="00000000" w:rsidRDefault="00000000" w:rsidRPr="00000000" w14:paraId="00000044">
      <w:pPr>
        <w:pStyle w:val="Heading4"/>
        <w:numPr>
          <w:ilvl w:val="3"/>
          <w:numId w:val="1"/>
        </w:numPr>
        <w:ind w:left="1418" w:hanging="709"/>
        <w:rPr>
          <w:rFonts w:ascii="Arial" w:cs="Arial" w:eastAsia="Arial" w:hAnsi="Arial"/>
        </w:rPr>
      </w:pPr>
      <w:r w:rsidDel="00000000" w:rsidR="00000000" w:rsidRPr="00000000">
        <w:rPr>
          <w:rFonts w:ascii="Arial" w:cs="Arial" w:eastAsia="Arial" w:hAnsi="Arial"/>
          <w:rtl w:val="0"/>
        </w:rPr>
        <w:t xml:space="preserve">either:</w:t>
      </w:r>
    </w:p>
    <w:p w:rsidR="00000000" w:rsidDel="00000000" w:rsidP="00000000" w:rsidRDefault="00000000" w:rsidRPr="00000000" w14:paraId="00000045">
      <w:pPr>
        <w:pStyle w:val="Heading4"/>
        <w:numPr>
          <w:ilvl w:val="4"/>
          <w:numId w:val="7"/>
        </w:numPr>
        <w:spacing w:after="0" w:lineRule="auto"/>
        <w:ind w:left="2126" w:hanging="707.9999999999998"/>
        <w:rPr>
          <w:rFonts w:ascii="Arial" w:cs="Arial" w:eastAsia="Arial" w:hAnsi="Arial"/>
        </w:rPr>
      </w:pPr>
      <w:r w:rsidDel="00000000" w:rsidR="00000000" w:rsidRPr="00000000">
        <w:rPr>
          <w:rFonts w:ascii="Arial" w:cs="Arial" w:eastAsia="Arial" w:hAnsi="Arial"/>
          <w:rtl w:val="0"/>
        </w:rPr>
        <w:t xml:space="preserve">the financial position or, as appropriate, the financial performance of </w:t>
      </w:r>
    </w:p>
    <w:p w:rsidR="00000000" w:rsidDel="00000000" w:rsidP="00000000" w:rsidRDefault="00000000" w:rsidRPr="00000000" w14:paraId="00000046">
      <w:pPr>
        <w:ind w:left="2126" w:firstLine="10.999999999999943"/>
        <w:rPr/>
      </w:pPr>
      <w:r w:rsidDel="00000000" w:rsidR="00000000" w:rsidRPr="00000000">
        <w:rPr>
          <w:rFonts w:ascii="Arial" w:cs="Arial" w:eastAsia="Arial" w:hAnsi="Arial"/>
          <w:rtl w:val="0"/>
        </w:rPr>
        <w:t xml:space="preserve">each of the Supplier, Guarantor, Supplier’s ultimate parent undertaking, Key Sub-contractors, and Key Subcontractors’ ultimate parent undertakings satisfies the Financial Target Thresholds, or </w:t>
      </w:r>
      <w:r w:rsidDel="00000000" w:rsidR="00000000" w:rsidRPr="00000000">
        <w:rPr>
          <w:rtl w:val="0"/>
        </w:rPr>
      </w:r>
    </w:p>
    <w:p w:rsidR="00000000" w:rsidDel="00000000" w:rsidP="00000000" w:rsidRDefault="00000000" w:rsidRPr="00000000" w14:paraId="00000047">
      <w:pPr>
        <w:pStyle w:val="Heading4"/>
        <w:numPr>
          <w:ilvl w:val="4"/>
          <w:numId w:val="7"/>
        </w:numPr>
        <w:spacing w:after="0" w:lineRule="auto"/>
        <w:ind w:left="2126" w:hanging="707.9999999999998"/>
        <w:rPr>
          <w:rFonts w:ascii="Arial" w:cs="Arial" w:eastAsia="Arial" w:hAnsi="Arial"/>
        </w:rPr>
      </w:pPr>
      <w:r w:rsidDel="00000000" w:rsidR="00000000" w:rsidRPr="00000000">
        <w:rPr>
          <w:rFonts w:ascii="Arial" w:cs="Arial" w:eastAsia="Arial" w:hAnsi="Arial"/>
          <w:rtl w:val="0"/>
        </w:rPr>
        <w:t xml:space="preserve">the relevant Appropriate Accepted Mitigations are in place.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keepNext w:val="0"/>
        <w:keepLines w:val="1"/>
        <w:numPr>
          <w:ilvl w:val="2"/>
          <w:numId w:val="7"/>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Supplier shall promptly notify (or shall procure that its auditors promptly notify) CCS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the Buyer in writing if there is any downgrade in the credit rating issued by the Primary Credit Ratings Agency for any entity in the FDE Group, which results in the level of risk being assessed as high or greater than average (and in any event within 5 Working Days of the occurrence of the downgrade). The categorisation of credit ratings by risk level is defined in Annex 1.</w:t>
      </w:r>
    </w:p>
    <w:p w:rsidR="00000000" w:rsidDel="00000000" w:rsidP="00000000" w:rsidRDefault="00000000" w:rsidRPr="00000000" w14:paraId="0000004A">
      <w:pPr>
        <w:pStyle w:val="Heading3"/>
        <w:keepNext w:val="0"/>
        <w:keepLines w:val="1"/>
        <w:numPr>
          <w:ilvl w:val="2"/>
          <w:numId w:val="7"/>
        </w:numPr>
        <w:spacing w:after="240" w:before="0" w:lineRule="auto"/>
        <w:ind w:left="709" w:hanging="709"/>
        <w:rPr>
          <w:rFonts w:ascii="Arial" w:cs="Arial" w:eastAsia="Arial" w:hAnsi="Arial"/>
          <w:b w:val="0"/>
          <w:sz w:val="22"/>
          <w:szCs w:val="22"/>
        </w:rPr>
      </w:pPr>
      <w:bookmarkStart w:colFirst="0" w:colLast="0" w:name="_heading=h.30j0zll" w:id="1"/>
      <w:bookmarkEnd w:id="1"/>
      <w:r w:rsidDel="00000000" w:rsidR="00000000" w:rsidRPr="00000000">
        <w:rPr>
          <w:rFonts w:ascii="Arial" w:cs="Arial" w:eastAsia="Arial" w:hAnsi="Arial"/>
          <w:b w:val="0"/>
          <w:sz w:val="22"/>
          <w:szCs w:val="22"/>
          <w:rtl w:val="0"/>
        </w:rPr>
        <w:t xml:space="preserve">The Supplier shall: </w:t>
      </w:r>
    </w:p>
    <w:p w:rsidR="00000000" w:rsidDel="00000000" w:rsidP="00000000" w:rsidRDefault="00000000" w:rsidRPr="00000000" w14:paraId="0000004B">
      <w:pPr>
        <w:pStyle w:val="Heading4"/>
        <w:numPr>
          <w:ilvl w:val="3"/>
          <w:numId w:val="9"/>
        </w:numPr>
        <w:ind w:left="1418" w:hanging="709"/>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regularly monitor the credit ratings of each entity in the FDE Group with the Primary Credit Ratings Agency;</w:t>
      </w:r>
    </w:p>
    <w:p w:rsidR="00000000" w:rsidDel="00000000" w:rsidP="00000000" w:rsidRDefault="00000000" w:rsidRPr="00000000" w14:paraId="0000004C">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monitor and report on the Financial Indicators for each entity in the FDE Group against the Financial Target Thresholds at least quarterly from the effective date, and update the Financial Indicators when public information becomes available, and in any event, no less than once a year within 285 days after the Accounting Reference Date; </w:t>
      </w:r>
    </w:p>
    <w:p w:rsidR="00000000" w:rsidDel="00000000" w:rsidP="00000000" w:rsidRDefault="00000000" w:rsidRPr="00000000" w14:paraId="0000004D">
      <w:pPr>
        <w:pStyle w:val="Heading4"/>
        <w:numPr>
          <w:ilvl w:val="3"/>
          <w:numId w:val="9"/>
        </w:numPr>
        <w:ind w:left="1418" w:hanging="709"/>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provide regular updates to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CCS and the Buyer on, as a minimum, the Primary Credit Ratings for each entity in the FDE Group;</w:t>
      </w:r>
    </w:p>
    <w:p w:rsidR="00000000" w:rsidDel="00000000" w:rsidP="00000000" w:rsidRDefault="00000000" w:rsidRPr="00000000" w14:paraId="0000004E">
      <w:pPr>
        <w:pStyle w:val="Heading4"/>
        <w:numPr>
          <w:ilvl w:val="3"/>
          <w:numId w:val="9"/>
        </w:numPr>
        <w:ind w:left="1418" w:hanging="709"/>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promptly notify (or shall procure that its auditors promptly notify) CCS and the Buyer in writing following the occurrence of a Financial Distress Event or any fact, circumstance or matter which could cause a Financial Distress Event (and in any event, ensure that such notification is made within 10 Working Days of the date on which the Supplier first becomes aware of the Financial Distress Event or the fact, circumstance or matter which could cause a Financial Distress Event).; and </w:t>
      </w:r>
    </w:p>
    <w:p w:rsidR="00000000" w:rsidDel="00000000" w:rsidP="00000000" w:rsidRDefault="00000000" w:rsidRPr="00000000" w14:paraId="0000004F">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ensure when complying with this Paragraph 2.3 that it complies with the law of England and Wales, including all market regulations and local law that applies to England and Wales.        </w:t>
      </w:r>
    </w:p>
    <w:p w:rsidR="00000000" w:rsidDel="00000000" w:rsidP="00000000" w:rsidRDefault="00000000" w:rsidRPr="00000000" w14:paraId="00000050">
      <w:pPr>
        <w:pStyle w:val="Heading3"/>
        <w:keepNext w:val="0"/>
        <w:keepLines w:val="1"/>
        <w:numPr>
          <w:ilvl w:val="2"/>
          <w:numId w:val="9"/>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For the purposes of determining whether a Financial Distress Event has occurred pursuant to the provisions of Paragraphs 3.1(a), the credit rating of an FDE Group entity shall be deemed to have dropped below the applicable Credit Rating Threshold if:</w:t>
      </w:r>
    </w:p>
    <w:p w:rsidR="00000000" w:rsidDel="00000000" w:rsidP="00000000" w:rsidRDefault="00000000" w:rsidRPr="00000000" w14:paraId="00000051">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any of the Rating Agencies have given a Credit Rating Level for that entity which is below the applicable Credit Rating Threshold; or</w:t>
      </w:r>
    </w:p>
    <w:p w:rsidR="00000000" w:rsidDel="00000000" w:rsidP="00000000" w:rsidRDefault="00000000" w:rsidRPr="00000000" w14:paraId="00000052">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a Rating Agency that is specified as holding a Credit Rating Level for an entity as set out at Annex 3 of this Schedule ceases to hold or is unable to provide a Credit Rating Level for that entity, and the Supplier fails to provide an acceptable explanation to the Buyer.</w:t>
      </w:r>
    </w:p>
    <w:p w:rsidR="00000000" w:rsidDel="00000000" w:rsidP="00000000" w:rsidRDefault="00000000" w:rsidRPr="00000000" w14:paraId="00000053">
      <w:pPr>
        <w:pStyle w:val="Heading3"/>
        <w:keepNext w:val="0"/>
        <w:keepLines w:val="1"/>
        <w:numPr>
          <w:ilvl w:val="2"/>
          <w:numId w:val="9"/>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Each report submitted by the Supplier pursuant to Paragraph 2.3(b) shall:</w:t>
      </w:r>
    </w:p>
    <w:p w:rsidR="00000000" w:rsidDel="00000000" w:rsidP="00000000" w:rsidRDefault="00000000" w:rsidRPr="00000000" w14:paraId="00000054">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be a single report with separate sections for each of the FDE Group entities;</w:t>
      </w:r>
    </w:p>
    <w:p w:rsidR="00000000" w:rsidDel="00000000" w:rsidP="00000000" w:rsidRDefault="00000000" w:rsidRPr="00000000" w14:paraId="00000055">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contain a sufficient level of information to reasonably enable the Buyer to verify the calculations that have been made in respect of the Financial Indicators;</w:t>
      </w:r>
    </w:p>
    <w:p w:rsidR="00000000" w:rsidDel="00000000" w:rsidP="00000000" w:rsidRDefault="00000000" w:rsidRPr="00000000" w14:paraId="00000056">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include key financial, explanatory narrative, and other supporting information (including any accounts data that has been relied on) as separate annexes;</w:t>
      </w:r>
    </w:p>
    <w:p w:rsidR="00000000" w:rsidDel="00000000" w:rsidP="00000000" w:rsidRDefault="00000000" w:rsidRPr="00000000" w14:paraId="00000057">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be based on the audited accounts or any other publicised financial information for the date or period on which the Financial Indicator is based or, where the Financial Indicator is not linked to an accounting period or an accounting reference date, on unaudited management accounts prepared in accordance with their normal timetable; and</w:t>
      </w:r>
    </w:p>
    <w:p w:rsidR="00000000" w:rsidDel="00000000" w:rsidP="00000000" w:rsidRDefault="00000000" w:rsidRPr="00000000" w14:paraId="00000058">
      <w:pPr>
        <w:pStyle w:val="Heading4"/>
        <w:numPr>
          <w:ilvl w:val="3"/>
          <w:numId w:val="9"/>
        </w:numPr>
        <w:ind w:left="1418" w:hanging="709"/>
        <w:rPr>
          <w:rFonts w:ascii="Arial" w:cs="Arial" w:eastAsia="Arial" w:hAnsi="Arial"/>
        </w:rPr>
      </w:pPr>
      <w:r w:rsidDel="00000000" w:rsidR="00000000" w:rsidRPr="00000000">
        <w:rPr>
          <w:rFonts w:ascii="Arial" w:cs="Arial" w:eastAsia="Arial" w:hAnsi="Arial"/>
          <w:rtl w:val="0"/>
        </w:rPr>
        <w:t xml:space="preserve">include a history of the Financial Indicators reported by the Supplier in graph form to enable the Buyer to easily analyse and assess the trends in financial performance</w:t>
        <w:br w:type="textWrapping"/>
        <w:t xml:space="preserve">.</w:t>
      </w:r>
    </w:p>
    <w:p w:rsidR="00000000" w:rsidDel="00000000" w:rsidP="00000000" w:rsidRDefault="00000000" w:rsidRPr="00000000" w14:paraId="00000059">
      <w:pPr>
        <w:pStyle w:val="Heading2"/>
        <w:keepLines w:val="1"/>
        <w:numPr>
          <w:ilvl w:val="1"/>
          <w:numId w:val="9"/>
        </w:numPr>
        <w:spacing w:after="240" w:before="0" w:lineRule="auto"/>
        <w:ind w:left="709" w:hanging="709"/>
        <w:rPr>
          <w:rFonts w:ascii="Arial" w:cs="Arial" w:eastAsia="Arial" w:hAnsi="Arial"/>
          <w:i w:val="0"/>
          <w:sz w:val="22"/>
          <w:szCs w:val="22"/>
        </w:rPr>
      </w:pPr>
      <w:bookmarkStart w:colFirst="0" w:colLast="0" w:name="_heading=h.tyjcwt" w:id="5"/>
      <w:bookmarkEnd w:id="5"/>
      <w:r w:rsidDel="00000000" w:rsidR="00000000" w:rsidRPr="00000000">
        <w:rPr>
          <w:rFonts w:ascii="Arial" w:cs="Arial" w:eastAsia="Arial" w:hAnsi="Arial"/>
          <w:i w:val="0"/>
          <w:sz w:val="22"/>
          <w:szCs w:val="22"/>
          <w:rtl w:val="0"/>
        </w:rPr>
        <w:t xml:space="preserve">FINANCIAL DISTRESS EVENTS AND APPROPRIATE ACCEPTED MITIGATIONS</w:t>
      </w:r>
    </w:p>
    <w:p w:rsidR="00000000" w:rsidDel="00000000" w:rsidP="00000000" w:rsidRDefault="00000000" w:rsidRPr="00000000" w14:paraId="0000005A">
      <w:pPr>
        <w:pStyle w:val="Heading3"/>
        <w:keepNext w:val="0"/>
        <w:keepLines w:val="1"/>
        <w:numPr>
          <w:ilvl w:val="2"/>
          <w:numId w:val="3"/>
        </w:numPr>
        <w:spacing w:after="240" w:before="0" w:lineRule="auto"/>
        <w:ind w:left="709" w:hanging="709"/>
        <w:rPr>
          <w:rFonts w:ascii="Arial" w:cs="Arial" w:eastAsia="Arial" w:hAnsi="Arial"/>
          <w:b w:val="0"/>
          <w:sz w:val="22"/>
          <w:szCs w:val="22"/>
        </w:rPr>
      </w:pPr>
      <w:bookmarkStart w:colFirst="0" w:colLast="0" w:name="_heading=h.3dy6vkm" w:id="6"/>
      <w:bookmarkEnd w:id="6"/>
      <w:r w:rsidDel="00000000" w:rsidR="00000000" w:rsidRPr="00000000">
        <w:rPr>
          <w:rFonts w:ascii="Arial" w:cs="Arial" w:eastAsia="Arial" w:hAnsi="Arial"/>
          <w:b w:val="0"/>
          <w:sz w:val="22"/>
          <w:szCs w:val="22"/>
          <w:rtl w:val="0"/>
        </w:rPr>
        <w:t xml:space="preserve">The following shall be Financial Distress Events, unless an Appropriate Accepted Mitigation is in place:</w:t>
      </w:r>
    </w:p>
    <w:p w:rsidR="00000000" w:rsidDel="00000000" w:rsidP="00000000" w:rsidRDefault="00000000" w:rsidRPr="00000000" w14:paraId="0000005B">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the credit rating of an FDE Group entity dropping below the applicable Credit Rating Threshold;</w:t>
      </w:r>
    </w:p>
    <w:p w:rsidR="00000000" w:rsidDel="00000000" w:rsidP="00000000" w:rsidRDefault="00000000" w:rsidRPr="00000000" w14:paraId="0000005C">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an FDE Group entity issuing a profits warning to a stock exchange or making any other public announcement, in each case about a material deterioration in its financial position or prospects;</w:t>
      </w:r>
    </w:p>
    <w:p w:rsidR="00000000" w:rsidDel="00000000" w:rsidP="00000000" w:rsidRDefault="00000000" w:rsidRPr="00000000" w14:paraId="0000005D">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there being a public investigation into improper financial accounting and reporting, suspected fraud or any other impropriety of an FDE Group entity; </w:t>
      </w:r>
    </w:p>
    <w:p w:rsidR="00000000" w:rsidDel="00000000" w:rsidP="00000000" w:rsidRDefault="00000000" w:rsidRPr="00000000" w14:paraId="0000005E">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an FDE Group entity committing a material breach of covenant to its lenders; </w:t>
      </w:r>
    </w:p>
    <w:p w:rsidR="00000000" w:rsidDel="00000000" w:rsidP="00000000" w:rsidRDefault="00000000" w:rsidRPr="00000000" w14:paraId="0000005F">
      <w:pPr>
        <w:pStyle w:val="Heading4"/>
        <w:numPr>
          <w:ilvl w:val="3"/>
          <w:numId w:val="4"/>
        </w:numPr>
        <w:ind w:left="1418" w:hanging="709"/>
        <w:rPr>
          <w:rFonts w:ascii="Arial" w:cs="Arial" w:eastAsia="Arial" w:hAnsi="Arial"/>
        </w:rPr>
      </w:pPr>
      <w:bookmarkStart w:colFirst="0" w:colLast="0" w:name="_heading=h.1t3h5sf" w:id="7"/>
      <w:bookmarkEnd w:id="7"/>
      <w:r w:rsidDel="00000000" w:rsidR="00000000" w:rsidRPr="00000000">
        <w:rPr>
          <w:rFonts w:ascii="Arial" w:cs="Arial" w:eastAsia="Arial" w:hAnsi="Arial"/>
          <w:rtl w:val="0"/>
        </w:rPr>
        <w:t xml:space="preserve">a Key Sub-contractor notifying CCS or the Buyer that the Supplier has not satisfied any material sums properly due under a specified invoice and not subject to a genuine dispute; </w:t>
      </w:r>
    </w:p>
    <w:p w:rsidR="00000000" w:rsidDel="00000000" w:rsidP="00000000" w:rsidRDefault="00000000" w:rsidRPr="00000000" w14:paraId="00000060">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any FDE Group entity extends the filing period for filing its accounts with the Registrar of Companies so that the filing period ends more than 9 months after its accounting reference date without an explanation to CCS or the Buyer which CCS or the Buyer (acting reasonably) consider to be adequate; </w:t>
      </w:r>
    </w:p>
    <w:p w:rsidR="00000000" w:rsidDel="00000000" w:rsidP="00000000" w:rsidRDefault="00000000" w:rsidRPr="00000000" w14:paraId="00000061">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any FDE Group entity is late to file its annual accounts without a public notification or an explanation to CCS or the Buyer which CCS or the Buyer acting reasonably considers to be adequate; </w:t>
      </w:r>
    </w:p>
    <w:p w:rsidR="00000000" w:rsidDel="00000000" w:rsidP="00000000" w:rsidRDefault="00000000" w:rsidRPr="00000000" w14:paraId="00000062">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the directors and/or external auditors of any FDE Group entity conclude that a material uncertainty exists in relation to that FDE Group entity’s going concern in the annual report including a reasonable but plausible downside scenario. This includes, but is not limited to, commentary about liquidity and trading prospects in the reports from directors or external auditors;</w:t>
      </w:r>
    </w:p>
    <w:p w:rsidR="00000000" w:rsidDel="00000000" w:rsidP="00000000" w:rsidRDefault="00000000" w:rsidRPr="00000000" w14:paraId="00000063">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any of the following:</w:t>
      </w:r>
    </w:p>
    <w:p w:rsidR="00000000" w:rsidDel="00000000" w:rsidP="00000000" w:rsidRDefault="00000000" w:rsidRPr="00000000" w14:paraId="00000064">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200" w:before="0" w:line="276" w:lineRule="auto"/>
        <w:ind w:left="2126" w:right="0" w:hanging="707.999999999999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FDE Group entity makes a public announcement which contains adverse commentary with regards to that FDE Group entity’s liquidity and trading and trading prospects, such as but not limited to, a profit warning or ability to trade as a going concern;</w:t>
      </w:r>
    </w:p>
    <w:p w:rsidR="00000000" w:rsidDel="00000000" w:rsidP="00000000" w:rsidRDefault="00000000" w:rsidRPr="00000000" w14:paraId="00000065">
      <w:pPr>
        <w:pStyle w:val="Heading5"/>
        <w:numPr>
          <w:ilvl w:val="4"/>
          <w:numId w:val="3"/>
        </w:numPr>
        <w:ind w:left="2126" w:hanging="707.9999999999998"/>
        <w:rPr>
          <w:rFonts w:ascii="Arial" w:cs="Arial" w:eastAsia="Arial" w:hAnsi="Arial"/>
        </w:rPr>
      </w:pPr>
      <w:r w:rsidDel="00000000" w:rsidR="00000000" w:rsidRPr="00000000">
        <w:rPr>
          <w:rFonts w:ascii="Arial" w:cs="Arial" w:eastAsia="Arial" w:hAnsi="Arial"/>
          <w:rtl w:val="0"/>
        </w:rPr>
        <w:t xml:space="preserve">commencement of any litigation against an FDE Group entity with respect to financial indebtedness greater than £5m or obligations under a service contract with a total contract value greater than £5m; </w:t>
      </w:r>
    </w:p>
    <w:p w:rsidR="00000000" w:rsidDel="00000000" w:rsidP="00000000" w:rsidRDefault="00000000" w:rsidRPr="00000000" w14:paraId="00000066">
      <w:pPr>
        <w:pStyle w:val="Heading5"/>
        <w:numPr>
          <w:ilvl w:val="4"/>
          <w:numId w:val="3"/>
        </w:numPr>
        <w:ind w:left="2126" w:hanging="707.9999999999998"/>
        <w:rPr>
          <w:rFonts w:ascii="Arial" w:cs="Arial" w:eastAsia="Arial" w:hAnsi="Arial"/>
        </w:rPr>
      </w:pPr>
      <w:r w:rsidDel="00000000" w:rsidR="00000000" w:rsidRPr="00000000">
        <w:rPr>
          <w:rFonts w:ascii="Arial" w:cs="Arial" w:eastAsia="Arial" w:hAnsi="Arial"/>
          <w:rtl w:val="0"/>
        </w:rPr>
        <w:t xml:space="preserve">non-payment by an FDE Group entity of any financial indebtedness;</w:t>
      </w:r>
    </w:p>
    <w:p w:rsidR="00000000" w:rsidDel="00000000" w:rsidP="00000000" w:rsidRDefault="00000000" w:rsidRPr="00000000" w14:paraId="00000067">
      <w:pPr>
        <w:pStyle w:val="Heading5"/>
        <w:numPr>
          <w:ilvl w:val="4"/>
          <w:numId w:val="3"/>
        </w:numPr>
        <w:ind w:left="2126" w:hanging="707.9999999999998"/>
        <w:rPr>
          <w:rFonts w:ascii="Arial" w:cs="Arial" w:eastAsia="Arial" w:hAnsi="Arial"/>
        </w:rPr>
      </w:pPr>
      <w:r w:rsidDel="00000000" w:rsidR="00000000" w:rsidRPr="00000000">
        <w:rPr>
          <w:rFonts w:ascii="Arial" w:cs="Arial" w:eastAsia="Arial" w:hAnsi="Arial"/>
          <w:rtl w:val="0"/>
        </w:rPr>
        <w:t xml:space="preserve">any financial indebtedness of an FDE Group entity becoming due as a result of an event of default;</w:t>
      </w:r>
    </w:p>
    <w:p w:rsidR="00000000" w:rsidDel="00000000" w:rsidP="00000000" w:rsidRDefault="00000000" w:rsidRPr="00000000" w14:paraId="00000068">
      <w:pPr>
        <w:pStyle w:val="Heading5"/>
        <w:numPr>
          <w:ilvl w:val="4"/>
          <w:numId w:val="3"/>
        </w:numPr>
        <w:ind w:left="2126" w:hanging="707.9999999999998"/>
        <w:rPr>
          <w:rFonts w:ascii="Arial" w:cs="Arial" w:eastAsia="Arial" w:hAnsi="Arial"/>
        </w:rPr>
      </w:pPr>
      <w:r w:rsidDel="00000000" w:rsidR="00000000" w:rsidRPr="00000000">
        <w:rPr>
          <w:rFonts w:ascii="Arial" w:cs="Arial" w:eastAsia="Arial" w:hAnsi="Arial"/>
          <w:rtl w:val="0"/>
        </w:rPr>
        <w:t xml:space="preserve">the cancellation or suspension of any financial indebtedness in respect of an FDE Group entity; or</w:t>
      </w:r>
    </w:p>
    <w:p w:rsidR="00000000" w:rsidDel="00000000" w:rsidP="00000000" w:rsidRDefault="00000000" w:rsidRPr="00000000" w14:paraId="00000069">
      <w:pPr>
        <w:pStyle w:val="Heading5"/>
        <w:numPr>
          <w:ilvl w:val="4"/>
          <w:numId w:val="3"/>
        </w:numPr>
        <w:ind w:left="2126" w:hanging="707.9999999999998"/>
        <w:rPr>
          <w:rFonts w:ascii="Arial" w:cs="Arial" w:eastAsia="Arial" w:hAnsi="Arial"/>
        </w:rPr>
      </w:pPr>
      <w:r w:rsidDel="00000000" w:rsidR="00000000" w:rsidRPr="00000000">
        <w:rPr>
          <w:rFonts w:ascii="Arial" w:cs="Arial" w:eastAsia="Arial" w:hAnsi="Arial"/>
          <w:rtl w:val="0"/>
        </w:rPr>
        <w:t xml:space="preserve">the external auditor of an FDE Group entity expressing a qualified opinion on, or including an emphasis of matter in, its opinion on the statutory accounts of that FDE entity,</w:t>
      </w:r>
    </w:p>
    <w:p w:rsidR="00000000" w:rsidDel="00000000" w:rsidP="00000000" w:rsidRDefault="00000000" w:rsidRPr="00000000" w14:paraId="0000006A">
      <w:pPr>
        <w:ind w:left="1417" w:firstLine="0"/>
        <w:rPr>
          <w:rFonts w:ascii="Arial" w:cs="Arial" w:eastAsia="Arial" w:hAnsi="Arial"/>
        </w:rPr>
      </w:pPr>
      <w:r w:rsidDel="00000000" w:rsidR="00000000" w:rsidRPr="00000000">
        <w:rPr>
          <w:rFonts w:ascii="Arial" w:cs="Arial" w:eastAsia="Arial" w:hAnsi="Arial"/>
          <w:rtl w:val="0"/>
        </w:rPr>
        <w:t xml:space="preserve">in each case which CCS or the Buyer reasonably believes (or would be likely reasonably to believe) could directly impact on the continued performance and delivery of the Deliverables in accordance with this Contract;</w:t>
      </w:r>
    </w:p>
    <w:p w:rsidR="00000000" w:rsidDel="00000000" w:rsidP="00000000" w:rsidRDefault="00000000" w:rsidRPr="00000000" w14:paraId="0000006B">
      <w:pPr>
        <w:pStyle w:val="Heading4"/>
        <w:numPr>
          <w:ilvl w:val="3"/>
          <w:numId w:val="4"/>
        </w:numPr>
        <w:ind w:left="1418" w:hanging="709"/>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any one of the Financial Indicators set out at Paragraph 5 for any of the FDE Group entities failing to meet the required Financial Target Threshold; or</w:t>
      </w:r>
    </w:p>
    <w:p w:rsidR="00000000" w:rsidDel="00000000" w:rsidP="00000000" w:rsidRDefault="00000000" w:rsidRPr="00000000" w14:paraId="0000006C">
      <w:pPr>
        <w:pStyle w:val="Heading4"/>
        <w:numPr>
          <w:ilvl w:val="3"/>
          <w:numId w:val="4"/>
        </w:numPr>
        <w:ind w:left="1418" w:hanging="709"/>
        <w:rPr>
          <w:rFonts w:ascii="Arial" w:cs="Arial" w:eastAsia="Arial" w:hAnsi="Arial"/>
        </w:rPr>
      </w:pPr>
      <w:r w:rsidDel="00000000" w:rsidR="00000000" w:rsidRPr="00000000">
        <w:rPr>
          <w:rFonts w:ascii="Arial" w:cs="Arial" w:eastAsia="Arial" w:hAnsi="Arial"/>
          <w:rtl w:val="0"/>
        </w:rPr>
        <w:t xml:space="preserve">if a previously Appropriate Accepted Mitigation is no longer available for a particular FDE or is no longer sufficient to constitute an Appropriate Accepted Mitigation. </w:t>
      </w:r>
    </w:p>
    <w:p w:rsidR="00000000" w:rsidDel="00000000" w:rsidP="00000000" w:rsidRDefault="00000000" w:rsidRPr="00000000" w14:paraId="0000006D">
      <w:pPr>
        <w:pStyle w:val="Heading3"/>
        <w:keepNext w:val="0"/>
        <w:keepLines w:val="1"/>
        <w:numPr>
          <w:ilvl w:val="2"/>
          <w:numId w:val="3"/>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On the occurrence of an FDE pursuant to Paragraph 3.1(a) to (k):</w:t>
      </w:r>
    </w:p>
    <w:p w:rsidR="00000000" w:rsidDel="00000000" w:rsidP="00000000" w:rsidRDefault="00000000" w:rsidRPr="00000000" w14:paraId="0000006E">
      <w:pPr>
        <w:pStyle w:val="Heading4"/>
        <w:numPr>
          <w:ilvl w:val="3"/>
          <w:numId w:val="11"/>
        </w:numPr>
        <w:ind w:left="1418" w:hanging="709"/>
        <w:rPr>
          <w:rFonts w:ascii="Arial" w:cs="Arial" w:eastAsia="Arial" w:hAnsi="Arial"/>
        </w:rPr>
      </w:pPr>
      <w:r w:rsidDel="00000000" w:rsidR="00000000" w:rsidRPr="00000000">
        <w:rPr>
          <w:rFonts w:ascii="Arial" w:cs="Arial" w:eastAsia="Arial" w:hAnsi="Arial"/>
          <w:rtl w:val="0"/>
        </w:rPr>
        <w:t xml:space="preserve">the Supplier shall:</w:t>
      </w:r>
    </w:p>
    <w:p w:rsidR="00000000" w:rsidDel="00000000" w:rsidP="00000000" w:rsidRDefault="00000000" w:rsidRPr="00000000" w14:paraId="0000006F">
      <w:pPr>
        <w:pStyle w:val="Heading5"/>
        <w:numPr>
          <w:ilvl w:val="4"/>
          <w:numId w:val="11"/>
        </w:numPr>
        <w:ind w:left="2126" w:hanging="707.9999999999998"/>
        <w:rPr>
          <w:rFonts w:ascii="Arial" w:cs="Arial" w:eastAsia="Arial" w:hAnsi="Arial"/>
        </w:rPr>
      </w:pPr>
      <w:r w:rsidDel="00000000" w:rsidR="00000000" w:rsidRPr="00000000">
        <w:rPr>
          <w:rFonts w:ascii="Arial" w:cs="Arial" w:eastAsia="Arial" w:hAnsi="Arial"/>
          <w:rtl w:val="0"/>
        </w:rPr>
        <w:t xml:space="preserve">notify CCS and the Buyer in accordance with Paragraph 2.3(d) above; and</w:t>
      </w:r>
    </w:p>
    <w:p w:rsidR="00000000" w:rsidDel="00000000" w:rsidP="00000000" w:rsidRDefault="00000000" w:rsidRPr="00000000" w14:paraId="00000070">
      <w:pPr>
        <w:pStyle w:val="Heading5"/>
        <w:numPr>
          <w:ilvl w:val="4"/>
          <w:numId w:val="11"/>
        </w:numPr>
        <w:ind w:left="2126" w:hanging="707.9999999999998"/>
        <w:rPr>
          <w:rFonts w:ascii="Arial" w:cs="Arial" w:eastAsia="Arial" w:hAnsi="Arial"/>
        </w:rPr>
      </w:pPr>
      <w:r w:rsidDel="00000000" w:rsidR="00000000" w:rsidRPr="00000000">
        <w:rPr>
          <w:rFonts w:ascii="Arial" w:cs="Arial" w:eastAsia="Arial" w:hAnsi="Arial"/>
          <w:rtl w:val="0"/>
        </w:rPr>
        <w:t xml:space="preserve">provide to CCS and the Buyer in writing within 10 Working Days or as otherwise agreed between the Parties of the date on which the Supplier first becomes aware of the FDE or of the date on which CCS or the Buyer has brought the FDE to the Supplier’s attention, its proposed mitigation; and </w:t>
      </w:r>
    </w:p>
    <w:p w:rsidR="00000000" w:rsidDel="00000000" w:rsidP="00000000" w:rsidRDefault="00000000" w:rsidRPr="00000000" w14:paraId="00000071">
      <w:pPr>
        <w:pStyle w:val="Heading4"/>
        <w:numPr>
          <w:ilvl w:val="3"/>
          <w:numId w:val="11"/>
        </w:numPr>
        <w:ind w:left="1418" w:hanging="709"/>
        <w:rPr>
          <w:rFonts w:ascii="Arial" w:cs="Arial" w:eastAsia="Arial" w:hAnsi="Arial"/>
        </w:rPr>
      </w:pPr>
      <w:r w:rsidDel="00000000" w:rsidR="00000000" w:rsidRPr="00000000">
        <w:rPr>
          <w:rFonts w:ascii="Arial" w:cs="Arial" w:eastAsia="Arial" w:hAnsi="Arial"/>
          <w:rtl w:val="0"/>
        </w:rPr>
        <w:t xml:space="preserve">the Parties shall then discuss the proposed mitigation in good faith and CCS or the Buyer shall, as soon as practicable, either:</w:t>
      </w:r>
    </w:p>
    <w:p w:rsidR="00000000" w:rsidDel="00000000" w:rsidP="00000000" w:rsidRDefault="00000000" w:rsidRPr="00000000" w14:paraId="00000072">
      <w:pPr>
        <w:pStyle w:val="Heading5"/>
        <w:numPr>
          <w:ilvl w:val="4"/>
          <w:numId w:val="11"/>
        </w:numPr>
        <w:ind w:left="2126" w:hanging="707.9999999999998"/>
        <w:rPr>
          <w:rFonts w:ascii="Arial" w:cs="Arial" w:eastAsia="Arial" w:hAnsi="Arial"/>
        </w:rPr>
      </w:pPr>
      <w:r w:rsidDel="00000000" w:rsidR="00000000" w:rsidRPr="00000000">
        <w:rPr>
          <w:rFonts w:ascii="Arial" w:cs="Arial" w:eastAsia="Arial" w:hAnsi="Arial"/>
          <w:rtl w:val="0"/>
        </w:rPr>
        <w:t xml:space="preserve">agree that the proposed mitigation constitutes an Appropriate Accepted Mitigation; or</w:t>
      </w:r>
    </w:p>
    <w:p w:rsidR="00000000" w:rsidDel="00000000" w:rsidP="00000000" w:rsidRDefault="00000000" w:rsidRPr="00000000" w14:paraId="00000073">
      <w:pPr>
        <w:pStyle w:val="Heading5"/>
        <w:numPr>
          <w:ilvl w:val="4"/>
          <w:numId w:val="11"/>
        </w:numPr>
        <w:ind w:left="2126" w:hanging="707.9999999999998"/>
        <w:rPr>
          <w:rFonts w:ascii="Arial" w:cs="Arial" w:eastAsia="Arial" w:hAnsi="Arial"/>
        </w:rPr>
      </w:pPr>
      <w:r w:rsidDel="00000000" w:rsidR="00000000" w:rsidRPr="00000000">
        <w:rPr>
          <w:rFonts w:ascii="Arial" w:cs="Arial" w:eastAsia="Arial" w:hAnsi="Arial"/>
          <w:rtl w:val="0"/>
        </w:rPr>
        <w:t xml:space="preserve">exercise its rights under Paragraph 4 of this Schedule.</w:t>
      </w:r>
    </w:p>
    <w:p w:rsidR="00000000" w:rsidDel="00000000" w:rsidP="00000000" w:rsidRDefault="00000000" w:rsidRPr="00000000" w14:paraId="00000074">
      <w:pPr>
        <w:pStyle w:val="Heading3"/>
        <w:keepNext w:val="0"/>
        <w:keepLines w:val="1"/>
        <w:numPr>
          <w:ilvl w:val="2"/>
          <w:numId w:val="11"/>
        </w:numPr>
        <w:spacing w:after="240" w:before="0" w:lineRule="auto"/>
        <w:ind w:left="709" w:hanging="709"/>
        <w:rPr>
          <w:rFonts w:ascii="Arial" w:cs="Arial" w:eastAsia="Arial" w:hAnsi="Arial"/>
          <w:b w:val="0"/>
          <w:sz w:val="22"/>
          <w:szCs w:val="22"/>
        </w:rPr>
      </w:pPr>
      <w:bookmarkStart w:colFirst="0" w:colLast="0" w:name="_heading=h.2s8eyo1" w:id="9"/>
      <w:bookmarkEnd w:id="9"/>
      <w:r w:rsidDel="00000000" w:rsidR="00000000" w:rsidRPr="00000000">
        <w:rPr>
          <w:rFonts w:ascii="Arial" w:cs="Arial" w:eastAsia="Arial" w:hAnsi="Arial"/>
          <w:b w:val="0"/>
          <w:sz w:val="22"/>
          <w:szCs w:val="22"/>
          <w:rtl w:val="0"/>
        </w:rPr>
        <w:t xml:space="preserve">Failure by CCS or the Buyer to exercise its rights under Paragraph 4 of this Schedule shall constitute acceptance of the Appropriate Accepted Mitigation, unless such failure was due to an act or omission of the Supplier.</w:t>
      </w:r>
    </w:p>
    <w:p w:rsidR="00000000" w:rsidDel="00000000" w:rsidP="00000000" w:rsidRDefault="00000000" w:rsidRPr="00000000" w14:paraId="00000075">
      <w:pPr>
        <w:pStyle w:val="Heading3"/>
        <w:keepNext w:val="0"/>
        <w:keepLines w:val="1"/>
        <w:numPr>
          <w:ilvl w:val="2"/>
          <w:numId w:val="11"/>
        </w:numPr>
        <w:spacing w:after="240" w:before="0" w:lineRule="auto"/>
        <w:ind w:left="709" w:hanging="709"/>
        <w:rPr>
          <w:rFonts w:ascii="Arial" w:cs="Arial" w:eastAsia="Arial" w:hAnsi="Arial"/>
          <w:b w:val="0"/>
          <w:sz w:val="22"/>
          <w:szCs w:val="22"/>
        </w:rPr>
      </w:pPr>
      <w:bookmarkStart w:colFirst="0" w:colLast="0" w:name="_heading=h.17dp8vu" w:id="10"/>
      <w:bookmarkEnd w:id="10"/>
      <w:r w:rsidDel="00000000" w:rsidR="00000000" w:rsidRPr="00000000">
        <w:rPr>
          <w:rFonts w:ascii="Arial" w:cs="Arial" w:eastAsia="Arial" w:hAnsi="Arial"/>
          <w:b w:val="0"/>
          <w:sz w:val="22"/>
          <w:szCs w:val="22"/>
          <w:rtl w:val="0"/>
        </w:rPr>
        <w:t xml:space="preserve">For the purposes of this Paragraph 3 Appropriate Accepted Mitigations include:</w:t>
      </w:r>
    </w:p>
    <w:p w:rsidR="00000000" w:rsidDel="00000000" w:rsidP="00000000" w:rsidRDefault="00000000" w:rsidRPr="00000000" w14:paraId="00000076">
      <w:pPr>
        <w:pStyle w:val="Heading4"/>
        <w:numPr>
          <w:ilvl w:val="3"/>
          <w:numId w:val="11"/>
        </w:numPr>
        <w:ind w:left="1418" w:hanging="709"/>
        <w:rPr>
          <w:rFonts w:ascii="Arial" w:cs="Arial" w:eastAsia="Arial" w:hAnsi="Arial"/>
          <w:color w:val="000000"/>
        </w:rPr>
      </w:pPr>
      <w:r w:rsidDel="00000000" w:rsidR="00000000" w:rsidRPr="00000000">
        <w:rPr>
          <w:rFonts w:ascii="Arial" w:cs="Arial" w:eastAsia="Arial" w:hAnsi="Arial"/>
          <w:color w:val="000000"/>
          <w:rtl w:val="0"/>
        </w:rPr>
        <w:t xml:space="preserve">for the Supplier:</w:t>
      </w:r>
    </w:p>
    <w:p w:rsidR="00000000" w:rsidDel="00000000" w:rsidP="00000000" w:rsidRDefault="00000000" w:rsidRPr="00000000" w14:paraId="00000077">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existence of a valid Guarantee provided by a Parent Undertaking as Guarantor: and</w:t>
      </w:r>
    </w:p>
    <w:p w:rsidR="00000000" w:rsidDel="00000000" w:rsidP="00000000" w:rsidRDefault="00000000" w:rsidRPr="00000000" w14:paraId="00000078">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Guarantor is not subject to an FDE for which there is no Appropriate Accepted Mitigation; and</w:t>
      </w:r>
    </w:p>
    <w:p w:rsidR="00000000" w:rsidDel="00000000" w:rsidP="00000000" w:rsidRDefault="00000000" w:rsidRPr="00000000" w14:paraId="00000079">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Supplier’s ultimate parent undertaking is not subject to an FDE for which there is no Appropriate Accepted Mitigation; and</w:t>
      </w:r>
    </w:p>
    <w:p w:rsidR="00000000" w:rsidDel="00000000" w:rsidP="00000000" w:rsidRDefault="00000000" w:rsidRPr="00000000" w14:paraId="0000007A">
      <w:pPr>
        <w:pStyle w:val="Heading4"/>
        <w:numPr>
          <w:ilvl w:val="3"/>
          <w:numId w:val="11"/>
        </w:numPr>
        <w:ind w:left="1418" w:hanging="709"/>
        <w:rPr>
          <w:rFonts w:ascii="Arial" w:cs="Arial" w:eastAsia="Arial" w:hAnsi="Arial"/>
          <w:color w:val="000000"/>
        </w:rPr>
      </w:pPr>
      <w:r w:rsidDel="00000000" w:rsidR="00000000" w:rsidRPr="00000000">
        <w:rPr>
          <w:rFonts w:ascii="Arial" w:cs="Arial" w:eastAsia="Arial" w:hAnsi="Arial"/>
          <w:color w:val="000000"/>
          <w:rtl w:val="0"/>
        </w:rPr>
        <w:t xml:space="preserve">for Sub-contractors:</w:t>
      </w:r>
    </w:p>
    <w:p w:rsidR="00000000" w:rsidDel="00000000" w:rsidP="00000000" w:rsidRDefault="00000000" w:rsidRPr="00000000" w14:paraId="0000007B">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existence of a valid Guarantee provided by a Parent Undertaking as Guarantor: and</w:t>
      </w:r>
    </w:p>
    <w:p w:rsidR="00000000" w:rsidDel="00000000" w:rsidP="00000000" w:rsidRDefault="00000000" w:rsidRPr="00000000" w14:paraId="0000007C">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Guarantor is not subject to an FDE for which there is no Appropriate Accepted Mitigation; and</w:t>
      </w:r>
    </w:p>
    <w:p w:rsidR="00000000" w:rsidDel="00000000" w:rsidP="00000000" w:rsidRDefault="00000000" w:rsidRPr="00000000" w14:paraId="0000007D">
      <w:pPr>
        <w:pStyle w:val="Heading5"/>
        <w:numPr>
          <w:ilvl w:val="4"/>
          <w:numId w:val="11"/>
        </w:numPr>
        <w:ind w:left="2126" w:hanging="707.9999999999998"/>
        <w:rPr>
          <w:rFonts w:ascii="Arial" w:cs="Arial" w:eastAsia="Arial" w:hAnsi="Arial"/>
          <w:color w:val="000000"/>
        </w:rPr>
      </w:pPr>
      <w:r w:rsidDel="00000000" w:rsidR="00000000" w:rsidRPr="00000000">
        <w:rPr>
          <w:rFonts w:ascii="Arial" w:cs="Arial" w:eastAsia="Arial" w:hAnsi="Arial"/>
          <w:color w:val="000000"/>
          <w:rtl w:val="0"/>
        </w:rPr>
        <w:t xml:space="preserve">the Sub-contractor’s ultimate parent undertaking is not subject to an FDE for which there is no Appropriate Accepted Mitigation; and</w:t>
      </w:r>
    </w:p>
    <w:p w:rsidR="00000000" w:rsidDel="00000000" w:rsidP="00000000" w:rsidRDefault="00000000" w:rsidRPr="00000000" w14:paraId="0000007E">
      <w:pPr>
        <w:pStyle w:val="Heading4"/>
        <w:numPr>
          <w:ilvl w:val="3"/>
          <w:numId w:val="11"/>
        </w:numPr>
        <w:ind w:left="1418" w:hanging="709"/>
        <w:rPr>
          <w:rFonts w:ascii="Arial" w:cs="Arial" w:eastAsia="Arial" w:hAnsi="Arial"/>
        </w:rPr>
      </w:pPr>
      <w:r w:rsidDel="00000000" w:rsidR="00000000" w:rsidRPr="00000000">
        <w:rPr>
          <w:rFonts w:ascii="Arial" w:cs="Arial" w:eastAsia="Arial" w:hAnsi="Arial"/>
          <w:rtl w:val="0"/>
        </w:rPr>
        <w:t xml:space="preserve">for all entities within the FDE Group:</w:t>
      </w:r>
    </w:p>
    <w:p w:rsidR="00000000" w:rsidDel="00000000" w:rsidP="00000000" w:rsidRDefault="00000000" w:rsidRPr="00000000" w14:paraId="0000007F">
      <w:pPr>
        <w:ind w:left="1418" w:firstLine="0"/>
        <w:rPr/>
      </w:pPr>
      <w:r w:rsidDel="00000000" w:rsidR="00000000" w:rsidRPr="00000000">
        <w:rPr>
          <w:rFonts w:ascii="Arial" w:cs="Arial" w:eastAsia="Arial" w:hAnsi="Arial"/>
          <w:rtl w:val="0"/>
        </w:rPr>
        <w:t xml:space="preserve">a mitigation that reduces the level of risk of the FDE to a level acceptable to CCS or the Buyer. This may include access to sufficient unused credit facilities or other risk mitigations, as listed in the Outsourcing Playbook </w:t>
      </w:r>
      <w:r w:rsidDel="00000000" w:rsidR="00000000" w:rsidRPr="00000000">
        <w:rPr>
          <w:rFonts w:ascii="Arial" w:cs="Arial" w:eastAsia="Arial" w:hAnsi="Arial"/>
          <w:i w:val="1"/>
          <w:rtl w:val="0"/>
        </w:rPr>
        <w:t xml:space="preserve">‘Assessing and Monitoring the Economic and Financial Standing of Suppliers’</w:t>
      </w:r>
      <w:r w:rsidDel="00000000" w:rsidR="00000000" w:rsidRPr="00000000">
        <w:rPr>
          <w:rFonts w:ascii="Arial" w:cs="Arial" w:eastAsia="Arial" w:hAnsi="Arial"/>
          <w:rtl w:val="0"/>
        </w:rPr>
        <w:t xml:space="preserve"> Guidance note available at:</w:t>
      </w:r>
      <w:r w:rsidDel="00000000" w:rsidR="00000000" w:rsidRPr="00000000">
        <w:rPr>
          <w:rtl w:val="0"/>
        </w:rPr>
        <w:t xml:space="preserve"> </w:t>
      </w:r>
      <w:hyperlink r:id="rId7">
        <w:r w:rsidDel="00000000" w:rsidR="00000000" w:rsidRPr="00000000">
          <w:rPr>
            <w:color w:val="0000ff"/>
            <w:u w:val="single"/>
            <w:rtl w:val="0"/>
          </w:rPr>
          <w:t xml:space="preserve">Assessing_and_monitoring_the_economic_and_financial_standing_of_suppliers_guidance_note_May_2021.pdf (publishing.service.gov.uk)</w:t>
        </w:r>
      </w:hyperlink>
      <w:r w:rsidDel="00000000" w:rsidR="00000000" w:rsidRPr="00000000">
        <w:rPr>
          <w:rtl w:val="0"/>
        </w:rPr>
        <w:t xml:space="preserve">.</w:t>
      </w:r>
    </w:p>
    <w:p w:rsidR="00000000" w:rsidDel="00000000" w:rsidP="00000000" w:rsidRDefault="00000000" w:rsidRPr="00000000" w14:paraId="00000080">
      <w:pPr>
        <w:pStyle w:val="Heading3"/>
        <w:keepNext w:val="0"/>
        <w:keepLines w:val="1"/>
        <w:numPr>
          <w:ilvl w:val="2"/>
          <w:numId w:val="11"/>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All Appropriate Accepted Mitigations including any new or amended Appropriate Accepted Mitigations will be documented and recorded in a format and location agreed between the Parties (for example in a dedicated and access-controlled area of the Virtual Library).</w:t>
      </w:r>
    </w:p>
    <w:p w:rsidR="00000000" w:rsidDel="00000000" w:rsidP="00000000" w:rsidRDefault="00000000" w:rsidRPr="00000000" w14:paraId="00000081">
      <w:pPr>
        <w:pStyle w:val="Heading2"/>
        <w:keepLines w:val="1"/>
        <w:numPr>
          <w:ilvl w:val="1"/>
          <w:numId w:val="11"/>
        </w:numPr>
        <w:spacing w:after="240" w:before="0" w:lineRule="auto"/>
        <w:ind w:left="709" w:hanging="709"/>
        <w:rPr>
          <w:rFonts w:ascii="Arial" w:cs="Arial" w:eastAsia="Arial" w:hAnsi="Arial"/>
          <w:i w:val="0"/>
          <w:sz w:val="22"/>
          <w:szCs w:val="22"/>
        </w:rPr>
      </w:pPr>
      <w:bookmarkStart w:colFirst="0" w:colLast="0" w:name="_heading=h.3rdcrjn" w:id="11"/>
      <w:bookmarkEnd w:id="11"/>
      <w:r w:rsidDel="00000000" w:rsidR="00000000" w:rsidRPr="00000000">
        <w:rPr>
          <w:rFonts w:ascii="Arial" w:cs="Arial" w:eastAsia="Arial" w:hAnsi="Arial"/>
          <w:i w:val="0"/>
          <w:sz w:val="22"/>
          <w:szCs w:val="22"/>
          <w:rtl w:val="0"/>
        </w:rPr>
        <w:t xml:space="preserve">CONSEQUENCES OF FINANCIAL DISTRESS EVENTS</w:t>
      </w:r>
    </w:p>
    <w:p w:rsidR="00000000" w:rsidDel="00000000" w:rsidP="00000000" w:rsidRDefault="00000000" w:rsidRPr="00000000" w14:paraId="00000082">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Immediately upon notification by the Supplier of a Financial Distress Event in accordance with Paragraph 2.3(d) (or if CCS or the Buyer becomes aware of a Financial Distress Event without notification and brings the event to the attention of the Supplier) and subject to Paragraph 3, the Supplier shall have the obligations and CCS and the Buyer shall have the rights and remedies as set out in Paragraphs 4.3 to 4.6.</w:t>
      </w:r>
    </w:p>
    <w:p w:rsidR="00000000" w:rsidDel="00000000" w:rsidP="00000000" w:rsidRDefault="00000000" w:rsidRPr="00000000" w14:paraId="00000083">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the event of the first instance within a rolling 3-month period, of a late or non-payment of a Key Sub-contractor pursuant to Paragraph 3.1, CCS and the Buyer shall not exercise any of its rights or remedies under Paragraph 4.3 without first giving the Supplier 10 Working Days to:</w:t>
      </w:r>
    </w:p>
    <w:p w:rsidR="00000000" w:rsidDel="00000000" w:rsidP="00000000" w:rsidRDefault="00000000" w:rsidRPr="00000000" w14:paraId="00000084">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rectify such late or non-payment; or </w:t>
      </w:r>
    </w:p>
    <w:p w:rsidR="00000000" w:rsidDel="00000000" w:rsidP="00000000" w:rsidRDefault="00000000" w:rsidRPr="00000000" w14:paraId="00000085">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demonstrate to CCS and the Buyer's reasonable satisfaction that there is a valid reason for late or non-payment.</w:t>
      </w:r>
    </w:p>
    <w:p w:rsidR="00000000" w:rsidDel="00000000" w:rsidP="00000000" w:rsidRDefault="00000000" w:rsidRPr="00000000" w14:paraId="00000086">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Supplier shall (and shall procure that any Guarantor, Key Sub-contractor, Monitored Supplier, and any relevant Parent Undertaking (for the Supplier or a Key Sub-contractor) shall):</w:t>
      </w:r>
    </w:p>
    <w:p w:rsidR="00000000" w:rsidDel="00000000" w:rsidP="00000000" w:rsidRDefault="00000000" w:rsidRPr="00000000" w14:paraId="00000087">
      <w:pPr>
        <w:pStyle w:val="Heading4"/>
        <w:numPr>
          <w:ilvl w:val="3"/>
          <w:numId w:val="12"/>
        </w:numPr>
        <w:ind w:left="1418" w:hanging="709"/>
        <w:rPr>
          <w:rFonts w:ascii="Arial" w:cs="Arial" w:eastAsia="Arial" w:hAnsi="Arial"/>
        </w:rPr>
      </w:pPr>
      <w:bookmarkStart w:colFirst="0" w:colLast="0" w:name="_heading=h.26in1rg" w:id="12"/>
      <w:bookmarkEnd w:id="12"/>
      <w:r w:rsidDel="00000000" w:rsidR="00000000" w:rsidRPr="00000000">
        <w:rPr>
          <w:rFonts w:ascii="Arial" w:cs="Arial" w:eastAsia="Arial" w:hAnsi="Arial"/>
          <w:rtl w:val="0"/>
        </w:rPr>
        <w:t xml:space="preserve">at the reasonable request of CCS or the Buyer, meet CCS or the Buyer as soon as reasonably practicable (and in any event within 3 Working Days of the initial notification (or awareness) of the Financial Distress Event or such other period as CCS or the Buyer may permit and notify to the Supplier in writing) to review the effect of the Financial Distress Event on the continued performance and delivery of the Deliverables in accordance with this Contract; and</w:t>
      </w:r>
    </w:p>
    <w:p w:rsidR="00000000" w:rsidDel="00000000" w:rsidP="00000000" w:rsidRDefault="00000000" w:rsidRPr="00000000" w14:paraId="00000088">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where CCS or the Buyer reasonably believes (taking into account the discussions and any representations made under Paragraph 4.3(a)) that the Financial Distress Event could impact on the continued performance and delivery of the Deliverables in accordance with this Contract: </w:t>
      </w:r>
    </w:p>
    <w:p w:rsidR="00000000" w:rsidDel="00000000" w:rsidP="00000000" w:rsidRDefault="00000000" w:rsidRPr="00000000" w14:paraId="00000089">
      <w:pPr>
        <w:pStyle w:val="Heading5"/>
        <w:numPr>
          <w:ilvl w:val="4"/>
          <w:numId w:val="12"/>
        </w:numPr>
        <w:ind w:left="2126" w:hanging="707.9999999999998"/>
        <w:rPr>
          <w:rFonts w:ascii="Arial" w:cs="Arial" w:eastAsia="Arial" w:hAnsi="Arial"/>
        </w:rPr>
      </w:pPr>
      <w:r w:rsidDel="00000000" w:rsidR="00000000" w:rsidRPr="00000000">
        <w:rPr>
          <w:rFonts w:ascii="Arial" w:cs="Arial" w:eastAsia="Arial" w:hAnsi="Arial"/>
          <w:rtl w:val="0"/>
        </w:rPr>
        <w:t xml:space="preserve">submit to CCS or the Buyer for its approval, a draft Financial Distress Service Continuity Plan as soon as reasonably practicable (and in any event, within 10 Working Days of the initial notification (or awareness) of the Financial Distress Event or such other period as CCS or the Buyer may permit and notify to the Supplier in writing); and</w:t>
      </w:r>
    </w:p>
    <w:p w:rsidR="00000000" w:rsidDel="00000000" w:rsidP="00000000" w:rsidRDefault="00000000" w:rsidRPr="00000000" w14:paraId="0000008A">
      <w:pPr>
        <w:pStyle w:val="Heading5"/>
        <w:numPr>
          <w:ilvl w:val="4"/>
          <w:numId w:val="12"/>
        </w:numPr>
        <w:ind w:left="2126" w:hanging="707.9999999999998"/>
        <w:rPr>
          <w:rFonts w:ascii="Arial" w:cs="Arial" w:eastAsia="Arial" w:hAnsi="Arial"/>
        </w:rPr>
      </w:pPr>
      <w:r w:rsidDel="00000000" w:rsidR="00000000" w:rsidRPr="00000000">
        <w:rPr>
          <w:rFonts w:ascii="Arial" w:cs="Arial" w:eastAsia="Arial" w:hAnsi="Arial"/>
          <w:rtl w:val="0"/>
        </w:rPr>
        <w:t xml:space="preserve">to the extent that it is legally permitted to do so and subject to Paragraph 4.8, provide such information relating to the Supplier, Guarantor, Key Sub-contractor, Monitored Supplier, and any relevant Parent Undertaking (for the Supplier or a Key Sub-contractor), as CCS or the Buyer may reasonably require in order to understand the risk to the Deliverables, which may include without limitation  forecasts in relation to cash flow, orders and profits and details of financial measures being considered to mitigate the impact of the Financial Distress Event and other information that might be price sensitive.  </w:t>
      </w:r>
    </w:p>
    <w:p w:rsidR="00000000" w:rsidDel="00000000" w:rsidP="00000000" w:rsidRDefault="00000000" w:rsidRPr="00000000" w14:paraId="0000008B">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CCS or the Buyer shall not withhold its approval of a draft Financial Distress Service Continuity Plan unreasonably. If CCS or the Buyer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w:t>
      </w:r>
      <w:r w:rsidDel="00000000" w:rsidR="00000000" w:rsidRPr="00000000">
        <w:rPr>
          <w:rFonts w:ascii="Arial" w:cs="Arial" w:eastAsia="Arial" w:hAnsi="Arial"/>
          <w:b w:val="0"/>
          <w:rtl w:val="0"/>
        </w:rPr>
        <w:t xml:space="preserve">CCS or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the Buyer within 5 Working Days of the rejection of the first draft. This process shall be repeated until the Financial Distress Service Continuity Plan is either:</w:t>
      </w:r>
    </w:p>
    <w:p w:rsidR="00000000" w:rsidDel="00000000" w:rsidP="00000000" w:rsidRDefault="00000000" w:rsidRPr="00000000" w14:paraId="0000008C">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approved by CCS or the Buyer;</w:t>
      </w:r>
    </w:p>
    <w:p w:rsidR="00000000" w:rsidDel="00000000" w:rsidP="00000000" w:rsidRDefault="00000000" w:rsidRPr="00000000" w14:paraId="0000008D">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referred, by notice sent by either Party to the other Party explaining why it thinks the Financial Distress Service Continuity Plan has not been approved, to commercial negotiation led by senior representatives who have Buyer to agree the Financial Distress Service Continuity Plan to be held within 28 days of the date of the notice; or</w:t>
      </w:r>
    </w:p>
    <w:p w:rsidR="00000000" w:rsidDel="00000000" w:rsidP="00000000" w:rsidRDefault="00000000" w:rsidRPr="00000000" w14:paraId="0000008E">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finally rejected by CCS or the Buyer.</w:t>
      </w:r>
    </w:p>
    <w:p w:rsidR="00000000" w:rsidDel="00000000" w:rsidP="00000000" w:rsidRDefault="00000000" w:rsidRPr="00000000" w14:paraId="0000008F">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If </w:t>
      </w:r>
      <w:r w:rsidDel="00000000" w:rsidR="00000000" w:rsidRPr="00000000">
        <w:rPr>
          <w:rFonts w:ascii="Arial" w:cs="Arial" w:eastAsia="Arial" w:hAnsi="Arial"/>
          <w:b w:val="0"/>
          <w:rtl w:val="0"/>
        </w:rPr>
        <w:t xml:space="preserve">CCS or</w:t>
      </w:r>
      <w:r w:rsidDel="00000000" w:rsidR="00000000" w:rsidRPr="00000000">
        <w:rPr>
          <w:rFonts w:ascii="Arial" w:cs="Arial" w:eastAsia="Arial" w:hAnsi="Arial"/>
          <w:b w:val="0"/>
          <w:sz w:val="22"/>
          <w:szCs w:val="22"/>
          <w:rtl w:val="0"/>
        </w:rPr>
        <w:t xml:space="preserve"> the Buyer considers that the draft Financial Distress Service Continuity Plan is insufficiently detailed to be properly evaluated, will take too long to complete or will not ensure the continued performance of the Supplier’s obligations in accordance with the Contract, then it may either agree a further time period for the development and agreement of the Financial Distress Service Continuity Plan or escalate any issues with the draft Financial Distress Service Continuity Plan using the Dispute Resolution Procedure. </w:t>
      </w:r>
    </w:p>
    <w:p w:rsidR="00000000" w:rsidDel="00000000" w:rsidP="00000000" w:rsidRDefault="00000000" w:rsidRPr="00000000" w14:paraId="00000090">
      <w:pPr>
        <w:pStyle w:val="Heading3"/>
        <w:keepNext w:val="0"/>
        <w:keepLines w:val="1"/>
        <w:numPr>
          <w:ilvl w:val="2"/>
          <w:numId w:val="1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Following approval of the Financial Distress Service Continuity Plan by the </w:t>
      </w:r>
      <w:r w:rsidDel="00000000" w:rsidR="00000000" w:rsidRPr="00000000">
        <w:rPr>
          <w:rFonts w:ascii="Arial" w:cs="Arial" w:eastAsia="Arial" w:hAnsi="Arial"/>
          <w:b w:val="0"/>
          <w:rtl w:val="0"/>
        </w:rPr>
        <w:t xml:space="preserve">CCS or</w:t>
      </w:r>
      <w:r w:rsidDel="00000000" w:rsidR="00000000" w:rsidRPr="00000000">
        <w:rPr>
          <w:rFonts w:ascii="Arial" w:cs="Arial" w:eastAsia="Arial" w:hAnsi="Arial"/>
          <w:b w:val="0"/>
          <w:sz w:val="22"/>
          <w:szCs w:val="22"/>
          <w:rtl w:val="0"/>
        </w:rPr>
        <w:t xml:space="preserve"> Buyer, the Supplier shall:</w:t>
      </w:r>
    </w:p>
    <w:p w:rsidR="00000000" w:rsidDel="00000000" w:rsidP="00000000" w:rsidRDefault="00000000" w:rsidRPr="00000000" w14:paraId="00000091">
      <w:pPr>
        <w:pStyle w:val="Heading4"/>
        <w:numPr>
          <w:ilvl w:val="3"/>
          <w:numId w:val="12"/>
        </w:numPr>
        <w:ind w:left="1418" w:hanging="709"/>
        <w:rPr>
          <w:rFonts w:ascii="Arial" w:cs="Arial" w:eastAsia="Arial" w:hAnsi="Arial"/>
        </w:rPr>
      </w:pPr>
      <w:r w:rsidDel="00000000" w:rsidR="00000000" w:rsidRPr="00000000">
        <w:rPr>
          <w:rFonts w:ascii="Arial" w:cs="Arial" w:eastAsia="Arial" w:hAnsi="Arial"/>
          <w:rtl w:val="0"/>
        </w:rPr>
        <w:t xml:space="preserve">on a regular basis (which shall not be less than fortnightly):</w:t>
      </w:r>
    </w:p>
    <w:p w:rsidR="00000000" w:rsidDel="00000000" w:rsidP="00000000" w:rsidRDefault="00000000" w:rsidRPr="00000000" w14:paraId="00000092">
      <w:pPr>
        <w:pStyle w:val="Heading5"/>
        <w:numPr>
          <w:ilvl w:val="4"/>
          <w:numId w:val="2"/>
        </w:numPr>
        <w:ind w:left="2126" w:hanging="707.9999999999998"/>
        <w:rPr>
          <w:rFonts w:ascii="Arial" w:cs="Arial" w:eastAsia="Arial" w:hAnsi="Arial"/>
        </w:rPr>
      </w:pPr>
      <w:r w:rsidDel="00000000" w:rsidR="00000000" w:rsidRPr="00000000">
        <w:rPr>
          <w:rFonts w:ascii="Arial" w:cs="Arial" w:eastAsia="Arial" w:hAnsi="Arial"/>
          <w:rtl w:val="0"/>
        </w:rPr>
        <w:t xml:space="preserve">review and make any updates to the Financial Distress Service Continuity Plan as the Supplier may deem reasonably necessary and/or as may be reasonably requested by CCS or the Buyer, so that the plan remains adequate, up to date and ensures the continued performance and delivery of the Deliverables in accordance with this Contract; and</w:t>
      </w:r>
    </w:p>
    <w:p w:rsidR="00000000" w:rsidDel="00000000" w:rsidP="00000000" w:rsidRDefault="00000000" w:rsidRPr="00000000" w14:paraId="00000093">
      <w:pPr>
        <w:pStyle w:val="Heading5"/>
        <w:numPr>
          <w:ilvl w:val="4"/>
          <w:numId w:val="2"/>
        </w:numPr>
        <w:ind w:left="2126" w:hanging="707.9999999999998"/>
        <w:rPr>
          <w:rFonts w:ascii="Arial" w:cs="Arial" w:eastAsia="Arial" w:hAnsi="Arial"/>
        </w:rPr>
      </w:pPr>
      <w:r w:rsidDel="00000000" w:rsidR="00000000" w:rsidRPr="00000000">
        <w:rPr>
          <w:rFonts w:ascii="Arial" w:cs="Arial" w:eastAsia="Arial" w:hAnsi="Arial"/>
          <w:rtl w:val="0"/>
        </w:rPr>
        <w:t xml:space="preserve">provide a written report to CCS or the Buyer setting out its progress against the Financial Distress Service Continuity Plan, the reasons for any changes made to the Financial Distress Service Continuity Plan by the Supplier and/or the reasons why the Supplier may have decided not to make any changes;</w:t>
      </w:r>
    </w:p>
    <w:p w:rsidR="00000000" w:rsidDel="00000000" w:rsidP="00000000" w:rsidRDefault="00000000" w:rsidRPr="00000000" w14:paraId="00000094">
      <w:pPr>
        <w:pStyle w:val="Heading4"/>
        <w:numPr>
          <w:ilvl w:val="3"/>
          <w:numId w:val="2"/>
        </w:numPr>
        <w:ind w:left="1418" w:hanging="709"/>
        <w:rPr>
          <w:rFonts w:ascii="Arial" w:cs="Arial" w:eastAsia="Arial" w:hAnsi="Arial"/>
        </w:rPr>
      </w:pPr>
      <w:r w:rsidDel="00000000" w:rsidR="00000000" w:rsidRPr="00000000">
        <w:rPr>
          <w:rFonts w:ascii="Arial" w:cs="Arial" w:eastAsia="Arial" w:hAnsi="Arial"/>
          <w:rtl w:val="0"/>
        </w:rPr>
        <w:t xml:space="preserve">where updates are made to the Financial Distress Service Continuity Plan in accordance with Paragraph 4.6(a), submit an updated Financial Distress Service Continuity Plan to CCS and the Buyer for its approval, and the provisions of Paragraphs 4.4 and 4.5 shall apply to the review and approval process for the updated Financial Distress Service Continuity Plan; and </w:t>
      </w:r>
    </w:p>
    <w:p w:rsidR="00000000" w:rsidDel="00000000" w:rsidP="00000000" w:rsidRDefault="00000000" w:rsidRPr="00000000" w14:paraId="00000095">
      <w:pPr>
        <w:pStyle w:val="Heading4"/>
        <w:numPr>
          <w:ilvl w:val="3"/>
          <w:numId w:val="2"/>
        </w:numPr>
        <w:ind w:left="1418" w:hanging="709"/>
        <w:rPr>
          <w:rFonts w:ascii="Arial" w:cs="Arial" w:eastAsia="Arial" w:hAnsi="Arial"/>
        </w:rPr>
      </w:pPr>
      <w:r w:rsidDel="00000000" w:rsidR="00000000" w:rsidRPr="00000000">
        <w:rPr>
          <w:rFonts w:ascii="Arial" w:cs="Arial" w:eastAsia="Arial" w:hAnsi="Arial"/>
          <w:rtl w:val="0"/>
        </w:rPr>
        <w:t xml:space="preserve">comply with the Financial Distress Service Continuity Plan (including any updated Financial Distress Service Continuity Plan). </w:t>
      </w:r>
    </w:p>
    <w:p w:rsidR="00000000" w:rsidDel="00000000" w:rsidP="00000000" w:rsidRDefault="00000000" w:rsidRPr="00000000" w14:paraId="00000096">
      <w:pPr>
        <w:pStyle w:val="Heading3"/>
        <w:keepNext w:val="0"/>
        <w:keepLines w:val="1"/>
        <w:numPr>
          <w:ilvl w:val="2"/>
          <w:numId w:val="2"/>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Where the Supplier reasonably believes that the relevant Financial Distress Event under Paragraph 4.1 (or the circumstance or matter which has caused or otherwise led to it) no longer exists, it shall notify CCS and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2"/>
          <w:szCs w:val="22"/>
          <w:rtl w:val="0"/>
        </w:rPr>
        <w:t xml:space="preserve">the Buyer and the Parties may agree that the Supplier shall be relieved of its obligations under Paragraph 4.6. </w:t>
      </w:r>
    </w:p>
    <w:p w:rsidR="00000000" w:rsidDel="00000000" w:rsidP="00000000" w:rsidRDefault="00000000" w:rsidRPr="00000000" w14:paraId="00000097">
      <w:pPr>
        <w:pStyle w:val="Heading3"/>
        <w:keepNext w:val="0"/>
        <w:keepLines w:val="1"/>
        <w:numPr>
          <w:ilvl w:val="2"/>
          <w:numId w:val="2"/>
        </w:numPr>
        <w:spacing w:after="240" w:before="0" w:lineRule="auto"/>
        <w:ind w:left="709" w:hanging="709"/>
        <w:rPr>
          <w:rFonts w:ascii="Arial" w:cs="Arial" w:eastAsia="Arial" w:hAnsi="Arial"/>
          <w:b w:val="0"/>
          <w:sz w:val="22"/>
          <w:szCs w:val="22"/>
        </w:rPr>
      </w:pPr>
      <w:bookmarkStart w:colFirst="0" w:colLast="0" w:name="_heading=h.lnxbz9" w:id="13"/>
      <w:bookmarkEnd w:id="13"/>
      <w:r w:rsidDel="00000000" w:rsidR="00000000" w:rsidRPr="00000000">
        <w:rPr>
          <w:rFonts w:ascii="Arial" w:cs="Arial" w:eastAsia="Arial" w:hAnsi="Arial"/>
          <w:b w:val="0"/>
          <w:sz w:val="22"/>
          <w:szCs w:val="22"/>
          <w:rtl w:val="0"/>
        </w:rPr>
        <w:t xml:space="preserve">The Supplier shall use reasonable endeavours to put in place the necessary measures to ensure that the information specified at Paragraph 4.3(b)(ii) is available when required and on request from CCS and the Buyer and within reasonable timescales. Such measures may include:</w:t>
      </w:r>
    </w:p>
    <w:p w:rsidR="00000000" w:rsidDel="00000000" w:rsidP="00000000" w:rsidRDefault="00000000" w:rsidRPr="00000000" w14:paraId="00000098">
      <w:pPr>
        <w:pStyle w:val="Heading4"/>
        <w:numPr>
          <w:ilvl w:val="3"/>
          <w:numId w:val="2"/>
        </w:numPr>
        <w:ind w:left="1418" w:hanging="709"/>
        <w:rPr>
          <w:rFonts w:ascii="Arial" w:cs="Arial" w:eastAsia="Arial" w:hAnsi="Arial"/>
        </w:rPr>
      </w:pPr>
      <w:r w:rsidDel="00000000" w:rsidR="00000000" w:rsidRPr="00000000">
        <w:rPr>
          <w:rFonts w:ascii="Arial" w:cs="Arial" w:eastAsia="Arial" w:hAnsi="Arial"/>
          <w:rtl w:val="0"/>
        </w:rPr>
        <w:t xml:space="preserve">obtaining in advance written confirmation from Key Sub-contractors, the Guarantor, Monitored Suppliers, and any relevant Parent Undertaking (for the Supplier or a Key Sub-contractor) authorising the disclosure of the information to the CCS and Buyer and/or entering into confidentiality agreements which permit disclosure;</w:t>
      </w:r>
    </w:p>
    <w:p w:rsidR="00000000" w:rsidDel="00000000" w:rsidP="00000000" w:rsidRDefault="00000000" w:rsidRPr="00000000" w14:paraId="00000099">
      <w:pPr>
        <w:pStyle w:val="Heading4"/>
        <w:numPr>
          <w:ilvl w:val="3"/>
          <w:numId w:val="2"/>
        </w:numPr>
        <w:ind w:left="1418" w:hanging="709"/>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agreeing in advance with CCS and the Buyer, the Key Sub-contractors, the Guarantor Monitored Suppliers, and any relevant Parent Undertaking (for the Supplier or a Key Sub-contractor) a form of confidentiality agreement to be entered by the relevant parties to enable the disclosure of the information to the CCS and the Buyer;</w:t>
      </w:r>
    </w:p>
    <w:p w:rsidR="00000000" w:rsidDel="00000000" w:rsidP="00000000" w:rsidRDefault="00000000" w:rsidRPr="00000000" w14:paraId="0000009A">
      <w:pPr>
        <w:pStyle w:val="Heading4"/>
        <w:numPr>
          <w:ilvl w:val="3"/>
          <w:numId w:val="2"/>
        </w:numPr>
        <w:ind w:left="1418" w:hanging="709"/>
        <w:rPr>
          <w:rFonts w:ascii="Arial" w:cs="Arial" w:eastAsia="Arial" w:hAnsi="Arial"/>
        </w:rPr>
      </w:pPr>
      <w:bookmarkStart w:colFirst="0" w:colLast="0" w:name="_heading=h.1ksv4uv" w:id="15"/>
      <w:bookmarkEnd w:id="15"/>
      <w:r w:rsidDel="00000000" w:rsidR="00000000" w:rsidRPr="00000000">
        <w:rPr>
          <w:rFonts w:ascii="Arial" w:cs="Arial" w:eastAsia="Arial" w:hAnsi="Arial"/>
          <w:rtl w:val="0"/>
        </w:rPr>
        <w:t xml:space="preserve">putting in place any other reasonable arrangements to enable the information to be lawfully disclosed to the CCS and the Buyer (which may include (without limitation) making information available to nominated CCS and Buyer personnel through confidential arrangements, subject to their consent); and</w:t>
      </w:r>
    </w:p>
    <w:p w:rsidR="00000000" w:rsidDel="00000000" w:rsidP="00000000" w:rsidRDefault="00000000" w:rsidRPr="00000000" w14:paraId="0000009B">
      <w:pPr>
        <w:pStyle w:val="Heading4"/>
        <w:numPr>
          <w:ilvl w:val="3"/>
          <w:numId w:val="2"/>
        </w:numPr>
        <w:ind w:left="1418" w:hanging="709"/>
        <w:rPr>
          <w:rFonts w:ascii="Arial" w:cs="Arial" w:eastAsia="Arial" w:hAnsi="Arial"/>
        </w:rPr>
      </w:pPr>
      <w:r w:rsidDel="00000000" w:rsidR="00000000" w:rsidRPr="00000000">
        <w:rPr>
          <w:rFonts w:ascii="Arial" w:cs="Arial" w:eastAsia="Arial" w:hAnsi="Arial"/>
          <w:rtl w:val="0"/>
        </w:rPr>
        <w:t xml:space="preserve">disclosing the information to the fullest extent that it is lawfully entitled to do so, including through the use of redaction, anonymisation and any other techniques to permit disclosure of the information without breaching a duty of confidentiality.</w:t>
      </w:r>
    </w:p>
    <w:p w:rsidR="00000000" w:rsidDel="00000000" w:rsidP="00000000" w:rsidRDefault="00000000" w:rsidRPr="00000000" w14:paraId="0000009C">
      <w:pPr>
        <w:pStyle w:val="Heading2"/>
        <w:keepLines w:val="1"/>
        <w:numPr>
          <w:ilvl w:val="1"/>
          <w:numId w:val="2"/>
        </w:numPr>
        <w:spacing w:after="240" w:before="0" w:lineRule="auto"/>
        <w:ind w:left="709" w:hanging="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FINANCIAL INDICATORS</w:t>
      </w:r>
    </w:p>
    <w:p w:rsidR="00000000" w:rsidDel="00000000" w:rsidP="00000000" w:rsidRDefault="00000000" w:rsidRPr="00000000" w14:paraId="0000009D">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Subject to the calculation methodology set out at Annex 4 of this Schedule, the Financial Indicators and the corresponding calculations and thresholds used to determine whether a Financial Distress Event has occurred in respect of those Financial Indicators, shall be as follows:</w:t>
      </w:r>
    </w:p>
    <w:p w:rsidR="00000000" w:rsidDel="00000000" w:rsidP="00000000" w:rsidRDefault="00000000" w:rsidRPr="00000000" w14:paraId="0000009E">
      <w:pPr>
        <w:rPr>
          <w:rFonts w:ascii="Arial" w:cs="Arial" w:eastAsia="Arial" w:hAnsi="Arial"/>
        </w:rPr>
      </w:pPr>
      <w:r w:rsidDel="00000000" w:rsidR="00000000" w:rsidRPr="00000000">
        <w:rPr>
          <w:rtl w:val="0"/>
        </w:rPr>
      </w:r>
    </w:p>
    <w:tbl>
      <w:tblPr>
        <w:tblStyle w:val="Table2"/>
        <w:tblW w:w="10349.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1512"/>
        <w:gridCol w:w="2393"/>
        <w:gridCol w:w="3654"/>
        <w:tblGridChange w:id="0">
          <w:tblGrid>
            <w:gridCol w:w="2790"/>
            <w:gridCol w:w="1512"/>
            <w:gridCol w:w="2393"/>
            <w:gridCol w:w="3654"/>
          </w:tblGrid>
        </w:tblGridChange>
      </w:tblGrid>
      <w:tr>
        <w:trPr>
          <w:cantSplit w:val="0"/>
          <w:tblHeader w:val="0"/>
        </w:trPr>
        <w:tc>
          <w:tcPr>
            <w:shd w:fill="bfbfbf" w:val="clear"/>
          </w:tcPr>
          <w:p w:rsidR="00000000" w:rsidDel="00000000" w:rsidP="00000000" w:rsidRDefault="00000000" w:rsidRPr="00000000" w14:paraId="0000009F">
            <w:pPr>
              <w:pStyle w:val="Heading3"/>
              <w:ind w:left="34" w:firstLine="0"/>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Financial Indicator</w:t>
            </w:r>
            <w:r w:rsidDel="00000000" w:rsidR="00000000" w:rsidRPr="00000000">
              <w:rPr>
                <w:rtl w:val="0"/>
              </w:rPr>
            </w:r>
          </w:p>
        </w:tc>
        <w:tc>
          <w:tcPr>
            <w:shd w:fill="bfbfbf" w:val="clear"/>
          </w:tcPr>
          <w:p w:rsidR="00000000" w:rsidDel="00000000" w:rsidP="00000000" w:rsidRDefault="00000000" w:rsidRPr="00000000" w14:paraId="000000A0">
            <w:pPr>
              <w:pStyle w:val="Heading3"/>
              <w:jc w:val="left"/>
              <w:rPr>
                <w:rFonts w:ascii="Arial" w:cs="Arial" w:eastAsia="Arial" w:hAnsi="Arial"/>
                <w:b w:val="0"/>
                <w:sz w:val="22"/>
                <w:szCs w:val="22"/>
              </w:rPr>
            </w:pPr>
            <w:r w:rsidDel="00000000" w:rsidR="00000000" w:rsidRPr="00000000">
              <w:rPr>
                <w:rFonts w:ascii="Arial" w:cs="Arial" w:eastAsia="Arial" w:hAnsi="Arial"/>
                <w:sz w:val="22"/>
                <w:szCs w:val="22"/>
                <w:rtl w:val="0"/>
              </w:rPr>
              <w:t xml:space="preserve">Calculation </w:t>
            </w:r>
            <w:r w:rsidDel="00000000" w:rsidR="00000000" w:rsidRPr="00000000">
              <w:rPr>
                <w:rFonts w:ascii="Arial" w:cs="Arial" w:eastAsia="Arial" w:hAnsi="Arial"/>
                <w:sz w:val="22"/>
                <w:szCs w:val="22"/>
                <w:vertAlign w:val="superscript"/>
                <w:rtl w:val="0"/>
              </w:rPr>
              <w:t xml:space="preserve">1</w:t>
            </w:r>
            <w:r w:rsidDel="00000000" w:rsidR="00000000" w:rsidRPr="00000000">
              <w:rPr>
                <w:rtl w:val="0"/>
              </w:rPr>
            </w:r>
          </w:p>
        </w:tc>
        <w:tc>
          <w:tcPr>
            <w:shd w:fill="bfbfbf" w:val="clear"/>
          </w:tcPr>
          <w:p w:rsidR="00000000" w:rsidDel="00000000" w:rsidP="00000000" w:rsidRDefault="00000000" w:rsidRPr="00000000" w14:paraId="000000A1">
            <w:pPr>
              <w:pStyle w:val="Heading3"/>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Financial Target Threshold:</w:t>
            </w:r>
            <w:r w:rsidDel="00000000" w:rsidR="00000000" w:rsidRPr="00000000">
              <w:rPr>
                <w:rtl w:val="0"/>
              </w:rPr>
            </w:r>
          </w:p>
        </w:tc>
        <w:tc>
          <w:tcPr>
            <w:shd w:fill="bfbfbf" w:val="clear"/>
          </w:tcPr>
          <w:p w:rsidR="00000000" w:rsidDel="00000000" w:rsidP="00000000" w:rsidRDefault="00000000" w:rsidRPr="00000000" w14:paraId="000000A2">
            <w:pPr>
              <w:pStyle w:val="Heading3"/>
              <w:jc w:val="center"/>
              <w:rPr>
                <w:rFonts w:ascii="Arial" w:cs="Arial" w:eastAsia="Arial" w:hAnsi="Arial"/>
                <w:b w:val="0"/>
                <w:sz w:val="22"/>
                <w:szCs w:val="22"/>
              </w:rPr>
            </w:pPr>
            <w:r w:rsidDel="00000000" w:rsidR="00000000" w:rsidRPr="00000000">
              <w:rPr>
                <w:rFonts w:ascii="Arial" w:cs="Arial" w:eastAsia="Arial" w:hAnsi="Arial"/>
                <w:sz w:val="22"/>
                <w:szCs w:val="22"/>
                <w:rtl w:val="0"/>
              </w:rPr>
              <w:t xml:space="preserve">Monitoring and Reporting Frequency (if different from the default position set out in Paragraph 2.3(b))</w:t>
            </w:r>
            <w:r w:rsidDel="00000000" w:rsidR="00000000" w:rsidRPr="00000000">
              <w:rPr>
                <w:rtl w:val="0"/>
              </w:rPr>
            </w:r>
          </w:p>
        </w:tc>
      </w:tr>
      <w:tr>
        <w:trPr>
          <w:cantSplit w:val="0"/>
          <w:trHeight w:val="3246" w:hRule="atLeast"/>
          <w:tblHeader w:val="0"/>
        </w:trPr>
        <w:tc>
          <w:tcPr>
            <w:vAlign w:val="center"/>
          </w:tcPr>
          <w:p w:rsidR="00000000" w:rsidDel="00000000" w:rsidP="00000000" w:rsidRDefault="00000000" w:rsidRPr="00000000" w14:paraId="000000A3">
            <w:pPr>
              <w:pStyle w:val="Heading3"/>
              <w:ind w:left="34"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1</w:t>
            </w:r>
            <w:r w:rsidDel="00000000" w:rsidR="00000000" w:rsidRPr="00000000">
              <w:rPr>
                <w:rtl w:val="0"/>
              </w:rPr>
            </w:r>
          </w:p>
          <w:p w:rsidR="00000000" w:rsidDel="00000000" w:rsidP="00000000" w:rsidRDefault="00000000" w:rsidRPr="00000000" w14:paraId="000000A4">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higher of (a) the Operating Margin for the most recent 12-month period and (b) the average Operating Margin for the last two 12-month periods</w:t>
            </w:r>
          </w:p>
        </w:tc>
        <w:tc>
          <w:tcPr>
            <w:vAlign w:val="center"/>
          </w:tcPr>
          <w:p w:rsidR="00000000" w:rsidDel="00000000" w:rsidP="00000000" w:rsidRDefault="00000000" w:rsidRPr="00000000" w14:paraId="000000A5">
            <w:pPr>
              <w:pStyle w:val="Heading3"/>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Operating Margin = Operating Profit / Revenue</w:t>
            </w:r>
          </w:p>
        </w:tc>
        <w:tc>
          <w:tcPr>
            <w:vAlign w:val="center"/>
          </w:tcPr>
          <w:p w:rsidR="00000000" w:rsidDel="00000000" w:rsidP="00000000" w:rsidRDefault="00000000" w:rsidRPr="00000000" w14:paraId="000000A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&gt; 5%</w:t>
            </w:r>
          </w:p>
        </w:tc>
        <w:tc>
          <w:tcPr>
            <w:vAlign w:val="center"/>
          </w:tcPr>
          <w:p w:rsidR="00000000" w:rsidDel="00000000" w:rsidP="00000000" w:rsidRDefault="00000000" w:rsidRPr="00000000" w14:paraId="000000A7">
            <w:pPr>
              <w:pStyle w:val="Heading3"/>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at least quarterly in arrears based on the latest publicly available information. Calculation as a minimum should be updated within 285 days of each Accounting Reference Date based upon figures for the 12 months ending on the relevant accounting reference date.</w:t>
            </w:r>
          </w:p>
        </w:tc>
      </w:tr>
      <w:tr>
        <w:trPr>
          <w:cantSplit w:val="0"/>
          <w:tblHeader w:val="0"/>
        </w:trPr>
        <w:tc>
          <w:tcPr>
            <w:vAlign w:val="center"/>
          </w:tcPr>
          <w:p w:rsidR="00000000" w:rsidDel="00000000" w:rsidP="00000000" w:rsidRDefault="00000000" w:rsidRPr="00000000" w14:paraId="000000A8">
            <w:pPr>
              <w:pStyle w:val="Heading3"/>
              <w:jc w:val="left"/>
              <w:rPr>
                <w:rFonts w:ascii="Arial" w:cs="Arial" w:eastAsia="Arial" w:hAnsi="Arial"/>
                <w:b w:val="0"/>
                <w:sz w:val="22"/>
                <w:szCs w:val="22"/>
              </w:rPr>
            </w:pPr>
            <w:r w:rsidDel="00000000" w:rsidR="00000000" w:rsidRPr="00000000">
              <w:rPr>
                <w:rFonts w:ascii="Arial" w:cs="Arial" w:eastAsia="Arial" w:hAnsi="Arial"/>
                <w:sz w:val="22"/>
                <w:szCs w:val="22"/>
                <w:rtl w:val="0"/>
              </w:rPr>
              <w:t xml:space="preserve">2</w:t>
            </w:r>
            <w:r w:rsidDel="00000000" w:rsidR="00000000" w:rsidRPr="00000000">
              <w:rPr>
                <w:rtl w:val="0"/>
              </w:rPr>
            </w:r>
          </w:p>
          <w:p w:rsidR="00000000" w:rsidDel="00000000" w:rsidP="00000000" w:rsidRDefault="00000000" w:rsidRPr="00000000" w14:paraId="000000A9">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 Net Debt to EBITDA Ratio</w:t>
            </w:r>
            <w:r w:rsidDel="00000000" w:rsidR="00000000" w:rsidRPr="00000000">
              <w:rPr>
                <w:rtl w:val="0"/>
              </w:rPr>
            </w:r>
          </w:p>
        </w:tc>
        <w:tc>
          <w:tcPr>
            <w:vAlign w:val="center"/>
          </w:tcPr>
          <w:p w:rsidR="00000000" w:rsidDel="00000000" w:rsidP="00000000" w:rsidRDefault="00000000" w:rsidRPr="00000000" w14:paraId="000000AA">
            <w:pPr>
              <w:pStyle w:val="Heading3"/>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Net Debt to EBITDA ratio = Net Debt / EBITDA</w:t>
            </w:r>
          </w:p>
        </w:tc>
        <w:tc>
          <w:tcPr>
            <w:vAlign w:val="center"/>
          </w:tcPr>
          <w:p w:rsidR="00000000" w:rsidDel="00000000" w:rsidP="00000000" w:rsidRDefault="00000000" w:rsidRPr="00000000" w14:paraId="000000AB">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&lt; 3.5 times</w:t>
            </w:r>
          </w:p>
        </w:tc>
        <w:tc>
          <w:tcPr>
            <w:vAlign w:val="center"/>
          </w:tcPr>
          <w:p w:rsidR="00000000" w:rsidDel="00000000" w:rsidP="00000000" w:rsidRDefault="00000000" w:rsidRPr="00000000" w14:paraId="000000AC">
            <w:pPr>
              <w:pStyle w:val="Heading3"/>
              <w:ind w:left="31"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at least quarterly in arrears based on latest publicly available information. Calculation as a minimum should be updated within 285 days of each accounting reference date based upon EBITDA for the 12 months ending on, and Net Debt at, the relevant accounting reference date</w:t>
            </w:r>
          </w:p>
        </w:tc>
      </w:tr>
      <w:tr>
        <w:trPr>
          <w:cantSplit w:val="0"/>
          <w:tblHeader w:val="0"/>
        </w:trPr>
        <w:tc>
          <w:tcPr>
            <w:vAlign w:val="center"/>
          </w:tcPr>
          <w:p w:rsidR="00000000" w:rsidDel="00000000" w:rsidP="00000000" w:rsidRDefault="00000000" w:rsidRPr="00000000" w14:paraId="000000AD">
            <w:pPr>
              <w:pStyle w:val="Heading3"/>
              <w:ind w:left="34" w:firstLine="0"/>
              <w:rPr>
                <w:rFonts w:ascii="Arial" w:cs="Arial" w:eastAsia="Arial" w:hAnsi="Arial"/>
                <w:b w:val="0"/>
                <w:sz w:val="22"/>
                <w:szCs w:val="22"/>
              </w:rPr>
            </w:pPr>
            <w:r w:rsidDel="00000000" w:rsidR="00000000" w:rsidRPr="00000000">
              <w:rPr>
                <w:rFonts w:ascii="Arial" w:cs="Arial" w:eastAsia="Arial" w:hAnsi="Arial"/>
                <w:sz w:val="22"/>
                <w:szCs w:val="22"/>
                <w:rtl w:val="0"/>
              </w:rPr>
              <w:t xml:space="preserve">3</w:t>
            </w:r>
            <w:r w:rsidDel="00000000" w:rsidR="00000000" w:rsidRPr="00000000">
              <w:rPr>
                <w:rtl w:val="0"/>
              </w:rPr>
            </w:r>
          </w:p>
          <w:p w:rsidR="00000000" w:rsidDel="00000000" w:rsidP="00000000" w:rsidRDefault="00000000" w:rsidRPr="00000000" w14:paraId="000000A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Net Debt + Net Pension Deficit to EBITDA ratio</w:t>
            </w:r>
          </w:p>
        </w:tc>
        <w:tc>
          <w:tcPr>
            <w:vAlign w:val="center"/>
          </w:tcPr>
          <w:p w:rsidR="00000000" w:rsidDel="00000000" w:rsidP="00000000" w:rsidRDefault="00000000" w:rsidRPr="00000000" w14:paraId="000000AF">
            <w:pPr>
              <w:pStyle w:val="Heading3"/>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Net Debt + Net Pension Deficit to EBITDA Ratio = (Net Debt + Net Pension Deficit) / EBITDA</w:t>
            </w:r>
          </w:p>
        </w:tc>
        <w:tc>
          <w:tcPr>
            <w:vAlign w:val="center"/>
          </w:tcPr>
          <w:p w:rsidR="00000000" w:rsidDel="00000000" w:rsidP="00000000" w:rsidRDefault="00000000" w:rsidRPr="00000000" w14:paraId="000000B0">
            <w:pPr>
              <w:pStyle w:val="Heading3"/>
              <w:ind w:left="30" w:right="280" w:firstLine="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&lt; 5 times</w:t>
            </w:r>
          </w:p>
        </w:tc>
        <w:tc>
          <w:tcPr>
            <w:vAlign w:val="center"/>
          </w:tcPr>
          <w:p w:rsidR="00000000" w:rsidDel="00000000" w:rsidP="00000000" w:rsidRDefault="00000000" w:rsidRPr="00000000" w14:paraId="000000B1">
            <w:pPr>
              <w:pStyle w:val="Heading3"/>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quarterly in arrears based on latest publicly available information. Calculation as a minimum should be updated within 285 days of each accounting reference date based upon EBITDA for the 12 months ending on, and the Net Debt and Net Pension Deficit at, the relevant accounting reference date.</w:t>
            </w:r>
          </w:p>
        </w:tc>
      </w:tr>
      <w:tr>
        <w:trPr>
          <w:cantSplit w:val="0"/>
          <w:tblHeader w:val="0"/>
        </w:trPr>
        <w:tc>
          <w:tcPr>
            <w:vAlign w:val="center"/>
          </w:tcPr>
          <w:p w:rsidR="00000000" w:rsidDel="00000000" w:rsidP="00000000" w:rsidRDefault="00000000" w:rsidRPr="00000000" w14:paraId="000000B2">
            <w:pPr>
              <w:pStyle w:val="Heading3"/>
              <w:rPr>
                <w:rFonts w:ascii="Arial" w:cs="Arial" w:eastAsia="Arial" w:hAnsi="Arial"/>
                <w:b w:val="0"/>
                <w:sz w:val="22"/>
                <w:szCs w:val="22"/>
              </w:rPr>
            </w:pPr>
            <w:r w:rsidDel="00000000" w:rsidR="00000000" w:rsidRPr="00000000">
              <w:rPr>
                <w:rFonts w:ascii="Arial" w:cs="Arial" w:eastAsia="Arial" w:hAnsi="Arial"/>
                <w:sz w:val="22"/>
                <w:szCs w:val="22"/>
                <w:rtl w:val="0"/>
              </w:rPr>
              <w:t xml:space="preserve">4</w:t>
            </w:r>
            <w:r w:rsidDel="00000000" w:rsidR="00000000" w:rsidRPr="00000000">
              <w:rPr>
                <w:rtl w:val="0"/>
              </w:rPr>
            </w:r>
          </w:p>
          <w:p w:rsidR="00000000" w:rsidDel="00000000" w:rsidP="00000000" w:rsidRDefault="00000000" w:rsidRPr="00000000" w14:paraId="000000B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Net Interest Cover</w:t>
            </w:r>
          </w:p>
        </w:tc>
        <w:tc>
          <w:tcPr>
            <w:vAlign w:val="center"/>
          </w:tcPr>
          <w:p w:rsidR="00000000" w:rsidDel="00000000" w:rsidP="00000000" w:rsidRDefault="00000000" w:rsidRPr="00000000" w14:paraId="000000B4">
            <w:pPr>
              <w:pStyle w:val="Heading3"/>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Net Interest Payable Cover = Earnings Before Interest and Tax / Net Interest Payable</w:t>
            </w:r>
          </w:p>
        </w:tc>
        <w:tc>
          <w:tcPr>
            <w:vAlign w:val="center"/>
          </w:tcPr>
          <w:p w:rsidR="00000000" w:rsidDel="00000000" w:rsidP="00000000" w:rsidRDefault="00000000" w:rsidRPr="00000000" w14:paraId="000000B5">
            <w:pPr>
              <w:pStyle w:val="Heading3"/>
              <w:ind w:right="28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&gt; 3 times</w:t>
            </w:r>
          </w:p>
        </w:tc>
        <w:tc>
          <w:tcPr>
            <w:vAlign w:val="center"/>
          </w:tcPr>
          <w:p w:rsidR="00000000" w:rsidDel="00000000" w:rsidP="00000000" w:rsidRDefault="00000000" w:rsidRPr="00000000" w14:paraId="000000B6">
            <w:pPr>
              <w:pStyle w:val="Heading3"/>
              <w:ind w:left="31"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at least quarterly in arrears based on latest publicly available information. Calculation as a minimum should be updated within 285 days of each accounting reference date based upon figures for the 12 months ending on the relevant accounting reference date.</w:t>
            </w:r>
          </w:p>
        </w:tc>
      </w:tr>
      <w:tr>
        <w:trPr>
          <w:cantSplit w:val="0"/>
          <w:trHeight w:val="3534" w:hRule="atLeast"/>
          <w:tblHeader w:val="0"/>
        </w:trPr>
        <w:tc>
          <w:tcPr>
            <w:vAlign w:val="center"/>
          </w:tcPr>
          <w:p w:rsidR="00000000" w:rsidDel="00000000" w:rsidP="00000000" w:rsidRDefault="00000000" w:rsidRPr="00000000" w14:paraId="000000B7">
            <w:pPr>
              <w:pStyle w:val="Heading3"/>
              <w:rPr>
                <w:rFonts w:ascii="Arial" w:cs="Arial" w:eastAsia="Arial" w:hAnsi="Arial"/>
                <w:b w:val="0"/>
                <w:sz w:val="22"/>
                <w:szCs w:val="22"/>
              </w:rPr>
            </w:pPr>
            <w:r w:rsidDel="00000000" w:rsidR="00000000" w:rsidRPr="00000000">
              <w:rPr>
                <w:rFonts w:ascii="Arial" w:cs="Arial" w:eastAsia="Arial" w:hAnsi="Arial"/>
                <w:sz w:val="22"/>
                <w:szCs w:val="22"/>
                <w:rtl w:val="0"/>
              </w:rPr>
              <w:t xml:space="preserve">5</w:t>
            </w: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Current Ratio</w:t>
            </w:r>
          </w:p>
        </w:tc>
        <w:tc>
          <w:tcPr>
            <w:vAlign w:val="center"/>
          </w:tcPr>
          <w:p w:rsidR="00000000" w:rsidDel="00000000" w:rsidP="00000000" w:rsidRDefault="00000000" w:rsidRPr="00000000" w14:paraId="000000B9">
            <w:pPr>
              <w:jc w:val="left"/>
              <w:rPr>
                <w:rFonts w:ascii="Arial" w:cs="Arial" w:eastAsia="Arial" w:hAnsi="Arial"/>
                <w:b w:val="1"/>
                <w:i w:val="1"/>
                <w:sz w:val="22"/>
                <w:szCs w:val="22"/>
              </w:rPr>
            </w:pPr>
            <w:r w:rsidDel="00000000" w:rsidR="00000000" w:rsidRPr="00000000">
              <w:rPr>
                <w:rFonts w:ascii="Arial" w:cs="Arial" w:eastAsia="Arial" w:hAnsi="Arial"/>
                <w:b w:val="1"/>
                <w:i w:val="1"/>
                <w:sz w:val="22"/>
                <w:szCs w:val="22"/>
                <w:rtl w:val="0"/>
              </w:rPr>
              <w:t xml:space="preserve">Current Ratio = Current Assets / Current Liabilities</w:t>
            </w:r>
          </w:p>
        </w:tc>
        <w:tc>
          <w:tcPr>
            <w:vAlign w:val="center"/>
          </w:tcPr>
          <w:p w:rsidR="00000000" w:rsidDel="00000000" w:rsidP="00000000" w:rsidRDefault="00000000" w:rsidRPr="00000000" w14:paraId="000000BA">
            <w:pPr>
              <w:pStyle w:val="Heading3"/>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&gt; 1 times</w:t>
            </w:r>
          </w:p>
        </w:tc>
        <w:tc>
          <w:tcPr>
            <w:vAlign w:val="center"/>
          </w:tcPr>
          <w:p w:rsidR="00000000" w:rsidDel="00000000" w:rsidP="00000000" w:rsidRDefault="00000000" w:rsidRPr="00000000" w14:paraId="000000BB">
            <w:pPr>
              <w:pStyle w:val="Heading3"/>
              <w:ind w:left="31"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quarterly in arrears based on latest publicly available information. Calculation as a minimum should be updated within 285 days of each accounting reference date based upon figures at the relevant accounting reference date. </w:t>
            </w:r>
          </w:p>
        </w:tc>
      </w:tr>
      <w:tr>
        <w:trPr>
          <w:cantSplit w:val="0"/>
          <w:tblHeader w:val="0"/>
        </w:trPr>
        <w:tc>
          <w:tcPr>
            <w:vAlign w:val="center"/>
          </w:tcPr>
          <w:p w:rsidR="00000000" w:rsidDel="00000000" w:rsidP="00000000" w:rsidRDefault="00000000" w:rsidRPr="00000000" w14:paraId="000000BC">
            <w:pPr>
              <w:pStyle w:val="Heading3"/>
              <w:rPr>
                <w:rFonts w:ascii="Arial" w:cs="Arial" w:eastAsia="Arial" w:hAnsi="Arial"/>
                <w:b w:val="0"/>
                <w:sz w:val="22"/>
                <w:szCs w:val="22"/>
              </w:rPr>
            </w:pPr>
            <w:r w:rsidDel="00000000" w:rsidR="00000000" w:rsidRPr="00000000">
              <w:rPr>
                <w:rFonts w:ascii="Arial" w:cs="Arial" w:eastAsia="Arial" w:hAnsi="Arial"/>
                <w:sz w:val="22"/>
                <w:szCs w:val="22"/>
                <w:rtl w:val="0"/>
              </w:rPr>
              <w:t xml:space="preserve">6</w:t>
            </w: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Net Asset value</w:t>
            </w:r>
          </w:p>
        </w:tc>
        <w:tc>
          <w:tcPr>
            <w:vAlign w:val="center"/>
          </w:tcPr>
          <w:p w:rsidR="00000000" w:rsidDel="00000000" w:rsidP="00000000" w:rsidRDefault="00000000" w:rsidRPr="00000000" w14:paraId="000000BE">
            <w:pPr>
              <w:pStyle w:val="Heading3"/>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Net Asset Value = Net Assets</w:t>
            </w:r>
          </w:p>
        </w:tc>
        <w:tc>
          <w:tcPr>
            <w:vAlign w:val="center"/>
          </w:tcPr>
          <w:p w:rsidR="00000000" w:rsidDel="00000000" w:rsidP="00000000" w:rsidRDefault="00000000" w:rsidRPr="00000000" w14:paraId="000000BF">
            <w:pPr>
              <w:pStyle w:val="Heading3"/>
              <w:ind w:right="138"/>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&gt; £0</w:t>
            </w:r>
          </w:p>
        </w:tc>
        <w:tc>
          <w:tcPr>
            <w:vAlign w:val="center"/>
          </w:tcPr>
          <w:p w:rsidR="00000000" w:rsidDel="00000000" w:rsidP="00000000" w:rsidRDefault="00000000" w:rsidRPr="00000000" w14:paraId="000000C0">
            <w:pPr>
              <w:pStyle w:val="Heading3"/>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quarterly in arrears based on latest publicly available information. Calculation as a minimum should be updated within 285 days of each accounting reference date based upon figures at the relevant accounting reference date.</w:t>
            </w:r>
          </w:p>
        </w:tc>
      </w:tr>
      <w:tr>
        <w:trPr>
          <w:cantSplit w:val="0"/>
          <w:tblHeader w:val="0"/>
        </w:trPr>
        <w:tc>
          <w:tcPr>
            <w:vAlign w:val="center"/>
          </w:tcPr>
          <w:p w:rsidR="00000000" w:rsidDel="00000000" w:rsidP="00000000" w:rsidRDefault="00000000" w:rsidRPr="00000000" w14:paraId="000000C1">
            <w:pPr>
              <w:pStyle w:val="Heading3"/>
              <w:ind w:right="171" w:firstLine="34"/>
              <w:jc w:val="left"/>
              <w:rPr>
                <w:rFonts w:ascii="Arial" w:cs="Arial" w:eastAsia="Arial" w:hAnsi="Arial"/>
                <w:b w:val="0"/>
                <w:sz w:val="22"/>
                <w:szCs w:val="22"/>
              </w:rPr>
            </w:pPr>
            <w:r w:rsidDel="00000000" w:rsidR="00000000" w:rsidRPr="00000000">
              <w:rPr>
                <w:rFonts w:ascii="Arial" w:cs="Arial" w:eastAsia="Arial" w:hAnsi="Arial"/>
                <w:sz w:val="22"/>
                <w:szCs w:val="22"/>
                <w:rtl w:val="0"/>
              </w:rPr>
              <w:t xml:space="preserve">7</w:t>
            </w:r>
            <w:r w:rsidDel="00000000" w:rsidR="00000000" w:rsidRPr="00000000">
              <w:rPr>
                <w:rtl w:val="0"/>
              </w:rPr>
            </w:r>
          </w:p>
          <w:p w:rsidR="00000000" w:rsidDel="00000000" w:rsidP="00000000" w:rsidRDefault="00000000" w:rsidRPr="00000000" w14:paraId="000000C2">
            <w:pPr>
              <w:pStyle w:val="Heading3"/>
              <w:keepNext w:val="0"/>
              <w:keepLines w:val="1"/>
              <w:numPr>
                <w:ilvl w:val="2"/>
                <w:numId w:val="5"/>
              </w:numPr>
              <w:spacing w:after="240" w:before="0" w:lineRule="auto"/>
              <w:ind w:left="0" w:hanging="709"/>
              <w:jc w:val="left"/>
              <w:rPr>
                <w:rFonts w:ascii="Arial" w:cs="Arial" w:eastAsia="Arial" w:hAnsi="Arial"/>
                <w:b w:val="0"/>
                <w:sz w:val="22"/>
                <w:szCs w:val="22"/>
              </w:rPr>
            </w:pPr>
            <w:r w:rsidDel="00000000" w:rsidR="00000000" w:rsidRPr="00000000">
              <w:rPr>
                <w:rFonts w:ascii="Arial" w:cs="Arial" w:eastAsia="Arial" w:hAnsi="Arial"/>
                <w:sz w:val="22"/>
                <w:szCs w:val="22"/>
                <w:rtl w:val="0"/>
              </w:rPr>
              <w:t xml:space="preserve">Group Exposure Ratio</w:t>
            </w:r>
            <w:r w:rsidDel="00000000" w:rsidR="00000000" w:rsidRPr="00000000">
              <w:rPr>
                <w:rtl w:val="0"/>
              </w:rPr>
            </w:r>
          </w:p>
        </w:tc>
        <w:tc>
          <w:tcPr>
            <w:vAlign w:val="center"/>
          </w:tcPr>
          <w:p w:rsidR="00000000" w:rsidDel="00000000" w:rsidP="00000000" w:rsidRDefault="00000000" w:rsidRPr="00000000" w14:paraId="000000C3">
            <w:pPr>
              <w:pStyle w:val="Heading3"/>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Group Exposure Ratio = Current Assets – Group Assets – Current Liabilities</w:t>
            </w:r>
          </w:p>
        </w:tc>
        <w:tc>
          <w:tcPr>
            <w:vAlign w:val="center"/>
          </w:tcPr>
          <w:p w:rsidR="00000000" w:rsidDel="00000000" w:rsidP="00000000" w:rsidRDefault="00000000" w:rsidRPr="00000000" w14:paraId="000000C4">
            <w:pPr>
              <w:pStyle w:val="Heading3"/>
              <w:ind w:right="138"/>
              <w:jc w:val="center"/>
              <w:rPr>
                <w:rFonts w:ascii="Arial" w:cs="Arial" w:eastAsia="Arial" w:hAnsi="Arial"/>
              </w:rPr>
            </w:pPr>
            <w:r w:rsidDel="00000000" w:rsidR="00000000" w:rsidRPr="00000000">
              <w:rPr>
                <w:rFonts w:ascii="Arial" w:cs="Arial" w:eastAsia="Arial" w:hAnsi="Arial"/>
                <w:sz w:val="22"/>
                <w:szCs w:val="22"/>
                <w:rtl w:val="0"/>
              </w:rPr>
              <w:t xml:space="preserve">&gt; £0</w:t>
            </w:r>
            <w:r w:rsidDel="00000000" w:rsidR="00000000" w:rsidRPr="00000000">
              <w:rPr>
                <w:rtl w:val="0"/>
              </w:rPr>
            </w:r>
          </w:p>
          <w:p w:rsidR="00000000" w:rsidDel="00000000" w:rsidP="00000000" w:rsidRDefault="00000000" w:rsidRPr="00000000" w14:paraId="000000C5">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lower a PCG may be required</w:t>
            </w:r>
          </w:p>
        </w:tc>
        <w:tc>
          <w:tcPr>
            <w:vAlign w:val="center"/>
          </w:tcPr>
          <w:p w:rsidR="00000000" w:rsidDel="00000000" w:rsidP="00000000" w:rsidRDefault="00000000" w:rsidRPr="00000000" w14:paraId="000000C6">
            <w:pPr>
              <w:pStyle w:val="Heading3"/>
              <w:ind w:left="31"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Tested and reported quarterly in arrears based on the latest publicly available information. Calculation as a minimum should be updated within 285 days of each accounting reference date based upon figures at the relevant accounting reference date. </w:t>
            </w:r>
          </w:p>
        </w:tc>
      </w:tr>
    </w:tbl>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Key: </w:t>
      </w:r>
      <w:r w:rsidDel="00000000" w:rsidR="00000000" w:rsidRPr="00000000">
        <w:rPr>
          <w:rFonts w:ascii="Arial" w:cs="Arial" w:eastAsia="Arial" w:hAnsi="Arial"/>
          <w:sz w:val="22"/>
          <w:szCs w:val="22"/>
          <w:vertAlign w:val="superscript"/>
          <w:rtl w:val="0"/>
        </w:rPr>
        <w:t xml:space="preserve">1</w:t>
      </w:r>
      <w:r w:rsidDel="00000000" w:rsidR="00000000" w:rsidRPr="00000000">
        <w:rPr>
          <w:rFonts w:ascii="Arial" w:cs="Arial" w:eastAsia="Arial" w:hAnsi="Arial"/>
          <w:sz w:val="22"/>
          <w:szCs w:val="22"/>
          <w:rtl w:val="0"/>
        </w:rPr>
        <w:t xml:space="preserve"> – See Annex 4 of this Schedule which sets out the calculation methodology to be used in the calculation of each Financial Indicator.</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pStyle w:val="Heading2"/>
        <w:keepLines w:val="1"/>
        <w:numPr>
          <w:ilvl w:val="1"/>
          <w:numId w:val="5"/>
        </w:numPr>
        <w:spacing w:after="240" w:before="0" w:lineRule="auto"/>
        <w:ind w:left="709" w:hanging="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MONITORED SUPPLIERS</w:t>
      </w:r>
    </w:p>
    <w:p w:rsidR="00000000" w:rsidDel="00000000" w:rsidP="00000000" w:rsidRDefault="00000000" w:rsidRPr="00000000" w14:paraId="000000CB">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Monitored Suppliers shall be designated at contract signature.</w:t>
      </w:r>
    </w:p>
    <w:p w:rsidR="00000000" w:rsidDel="00000000" w:rsidP="00000000" w:rsidRDefault="00000000" w:rsidRPr="00000000" w14:paraId="000000CC">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A Monitored Supplier could include </w:t>
      </w:r>
      <w:r w:rsidDel="00000000" w:rsidR="00000000" w:rsidRPr="00000000">
        <w:rPr>
          <w:rFonts w:ascii="Arial" w:cs="Arial" w:eastAsia="Arial" w:hAnsi="Arial"/>
          <w:b w:val="0"/>
          <w:color w:val="000000"/>
          <w:sz w:val="22"/>
          <w:szCs w:val="22"/>
          <w:rtl w:val="0"/>
        </w:rPr>
        <w:t xml:space="preserve">any </w:t>
      </w:r>
      <w:r w:rsidDel="00000000" w:rsidR="00000000" w:rsidRPr="00000000">
        <w:rPr>
          <w:rFonts w:ascii="Arial" w:cs="Arial" w:eastAsia="Arial" w:hAnsi="Arial"/>
          <w:b w:val="0"/>
          <w:sz w:val="22"/>
          <w:szCs w:val="22"/>
          <w:rtl w:val="0"/>
        </w:rPr>
        <w:t xml:space="preserve">Sub</w:t>
      </w:r>
      <w:r w:rsidDel="00000000" w:rsidR="00000000" w:rsidRPr="00000000">
        <w:rPr>
          <w:rFonts w:ascii="Arial" w:cs="Arial" w:eastAsia="Arial" w:hAnsi="Arial"/>
          <w:b w:val="0"/>
          <w:color w:val="000000"/>
          <w:sz w:val="22"/>
          <w:szCs w:val="22"/>
          <w:rtl w:val="0"/>
        </w:rPr>
        <w:t xml:space="preserve">-contractor that is not a Key Subcontractor, which </w:t>
      </w:r>
      <w:r w:rsidDel="00000000" w:rsidR="00000000" w:rsidRPr="00000000">
        <w:rPr>
          <w:rFonts w:ascii="Arial" w:cs="Arial" w:eastAsia="Arial" w:hAnsi="Arial"/>
          <w:b w:val="0"/>
          <w:sz w:val="22"/>
          <w:szCs w:val="22"/>
          <w:rtl w:val="0"/>
        </w:rPr>
        <w:t xml:space="preserve">in the opinion of CCS or the Buyer, performs (or would perform if appointed) a role</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76" w:lineRule="auto"/>
        <w:ind w:left="1923" w:right="0" w:hanging="50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provision of all or any part of the Deliverables that is such that the discontinued provision of that role would be detrimental to the ability of the Supplier to deliver the Deliverables to its established performance standards; and/or </w:t>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40" w:before="0" w:line="276" w:lineRule="auto"/>
        <w:ind w:left="1923" w:right="0" w:hanging="50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provision of all or any part of the deliverables that is such that the discontinued provision of that role may affect the Supplier’s financial stability; and/or</w:t>
      </w:r>
    </w:p>
    <w:p w:rsidR="00000000" w:rsidDel="00000000" w:rsidP="00000000" w:rsidRDefault="00000000" w:rsidRPr="00000000" w14:paraId="000000C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480" w:before="0" w:line="276" w:lineRule="auto"/>
        <w:ind w:left="1849" w:right="0" w:hanging="430.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which it would be difficult for the Supplier to find a replacement Sub-contractor within a reasonable time.</w:t>
      </w:r>
      <w:r w:rsidDel="00000000" w:rsidR="00000000" w:rsidRPr="00000000">
        <w:rPr>
          <w:rtl w:val="0"/>
        </w:rPr>
      </w:r>
    </w:p>
    <w:tbl>
      <w:tblPr>
        <w:tblStyle w:val="Table3"/>
        <w:tblW w:w="8307.0" w:type="dxa"/>
        <w:jc w:val="left"/>
        <w:tblInd w:w="70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2"/>
        <w:gridCol w:w="4245"/>
        <w:tblGridChange w:id="0">
          <w:tblGrid>
            <w:gridCol w:w="4062"/>
            <w:gridCol w:w="4245"/>
          </w:tblGrid>
        </w:tblGridChange>
      </w:tblGrid>
      <w:tr>
        <w:trPr>
          <w:cantSplit w:val="0"/>
          <w:tblHeader w:val="0"/>
        </w:trPr>
        <w:tc>
          <w:tcPr>
            <w:shd w:fill="d9d9d9" w:val="clear"/>
          </w:tcPr>
          <w:p w:rsidR="00000000" w:rsidDel="00000000" w:rsidP="00000000" w:rsidRDefault="00000000" w:rsidRPr="00000000" w14:paraId="000000D0">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Monitored Supplier</w:t>
            </w:r>
          </w:p>
        </w:tc>
        <w:tc>
          <w:tcPr>
            <w:shd w:fill="d9d9d9" w:val="clear"/>
          </w:tcPr>
          <w:p w:rsidR="00000000" w:rsidDel="00000000" w:rsidP="00000000" w:rsidRDefault="00000000" w:rsidRPr="00000000" w14:paraId="000000D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Applicable Financial Indicators</w:t>
            </w:r>
          </w:p>
          <w:p w:rsidR="00000000" w:rsidDel="00000000" w:rsidP="00000000" w:rsidRDefault="00000000" w:rsidRPr="00000000" w14:paraId="000000D2">
            <w:pPr>
              <w:rPr>
                <w:rFonts w:ascii="Arial" w:cs="Arial" w:eastAsia="Arial" w:hAnsi="Arial"/>
                <w:sz w:val="22"/>
                <w:szCs w:val="22"/>
              </w:rPr>
            </w:pPr>
            <w:r w:rsidDel="00000000" w:rsidR="00000000" w:rsidRPr="00000000">
              <w:rPr>
                <w:rFonts w:ascii="Arial" w:cs="Arial" w:eastAsia="Arial" w:hAnsi="Arial"/>
                <w:sz w:val="22"/>
                <w:szCs w:val="22"/>
                <w:rtl w:val="0"/>
              </w:rPr>
              <w:t xml:space="preserve">(these are the Financial Indicators from the table in Paragraph 5.1 which are to apply to the Monitored Suppliers)</w:t>
            </w:r>
          </w:p>
        </w:tc>
      </w:tr>
      <w:tr>
        <w:trPr>
          <w:cantSplit w:val="0"/>
          <w:tblHeader w:val="0"/>
        </w:trPr>
        <w:tc>
          <w:tcPr/>
          <w:p w:rsidR="00000000" w:rsidDel="00000000" w:rsidP="00000000" w:rsidRDefault="00000000" w:rsidRPr="00000000" w14:paraId="000000D3">
            <w:pPr>
              <w:spacing w:befor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c>
          <w:tcPr/>
          <w:p w:rsidR="00000000" w:rsidDel="00000000" w:rsidP="00000000" w:rsidRDefault="00000000" w:rsidRPr="00000000" w14:paraId="000000D4">
            <w:pPr>
              <w:spacing w:before="24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bl>
    <w:p w:rsidR="00000000" w:rsidDel="00000000" w:rsidP="00000000" w:rsidRDefault="00000000" w:rsidRPr="00000000" w14:paraId="000000D5">
      <w:pPr>
        <w:pStyle w:val="Heading2"/>
        <w:rPr>
          <w:rFonts w:ascii="Arial" w:cs="Arial" w:eastAsia="Arial" w:hAnsi="Arial"/>
          <w:i w:val="0"/>
          <w:sz w:val="22"/>
          <w:szCs w:val="22"/>
        </w:rPr>
      </w:pPr>
      <w:r w:rsidDel="00000000" w:rsidR="00000000" w:rsidRPr="00000000">
        <w:rPr>
          <w:rtl w:val="0"/>
        </w:rPr>
      </w:r>
    </w:p>
    <w:p w:rsidR="00000000" w:rsidDel="00000000" w:rsidP="00000000" w:rsidRDefault="00000000" w:rsidRPr="00000000" w14:paraId="000000D6">
      <w:pPr>
        <w:pStyle w:val="Heading2"/>
        <w:keepLines w:val="1"/>
        <w:numPr>
          <w:ilvl w:val="1"/>
          <w:numId w:val="5"/>
        </w:numPr>
        <w:spacing w:after="240" w:before="0" w:lineRule="auto"/>
        <w:ind w:left="709" w:hanging="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TERMINATION RIGHTS</w:t>
      </w:r>
    </w:p>
    <w:p w:rsidR="00000000" w:rsidDel="00000000" w:rsidP="00000000" w:rsidRDefault="00000000" w:rsidRPr="00000000" w14:paraId="000000D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200" w:before="0" w:line="276" w:lineRule="auto"/>
        <w:ind w:left="709" w:right="0" w:hanging="70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CCS shall be entitled to terminate this Contract and Buyers shall be entitled to terminate their Order Contracts for material Default if under Clause 14.4.2 if: </w:t>
      </w:r>
    </w:p>
    <w:p w:rsidR="00000000" w:rsidDel="00000000" w:rsidP="00000000" w:rsidRDefault="00000000" w:rsidRPr="00000000" w14:paraId="000000D8">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the Supplier fails to notify the Buyer of a Financial Distress Event in accordance with Paragraph 2.3(c); </w:t>
      </w:r>
    </w:p>
    <w:p w:rsidR="00000000" w:rsidDel="00000000" w:rsidP="00000000" w:rsidRDefault="00000000" w:rsidRPr="00000000" w14:paraId="000000D9">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the supplier fails to comply with any part of Paragraph 4.3;</w:t>
      </w:r>
    </w:p>
    <w:p w:rsidR="00000000" w:rsidDel="00000000" w:rsidP="00000000" w:rsidRDefault="00000000" w:rsidRPr="00000000" w14:paraId="000000DA">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the Buyer finally rejects a Financial Distress Service Continuity Plan (or any updated Financial Distress Service Continuity Plan) in accordance with Paragraphs 4.4 to 4.5; and/or</w:t>
      </w:r>
    </w:p>
    <w:p w:rsidR="00000000" w:rsidDel="00000000" w:rsidP="00000000" w:rsidRDefault="00000000" w:rsidRPr="00000000" w14:paraId="000000DB">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the Supplier fails to comply with the terms of the Financial Distress Service Continuity Plan (or any updated Financial Distress Service Continuity Plan) in accordance with Paragraph 4.6(c).</w:t>
      </w:r>
    </w:p>
    <w:p w:rsidR="00000000" w:rsidDel="00000000" w:rsidP="00000000" w:rsidRDefault="00000000" w:rsidRPr="00000000" w14:paraId="000000DC">
      <w:pPr>
        <w:pStyle w:val="Heading4"/>
        <w:ind w:left="709" w:firstLine="0"/>
        <w:rPr>
          <w:rFonts w:ascii="Arial" w:cs="Arial" w:eastAsia="Arial" w:hAnsi="Arial"/>
        </w:rPr>
      </w:pPr>
      <w:r w:rsidDel="00000000" w:rsidR="00000000" w:rsidRPr="00000000">
        <w:rPr>
          <w:rFonts w:ascii="Arial" w:cs="Arial" w:eastAsia="Arial" w:hAnsi="Arial"/>
          <w:rtl w:val="0"/>
        </w:rPr>
        <w:t xml:space="preserve">If the Contract is terminated in accordance with Paragraph 5.1, Clauses 10.6.1 and 10.6.2 of the Core Terms shall apply as if the Contract had been terminated under Clause 10.4.1.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2"/>
        <w:keepLines w:val="1"/>
        <w:numPr>
          <w:ilvl w:val="1"/>
          <w:numId w:val="5"/>
        </w:numPr>
        <w:spacing w:after="240" w:before="0" w:lineRule="auto"/>
        <w:ind w:left="709" w:hanging="709"/>
        <w:rPr>
          <w:rFonts w:ascii="Arial" w:cs="Arial" w:eastAsia="Arial" w:hAnsi="Arial"/>
          <w:i w:val="0"/>
          <w:sz w:val="22"/>
          <w:szCs w:val="22"/>
        </w:rPr>
      </w:pPr>
      <w:r w:rsidDel="00000000" w:rsidR="00000000" w:rsidRPr="00000000">
        <w:rPr>
          <w:rFonts w:ascii="Arial" w:cs="Arial" w:eastAsia="Arial" w:hAnsi="Arial"/>
          <w:i w:val="0"/>
          <w:sz w:val="22"/>
          <w:szCs w:val="22"/>
          <w:rtl w:val="0"/>
        </w:rPr>
        <w:t xml:space="preserve">BOARD CONFIRMATION</w:t>
      </w:r>
    </w:p>
    <w:p w:rsidR="00000000" w:rsidDel="00000000" w:rsidP="00000000" w:rsidRDefault="00000000" w:rsidRPr="00000000" w14:paraId="000000DF">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Supplier, subject to Paragraph 8.4 of this Schedule, shall within 120 days after each Accounting Reference Date or within 15 months of the previous Board Confirmation (whichever is the earlier) provide a Board Confirmation to the Buyer in the form set out at Annex 5 of this Schedule, confirming that to the best of the Board’s knowledge and belief, it is not aware of and has no knowledge:</w:t>
      </w:r>
    </w:p>
    <w:p w:rsidR="00000000" w:rsidDel="00000000" w:rsidP="00000000" w:rsidRDefault="00000000" w:rsidRPr="00000000" w14:paraId="000000E0">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that a Financial Distress Event has occurred since the later of the Effective Date or the previous Board Confirmation or is subsisting; or</w:t>
      </w:r>
    </w:p>
    <w:p w:rsidR="00000000" w:rsidDel="00000000" w:rsidP="00000000" w:rsidRDefault="00000000" w:rsidRPr="00000000" w14:paraId="000000E1">
      <w:pPr>
        <w:pStyle w:val="Heading4"/>
        <w:numPr>
          <w:ilvl w:val="3"/>
          <w:numId w:val="5"/>
        </w:numPr>
        <w:ind w:left="1418" w:hanging="709"/>
        <w:rPr>
          <w:rFonts w:ascii="Arial" w:cs="Arial" w:eastAsia="Arial" w:hAnsi="Arial"/>
        </w:rPr>
      </w:pPr>
      <w:r w:rsidDel="00000000" w:rsidR="00000000" w:rsidRPr="00000000">
        <w:rPr>
          <w:rFonts w:ascii="Arial" w:cs="Arial" w:eastAsia="Arial" w:hAnsi="Arial"/>
          <w:rtl w:val="0"/>
        </w:rPr>
        <w:t xml:space="preserve">of any matters which have occurred or are subsisting that could reasonably be expected to cause a Financial Distress Event.</w:t>
      </w:r>
    </w:p>
    <w:p w:rsidR="00000000" w:rsidDel="00000000" w:rsidP="00000000" w:rsidRDefault="00000000" w:rsidRPr="00000000" w14:paraId="000000E2">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The Supplier shall ensure that in its preparation of the Board Confirmation it exercises due care and diligence and has made reasonable enquiry of all relevant Supplier Personnel and other persons as is reasonably necessary to understand and confirm the position.</w:t>
      </w:r>
    </w:p>
    <w:p w:rsidR="00000000" w:rsidDel="00000000" w:rsidP="00000000" w:rsidRDefault="00000000" w:rsidRPr="00000000" w14:paraId="000000E3">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In respect of the first Board Confirmation to be provided under this Contract, the Supplier shall provide the Board Confirmation within 15 months of the Effective Date if earlier than the timescale for submission set out in Paragraph 8.1 of this Schedule.  </w:t>
      </w:r>
    </w:p>
    <w:p w:rsidR="00000000" w:rsidDel="00000000" w:rsidP="00000000" w:rsidRDefault="00000000" w:rsidRPr="00000000" w14:paraId="000000E4">
      <w:pPr>
        <w:pStyle w:val="Heading3"/>
        <w:keepNext w:val="0"/>
        <w:keepLines w:val="1"/>
        <w:numPr>
          <w:ilvl w:val="2"/>
          <w:numId w:val="5"/>
        </w:numPr>
        <w:spacing w:after="240" w:before="0" w:lineRule="auto"/>
        <w:ind w:left="709" w:hanging="709"/>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Where the Supplier is unable to provide a Board Confirmation in accordance with Paragraphs 8.1 to 8.3 of this Schedule due to the occurrence of a Financial Distress Event or knowledge of subsisting matters which could reasonably be expected to cause a Financial Distress Event, it will be sufficient for the Supplier to submit in place of the Board Confirmation, a statement from the Board of Directors to the Buyer (and where the Supplier is a Strategic Supplier, the Supplier shall send a copy of the statement to the Cabinet Office Markets and Suppliers Team) setting out full details of any Financial Distress Events that have occurred and/or the matters which could reasonably be expected to cause a Financial Distress Event.</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jc w:val="center"/>
        <w:rPr>
          <w:rFonts w:ascii="Arial" w:cs="Arial" w:eastAsia="Arial" w:hAnsi="Arial"/>
          <w:u w:val="single"/>
        </w:rPr>
      </w:pPr>
      <w:r w:rsidDel="00000000" w:rsidR="00000000" w:rsidRPr="00000000">
        <w:br w:type="page"/>
      </w:r>
      <w:r w:rsidDel="00000000" w:rsidR="00000000" w:rsidRPr="00000000">
        <w:rPr>
          <w:rFonts w:ascii="Arial" w:cs="Arial" w:eastAsia="Arial" w:hAnsi="Arial"/>
          <w:b w:val="1"/>
          <w:u w:val="single"/>
          <w:rtl w:val="0"/>
        </w:rPr>
        <w:t xml:space="preserve">ANNEX 1: RATING AGENCIES AND THEIR STANDARD RATING SYSYTEM</w:t>
      </w:r>
      <w:r w:rsidDel="00000000" w:rsidR="00000000" w:rsidRPr="00000000">
        <w:rPr>
          <w:rtl w:val="0"/>
        </w:rPr>
      </w:r>
    </w:p>
    <w:p w:rsidR="00000000" w:rsidDel="00000000" w:rsidP="00000000" w:rsidRDefault="00000000" w:rsidRPr="00000000" w14:paraId="000000E7">
      <w:pPr>
        <w:spacing w:after="0" w:lineRule="auto"/>
        <w:rPr>
          <w:rFonts w:ascii="Arial" w:cs="Arial" w:eastAsia="Arial" w:hAnsi="Arial"/>
          <w:b w:val="1"/>
        </w:rPr>
      </w:pPr>
      <w:r w:rsidDel="00000000" w:rsidR="00000000" w:rsidRPr="00000000">
        <w:rPr>
          <w:rFonts w:ascii="Arial" w:cs="Arial" w:eastAsia="Arial" w:hAnsi="Arial"/>
          <w:rtl w:val="0"/>
        </w:rPr>
        <w:t xml:space="preserve">This Annex sets out the standard rating scales for each of the Rating Agencies selected. CCS and the Buyer reserves the right to use other rating scales from other Rating Agencies that are not listed in this Annex.</w:t>
      </w:r>
      <w:r w:rsidDel="00000000" w:rsidR="00000000" w:rsidRPr="00000000">
        <w:rPr>
          <w:rFonts w:ascii="Arial" w:cs="Arial" w:eastAsia="Arial" w:hAnsi="Arial"/>
          <w:b w:val="1"/>
          <w:rtl w:val="0"/>
        </w:rPr>
        <w:t xml:space="preserve">  </w:t>
      </w:r>
    </w:p>
    <w:p w:rsidR="00000000" w:rsidDel="00000000" w:rsidP="00000000" w:rsidRDefault="00000000" w:rsidRPr="00000000" w14:paraId="000000E8">
      <w:pPr>
        <w:spacing w:after="0" w:lineRule="auto"/>
        <w:rPr>
          <w:rFonts w:ascii="Arial" w:cs="Arial" w:eastAsia="Arial" w:hAnsi="Arial"/>
          <w:b w:val="1"/>
          <w:i w:val="1"/>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rHeight w:val="465" w:hRule="atLeast"/>
          <w:tblHeader w:val="0"/>
        </w:trPr>
        <w:tc>
          <w:tcPr>
            <w:shd w:fill="d9d9d9" w:val="clear"/>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Rating Agency</w:t>
            </w:r>
          </w:p>
        </w:tc>
        <w:tc>
          <w:tcPr>
            <w:shd w:fill="d9d9d9" w:val="clear"/>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Rating Level</w:t>
            </w:r>
          </w:p>
        </w:tc>
        <w:tc>
          <w:tcPr>
            <w:shd w:fill="d9d9d9" w:val="cle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 level</w:t>
            </w:r>
          </w:p>
        </w:tc>
      </w:tr>
      <w:tr>
        <w:trPr>
          <w:cantSplit w:val="0"/>
          <w:tblHeader w:val="0"/>
        </w:trPr>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Standard and Poor’s</w:t>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1 </w:t>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[AAA] [AA+] [AA] [AA-] [A+] [A] [A-]</w:t>
            </w:r>
          </w:p>
        </w:tc>
        <w:tc>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Risk</w:t>
            </w:r>
          </w:p>
        </w:tc>
      </w:tr>
      <w:tr>
        <w:trPr>
          <w:cantSplit w:val="0"/>
          <w:tblHeader w:val="0"/>
        </w:trPr>
        <w:tc>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2</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[BBB+] [BBB] [BBB-] [BB+] [BB] [BB-] [B+] [B] [B-]</w:t>
            </w:r>
          </w:p>
        </w:tc>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Average Risk</w:t>
            </w:r>
          </w:p>
        </w:tc>
      </w:tr>
      <w:tr>
        <w:trPr>
          <w:cantSplit w:val="0"/>
          <w:tblHeader w:val="0"/>
        </w:trPr>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3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[CCC] [CC] [C] [D] [NR] </w:t>
            </w:r>
          </w:p>
        </w:tc>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w:t>
            </w:r>
          </w:p>
        </w:tc>
      </w:tr>
      <w:tr>
        <w:trPr>
          <w:cantSplit w:val="0"/>
          <w:tblHeader w:val="0"/>
        </w:trPr>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Moodys</w:t>
            </w:r>
          </w:p>
        </w:tc>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1 </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[Aaa] [Aa] [A] </w:t>
            </w:r>
          </w:p>
        </w:tc>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Risk</w:t>
            </w:r>
          </w:p>
        </w:tc>
      </w:tr>
      <w:tr>
        <w:trPr>
          <w:cantSplit w:val="0"/>
          <w:tblHeader w:val="0"/>
        </w:trPr>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2</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[Baa] [Ba] [B] </w:t>
            </w:r>
          </w:p>
        </w:tc>
        <w:tc>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Average Risk</w:t>
            </w:r>
          </w:p>
        </w:tc>
      </w:tr>
      <w:tr>
        <w:trPr>
          <w:cantSplit w:val="0"/>
          <w:tblHeader w:val="0"/>
        </w:trPr>
        <w:tc>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3 </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[Caa] [Ca] [C] </w:t>
            </w:r>
          </w:p>
        </w:tc>
        <w:tc>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w:t>
            </w:r>
          </w:p>
        </w:tc>
      </w:tr>
      <w:tr>
        <w:trPr>
          <w:cantSplit w:val="0"/>
          <w:tblHeader w:val="0"/>
        </w:trPr>
        <w:tc>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Dun and Bradstreet</w:t>
            </w:r>
          </w:p>
        </w:tc>
        <w:tc>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1</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Failure Score of 51 or above</w:t>
            </w:r>
          </w:p>
        </w:tc>
        <w:tc>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Risk</w:t>
            </w:r>
          </w:p>
        </w:tc>
      </w:tr>
      <w:tr>
        <w:trPr>
          <w:cantSplit w:val="0"/>
          <w:tblHeader w:val="0"/>
        </w:trPr>
        <w:tc>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2</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Failure Score of 11 to 50</w:t>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Average Risk</w:t>
            </w:r>
          </w:p>
        </w:tc>
      </w:tr>
      <w:tr>
        <w:trPr>
          <w:cantSplit w:val="0"/>
          <w:tblHeader w:val="0"/>
        </w:trPr>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3</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Failure Score of 10 or below</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w:t>
            </w:r>
          </w:p>
        </w:tc>
      </w:tr>
      <w:tr>
        <w:trPr>
          <w:cantSplit w:val="0"/>
          <w:tblHeader w:val="0"/>
        </w:trPr>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Experian</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1 </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51 or above</w:t>
            </w:r>
          </w:p>
        </w:tc>
        <w:tc>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Risk</w:t>
            </w:r>
          </w:p>
        </w:tc>
      </w:tr>
      <w:tr>
        <w:trPr>
          <w:cantSplit w:val="0"/>
          <w:tblHeader w:val="0"/>
        </w:trPr>
        <w:tc>
          <w:tcPr/>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2</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 to 50</w:t>
            </w:r>
          </w:p>
        </w:tc>
        <w:tc>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Average Risk</w:t>
            </w:r>
          </w:p>
        </w:tc>
      </w:tr>
      <w:tr>
        <w:trPr>
          <w:cantSplit w:val="0"/>
          <w:tblHeader w:val="0"/>
        </w:trPr>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3</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 or below</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w:t>
            </w:r>
          </w:p>
        </w:tc>
      </w:tr>
      <w:tr>
        <w:trPr>
          <w:cantSplit w:val="0"/>
          <w:tblHeader w:val="0"/>
        </w:trPr>
        <w:tc>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Companywatch</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1</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36 and above</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Risk</w:t>
            </w:r>
          </w:p>
        </w:tc>
      </w:tr>
      <w:tr>
        <w:trPr>
          <w:cantSplit w:val="0"/>
          <w:tblHeader w:val="0"/>
        </w:trPr>
        <w:tc>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2</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26 to 35</w:t>
            </w:r>
          </w:p>
        </w:tc>
        <w:tc>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Greater Than Average Risk</w:t>
            </w:r>
          </w:p>
        </w:tc>
      </w:tr>
      <w:tr>
        <w:trPr>
          <w:cantSplit w:val="0"/>
          <w:tblHeader w:val="0"/>
        </w:trPr>
        <w:tc>
          <w:tcPr/>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Credit Rating Level 3</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25 or below</w:t>
            </w:r>
          </w:p>
        </w:tc>
        <w:tc>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Risk</w:t>
            </w:r>
          </w:p>
        </w:tc>
      </w:tr>
    </w:tbl>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20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A">
      <w:pPr>
        <w:spacing w:after="0" w:lineRule="auto"/>
        <w:jc w:val="cente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ANNEX 3: Credit Ratings And Credit Rating Thresholds</w:t>
      </w:r>
    </w:p>
    <w:p w:rsidR="00000000" w:rsidDel="00000000" w:rsidP="00000000" w:rsidRDefault="00000000" w:rsidRPr="00000000" w14:paraId="0000012B">
      <w:pPr>
        <w:rPr>
          <w:rFonts w:ascii="Arial" w:cs="Arial" w:eastAsia="Arial" w:hAnsi="Arial"/>
          <w:b w:val="1"/>
          <w:i w:val="1"/>
          <w:sz w:val="24"/>
          <w:szCs w:val="24"/>
        </w:rPr>
      </w:pPr>
      <w:r w:rsidDel="00000000" w:rsidR="00000000" w:rsidRPr="00000000">
        <w:rPr>
          <w:rtl w:val="0"/>
        </w:rPr>
      </w:r>
    </w:p>
    <w:tbl>
      <w:tblPr>
        <w:tblStyle w:val="Table5"/>
        <w:tblW w:w="9016.0" w:type="dxa"/>
        <w:jc w:val="left"/>
        <w:tblLayout w:type="fixed"/>
        <w:tblLook w:val="0400"/>
      </w:tblPr>
      <w:tblGrid>
        <w:gridCol w:w="3010"/>
        <w:gridCol w:w="2995"/>
        <w:gridCol w:w="3011"/>
        <w:tblGridChange w:id="0">
          <w:tblGrid>
            <w:gridCol w:w="3010"/>
            <w:gridCol w:w="2995"/>
            <w:gridCol w:w="301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Entity</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Rating (long term)</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(insert the actual credit rating issued for the entity at the Effective 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 Rating Threshold</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(insert the minimum actual rating (e.g. AA-) or the minimum Credit Rating Level (e.g. Credit Rating Level 3)</w:t>
            </w:r>
          </w:p>
        </w:tc>
      </w:tr>
      <w:tr>
        <w:trPr>
          <w:cantSplit w:val="0"/>
          <w:trHeight w:val="125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Allstar Business Solutions Limited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4">
            <w:pPr>
              <w:spacing w:after="120" w:before="120" w:lineRule="auto"/>
              <w:ind w:left="34" w:firstLine="0"/>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5">
            <w:pPr>
              <w:spacing w:after="120" w:before="120" w:lineRule="auto"/>
              <w:ind w:left="34" w:firstLine="0"/>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125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8">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right w:color="000000" w:space="0" w:sz="4" w:val="single"/>
            </w:tcBorders>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(Guarantor)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85" w:hRule="atLeast"/>
          <w:tblHeader w:val="0"/>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Ace Fuelcards Limited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F">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0">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84" w:hRule="atLeast"/>
          <w:tblHeader w:val="0"/>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2">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3">
            <w:pPr>
              <w:spacing w:after="120" w:before="120" w:lineRule="auto"/>
              <w:ind w:left="34"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Fonts w:ascii="Arial" w:cs="Arial" w:eastAsia="Arial" w:hAnsi="Arial"/>
                <w:rtl w:val="0"/>
              </w:rPr>
              <w:t xml:space="preserve">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[Key Sub-contractor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[Key Sub-contractor 1 Ultimate Parent]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[etc…]</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[Monitored Supplier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[etc.]</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RM6186 Framework</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Dunn &amp; Bradstreet – Failure Score 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w:t>
            </w:r>
          </w:p>
        </w:tc>
      </w:tr>
      <w:tr>
        <w:trPr>
          <w:cantSplit w:val="0"/>
          <w:tblHeader w:val="0"/>
        </w:trPr>
        <w:tc>
          <w:tcPr>
            <w:tcBorders>
              <w:top w:color="000000" w:space="0" w:sz="4" w:val="single"/>
            </w:tcBorders>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6">
      <w:pPr>
        <w:tabs>
          <w:tab w:val="left" w:leader="none" w:pos="8184"/>
        </w:tabs>
        <w:spacing w:after="0" w:lineRule="auto"/>
        <w:rPr>
          <w:rFonts w:ascii="Arial" w:cs="Arial" w:eastAsia="Arial" w:hAnsi="Arial"/>
          <w:sz w:val="24"/>
          <w:szCs w:val="24"/>
        </w:rPr>
      </w:pPr>
      <w:bookmarkStart w:colFirst="0" w:colLast="0" w:name="_heading=h.44sinio" w:id="17"/>
      <w:bookmarkEnd w:id="17"/>
      <w:r w:rsidDel="00000000" w:rsidR="00000000" w:rsidRPr="00000000">
        <w:rPr>
          <w:rFonts w:ascii="Arial" w:cs="Arial" w:eastAsia="Arial" w:hAnsi="Arial"/>
          <w:sz w:val="24"/>
          <w:szCs w:val="24"/>
          <w:rtl w:val="0"/>
        </w:rPr>
        <w:tab/>
      </w:r>
      <w:bookmarkStart w:colFirst="0" w:colLast="0" w:name="bookmark=id.2jxsxqh" w:id="16"/>
      <w:bookmarkEnd w:id="16"/>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rebuchet MS"/>
  <w:font w:name="Georgia"/>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tabs>
        <w:tab w:val="center" w:leader="none" w:pos="4513"/>
        <w:tab w:val="right" w:leader="none" w:pos="9026"/>
      </w:tabs>
      <w:spacing w:after="0" w:lineRule="auto"/>
      <w:rPr>
        <w:rFonts w:ascii="Arial" w:cs="Arial" w:eastAsia="Arial" w:hAnsi="Arial"/>
        <w:strike w:val="1"/>
        <w:sz w:val="20"/>
        <w:szCs w:val="20"/>
      </w:rPr>
    </w:pPr>
    <w:r w:rsidDel="00000000" w:rsidR="00000000" w:rsidRPr="00000000">
      <w:rPr>
        <w:rFonts w:ascii="Arial" w:cs="Arial" w:eastAsia="Arial" w:hAnsi="Arial"/>
        <w:strike w:val="1"/>
        <w:sz w:val="20"/>
        <w:szCs w:val="20"/>
        <w:rtl w:val="0"/>
      </w:rPr>
      <w:t xml:space="preserve"> </w:t>
    </w:r>
  </w:p>
  <w:p w:rsidR="00000000" w:rsidDel="00000000" w:rsidP="00000000" w:rsidRDefault="00000000" w:rsidRPr="00000000" w14:paraId="0000015C">
    <w:pPr>
      <w:tabs>
        <w:tab w:val="center" w:leader="none" w:pos="4513"/>
        <w:tab w:val="right" w:leader="none" w:pos="902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15D">
    <w:pPr>
      <w:tabs>
        <w:tab w:val="center" w:leader="none" w:pos="4513"/>
        <w:tab w:val="right" w:leader="none" w:pos="902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Project Version: v1.0</w:t>
      <w:tab/>
      <w:tab/>
      <w:t xml:space="preserve">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tabs>
        <w:tab w:val="center" w:leader="none" w:pos="4513"/>
        <w:tab w:val="right" w:leader="none" w:pos="9026"/>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7 (Financial Difficulties)</w:t>
    </w:r>
  </w:p>
  <w:p w:rsidR="00000000" w:rsidDel="00000000" w:rsidP="00000000" w:rsidRDefault="00000000" w:rsidRPr="00000000" w14:paraId="00000158">
    <w:pPr>
      <w:tabs>
        <w:tab w:val="center" w:leader="none" w:pos="4513"/>
        <w:tab w:val="right" w:leader="none" w:pos="9026"/>
      </w:tabs>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Call-Off Contract: C23780/</w:t>
    </w:r>
    <w:r w:rsidDel="00000000" w:rsidR="00000000" w:rsidRPr="00000000">
      <w:rPr>
        <w:rFonts w:ascii="Roboto" w:cs="Roboto" w:eastAsia="Roboto" w:hAnsi="Roboto"/>
        <w:b w:val="1"/>
        <w:color w:val="181818"/>
        <w:sz w:val="20"/>
        <w:szCs w:val="20"/>
        <w:highlight w:val="white"/>
        <w:rtl w:val="0"/>
      </w:rPr>
      <w:t xml:space="preserve">CCFU23A01</w:t>
    </w:r>
    <w:r w:rsidDel="00000000" w:rsidR="00000000" w:rsidRPr="00000000">
      <w:rPr>
        <w:rtl w:val="0"/>
      </w:rPr>
    </w:r>
  </w:p>
  <w:p w:rsidR="00000000" w:rsidDel="00000000" w:rsidP="00000000" w:rsidRDefault="00000000" w:rsidRPr="00000000" w14:paraId="00000159">
    <w:pPr>
      <w:tabs>
        <w:tab w:val="center" w:leader="none" w:pos="4513"/>
        <w:tab w:val="right" w:leader="none" w:pos="9026"/>
      </w:tabs>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Crown Copyright</w:t>
    </w:r>
    <w:r w:rsidDel="00000000" w:rsidR="00000000" w:rsidRPr="00000000">
      <w:rPr>
        <w:rFonts w:ascii="Arial" w:cs="Arial" w:eastAsia="Arial" w:hAnsi="Arial"/>
        <w:sz w:val="14"/>
        <w:szCs w:val="14"/>
        <w:rtl w:val="0"/>
      </w:rPr>
      <w:t xml:space="preserve"> </w:t>
    </w:r>
    <w:r w:rsidDel="00000000" w:rsidR="00000000" w:rsidRPr="00000000">
      <w:rPr>
        <w:rFonts w:ascii="Arial" w:cs="Arial" w:eastAsia="Arial" w:hAnsi="Arial"/>
        <w:sz w:val="20"/>
        <w:szCs w:val="20"/>
        <w:rtl w:val="0"/>
      </w:rPr>
      <w:t xml:space="preserve">2018</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center"/>
      <w:pPr>
        <w:ind w:left="0" w:hanging="57"/>
      </w:pPr>
      <w:rPr/>
    </w:lvl>
    <w:lvl w:ilvl="1">
      <w:start w:val="2"/>
      <w:numFmt w:val="decimal"/>
      <w:lvlText w:val="%2%1"/>
      <w:lvlJc w:val="left"/>
      <w:pPr>
        <w:ind w:left="709" w:hanging="709"/>
      </w:pPr>
      <w:rPr>
        <w:b w:val="1"/>
      </w:rPr>
    </w:lvl>
    <w:lvl w:ilvl="2">
      <w:start w:val="2"/>
      <w:numFmt w:val="decimal"/>
      <w:lvlText w:val="2.%3"/>
      <w:lvlJc w:val="left"/>
      <w:pPr>
        <w:ind w:left="709" w:hanging="709"/>
      </w:pPr>
      <w:rPr>
        <w:b w:val="0"/>
        <w:i w:val="0"/>
      </w:rPr>
    </w:lvl>
    <w:lvl w:ilvl="3">
      <w:start w:val="1"/>
      <w:numFmt w:val="lowerLetter"/>
      <w:lvlText w:val="(%4)"/>
      <w:lvlJc w:val="left"/>
      <w:pPr>
        <w:ind w:left="1418" w:hanging="709"/>
      </w:pPr>
      <w:rPr/>
    </w:lvl>
    <w:lvl w:ilvl="4">
      <w:start w:val="2"/>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2">
    <w:lvl w:ilvl="0">
      <w:start w:val="1"/>
      <w:numFmt w:val="decimal"/>
      <w:lvlText w:val=""/>
      <w:lvlJc w:val="center"/>
      <w:pPr>
        <w:ind w:left="0" w:hanging="57"/>
      </w:pPr>
      <w:rPr/>
    </w:lvl>
    <w:lvl w:ilvl="1">
      <w:start w:val="4"/>
      <w:numFmt w:val="decimal"/>
      <w:lvlText w:val="%1%2"/>
      <w:lvlJc w:val="left"/>
      <w:pPr>
        <w:ind w:left="709" w:hanging="709"/>
      </w:pPr>
      <w:rPr>
        <w:b w:val="1"/>
      </w:rPr>
    </w:lvl>
    <w:lvl w:ilvl="2">
      <w:start w:val="6"/>
      <w:numFmt w:val="decimal"/>
      <w:lvlText w:val="%2.%3"/>
      <w:lvlJc w:val="left"/>
      <w:pPr>
        <w:ind w:left="709" w:hanging="709"/>
      </w:pPr>
      <w:rPr>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3">
    <w:lvl w:ilvl="0">
      <w:start w:val="1"/>
      <w:numFmt w:val="decimal"/>
      <w:lvlText w:val=""/>
      <w:lvlJc w:val="center"/>
      <w:pPr>
        <w:ind w:left="0" w:hanging="57"/>
      </w:pPr>
      <w:rPr/>
    </w:lvl>
    <w:lvl w:ilvl="1">
      <w:start w:val="3"/>
      <w:numFmt w:val="decimal"/>
      <w:lvlText w:val="%1%2"/>
      <w:lvlJc w:val="left"/>
      <w:pPr>
        <w:ind w:left="709" w:hanging="709"/>
      </w:pPr>
      <w:rPr>
        <w:b w:val="1"/>
      </w:rPr>
    </w:lvl>
    <w:lvl w:ilvl="2">
      <w:start w:val="1"/>
      <w:numFmt w:val="decimal"/>
      <w:lvlText w:val="%2.%3"/>
      <w:lvlJc w:val="left"/>
      <w:pPr>
        <w:ind w:left="709" w:hanging="709"/>
      </w:pPr>
      <w:rPr>
        <w:b w:val="0"/>
        <w:i w:val="0"/>
      </w:rPr>
    </w:lvl>
    <w:lvl w:ilvl="3">
      <w:start w:val="6"/>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4">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decimal"/>
      <w:lvlText w:val="%3."/>
      <w:lvlJc w:val="left"/>
      <w:pPr>
        <w:ind w:left="709" w:hanging="709"/>
      </w:pPr>
      <w:rPr>
        <w:b w:val="0"/>
        <w:i w:val="0"/>
      </w:rPr>
    </w:lvl>
    <w:lvl w:ilvl="3">
      <w:start w:val="1"/>
      <w:numFmt w:val="lowerLetter"/>
      <w:lvlText w:val="(%4)"/>
      <w:lvlJc w:val="left"/>
      <w:pPr>
        <w:ind w:left="1418" w:hanging="709"/>
      </w:pPr>
      <w:rPr/>
    </w:lvl>
    <w:lvl w:ilvl="4">
      <w:start w:val="2"/>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5">
    <w:lvl w:ilvl="0">
      <w:start w:val="1"/>
      <w:numFmt w:val="decimal"/>
      <w:lvlText w:val=""/>
      <w:lvlJc w:val="center"/>
      <w:pPr>
        <w:ind w:left="0" w:hanging="57"/>
      </w:pPr>
      <w:rPr/>
    </w:lvl>
    <w:lvl w:ilvl="1">
      <w:start w:val="5"/>
      <w:numFmt w:val="decimal"/>
      <w:lvlText w:val="%1%2"/>
      <w:lvlJc w:val="left"/>
      <w:pPr>
        <w:ind w:left="709" w:hanging="709"/>
      </w:pPr>
      <w:rPr>
        <w:b w:val="1"/>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6">
    <w:lvl w:ilvl="0">
      <w:start w:val="1"/>
      <w:numFmt w:val="decimal"/>
      <w:lvlText w:val=""/>
      <w:lvlJc w:val="center"/>
      <w:pPr>
        <w:ind w:left="0" w:hanging="57"/>
      </w:pPr>
      <w:rPr/>
    </w:lvl>
    <w:lvl w:ilvl="1">
      <w:start w:val="1"/>
      <w:numFmt w:val="decimal"/>
      <w:lvlText w:val="%1%2"/>
      <w:lvlJc w:val="left"/>
      <w:pPr>
        <w:ind w:left="709" w:hanging="709"/>
      </w:pPr>
      <w:rPr>
        <w:b w:val="1"/>
      </w:rPr>
    </w:lvl>
    <w:lvl w:ilvl="2">
      <w:start w:val="1"/>
      <w:numFmt w:val="lowerLetter"/>
      <w:lvlText w:val="(%3)"/>
      <w:lvlJc w:val="left"/>
      <w:pPr>
        <w:ind w:left="709" w:hanging="709"/>
      </w:pPr>
      <w:rPr>
        <w:b w:val="0"/>
        <w:i w:val="0"/>
      </w:rPr>
    </w:lvl>
    <w:lvl w:ilvl="3">
      <w:start w:val="1"/>
      <w:numFmt w:val="lowerLetter"/>
      <w:lvlText w:val="(%4)"/>
      <w:lvlJc w:val="left"/>
      <w:pPr>
        <w:ind w:left="1418" w:hanging="709"/>
      </w:pPr>
      <w:rPr/>
    </w:lvl>
    <w:lvl w:ilvl="4">
      <w:start w:val="2"/>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7">
    <w:lvl w:ilvl="0">
      <w:start w:val="1"/>
      <w:numFmt w:val="decimal"/>
      <w:lvlText w:val=""/>
      <w:lvlJc w:val="center"/>
      <w:pPr>
        <w:ind w:left="0" w:hanging="57"/>
      </w:pPr>
      <w:rPr/>
    </w:lvl>
    <w:lvl w:ilvl="1">
      <w:start w:val="2"/>
      <w:numFmt w:val="decimal"/>
      <w:lvlText w:val="%2%1"/>
      <w:lvlJc w:val="left"/>
      <w:pPr>
        <w:ind w:left="709" w:hanging="709"/>
      </w:pPr>
      <w:rPr>
        <w:b w:val="1"/>
      </w:rPr>
    </w:lvl>
    <w:lvl w:ilvl="2">
      <w:start w:val="1"/>
      <w:numFmt w:val="decimal"/>
      <w:lvlText w:val="2.%3"/>
      <w:lvlJc w:val="left"/>
      <w:pPr>
        <w:ind w:left="709" w:hanging="709"/>
      </w:pPr>
      <w:rPr>
        <w:b w:val="0"/>
        <w:i w:val="0"/>
      </w:rPr>
    </w:lvl>
    <w:lvl w:ilvl="3">
      <w:start w:val="2"/>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8">
    <w:lvl w:ilvl="0">
      <w:start w:val="1"/>
      <w:numFmt w:val="decimal"/>
      <w:lvlText w:val=""/>
      <w:lvlJc w:val="center"/>
      <w:pPr>
        <w:ind w:left="0" w:hanging="57"/>
      </w:pPr>
      <w:rPr/>
    </w:lvl>
    <w:lvl w:ilvl="1">
      <w:start w:val="1"/>
      <w:numFmt w:val="decimal"/>
      <w:lvlText w:val="%2%1"/>
      <w:lvlJc w:val="left"/>
      <w:pPr>
        <w:ind w:left="709" w:hanging="709"/>
      </w:pPr>
      <w:rPr>
        <w:b w:val="1"/>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lvl>
    <w:lvl w:ilvl="4">
      <w:start w:val="2"/>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9">
    <w:lvl w:ilvl="0">
      <w:start w:val="1"/>
      <w:numFmt w:val="decimal"/>
      <w:lvlText w:val=""/>
      <w:lvlJc w:val="center"/>
      <w:pPr>
        <w:ind w:left="0" w:hanging="57"/>
      </w:pPr>
      <w:rPr/>
    </w:lvl>
    <w:lvl w:ilvl="1">
      <w:start w:val="2"/>
      <w:numFmt w:val="decimal"/>
      <w:lvlText w:val="%2%1"/>
      <w:lvlJc w:val="left"/>
      <w:pPr>
        <w:ind w:left="709" w:hanging="709"/>
      </w:pPr>
      <w:rPr>
        <w:b w:val="1"/>
      </w:rPr>
    </w:lvl>
    <w:lvl w:ilvl="2">
      <w:start w:val="3"/>
      <w:numFmt w:val="decimal"/>
      <w:lvlText w:val="2.%3"/>
      <w:lvlJc w:val="left"/>
      <w:pPr>
        <w:ind w:left="709" w:hanging="709"/>
      </w:pPr>
      <w:rPr>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0">
    <w:lvl w:ilvl="0">
      <w:start w:val="1"/>
      <w:numFmt w:val="lowerLetter"/>
      <w:lvlText w:val="(%1)"/>
      <w:lvlJc w:val="left"/>
      <w:pPr>
        <w:ind w:left="432" w:hanging="432"/>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
      <w:lvlJc w:val="center"/>
      <w:pPr>
        <w:ind w:left="0" w:hanging="57"/>
      </w:pPr>
      <w:rPr/>
    </w:lvl>
    <w:lvl w:ilvl="1">
      <w:start w:val="3"/>
      <w:numFmt w:val="decimal"/>
      <w:lvlText w:val="%1%2"/>
      <w:lvlJc w:val="left"/>
      <w:pPr>
        <w:ind w:left="709" w:hanging="709"/>
      </w:pPr>
      <w:rPr>
        <w:b w:val="1"/>
      </w:rPr>
    </w:lvl>
    <w:lvl w:ilvl="2">
      <w:start w:val="2"/>
      <w:numFmt w:val="decimal"/>
      <w:lvlText w:val="%2.%3"/>
      <w:lvlJc w:val="left"/>
      <w:pPr>
        <w:ind w:left="709" w:hanging="709"/>
      </w:pPr>
      <w:rPr>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2">
    <w:lvl w:ilvl="0">
      <w:start w:val="1"/>
      <w:numFmt w:val="decimal"/>
      <w:lvlText w:val=""/>
      <w:lvlJc w:val="center"/>
      <w:pPr>
        <w:ind w:left="0" w:hanging="57"/>
      </w:pPr>
      <w:rPr/>
    </w:lvl>
    <w:lvl w:ilvl="1">
      <w:start w:val="4"/>
      <w:numFmt w:val="decimal"/>
      <w:lvlText w:val="%1%2"/>
      <w:lvlJc w:val="left"/>
      <w:pPr>
        <w:ind w:left="709" w:hanging="709"/>
      </w:pPr>
      <w:rPr>
        <w:b w:val="1"/>
      </w:rPr>
    </w:lvl>
    <w:lvl w:ilvl="2">
      <w:start w:val="1"/>
      <w:numFmt w:val="decimal"/>
      <w:lvlText w:val="%2.%3"/>
      <w:lvlJc w:val="left"/>
      <w:pPr>
        <w:ind w:left="709" w:hanging="709"/>
      </w:pPr>
      <w:rPr>
        <w:b w:val="0"/>
        <w:i w:val="0"/>
      </w:rPr>
    </w:lvl>
    <w:lvl w:ilvl="3">
      <w:start w:val="1"/>
      <w:numFmt w:val="lowerLetter"/>
      <w:lvlText w:val="(%4)"/>
      <w:lvlJc w:val="left"/>
      <w:pPr>
        <w:ind w:left="1418" w:hanging="709"/>
      </w:pPr>
      <w:rPr/>
    </w:lvl>
    <w:lvl w:ilvl="4">
      <w:start w:val="1"/>
      <w:numFmt w:val="lowerRoman"/>
      <w:lvlText w:val="(%5)"/>
      <w:lvlJc w:val="left"/>
      <w:pPr>
        <w:ind w:left="2126" w:hanging="708"/>
      </w:pPr>
      <w:rPr/>
    </w:lvl>
    <w:lvl w:ilvl="5">
      <w:start w:val="1"/>
      <w:numFmt w:val="bullet"/>
      <w:lvlText w:val="●"/>
      <w:lvlJc w:val="left"/>
      <w:pPr>
        <w:ind w:left="3543" w:hanging="708"/>
      </w:pPr>
      <w:rPr>
        <w:rFonts w:ascii="Noto Sans Symbols" w:cs="Noto Sans Symbols" w:eastAsia="Noto Sans Symbols" w:hAnsi="Noto Sans Symbols"/>
        <w:color w:val="000000"/>
      </w:rPr>
    </w:lvl>
    <w:lvl w:ilvl="6">
      <w:start w:val="1"/>
      <w:numFmt w:val="lowerLetter"/>
      <w:lvlText w:val="%7)"/>
      <w:lvlJc w:val="left"/>
      <w:pPr>
        <w:ind w:left="4252" w:hanging="709.0000000000005"/>
      </w:pPr>
      <w:rPr/>
    </w:lvl>
    <w:lvl w:ilvl="7">
      <w:start w:val="1"/>
      <w:numFmt w:val="lowerRoman"/>
      <w:lvlText w:val="%8)"/>
      <w:lvlJc w:val="left"/>
      <w:pPr>
        <w:ind w:left="4961" w:hanging="709"/>
      </w:pPr>
      <w:rPr/>
    </w:lvl>
    <w:lvl w:ilvl="8">
      <w:start w:val="1"/>
      <w:numFmt w:val="upperLetter"/>
      <w:lvlText w:val="%9)"/>
      <w:lvlJc w:val="left"/>
      <w:pPr>
        <w:ind w:left="5669" w:hanging="708"/>
      </w:pPr>
      <w:rPr/>
    </w:lvl>
  </w:abstractNum>
  <w:abstractNum w:abstractNumId="13">
    <w:lvl w:ilvl="0">
      <w:start w:val="1"/>
      <w:numFmt w:val="bullet"/>
      <w:lvlText w:val="●"/>
      <w:lvlJc w:val="left"/>
      <w:pPr>
        <w:ind w:left="720" w:hanging="72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0"/>
      <w:keepLines w:val="1"/>
      <w:spacing w:after="240" w:before="0" w:lineRule="auto"/>
      <w:ind w:left="1418" w:hanging="709"/>
    </w:pPr>
    <w:rPr>
      <w:rFonts w:ascii="Trebuchet MS" w:cs="Trebuchet MS" w:eastAsia="Trebuchet MS" w:hAnsi="Trebuchet MS"/>
      <w:b w:val="0"/>
      <w:sz w:val="22"/>
      <w:szCs w:val="22"/>
    </w:rPr>
  </w:style>
  <w:style w:type="paragraph" w:styleId="Heading5">
    <w:name w:val="heading 5"/>
    <w:basedOn w:val="Normal"/>
    <w:next w:val="Normal"/>
    <w:pPr>
      <w:keepNext w:val="0"/>
      <w:keepLines w:val="1"/>
      <w:spacing w:after="240" w:before="0" w:lineRule="auto"/>
      <w:ind w:left="2126" w:hanging="707.9999999999998"/>
    </w:pPr>
    <w:rPr>
      <w:rFonts w:ascii="Trebuchet MS" w:cs="Trebuchet MS" w:eastAsia="Trebuchet MS" w:hAnsi="Trebuchet MS"/>
      <w:b w:val="0"/>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0"/>
      <w:keepLines w:val="1"/>
      <w:spacing w:after="240" w:before="0" w:lineRule="auto"/>
      <w:ind w:left="1418" w:hanging="709"/>
    </w:pPr>
    <w:rPr>
      <w:rFonts w:ascii="Trebuchet MS" w:cs="Trebuchet MS" w:eastAsia="Trebuchet MS" w:hAnsi="Trebuchet MS"/>
      <w:b w:val="0"/>
      <w:sz w:val="22"/>
      <w:szCs w:val="22"/>
    </w:rPr>
  </w:style>
  <w:style w:type="paragraph" w:styleId="Heading5">
    <w:name w:val="heading 5"/>
    <w:basedOn w:val="Normal"/>
    <w:next w:val="Normal"/>
    <w:pPr>
      <w:keepNext w:val="0"/>
      <w:keepLines w:val="1"/>
      <w:spacing w:after="240" w:before="0" w:lineRule="auto"/>
      <w:ind w:left="2126" w:hanging="707.9999999999998"/>
    </w:pPr>
    <w:rPr>
      <w:rFonts w:ascii="Trebuchet MS" w:cs="Trebuchet MS" w:eastAsia="Trebuchet MS" w:hAnsi="Trebuchet MS"/>
      <w:b w:val="0"/>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2">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3">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4">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 w:type="table" w:styleId="Table5">
    <w:basedOn w:val="TableNormal"/>
    <w:pPr>
      <w:spacing w:after="240" w:line="360" w:lineRule="auto"/>
      <w:jc w:val="both"/>
    </w:pPr>
    <w:rPr>
      <w:rFonts w:ascii="Times New Roman" w:cs="Times New Roman" w:eastAsia="Times New Roman" w:hAnsi="Times New Roman"/>
      <w:sz w:val="20"/>
      <w:szCs w:val="2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gbr01.safelinks.protection.outlook.com/?url=https%3A%2F%2Fassets.publishing.service.gov.uk%2Fgovernment%2Fuploads%2Fsystem%2Fuploads%2Fattachment_data%2Ffile%2F987132%2FAssessing_and_monitoring_the_economic_and_financial_standing_of_suppliers_guidance_note_May_2021.pdf&amp;data=05%7C01%7CDarren.Jones3%40homeoffice.gov.uk%7C93585412cc25445ae83308da2de31267%7Cf24d93ecb2914192a08af182245945c2%7C0%7C0%7C637872750528017733%7CUnknown%7CTWFpbGZsb3d8eyJWIjoiMC4wLjAwMDAiLCJQIjoiV2luMzIiLCJBTiI6Ik1haWwiLCJXVCI6Mn0%3D%7C3000%7C%7C%7C&amp;sdata=v5zwIuWejF%2BBin7EnN0156F5aqnHd%2FNWldOIB%2BOrhlg%3D&amp;reserved=0"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AcMASfrc2NHPCoy5ssKsDJo7Jw==">CgMxLjAyCGguZ2pkZ3hzMgloLjMwajB6bGwyCWguMWZvYjl0ZTIJaC4zem55c2g3MgloLjJldDkycDAyCGgudHlqY3d0MgloLjNkeTZ2a20yCWguMXQzaDVzZjIJaC40ZDM0b2c4MgloLjJzOGV5bzEyCWguMTdkcDh2dTIJaC4zcmRjcmpuMgloLjI2aW4xcmcyCGgubG54Yno5MgloLjM1bmt1bjIyCWguMWtzdjR1djIKaWQuMmp4c3hxaDIJaC40NHNpbmlvOAByITFaSFVYQXYzMmJxRXBNR3F2dXRIZU1tYnU3aG1TeTUx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HOGovernmentSecurityClassification">
    <vt:lpwstr>1;#Official|14c80daa-741b-422c-9722-f71693c9ede4</vt:lpwstr>
  </property>
  <property fmtid="{D5CDD505-2E9C-101B-9397-08002B2CF9AE}" pid="3" name="HOCopyrightLevel">
    <vt:lpwstr>2;#Crown|69589897-2828-4761-976e-717fd8e631c9</vt:lpwstr>
  </property>
  <property fmtid="{D5CDD505-2E9C-101B-9397-08002B2CF9AE}" pid="4" name="HOSiteType">
    <vt:lpwstr>4;#Process – Significant|6ccbe411-9327-473d-908e-7668b31d44e3</vt:lpwstr>
  </property>
  <property fmtid="{D5CDD505-2E9C-101B-9397-08002B2CF9AE}" pid="5" name="ContentTypeId">
    <vt:lpwstr>0x010100A5BF1C78D9F64B679A5EBDE1C6598EBC010085A3A9426C198E4A90B33F95CCD5537E</vt:lpwstr>
  </property>
  <property fmtid="{D5CDD505-2E9C-101B-9397-08002B2CF9AE}" pid="6" name="HOBusinessUnit">
    <vt:lpwstr>3;#Commercial Directorate (CD)|89dfa253-14be-42a8-a0d5-bfdf4c6aba64</vt:lpwstr>
  </property>
  <property fmtid="{D5CDD505-2E9C-101B-9397-08002B2CF9AE}" pid="7" name="_DocHome">
    <vt:lpwstr>-153189837</vt:lpwstr>
  </property>
</Properties>
</file>