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7E9E8227"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F5C4B3A" w14:textId="44672393" w:rsidR="004E05DC" w:rsidRPr="0002671F" w:rsidRDefault="00F770DB" w:rsidP="0002671F">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r w:rsidRPr="00B91478">
        <w:t>ALL OFF ORDER FORM</w:t>
      </w:r>
    </w:p>
    <w:p w14:paraId="20F9459B" w14:textId="77777777" w:rsidR="0002671F" w:rsidRDefault="0002671F">
      <w:pPr>
        <w:overflowPunct/>
        <w:autoSpaceDE/>
        <w:autoSpaceDN/>
        <w:adjustRightInd/>
        <w:spacing w:after="0"/>
        <w:ind w:left="0"/>
        <w:jc w:val="left"/>
        <w:textAlignment w:val="auto"/>
        <w:rPr>
          <w:rFonts w:eastAsia="Calibri"/>
          <w:b/>
          <w:color w:val="C00000"/>
        </w:rPr>
      </w:pPr>
      <w:r>
        <w:br w:type="page"/>
      </w:r>
    </w:p>
    <w:p w14:paraId="25AFA819" w14:textId="56C00E81" w:rsidR="004E05DC" w:rsidRPr="00B91478" w:rsidRDefault="00F770DB">
      <w:pPr>
        <w:pStyle w:val="ORDERFORML1SECTIONTITLE"/>
        <w:spacing w:before="0" w:after="0"/>
        <w:rPr>
          <w:rFonts w:cs="Arial"/>
        </w:rPr>
      </w:pPr>
      <w:r w:rsidRPr="00B91478">
        <w:rPr>
          <w:rFonts w:cs="Arial"/>
        </w:rPr>
        <w:lastRenderedPageBreak/>
        <w:t>SECTION A</w:t>
      </w:r>
    </w:p>
    <w:p w14:paraId="5ED09D9F" w14:textId="77777777" w:rsidR="004E05DC" w:rsidRPr="00B91478" w:rsidRDefault="004E05DC">
      <w:pPr>
        <w:pStyle w:val="ORDERFORML1SECTIONTITLE"/>
        <w:spacing w:before="0" w:after="0"/>
        <w:rPr>
          <w:rFonts w:cs="Arial"/>
        </w:rPr>
      </w:pPr>
    </w:p>
    <w:p w14:paraId="043BD51A" w14:textId="5E73A1AD" w:rsidR="004E05DC" w:rsidRPr="00B91478"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Pr="00B91478">
        <w:t xml:space="preserve">for the provision of </w:t>
      </w:r>
      <w:r w:rsidR="00611C83">
        <w:t xml:space="preserve">Procurement, Supply Chain and Commercial </w:t>
      </w:r>
      <w:r w:rsidR="0002671F" w:rsidRPr="00611C83">
        <w:t>Consultancy Services</w:t>
      </w:r>
      <w:r w:rsidR="000F4096">
        <w:t xml:space="preserve"> (Lot 2)</w:t>
      </w:r>
      <w:r w:rsidR="00B02A10">
        <w:t xml:space="preserve"> dated </w:t>
      </w:r>
      <w:r w:rsidR="000F4096" w:rsidRPr="000F4096">
        <w:rPr>
          <w:b/>
        </w:rPr>
        <w:t xml:space="preserve">04 September </w:t>
      </w:r>
      <w:r w:rsidR="0002671F" w:rsidRPr="000F4096">
        <w:rPr>
          <w:b/>
          <w:color w:val="000000"/>
        </w:rPr>
        <w:t>201</w:t>
      </w:r>
      <w:r w:rsidR="000F4096" w:rsidRPr="000F4096">
        <w:rPr>
          <w:b/>
          <w:color w:val="000000"/>
        </w:rPr>
        <w:t>8</w:t>
      </w:r>
      <w:r w:rsidRPr="000F4096">
        <w:t>.</w:t>
      </w:r>
      <w:r w:rsidRPr="00B91478">
        <w:t xml:space="preserve"> </w:t>
      </w: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938"/>
      </w:tblGrid>
      <w:tr w:rsidR="0002671F" w:rsidRPr="00B91478" w14:paraId="5702F89A" w14:textId="77777777" w:rsidTr="0002671F">
        <w:tc>
          <w:tcPr>
            <w:tcW w:w="1730" w:type="dxa"/>
            <w:shd w:val="clear" w:color="auto" w:fill="auto"/>
          </w:tcPr>
          <w:p w14:paraId="2322E185" w14:textId="77777777" w:rsidR="0002671F" w:rsidRPr="00B91478" w:rsidRDefault="0002671F">
            <w:pPr>
              <w:spacing w:after="0"/>
              <w:ind w:left="0"/>
              <w:jc w:val="left"/>
            </w:pPr>
            <w:r w:rsidRPr="00B91478">
              <w:t>Order Number</w:t>
            </w:r>
          </w:p>
        </w:tc>
        <w:tc>
          <w:tcPr>
            <w:tcW w:w="7938" w:type="dxa"/>
            <w:shd w:val="clear" w:color="auto" w:fill="auto"/>
          </w:tcPr>
          <w:p w14:paraId="0C32768C" w14:textId="41E68E70" w:rsidR="0002671F" w:rsidRPr="00B91478" w:rsidRDefault="00611C83">
            <w:pPr>
              <w:spacing w:after="0"/>
              <w:ind w:left="0"/>
              <w:jc w:val="left"/>
              <w:rPr>
                <w:b/>
              </w:rPr>
            </w:pPr>
            <w:r>
              <w:rPr>
                <w:b/>
              </w:rPr>
              <w:t>TBC</w:t>
            </w:r>
          </w:p>
        </w:tc>
      </w:tr>
      <w:tr w:rsidR="0002671F" w:rsidRPr="00B91478" w14:paraId="403BB9AF" w14:textId="77777777" w:rsidTr="0002671F">
        <w:tc>
          <w:tcPr>
            <w:tcW w:w="1730" w:type="dxa"/>
            <w:shd w:val="clear" w:color="auto" w:fill="auto"/>
          </w:tcPr>
          <w:p w14:paraId="2807FDD8" w14:textId="77777777" w:rsidR="0002671F" w:rsidRPr="00B91478" w:rsidRDefault="0002671F">
            <w:pPr>
              <w:spacing w:after="0"/>
              <w:ind w:left="0"/>
              <w:jc w:val="left"/>
            </w:pPr>
            <w:r w:rsidRPr="00B91478">
              <w:t>From</w:t>
            </w:r>
          </w:p>
        </w:tc>
        <w:tc>
          <w:tcPr>
            <w:tcW w:w="7938" w:type="dxa"/>
            <w:shd w:val="clear" w:color="auto" w:fill="auto"/>
          </w:tcPr>
          <w:p w14:paraId="55A20F66" w14:textId="1C28F5E3" w:rsidR="0002671F" w:rsidRPr="00B91478" w:rsidRDefault="0002671F">
            <w:pPr>
              <w:spacing w:after="0"/>
              <w:ind w:left="0"/>
              <w:jc w:val="left"/>
              <w:rPr>
                <w:b/>
              </w:rPr>
            </w:pPr>
            <w:r>
              <w:rPr>
                <w:b/>
                <w:spacing w:val="-3"/>
                <w:lang w:eastAsia="en-GB"/>
              </w:rPr>
              <w:t>HM Revenue &amp; Customs (HMRC)</w:t>
            </w:r>
          </w:p>
          <w:p w14:paraId="4535A448" w14:textId="77777777" w:rsidR="0002671F" w:rsidRPr="00B91478" w:rsidRDefault="0002671F">
            <w:pPr>
              <w:spacing w:after="0"/>
              <w:ind w:left="0"/>
              <w:jc w:val="left"/>
              <w:rPr>
                <w:b/>
              </w:rPr>
            </w:pPr>
            <w:r w:rsidRPr="00B91478">
              <w:rPr>
                <w:b/>
              </w:rPr>
              <w:t>("CUSTOMER")</w:t>
            </w:r>
          </w:p>
        </w:tc>
      </w:tr>
      <w:tr w:rsidR="0002671F" w:rsidRPr="00B91478" w14:paraId="7BD8D56C" w14:textId="77777777" w:rsidTr="0002671F">
        <w:tc>
          <w:tcPr>
            <w:tcW w:w="1730" w:type="dxa"/>
            <w:shd w:val="clear" w:color="auto" w:fill="auto"/>
          </w:tcPr>
          <w:p w14:paraId="4E4F3801" w14:textId="77777777" w:rsidR="0002671F" w:rsidRPr="00B91478" w:rsidRDefault="0002671F">
            <w:pPr>
              <w:spacing w:after="0"/>
              <w:ind w:left="0"/>
              <w:jc w:val="left"/>
            </w:pPr>
            <w:r w:rsidRPr="00B91478">
              <w:t>To</w:t>
            </w:r>
          </w:p>
        </w:tc>
        <w:tc>
          <w:tcPr>
            <w:tcW w:w="7938" w:type="dxa"/>
            <w:shd w:val="clear" w:color="auto" w:fill="auto"/>
          </w:tcPr>
          <w:p w14:paraId="50245880" w14:textId="7B7E2A8D" w:rsidR="0002671F" w:rsidRPr="00B91478" w:rsidRDefault="00611C83">
            <w:pPr>
              <w:spacing w:after="0"/>
              <w:ind w:left="0"/>
              <w:jc w:val="left"/>
              <w:rPr>
                <w:b/>
              </w:rPr>
            </w:pPr>
            <w:r>
              <w:rPr>
                <w:b/>
              </w:rPr>
              <w:t>Deloitte LLP</w:t>
            </w:r>
          </w:p>
          <w:p w14:paraId="1D64140C" w14:textId="77777777" w:rsidR="0002671F" w:rsidRPr="00B91478" w:rsidRDefault="0002671F">
            <w:pPr>
              <w:spacing w:after="0"/>
              <w:ind w:left="0"/>
              <w:jc w:val="left"/>
              <w:rPr>
                <w:b/>
              </w:rPr>
            </w:pPr>
            <w:r w:rsidRPr="00B91478">
              <w:rPr>
                <w:b/>
              </w:rPr>
              <w:t>("SUPPLIER")</w:t>
            </w:r>
          </w:p>
        </w:tc>
      </w:tr>
      <w:tr w:rsidR="0002671F" w:rsidRPr="00B91478" w14:paraId="4CE953D5" w14:textId="77777777" w:rsidTr="0002671F">
        <w:tc>
          <w:tcPr>
            <w:tcW w:w="1730" w:type="dxa"/>
            <w:shd w:val="clear" w:color="auto" w:fill="auto"/>
          </w:tcPr>
          <w:p w14:paraId="6BDC539F" w14:textId="13BD171B" w:rsidR="0002671F" w:rsidRPr="00B91478" w:rsidRDefault="0002671F">
            <w:pPr>
              <w:spacing w:after="0"/>
              <w:ind w:left="0"/>
              <w:jc w:val="left"/>
            </w:pPr>
            <w:r>
              <w:t xml:space="preserve">Date </w:t>
            </w:r>
          </w:p>
        </w:tc>
        <w:tc>
          <w:tcPr>
            <w:tcW w:w="7938" w:type="dxa"/>
            <w:shd w:val="clear" w:color="auto" w:fill="auto"/>
          </w:tcPr>
          <w:p w14:paraId="39830888" w14:textId="73121DE2" w:rsidR="0002671F" w:rsidRPr="00B91478" w:rsidRDefault="006A50FB" w:rsidP="00B02A10">
            <w:pPr>
              <w:spacing w:after="0"/>
              <w:ind w:left="0"/>
              <w:jc w:val="left"/>
              <w:rPr>
                <w:b/>
              </w:rPr>
            </w:pPr>
            <w:r>
              <w:rPr>
                <w:b/>
              </w:rPr>
              <w:t>23 August 2019</w:t>
            </w:r>
          </w:p>
          <w:p w14:paraId="7E80E23C" w14:textId="366CA2BF" w:rsidR="0002671F" w:rsidRPr="00B91478" w:rsidRDefault="0002671F" w:rsidP="00B02A10">
            <w:pPr>
              <w:spacing w:after="0"/>
              <w:ind w:left="0"/>
              <w:jc w:val="left"/>
              <w:rPr>
                <w:b/>
                <w:highlight w:val="yellow"/>
              </w:rPr>
            </w:pPr>
            <w:r w:rsidRPr="00B91478">
              <w:rPr>
                <w:b/>
              </w:rPr>
              <w:t>("</w:t>
            </w:r>
            <w:r>
              <w:rPr>
                <w:b/>
              </w:rPr>
              <w:t>DATE</w:t>
            </w:r>
            <w:r w:rsidRPr="00B91478">
              <w:rPr>
                <w:b/>
              </w:rPr>
              <w:t>")</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02671F" w:rsidRPr="00B91478" w14:paraId="6525B5BF" w14:textId="77777777" w:rsidTr="0002671F">
        <w:tc>
          <w:tcPr>
            <w:tcW w:w="567" w:type="dxa"/>
          </w:tcPr>
          <w:p w14:paraId="7F884F55" w14:textId="77777777" w:rsidR="0002671F" w:rsidRPr="00B91478" w:rsidRDefault="0002671F" w:rsidP="001529B7">
            <w:pPr>
              <w:pStyle w:val="ORDERFORML1NONBOLDNONNUMBERTEXT"/>
              <w:numPr>
                <w:ilvl w:val="1"/>
                <w:numId w:val="17"/>
              </w:numPr>
              <w:spacing w:before="0" w:after="0"/>
              <w:rPr>
                <w:rFonts w:cs="Arial"/>
                <w:b/>
              </w:rPr>
            </w:pPr>
          </w:p>
        </w:tc>
        <w:tc>
          <w:tcPr>
            <w:tcW w:w="9101" w:type="dxa"/>
            <w:shd w:val="clear" w:color="auto" w:fill="auto"/>
          </w:tcPr>
          <w:p w14:paraId="2B587B19" w14:textId="1E0CFFAD" w:rsidR="0002671F" w:rsidRPr="00B91478" w:rsidRDefault="0002671F">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sidR="000F4096" w:rsidRPr="000F4096">
              <w:rPr>
                <w:rFonts w:eastAsia="STZhongsong"/>
                <w:b/>
                <w:lang w:eastAsia="zh-CN"/>
              </w:rPr>
              <w:t>01 September 2019</w:t>
            </w:r>
          </w:p>
          <w:p w14:paraId="7C773470" w14:textId="77777777" w:rsidR="0002671F" w:rsidRPr="00B91478" w:rsidRDefault="0002671F">
            <w:pPr>
              <w:overflowPunct/>
              <w:autoSpaceDE/>
              <w:autoSpaceDN/>
              <w:adjustRightInd/>
              <w:spacing w:after="0"/>
              <w:ind w:left="0" w:right="936"/>
              <w:jc w:val="left"/>
              <w:textAlignment w:val="auto"/>
              <w:rPr>
                <w:rFonts w:eastAsia="Calibri"/>
                <w:color w:val="C00000"/>
              </w:rPr>
            </w:pPr>
          </w:p>
        </w:tc>
      </w:tr>
      <w:tr w:rsidR="0002671F" w:rsidRPr="00B91478" w14:paraId="445F7B0C" w14:textId="77777777" w:rsidTr="0002671F">
        <w:tc>
          <w:tcPr>
            <w:tcW w:w="567" w:type="dxa"/>
          </w:tcPr>
          <w:p w14:paraId="72BA4E3B" w14:textId="77777777" w:rsidR="0002671F" w:rsidRPr="00B91478" w:rsidRDefault="0002671F">
            <w:pPr>
              <w:pStyle w:val="11table"/>
              <w:rPr>
                <w:rFonts w:ascii="Arial" w:hAnsi="Arial" w:cs="Arial"/>
              </w:rPr>
            </w:pPr>
            <w:r w:rsidRPr="00B91478">
              <w:rPr>
                <w:rFonts w:ascii="Arial" w:hAnsi="Arial" w:cs="Arial"/>
              </w:rPr>
              <w:t xml:space="preserve"> </w:t>
            </w:r>
          </w:p>
          <w:p w14:paraId="70581236" w14:textId="77777777" w:rsidR="0002671F" w:rsidRPr="00B91478" w:rsidRDefault="0002671F">
            <w:pPr>
              <w:overflowPunct/>
              <w:autoSpaceDE/>
              <w:autoSpaceDN/>
              <w:spacing w:after="0"/>
              <w:ind w:left="360"/>
              <w:jc w:val="left"/>
              <w:textAlignment w:val="auto"/>
              <w:rPr>
                <w:rFonts w:eastAsia="STZhongsong"/>
                <w:b/>
                <w:lang w:eastAsia="zh-CN"/>
              </w:rPr>
            </w:pPr>
          </w:p>
        </w:tc>
        <w:tc>
          <w:tcPr>
            <w:tcW w:w="9101" w:type="dxa"/>
            <w:shd w:val="clear" w:color="auto" w:fill="auto"/>
          </w:tcPr>
          <w:p w14:paraId="7DBF874B" w14:textId="77777777" w:rsidR="0002671F" w:rsidRPr="00B91478" w:rsidRDefault="0002671F">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7B634D1" w14:textId="77777777" w:rsidR="0002671F" w:rsidRPr="00B91478" w:rsidRDefault="0002671F">
            <w:pPr>
              <w:numPr>
                <w:ilvl w:val="1"/>
                <w:numId w:val="0"/>
              </w:numPr>
              <w:overflowPunct/>
              <w:autoSpaceDE/>
              <w:autoSpaceDN/>
              <w:spacing w:after="0"/>
              <w:jc w:val="left"/>
              <w:textAlignment w:val="auto"/>
              <w:rPr>
                <w:rFonts w:eastAsia="STZhongsong"/>
                <w:lang w:eastAsia="zh-CN"/>
              </w:rPr>
            </w:pPr>
          </w:p>
          <w:p w14:paraId="64151768" w14:textId="5563801A" w:rsidR="0002671F" w:rsidRPr="00B91478" w:rsidRDefault="0002671F">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r w:rsidR="00EE3CF8" w:rsidRPr="00EE3CF8">
              <w:rPr>
                <w:rFonts w:eastAsia="STZhongsong"/>
                <w:b/>
                <w:lang w:eastAsia="zh-CN"/>
              </w:rPr>
              <w:t>31 August 2021</w:t>
            </w:r>
          </w:p>
          <w:p w14:paraId="182FD6B0" w14:textId="77777777" w:rsidR="0002671F" w:rsidRPr="00B91478" w:rsidRDefault="0002671F">
            <w:pPr>
              <w:overflowPunct/>
              <w:autoSpaceDE/>
              <w:autoSpaceDN/>
              <w:spacing w:after="0"/>
              <w:ind w:left="0"/>
              <w:jc w:val="left"/>
              <w:textAlignment w:val="auto"/>
              <w:rPr>
                <w:rFonts w:eastAsia="STZhongsong"/>
                <w:lang w:eastAsia="zh-CN"/>
              </w:rPr>
            </w:pPr>
          </w:p>
          <w:p w14:paraId="7E4BD29C" w14:textId="6F658B53" w:rsidR="0002671F" w:rsidRPr="00B91478" w:rsidRDefault="0002671F" w:rsidP="00BB4A0B">
            <w:pPr>
              <w:overflowPunct/>
              <w:autoSpaceDE/>
              <w:autoSpaceDN/>
              <w:spacing w:after="0"/>
              <w:ind w:left="0"/>
              <w:textAlignment w:val="auto"/>
              <w:rPr>
                <w:rFonts w:eastAsia="STZhongsong"/>
                <w:b/>
                <w:lang w:eastAsia="zh-CN"/>
              </w:rPr>
            </w:pPr>
            <w:r w:rsidRPr="00B91478">
              <w:rPr>
                <w:rFonts w:eastAsia="STZhongsong"/>
                <w:lang w:eastAsia="zh-CN"/>
              </w:rPr>
              <w:t>End date of Extension Period</w:t>
            </w:r>
            <w:r>
              <w:rPr>
                <w:rFonts w:eastAsia="STZhongsong"/>
                <w:lang w:eastAsia="zh-CN"/>
              </w:rPr>
              <w:t>:</w:t>
            </w:r>
            <w:r w:rsidRPr="00B91478">
              <w:rPr>
                <w:rFonts w:eastAsia="STZhongsong"/>
                <w:lang w:eastAsia="zh-CN"/>
              </w:rPr>
              <w:t xml:space="preserve"> </w:t>
            </w:r>
            <w:r w:rsidR="00EE3CF8">
              <w:rPr>
                <w:rFonts w:eastAsia="STZhongsong"/>
                <w:b/>
                <w:lang w:eastAsia="zh-CN"/>
              </w:rPr>
              <w:t>31 August 2022</w:t>
            </w:r>
          </w:p>
          <w:p w14:paraId="3DDB9F1C" w14:textId="77777777" w:rsidR="0002671F" w:rsidRPr="00B91478" w:rsidRDefault="0002671F" w:rsidP="00BB4A0B">
            <w:pPr>
              <w:overflowPunct/>
              <w:autoSpaceDE/>
              <w:autoSpaceDN/>
              <w:spacing w:after="0"/>
              <w:ind w:left="0"/>
              <w:textAlignment w:val="auto"/>
              <w:rPr>
                <w:rFonts w:eastAsia="STZhongsong"/>
                <w:b/>
                <w:lang w:eastAsia="zh-CN"/>
              </w:rPr>
            </w:pPr>
          </w:p>
          <w:p w14:paraId="2A3A6A04" w14:textId="77777777" w:rsidR="001457FC" w:rsidRDefault="0002671F"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p>
          <w:p w14:paraId="2D73D981" w14:textId="17FEDD25" w:rsidR="0002671F" w:rsidRPr="00B91478" w:rsidRDefault="00EE3CF8" w:rsidP="00BB4A0B">
            <w:pPr>
              <w:overflowPunct/>
              <w:autoSpaceDE/>
              <w:autoSpaceDN/>
              <w:spacing w:after="0"/>
              <w:ind w:left="0"/>
              <w:textAlignment w:val="auto"/>
              <w:rPr>
                <w:rFonts w:eastAsia="STZhongsong"/>
                <w:lang w:eastAsia="zh-CN"/>
              </w:rPr>
            </w:pPr>
            <w:r>
              <w:rPr>
                <w:rFonts w:eastAsia="STZhongsong"/>
                <w:b/>
                <w:lang w:eastAsia="zh-CN"/>
              </w:rPr>
              <w:t xml:space="preserve">1 </w:t>
            </w:r>
            <w:r w:rsidRPr="003B5D8A">
              <w:rPr>
                <w:rFonts w:eastAsia="STZhongsong"/>
                <w:lang w:eastAsia="zh-CN"/>
              </w:rPr>
              <w:t>month</w:t>
            </w:r>
            <w:r w:rsidR="001457FC" w:rsidRPr="003B5D8A">
              <w:rPr>
                <w:rFonts w:eastAsia="STZhongsong"/>
                <w:lang w:eastAsia="zh-CN"/>
              </w:rPr>
              <w:t xml:space="preserve"> prior</w:t>
            </w:r>
            <w:r w:rsidR="003B5D8A" w:rsidRPr="003B5D8A">
              <w:rPr>
                <w:rFonts w:eastAsia="STZhongsong"/>
                <w:lang w:eastAsia="zh-CN"/>
              </w:rPr>
              <w:t xml:space="preserve"> to the</w:t>
            </w:r>
            <w:r w:rsidR="001457FC" w:rsidRPr="003B5D8A">
              <w:rPr>
                <w:rFonts w:eastAsia="STZhongsong"/>
                <w:lang w:eastAsia="zh-CN"/>
              </w:rPr>
              <w:t xml:space="preserve"> </w:t>
            </w:r>
            <w:r w:rsidR="003B5D8A" w:rsidRPr="003B5D8A">
              <w:rPr>
                <w:rFonts w:eastAsia="STZhongsong"/>
                <w:lang w:eastAsia="zh-CN"/>
              </w:rPr>
              <w:t>e</w:t>
            </w:r>
            <w:r w:rsidR="001457FC" w:rsidRPr="003B5D8A">
              <w:rPr>
                <w:rFonts w:eastAsia="STZhongsong"/>
                <w:lang w:eastAsia="zh-CN"/>
              </w:rPr>
              <w:t>nd date of Initial Period</w:t>
            </w:r>
            <w:r w:rsidR="001457FC">
              <w:rPr>
                <w:rFonts w:eastAsia="STZhongsong"/>
                <w:b/>
                <w:lang w:eastAsia="zh-CN"/>
              </w:rPr>
              <w:t xml:space="preserve">  </w:t>
            </w:r>
          </w:p>
          <w:p w14:paraId="506BE5A8" w14:textId="77777777" w:rsidR="0002671F" w:rsidRPr="00B91478" w:rsidRDefault="0002671F">
            <w:pPr>
              <w:overflowPunct/>
              <w:autoSpaceDE/>
              <w:autoSpaceDN/>
              <w:spacing w:after="0"/>
              <w:ind w:left="0"/>
              <w:jc w:val="left"/>
              <w:textAlignment w:val="auto"/>
              <w:rPr>
                <w:rFonts w:eastAsia="STZhongsong"/>
                <w:lang w:eastAsia="zh-CN"/>
              </w:rPr>
            </w:pPr>
          </w:p>
        </w:tc>
      </w:tr>
    </w:tbl>
    <w:p w14:paraId="1E004CCF" w14:textId="77777777" w:rsidR="004E05DC" w:rsidRDefault="004E05DC">
      <w:pPr>
        <w:pStyle w:val="ORDERFORML1PraraNo"/>
        <w:numPr>
          <w:ilvl w:val="0"/>
          <w:numId w:val="0"/>
        </w:numPr>
        <w:ind w:left="426" w:hanging="426"/>
        <w:rPr>
          <w:rFonts w:ascii="Arial" w:hAnsi="Arial" w:cs="Arial"/>
        </w:rPr>
      </w:pPr>
    </w:p>
    <w:p w14:paraId="4F78E4EB" w14:textId="77777777" w:rsidR="0002671F" w:rsidRDefault="0002671F">
      <w:pPr>
        <w:pStyle w:val="ORDERFORML1PraraNo"/>
        <w:numPr>
          <w:ilvl w:val="0"/>
          <w:numId w:val="0"/>
        </w:numPr>
        <w:ind w:left="426" w:hanging="426"/>
        <w:rPr>
          <w:rFonts w:ascii="Arial" w:hAnsi="Arial" w:cs="Arial"/>
        </w:rPr>
      </w:pPr>
    </w:p>
    <w:p w14:paraId="6BF2DA91" w14:textId="77777777" w:rsidR="0002671F" w:rsidRDefault="0002671F">
      <w:pPr>
        <w:pStyle w:val="ORDERFORML1PraraNo"/>
        <w:numPr>
          <w:ilvl w:val="0"/>
          <w:numId w:val="0"/>
        </w:numPr>
        <w:ind w:left="426" w:hanging="426"/>
        <w:rPr>
          <w:rFonts w:ascii="Arial" w:hAnsi="Arial" w:cs="Arial"/>
        </w:rPr>
      </w:pPr>
    </w:p>
    <w:p w14:paraId="5EB7ECA7" w14:textId="77777777" w:rsidR="0002671F" w:rsidRDefault="0002671F">
      <w:pPr>
        <w:pStyle w:val="ORDERFORML1PraraNo"/>
        <w:numPr>
          <w:ilvl w:val="0"/>
          <w:numId w:val="0"/>
        </w:numPr>
        <w:ind w:left="426" w:hanging="426"/>
        <w:rPr>
          <w:rFonts w:ascii="Arial" w:hAnsi="Arial" w:cs="Arial"/>
        </w:rPr>
      </w:pPr>
    </w:p>
    <w:p w14:paraId="50FEA5CC" w14:textId="77777777" w:rsidR="0002671F" w:rsidRDefault="0002671F">
      <w:pPr>
        <w:pStyle w:val="ORDERFORML1PraraNo"/>
        <w:numPr>
          <w:ilvl w:val="0"/>
          <w:numId w:val="0"/>
        </w:numPr>
        <w:ind w:left="426" w:hanging="426"/>
        <w:rPr>
          <w:rFonts w:ascii="Arial" w:hAnsi="Arial" w:cs="Arial"/>
        </w:rPr>
      </w:pPr>
    </w:p>
    <w:p w14:paraId="542B68DC" w14:textId="77777777" w:rsidR="0002671F" w:rsidRDefault="0002671F">
      <w:pPr>
        <w:pStyle w:val="ORDERFORML1PraraNo"/>
        <w:numPr>
          <w:ilvl w:val="0"/>
          <w:numId w:val="0"/>
        </w:numPr>
        <w:ind w:left="426" w:hanging="426"/>
        <w:rPr>
          <w:rFonts w:ascii="Arial" w:hAnsi="Arial" w:cs="Arial"/>
        </w:rPr>
      </w:pPr>
    </w:p>
    <w:p w14:paraId="2062B363" w14:textId="77777777" w:rsidR="0002671F" w:rsidRDefault="0002671F">
      <w:pPr>
        <w:pStyle w:val="ORDERFORML1PraraNo"/>
        <w:numPr>
          <w:ilvl w:val="0"/>
          <w:numId w:val="0"/>
        </w:numPr>
        <w:ind w:left="426" w:hanging="426"/>
        <w:rPr>
          <w:rFonts w:ascii="Arial" w:hAnsi="Arial" w:cs="Arial"/>
        </w:rPr>
      </w:pPr>
    </w:p>
    <w:p w14:paraId="0588B349" w14:textId="77777777" w:rsidR="0002671F" w:rsidRDefault="0002671F">
      <w:pPr>
        <w:pStyle w:val="ORDERFORML1PraraNo"/>
        <w:numPr>
          <w:ilvl w:val="0"/>
          <w:numId w:val="0"/>
        </w:numPr>
        <w:ind w:left="426" w:hanging="426"/>
        <w:rPr>
          <w:rFonts w:ascii="Arial" w:hAnsi="Arial" w:cs="Arial"/>
        </w:rPr>
      </w:pPr>
    </w:p>
    <w:p w14:paraId="6852B495" w14:textId="77777777" w:rsidR="0002671F" w:rsidRDefault="0002671F">
      <w:pPr>
        <w:pStyle w:val="ORDERFORML1PraraNo"/>
        <w:numPr>
          <w:ilvl w:val="0"/>
          <w:numId w:val="0"/>
        </w:numPr>
        <w:ind w:left="426" w:hanging="426"/>
        <w:rPr>
          <w:rFonts w:ascii="Arial" w:hAnsi="Arial" w:cs="Arial"/>
        </w:rPr>
      </w:pPr>
    </w:p>
    <w:p w14:paraId="47E6B9C1" w14:textId="77777777" w:rsidR="0002671F" w:rsidRDefault="0002671F">
      <w:pPr>
        <w:pStyle w:val="ORDERFORML1PraraNo"/>
        <w:numPr>
          <w:ilvl w:val="0"/>
          <w:numId w:val="0"/>
        </w:numPr>
        <w:ind w:left="426" w:hanging="426"/>
        <w:rPr>
          <w:rFonts w:ascii="Arial" w:hAnsi="Arial" w:cs="Arial"/>
        </w:rPr>
      </w:pPr>
    </w:p>
    <w:p w14:paraId="79710417" w14:textId="77777777" w:rsidR="0002671F" w:rsidRDefault="0002671F">
      <w:pPr>
        <w:pStyle w:val="ORDERFORML1PraraNo"/>
        <w:numPr>
          <w:ilvl w:val="0"/>
          <w:numId w:val="0"/>
        </w:numPr>
        <w:ind w:left="426" w:hanging="426"/>
        <w:rPr>
          <w:rFonts w:ascii="Arial" w:hAnsi="Arial" w:cs="Arial"/>
        </w:rPr>
      </w:pPr>
    </w:p>
    <w:p w14:paraId="7FB6E488" w14:textId="77777777" w:rsidR="0002671F" w:rsidRDefault="0002671F">
      <w:pPr>
        <w:pStyle w:val="ORDERFORML1PraraNo"/>
        <w:numPr>
          <w:ilvl w:val="0"/>
          <w:numId w:val="0"/>
        </w:numPr>
        <w:ind w:left="426" w:hanging="426"/>
        <w:rPr>
          <w:rFonts w:ascii="Arial" w:hAnsi="Arial" w:cs="Arial"/>
        </w:rPr>
      </w:pPr>
    </w:p>
    <w:p w14:paraId="266A311D" w14:textId="77777777" w:rsidR="0002671F" w:rsidRDefault="0002671F">
      <w:pPr>
        <w:pStyle w:val="ORDERFORML1PraraNo"/>
        <w:numPr>
          <w:ilvl w:val="0"/>
          <w:numId w:val="0"/>
        </w:numPr>
        <w:ind w:left="426" w:hanging="426"/>
        <w:rPr>
          <w:rFonts w:ascii="Arial" w:hAnsi="Arial" w:cs="Arial"/>
        </w:rPr>
      </w:pPr>
    </w:p>
    <w:p w14:paraId="52EAFB2D" w14:textId="77777777" w:rsidR="0002671F" w:rsidRDefault="0002671F">
      <w:pPr>
        <w:pStyle w:val="ORDERFORML1PraraNo"/>
        <w:numPr>
          <w:ilvl w:val="0"/>
          <w:numId w:val="0"/>
        </w:numPr>
        <w:ind w:left="426" w:hanging="426"/>
        <w:rPr>
          <w:rFonts w:ascii="Arial" w:hAnsi="Arial" w:cs="Arial"/>
        </w:rPr>
      </w:pPr>
    </w:p>
    <w:p w14:paraId="1BB2DECB" w14:textId="77777777" w:rsidR="0002671F" w:rsidRDefault="0002671F">
      <w:pPr>
        <w:pStyle w:val="ORDERFORML1PraraNo"/>
        <w:numPr>
          <w:ilvl w:val="0"/>
          <w:numId w:val="0"/>
        </w:numPr>
        <w:ind w:left="426" w:hanging="426"/>
        <w:rPr>
          <w:rFonts w:ascii="Arial" w:hAnsi="Arial" w:cs="Arial"/>
        </w:rPr>
      </w:pPr>
    </w:p>
    <w:p w14:paraId="3819C55F" w14:textId="77777777" w:rsidR="0002671F" w:rsidRDefault="0002671F">
      <w:pPr>
        <w:pStyle w:val="ORDERFORML1PraraNo"/>
        <w:numPr>
          <w:ilvl w:val="0"/>
          <w:numId w:val="0"/>
        </w:numPr>
        <w:ind w:left="426" w:hanging="426"/>
        <w:rPr>
          <w:rFonts w:ascii="Arial" w:hAnsi="Arial" w:cs="Arial"/>
        </w:rPr>
      </w:pPr>
    </w:p>
    <w:p w14:paraId="4FB5AD1F" w14:textId="77777777" w:rsidR="0002671F" w:rsidRDefault="0002671F">
      <w:pPr>
        <w:pStyle w:val="ORDERFORML1PraraNo"/>
        <w:numPr>
          <w:ilvl w:val="0"/>
          <w:numId w:val="0"/>
        </w:numPr>
        <w:ind w:left="426" w:hanging="426"/>
        <w:rPr>
          <w:rFonts w:ascii="Arial" w:hAnsi="Arial" w:cs="Arial"/>
        </w:rPr>
      </w:pPr>
    </w:p>
    <w:p w14:paraId="07BF4F6A" w14:textId="77777777" w:rsidR="0002671F" w:rsidRDefault="0002671F">
      <w:pPr>
        <w:pStyle w:val="ORDERFORML1PraraNo"/>
        <w:numPr>
          <w:ilvl w:val="0"/>
          <w:numId w:val="0"/>
        </w:numPr>
        <w:ind w:left="426" w:hanging="426"/>
        <w:rPr>
          <w:rFonts w:ascii="Arial" w:hAnsi="Arial" w:cs="Arial"/>
        </w:rPr>
      </w:pPr>
    </w:p>
    <w:p w14:paraId="51563E1E" w14:textId="77777777" w:rsidR="0002671F" w:rsidRPr="00B91478" w:rsidRDefault="0002671F">
      <w:pPr>
        <w:pStyle w:val="ORDERFORML1PraraNo"/>
        <w:numPr>
          <w:ilvl w:val="0"/>
          <w:numId w:val="0"/>
        </w:numPr>
        <w:ind w:left="426" w:hanging="426"/>
        <w:rPr>
          <w:rFonts w:ascii="Arial" w:hAnsi="Arial" w:cs="Arial"/>
        </w:rPr>
      </w:pPr>
    </w:p>
    <w:p w14:paraId="743CC529" w14:textId="2122CF56" w:rsidR="004E05DC" w:rsidRDefault="00F770DB" w:rsidP="0002671F">
      <w:pPr>
        <w:pStyle w:val="ORDERFORML1PraraNo"/>
        <w:rPr>
          <w:rFonts w:ascii="Arial" w:hAnsi="Arial" w:cs="Arial"/>
        </w:rPr>
      </w:pPr>
      <w:r w:rsidRPr="00B91478">
        <w:rPr>
          <w:rFonts w:ascii="Arial" w:hAnsi="Arial" w:cs="Arial"/>
        </w:rPr>
        <w:t>Services</w:t>
      </w:r>
    </w:p>
    <w:p w14:paraId="7499EFF8" w14:textId="77777777" w:rsidR="0002671F" w:rsidRPr="0002671F" w:rsidRDefault="0002671F" w:rsidP="0002671F">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081"/>
      </w:tblGrid>
      <w:tr w:rsidR="00976F5B" w:rsidRPr="00B91478" w14:paraId="557BDC08" w14:textId="77777777" w:rsidTr="00337A6A">
        <w:trPr>
          <w:trHeight w:val="2967"/>
        </w:trPr>
        <w:tc>
          <w:tcPr>
            <w:tcW w:w="553" w:type="dxa"/>
          </w:tcPr>
          <w:p w14:paraId="5A64A6E3" w14:textId="4E181A2A" w:rsidR="00976F5B" w:rsidRPr="00B91478" w:rsidRDefault="00976F5B">
            <w:pPr>
              <w:pStyle w:val="11table"/>
              <w:numPr>
                <w:ilvl w:val="0"/>
                <w:numId w:val="0"/>
              </w:numPr>
              <w:ind w:left="360" w:hanging="360"/>
              <w:rPr>
                <w:rFonts w:ascii="Arial" w:hAnsi="Arial" w:cs="Arial"/>
              </w:rPr>
            </w:pPr>
            <w:r w:rsidRPr="00B91478">
              <w:rPr>
                <w:rFonts w:ascii="Arial" w:hAnsi="Arial" w:cs="Arial"/>
              </w:rPr>
              <w:t>2.1</w:t>
            </w:r>
            <w:r w:rsidR="00EE3CF8">
              <w:rPr>
                <w:rFonts w:ascii="Arial" w:hAnsi="Arial" w:cs="Arial"/>
              </w:rPr>
              <w:t xml:space="preserve">    </w:t>
            </w:r>
            <w:r w:rsidRPr="00B91478">
              <w:rPr>
                <w:rFonts w:ascii="Arial" w:hAnsi="Arial" w:cs="Arial"/>
              </w:rPr>
              <w:t xml:space="preserve">.  </w:t>
            </w:r>
          </w:p>
        </w:tc>
        <w:tc>
          <w:tcPr>
            <w:tcW w:w="9081" w:type="dxa"/>
            <w:shd w:val="clear" w:color="auto" w:fill="auto"/>
          </w:tcPr>
          <w:p w14:paraId="62632901" w14:textId="77777777" w:rsidR="00976F5B" w:rsidRPr="00B91478" w:rsidRDefault="00976F5B">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46E56FA" w14:textId="77777777" w:rsidR="00EE3CF8" w:rsidRPr="00B91478" w:rsidRDefault="00EE3CF8">
            <w:pPr>
              <w:numPr>
                <w:ilvl w:val="1"/>
                <w:numId w:val="0"/>
              </w:numPr>
              <w:overflowPunct/>
              <w:autoSpaceDE/>
              <w:autoSpaceDN/>
              <w:spacing w:after="0"/>
              <w:jc w:val="left"/>
              <w:textAlignment w:val="auto"/>
              <w:rPr>
                <w:rFonts w:eastAsia="STZhongsong"/>
                <w:lang w:eastAsia="zh-CN"/>
              </w:rPr>
            </w:pPr>
          </w:p>
          <w:p w14:paraId="7057A885" w14:textId="77777777" w:rsidR="00976F5B" w:rsidRDefault="00976F5B">
            <w:pPr>
              <w:numPr>
                <w:ilvl w:val="1"/>
                <w:numId w:val="0"/>
              </w:numPr>
              <w:overflowPunct/>
              <w:autoSpaceDE/>
              <w:autoSpaceDN/>
              <w:spacing w:after="0"/>
              <w:jc w:val="left"/>
              <w:textAlignment w:val="auto"/>
              <w:rPr>
                <w:rFonts w:eastAsia="STZhongsong"/>
                <w:lang w:eastAsia="zh-CN"/>
              </w:rPr>
            </w:pPr>
            <w:r w:rsidRPr="00B91478">
              <w:rPr>
                <w:rFonts w:eastAsia="STZhongsong"/>
                <w:lang w:eastAsia="zh-CN"/>
              </w:rPr>
              <w:t>In Call Off Schedule 2 (Services)</w:t>
            </w:r>
          </w:p>
          <w:p w14:paraId="6DE8F4CB" w14:textId="77777777" w:rsidR="00337A6A" w:rsidRDefault="00337A6A">
            <w:pPr>
              <w:numPr>
                <w:ilvl w:val="1"/>
                <w:numId w:val="0"/>
              </w:numPr>
              <w:overflowPunct/>
              <w:autoSpaceDE/>
              <w:autoSpaceDN/>
              <w:spacing w:after="0"/>
              <w:jc w:val="left"/>
              <w:textAlignment w:val="auto"/>
              <w:rPr>
                <w:rFonts w:eastAsia="STZhongsong"/>
                <w:lang w:eastAsia="zh-CN"/>
              </w:rPr>
            </w:pPr>
          </w:p>
          <w:p w14:paraId="379889D1" w14:textId="64C47CBF" w:rsidR="00337A6A" w:rsidRDefault="004763C6" w:rsidP="00EE3CF8">
            <w:pPr>
              <w:numPr>
                <w:ilvl w:val="1"/>
                <w:numId w:val="0"/>
              </w:numPr>
              <w:tabs>
                <w:tab w:val="left" w:pos="610"/>
              </w:tabs>
              <w:overflowPunct/>
              <w:autoSpaceDE/>
              <w:autoSpaceDN/>
              <w:spacing w:after="0"/>
              <w:jc w:val="left"/>
              <w:textAlignment w:val="auto"/>
              <w:rPr>
                <w:rFonts w:eastAsia="STZhongsong"/>
                <w:lang w:eastAsia="zh-CN"/>
              </w:rPr>
            </w:pPr>
            <w:r>
              <w:rPr>
                <w:rFonts w:eastAsia="STZhongsong"/>
                <w:lang w:eastAsia="zh-CN"/>
              </w:rPr>
              <w:t>The S</w:t>
            </w:r>
            <w:r w:rsidR="00337A6A">
              <w:rPr>
                <w:rFonts w:eastAsia="STZhongsong"/>
                <w:lang w:eastAsia="zh-CN"/>
              </w:rPr>
              <w:t xml:space="preserve">ervices required are to provide strategic consultancy </w:t>
            </w:r>
            <w:r w:rsidR="00704E3F">
              <w:rPr>
                <w:rFonts w:eastAsia="STZhongsong"/>
                <w:lang w:eastAsia="zh-CN"/>
              </w:rPr>
              <w:t>S</w:t>
            </w:r>
            <w:r w:rsidR="00337A6A">
              <w:rPr>
                <w:rFonts w:eastAsia="STZhongsong"/>
                <w:lang w:eastAsia="zh-CN"/>
              </w:rPr>
              <w:t xml:space="preserve">ervices to assist with </w:t>
            </w:r>
            <w:r w:rsidR="002F6F3D">
              <w:rPr>
                <w:rFonts w:eastAsia="STZhongsong"/>
                <w:lang w:eastAsia="zh-CN"/>
              </w:rPr>
              <w:t xml:space="preserve">the </w:t>
            </w:r>
            <w:r w:rsidR="00EE3CF8">
              <w:rPr>
                <w:rFonts w:eastAsia="STZhongsong"/>
                <w:lang w:eastAsia="zh-CN"/>
              </w:rPr>
              <w:t xml:space="preserve">  </w:t>
            </w:r>
            <w:r w:rsidR="002F6F3D">
              <w:rPr>
                <w:rFonts w:eastAsia="STZhongsong"/>
                <w:lang w:eastAsia="zh-CN"/>
              </w:rPr>
              <w:t>Customer</w:t>
            </w:r>
            <w:r w:rsidR="00EE3CF8">
              <w:rPr>
                <w:rFonts w:eastAsia="STZhongsong"/>
                <w:lang w:eastAsia="zh-CN"/>
              </w:rPr>
              <w:t>’s Sourcing 2020 Programme.</w:t>
            </w:r>
          </w:p>
          <w:p w14:paraId="22053470" w14:textId="77777777" w:rsidR="00EE3CF8" w:rsidRDefault="00EE3CF8">
            <w:pPr>
              <w:numPr>
                <w:ilvl w:val="1"/>
                <w:numId w:val="0"/>
              </w:numPr>
              <w:overflowPunct/>
              <w:autoSpaceDE/>
              <w:autoSpaceDN/>
              <w:spacing w:after="0"/>
              <w:jc w:val="left"/>
              <w:textAlignment w:val="auto"/>
              <w:rPr>
                <w:rFonts w:eastAsia="STZhongsong"/>
                <w:lang w:eastAsia="zh-CN"/>
              </w:rPr>
            </w:pPr>
          </w:p>
          <w:p w14:paraId="19AFB1A5" w14:textId="10FBF7C6" w:rsidR="00EE3CF8" w:rsidRDefault="00EE3CF8" w:rsidP="00EE3CF8">
            <w:pPr>
              <w:overflowPunct/>
              <w:autoSpaceDE/>
              <w:autoSpaceDN/>
              <w:adjustRightInd/>
              <w:spacing w:after="0"/>
              <w:ind w:left="0"/>
              <w:jc w:val="left"/>
              <w:textAlignment w:val="auto"/>
              <w:rPr>
                <w:bCs/>
              </w:rPr>
            </w:pPr>
            <w:r w:rsidRPr="001E1DF1">
              <w:rPr>
                <w:bCs/>
              </w:rPr>
              <w:t xml:space="preserve">The </w:t>
            </w:r>
            <w:r w:rsidR="0067076D">
              <w:rPr>
                <w:bCs/>
              </w:rPr>
              <w:t>Supplier</w:t>
            </w:r>
            <w:r w:rsidRPr="001E1DF1">
              <w:rPr>
                <w:bCs/>
              </w:rPr>
              <w:t xml:space="preserve"> will work with the </w:t>
            </w:r>
            <w:r w:rsidR="002F6F3D">
              <w:rPr>
                <w:bCs/>
              </w:rPr>
              <w:t>Customer’s</w:t>
            </w:r>
            <w:r w:rsidRPr="001E1DF1">
              <w:rPr>
                <w:bCs/>
              </w:rPr>
              <w:t xml:space="preserve"> team to provide </w:t>
            </w:r>
            <w:r>
              <w:rPr>
                <w:bCs/>
              </w:rPr>
              <w:t xml:space="preserve">leading practice supply market and category planning support which will be combined </w:t>
            </w:r>
            <w:r w:rsidRPr="001E1DF1">
              <w:rPr>
                <w:bCs/>
              </w:rPr>
              <w:t>with internal inputs to reach an agreed set of</w:t>
            </w:r>
            <w:r>
              <w:rPr>
                <w:bCs/>
              </w:rPr>
              <w:t xml:space="preserve"> plans</w:t>
            </w:r>
            <w:r w:rsidRPr="001E1DF1">
              <w:rPr>
                <w:bCs/>
              </w:rPr>
              <w:t xml:space="preserve"> </w:t>
            </w:r>
            <w:r>
              <w:rPr>
                <w:bCs/>
              </w:rPr>
              <w:t>and an approach to execute</w:t>
            </w:r>
            <w:r w:rsidRPr="001E1DF1">
              <w:rPr>
                <w:bCs/>
              </w:rPr>
              <w:t xml:space="preserve"> that will meet HMRC’</w:t>
            </w:r>
            <w:r>
              <w:rPr>
                <w:bCs/>
              </w:rPr>
              <w:t>s needs.</w:t>
            </w:r>
          </w:p>
          <w:p w14:paraId="337F1C53" w14:textId="77777777" w:rsidR="00EE3CF8" w:rsidRPr="001E1DF1" w:rsidRDefault="00EE3CF8" w:rsidP="00EE3CF8">
            <w:pPr>
              <w:overflowPunct/>
              <w:autoSpaceDE/>
              <w:autoSpaceDN/>
              <w:adjustRightInd/>
              <w:spacing w:after="0"/>
              <w:ind w:left="0"/>
              <w:jc w:val="left"/>
              <w:textAlignment w:val="auto"/>
              <w:rPr>
                <w:bCs/>
              </w:rPr>
            </w:pPr>
          </w:p>
          <w:p w14:paraId="043EC6B6" w14:textId="60F285AC" w:rsidR="00EE3CF8" w:rsidRPr="001E1DF1" w:rsidRDefault="00EE3CF8" w:rsidP="00EE3CF8">
            <w:pPr>
              <w:overflowPunct/>
              <w:autoSpaceDE/>
              <w:autoSpaceDN/>
              <w:adjustRightInd/>
              <w:spacing w:after="120"/>
              <w:ind w:left="0"/>
              <w:jc w:val="left"/>
              <w:textAlignment w:val="auto"/>
              <w:rPr>
                <w:bCs/>
              </w:rPr>
            </w:pPr>
            <w:r w:rsidRPr="001E1DF1">
              <w:rPr>
                <w:bCs/>
              </w:rPr>
              <w:t xml:space="preserve">To enable </w:t>
            </w:r>
            <w:r w:rsidR="002F6F3D">
              <w:rPr>
                <w:bCs/>
              </w:rPr>
              <w:t>the Customer</w:t>
            </w:r>
            <w:r w:rsidRPr="001E1DF1">
              <w:rPr>
                <w:bCs/>
              </w:rPr>
              <w:t xml:space="preserve"> to fully understand “the art of the possible” and better understand best-practice </w:t>
            </w:r>
            <w:r>
              <w:rPr>
                <w:bCs/>
              </w:rPr>
              <w:t xml:space="preserve">technology solutions for end-to-end tax user </w:t>
            </w:r>
            <w:r w:rsidR="00704E3F">
              <w:rPr>
                <w:bCs/>
              </w:rPr>
              <w:t>S</w:t>
            </w:r>
            <w:r>
              <w:rPr>
                <w:bCs/>
              </w:rPr>
              <w:t>ervices</w:t>
            </w:r>
            <w:r w:rsidRPr="001E1DF1">
              <w:rPr>
                <w:bCs/>
              </w:rPr>
              <w:t xml:space="preserve">, the </w:t>
            </w:r>
            <w:r w:rsidR="0067076D">
              <w:rPr>
                <w:bCs/>
              </w:rPr>
              <w:t>Supplier</w:t>
            </w:r>
            <w:r w:rsidRPr="001E1DF1">
              <w:rPr>
                <w:bCs/>
              </w:rPr>
              <w:t xml:space="preserve"> must:</w:t>
            </w:r>
          </w:p>
          <w:p w14:paraId="7759D755" w14:textId="77777777" w:rsidR="00EE3CF8" w:rsidRPr="00662421" w:rsidRDefault="00EE3CF8" w:rsidP="001529B7">
            <w:pPr>
              <w:pStyle w:val="ListParagraph"/>
              <w:numPr>
                <w:ilvl w:val="0"/>
                <w:numId w:val="18"/>
              </w:numPr>
              <w:overflowPunct/>
              <w:autoSpaceDE/>
              <w:autoSpaceDN/>
              <w:adjustRightInd/>
              <w:spacing w:after="0"/>
              <w:jc w:val="left"/>
              <w:textAlignment w:val="auto"/>
            </w:pPr>
            <w:r w:rsidRPr="00662421">
              <w:t>bring external, best</w:t>
            </w:r>
            <w:r>
              <w:t>-practice experience of</w:t>
            </w:r>
            <w:r w:rsidRPr="00662421">
              <w:t xml:space="preserve"> tax authorities</w:t>
            </w:r>
            <w:r>
              <w:t xml:space="preserve"> or best-of-breed public-sector bodies</w:t>
            </w:r>
            <w:r w:rsidRPr="00662421">
              <w:t xml:space="preserve"> </w:t>
            </w:r>
            <w:r>
              <w:t xml:space="preserve">and their </w:t>
            </w:r>
            <w:r w:rsidRPr="00662421">
              <w:t>enabling technology;</w:t>
            </w:r>
          </w:p>
          <w:p w14:paraId="4CA6BFF4" w14:textId="77777777" w:rsidR="00EE3CF8" w:rsidRPr="00662421" w:rsidRDefault="00EE3CF8" w:rsidP="001529B7">
            <w:pPr>
              <w:pStyle w:val="ListParagraph"/>
              <w:numPr>
                <w:ilvl w:val="0"/>
                <w:numId w:val="18"/>
              </w:numPr>
              <w:overflowPunct/>
              <w:autoSpaceDE/>
              <w:autoSpaceDN/>
              <w:adjustRightInd/>
              <w:spacing w:after="0"/>
              <w:jc w:val="left"/>
              <w:textAlignment w:val="auto"/>
            </w:pPr>
            <w:proofErr w:type="gramStart"/>
            <w:r w:rsidRPr="00662421">
              <w:t>be</w:t>
            </w:r>
            <w:proofErr w:type="gramEnd"/>
            <w:r w:rsidRPr="00662421">
              <w:t xml:space="preserve"> able to advise on the emerging trends which will significantly impact best-practice in the coming 3-5 years.</w:t>
            </w:r>
          </w:p>
          <w:p w14:paraId="341ED905" w14:textId="77777777" w:rsidR="00EE3CF8" w:rsidRPr="00662421" w:rsidRDefault="00EE3CF8" w:rsidP="001529B7">
            <w:pPr>
              <w:pStyle w:val="ListParagraph"/>
              <w:numPr>
                <w:ilvl w:val="0"/>
                <w:numId w:val="18"/>
              </w:numPr>
              <w:overflowPunct/>
              <w:autoSpaceDE/>
              <w:autoSpaceDN/>
              <w:adjustRightInd/>
              <w:spacing w:after="0"/>
              <w:jc w:val="left"/>
              <w:textAlignment w:val="auto"/>
            </w:pPr>
            <w:r w:rsidRPr="00662421">
              <w:t xml:space="preserve">potentially facilitate supplier days to enable the HMRC expert teams to understand existing and emerging best-practice; and </w:t>
            </w:r>
          </w:p>
          <w:p w14:paraId="1E786571" w14:textId="77777777" w:rsidR="00EE3CF8" w:rsidRDefault="00EE3CF8" w:rsidP="001529B7">
            <w:pPr>
              <w:pStyle w:val="ListParagraph"/>
              <w:numPr>
                <w:ilvl w:val="0"/>
                <w:numId w:val="18"/>
              </w:numPr>
              <w:overflowPunct/>
              <w:autoSpaceDE/>
              <w:autoSpaceDN/>
              <w:adjustRightInd/>
              <w:spacing w:after="0"/>
              <w:jc w:val="left"/>
              <w:textAlignment w:val="auto"/>
            </w:pPr>
            <w:proofErr w:type="gramStart"/>
            <w:r w:rsidRPr="00662421">
              <w:t>challenge</w:t>
            </w:r>
            <w:proofErr w:type="gramEnd"/>
            <w:r w:rsidRPr="00662421">
              <w:t xml:space="preserve"> constructively existing HMRC practice in the areas of technology provision.</w:t>
            </w:r>
          </w:p>
          <w:p w14:paraId="355E8B0B" w14:textId="77777777" w:rsidR="00337A6A" w:rsidRDefault="00337A6A">
            <w:pPr>
              <w:numPr>
                <w:ilvl w:val="1"/>
                <w:numId w:val="0"/>
              </w:numPr>
              <w:overflowPunct/>
              <w:autoSpaceDE/>
              <w:autoSpaceDN/>
              <w:spacing w:after="0"/>
              <w:jc w:val="left"/>
              <w:textAlignment w:val="auto"/>
              <w:rPr>
                <w:rFonts w:eastAsia="STZhongsong"/>
                <w:b/>
                <w:lang w:eastAsia="zh-CN"/>
              </w:rPr>
            </w:pPr>
          </w:p>
          <w:p w14:paraId="50C4A378" w14:textId="41888599" w:rsidR="00EE3CF8" w:rsidRDefault="00EE3CF8" w:rsidP="001529B7">
            <w:pPr>
              <w:numPr>
                <w:ilvl w:val="1"/>
                <w:numId w:val="0"/>
              </w:numPr>
              <w:overflowPunct/>
              <w:autoSpaceDE/>
              <w:autoSpaceDN/>
              <w:spacing w:after="0"/>
              <w:jc w:val="left"/>
              <w:textAlignment w:val="auto"/>
              <w:rPr>
                <w:rFonts w:eastAsia="STZhongsong"/>
                <w:lang w:eastAsia="zh-CN"/>
              </w:rPr>
            </w:pPr>
            <w:r>
              <w:rPr>
                <w:rFonts w:eastAsia="STZhongsong"/>
                <w:lang w:eastAsia="zh-CN"/>
              </w:rPr>
              <w:t xml:space="preserve">Throughout the term of the contract, </w:t>
            </w:r>
            <w:r w:rsidR="002F6F3D">
              <w:rPr>
                <w:rFonts w:eastAsia="STZhongsong"/>
                <w:lang w:eastAsia="zh-CN"/>
              </w:rPr>
              <w:t>the Customer</w:t>
            </w:r>
            <w:r w:rsidR="001529B7">
              <w:rPr>
                <w:rFonts w:eastAsia="STZhongsong"/>
                <w:lang w:eastAsia="zh-CN"/>
              </w:rPr>
              <w:t xml:space="preserve"> w</w:t>
            </w:r>
            <w:r w:rsidR="002F6F3D">
              <w:rPr>
                <w:rFonts w:eastAsia="STZhongsong"/>
                <w:lang w:eastAsia="zh-CN"/>
              </w:rPr>
              <w:t>i</w:t>
            </w:r>
            <w:r w:rsidR="001529B7">
              <w:rPr>
                <w:rFonts w:eastAsia="STZhongsong"/>
                <w:lang w:eastAsia="zh-CN"/>
              </w:rPr>
              <w:t>ll be permitted to request using a Statement of Work</w:t>
            </w:r>
            <w:r w:rsidR="004763C6">
              <w:rPr>
                <w:rFonts w:eastAsia="STZhongsong"/>
                <w:lang w:eastAsia="zh-CN"/>
              </w:rPr>
              <w:t>s package format</w:t>
            </w:r>
            <w:r w:rsidR="002F6F3D">
              <w:rPr>
                <w:rFonts w:eastAsia="STZhongsong"/>
                <w:lang w:eastAsia="zh-CN"/>
              </w:rPr>
              <w:t>, but no commitment is given to the extent as to which further Statement of Works packages will be commissioned.</w:t>
            </w:r>
          </w:p>
          <w:p w14:paraId="22C00FBB" w14:textId="77777777" w:rsidR="001529B7" w:rsidRDefault="001529B7" w:rsidP="001529B7">
            <w:pPr>
              <w:numPr>
                <w:ilvl w:val="1"/>
                <w:numId w:val="0"/>
              </w:numPr>
              <w:overflowPunct/>
              <w:autoSpaceDE/>
              <w:autoSpaceDN/>
              <w:spacing w:after="0"/>
              <w:jc w:val="left"/>
              <w:textAlignment w:val="auto"/>
              <w:rPr>
                <w:rFonts w:eastAsia="STZhongsong"/>
                <w:lang w:eastAsia="zh-CN"/>
              </w:rPr>
            </w:pPr>
          </w:p>
          <w:p w14:paraId="5CB92C20" w14:textId="52FF12F7" w:rsidR="001529B7" w:rsidRDefault="001529B7" w:rsidP="001529B7">
            <w:pPr>
              <w:numPr>
                <w:ilvl w:val="1"/>
                <w:numId w:val="0"/>
              </w:numPr>
              <w:overflowPunct/>
              <w:autoSpaceDE/>
              <w:autoSpaceDN/>
              <w:spacing w:after="0"/>
              <w:jc w:val="left"/>
              <w:textAlignment w:val="auto"/>
              <w:rPr>
                <w:rFonts w:eastAsia="STZhongsong"/>
                <w:lang w:eastAsia="zh-CN"/>
              </w:rPr>
            </w:pPr>
            <w:r>
              <w:rPr>
                <w:rFonts w:eastAsia="STZhongsong"/>
                <w:lang w:eastAsia="zh-CN"/>
              </w:rPr>
              <w:t xml:space="preserve">The </w:t>
            </w:r>
            <w:r w:rsidR="00704E3F">
              <w:rPr>
                <w:rFonts w:eastAsia="STZhongsong"/>
                <w:lang w:eastAsia="zh-CN"/>
              </w:rPr>
              <w:t>S</w:t>
            </w:r>
            <w:r>
              <w:rPr>
                <w:rFonts w:eastAsia="STZhongsong"/>
                <w:lang w:eastAsia="zh-CN"/>
              </w:rPr>
              <w:t xml:space="preserve">ervices required for the </w:t>
            </w:r>
            <w:r w:rsidR="00F224CA">
              <w:rPr>
                <w:rFonts w:eastAsia="STZhongsong"/>
                <w:lang w:eastAsia="zh-CN"/>
              </w:rPr>
              <w:t>first Statement of Work package</w:t>
            </w:r>
            <w:r>
              <w:rPr>
                <w:rFonts w:eastAsia="STZhongsong"/>
                <w:lang w:eastAsia="zh-CN"/>
              </w:rPr>
              <w:t xml:space="preserve"> are as per our Request for Proposal document: </w:t>
            </w:r>
          </w:p>
          <w:p w14:paraId="277CCFEF" w14:textId="34A3229D" w:rsidR="001529B7" w:rsidRDefault="001529B7" w:rsidP="001529B7">
            <w:pPr>
              <w:pStyle w:val="ListParagraph"/>
              <w:numPr>
                <w:ilvl w:val="0"/>
                <w:numId w:val="19"/>
              </w:numPr>
              <w:overflowPunct/>
              <w:autoSpaceDE/>
              <w:autoSpaceDN/>
              <w:spacing w:after="0"/>
              <w:jc w:val="left"/>
              <w:textAlignment w:val="auto"/>
              <w:rPr>
                <w:rFonts w:eastAsia="STZhongsong"/>
                <w:lang w:eastAsia="zh-CN"/>
              </w:rPr>
            </w:pPr>
            <w:r>
              <w:rPr>
                <w:rFonts w:eastAsia="STZhongsong"/>
                <w:lang w:eastAsia="zh-CN"/>
              </w:rPr>
              <w:t>R</w:t>
            </w:r>
            <w:r w:rsidRPr="001529B7">
              <w:rPr>
                <w:rFonts w:eastAsia="STZhongsong"/>
                <w:lang w:eastAsia="zh-CN"/>
              </w:rPr>
              <w:t>eference</w:t>
            </w:r>
            <w:r>
              <w:rPr>
                <w:rFonts w:eastAsia="STZhongsong"/>
                <w:lang w:eastAsia="zh-CN"/>
              </w:rPr>
              <w:t xml:space="preserve"> - SR219917702</w:t>
            </w:r>
          </w:p>
          <w:p w14:paraId="6DE1598B" w14:textId="7173A538" w:rsidR="001529B7" w:rsidRDefault="001529B7" w:rsidP="001529B7">
            <w:pPr>
              <w:pStyle w:val="ListParagraph"/>
              <w:numPr>
                <w:ilvl w:val="0"/>
                <w:numId w:val="19"/>
              </w:numPr>
              <w:overflowPunct/>
              <w:autoSpaceDE/>
              <w:autoSpaceDN/>
              <w:spacing w:after="0"/>
              <w:jc w:val="left"/>
              <w:textAlignment w:val="auto"/>
              <w:rPr>
                <w:rFonts w:eastAsia="STZhongsong"/>
                <w:lang w:eastAsia="zh-CN"/>
              </w:rPr>
            </w:pPr>
            <w:r>
              <w:rPr>
                <w:rFonts w:eastAsia="STZhongsong"/>
                <w:lang w:eastAsia="zh-CN"/>
              </w:rPr>
              <w:t>T</w:t>
            </w:r>
            <w:r w:rsidRPr="001529B7">
              <w:rPr>
                <w:rFonts w:eastAsia="STZhongsong"/>
                <w:lang w:eastAsia="zh-CN"/>
              </w:rPr>
              <w:t xml:space="preserve">itled </w:t>
            </w:r>
            <w:r>
              <w:rPr>
                <w:rFonts w:eastAsia="STZhongsong"/>
                <w:lang w:eastAsia="zh-CN"/>
              </w:rPr>
              <w:t xml:space="preserve">- </w:t>
            </w:r>
            <w:r w:rsidRPr="001529B7">
              <w:rPr>
                <w:rFonts w:eastAsia="STZhongsong"/>
                <w:lang w:eastAsia="zh-CN"/>
              </w:rPr>
              <w:t xml:space="preserve">Sourcing 2020 Consultancy Support </w:t>
            </w:r>
          </w:p>
          <w:p w14:paraId="2A4C1C6C" w14:textId="77777777" w:rsidR="001529B7" w:rsidRDefault="001529B7" w:rsidP="001529B7">
            <w:pPr>
              <w:pStyle w:val="ListParagraph"/>
              <w:numPr>
                <w:ilvl w:val="0"/>
                <w:numId w:val="19"/>
              </w:numPr>
              <w:overflowPunct/>
              <w:autoSpaceDE/>
              <w:autoSpaceDN/>
              <w:spacing w:after="0"/>
              <w:jc w:val="left"/>
              <w:textAlignment w:val="auto"/>
              <w:rPr>
                <w:rFonts w:eastAsia="STZhongsong"/>
                <w:lang w:eastAsia="zh-CN"/>
              </w:rPr>
            </w:pPr>
            <w:r>
              <w:rPr>
                <w:rFonts w:eastAsia="STZhongsong"/>
                <w:lang w:eastAsia="zh-CN"/>
              </w:rPr>
              <w:t>D</w:t>
            </w:r>
            <w:r w:rsidRPr="001529B7">
              <w:rPr>
                <w:rFonts w:eastAsia="STZhongsong"/>
                <w:lang w:eastAsia="zh-CN"/>
              </w:rPr>
              <w:t xml:space="preserve">ated </w:t>
            </w:r>
            <w:r>
              <w:rPr>
                <w:rFonts w:eastAsia="STZhongsong"/>
                <w:lang w:eastAsia="zh-CN"/>
              </w:rPr>
              <w:t xml:space="preserve">- </w:t>
            </w:r>
            <w:r w:rsidRPr="001529B7">
              <w:rPr>
                <w:rFonts w:eastAsia="STZhongsong"/>
                <w:lang w:eastAsia="zh-CN"/>
              </w:rPr>
              <w:t>03 July 2019</w:t>
            </w:r>
          </w:p>
          <w:p w14:paraId="2CDD36F2" w14:textId="77777777" w:rsidR="001529B7" w:rsidRDefault="001529B7" w:rsidP="001529B7">
            <w:pPr>
              <w:overflowPunct/>
              <w:autoSpaceDE/>
              <w:autoSpaceDN/>
              <w:spacing w:after="0"/>
              <w:ind w:left="0"/>
              <w:jc w:val="left"/>
              <w:textAlignment w:val="auto"/>
              <w:rPr>
                <w:rFonts w:eastAsia="STZhongsong"/>
                <w:lang w:eastAsia="zh-CN"/>
              </w:rPr>
            </w:pPr>
            <w:r>
              <w:rPr>
                <w:rFonts w:eastAsia="STZhongsong"/>
                <w:lang w:eastAsia="zh-CN"/>
              </w:rPr>
              <w:t>As embedded below and as provided as an annex at the end of this Order Form in the signed DocuSign version of this contract.</w:t>
            </w:r>
          </w:p>
          <w:p w14:paraId="175055A8" w14:textId="77777777" w:rsidR="001529B7" w:rsidRDefault="001529B7" w:rsidP="001529B7">
            <w:pPr>
              <w:overflowPunct/>
              <w:autoSpaceDE/>
              <w:autoSpaceDN/>
              <w:spacing w:after="0"/>
              <w:ind w:left="0"/>
              <w:jc w:val="left"/>
              <w:textAlignment w:val="auto"/>
              <w:rPr>
                <w:rFonts w:eastAsia="STZhongsong"/>
                <w:lang w:eastAsia="zh-CN"/>
              </w:rPr>
            </w:pPr>
          </w:p>
          <w:p w14:paraId="752EDE1C" w14:textId="5E338E8E" w:rsidR="00440933" w:rsidRDefault="00B81675" w:rsidP="001529B7">
            <w:pPr>
              <w:overflowPunct/>
              <w:autoSpaceDE/>
              <w:autoSpaceDN/>
              <w:spacing w:after="0"/>
              <w:ind w:left="0"/>
              <w:jc w:val="left"/>
              <w:textAlignment w:val="auto"/>
              <w:rPr>
                <w:rFonts w:eastAsia="STZhongsong"/>
                <w:lang w:eastAsia="zh-CN"/>
              </w:rPr>
            </w:pPr>
            <w:r>
              <w:rPr>
                <w:rFonts w:eastAsia="STZhongsong"/>
                <w:lang w:eastAsia="zh-CN"/>
              </w:rPr>
              <w:t>Redacted</w:t>
            </w:r>
          </w:p>
          <w:p w14:paraId="521A837F" w14:textId="77777777" w:rsidR="00B81675" w:rsidRDefault="00B81675" w:rsidP="001529B7">
            <w:pPr>
              <w:overflowPunct/>
              <w:autoSpaceDE/>
              <w:autoSpaceDN/>
              <w:spacing w:after="0"/>
              <w:ind w:left="0"/>
              <w:jc w:val="left"/>
              <w:textAlignment w:val="auto"/>
              <w:rPr>
                <w:rFonts w:eastAsia="STZhongsong"/>
                <w:lang w:eastAsia="zh-CN"/>
              </w:rPr>
            </w:pPr>
          </w:p>
          <w:p w14:paraId="09A3ADC5" w14:textId="6C47A5ED" w:rsidR="002F6F3D" w:rsidRDefault="00440933" w:rsidP="001529B7">
            <w:pPr>
              <w:overflowPunct/>
              <w:autoSpaceDE/>
              <w:autoSpaceDN/>
              <w:spacing w:after="0"/>
              <w:ind w:left="0"/>
              <w:jc w:val="left"/>
              <w:textAlignment w:val="auto"/>
              <w:rPr>
                <w:rFonts w:eastAsia="STZhongsong"/>
                <w:lang w:eastAsia="zh-CN"/>
              </w:rPr>
            </w:pPr>
            <w:r>
              <w:rPr>
                <w:rFonts w:eastAsia="STZhongsong"/>
                <w:lang w:eastAsia="zh-CN"/>
              </w:rPr>
              <w:t>Should any further Statement of Work packages be required under the auspices of this Order Form then the following process will be used:</w:t>
            </w:r>
          </w:p>
          <w:p w14:paraId="13B5632C" w14:textId="3A664089" w:rsidR="00440933" w:rsidRDefault="00440933" w:rsidP="00440933">
            <w:pPr>
              <w:pStyle w:val="ListParagraph"/>
              <w:numPr>
                <w:ilvl w:val="0"/>
                <w:numId w:val="22"/>
              </w:numPr>
              <w:overflowPunct/>
              <w:autoSpaceDE/>
              <w:autoSpaceDN/>
              <w:spacing w:after="0"/>
              <w:jc w:val="left"/>
              <w:textAlignment w:val="auto"/>
              <w:rPr>
                <w:rFonts w:eastAsia="STZhongsong"/>
                <w:lang w:eastAsia="zh-CN"/>
              </w:rPr>
            </w:pPr>
            <w:r>
              <w:rPr>
                <w:rFonts w:eastAsia="STZhongsong"/>
                <w:lang w:eastAsia="zh-CN"/>
              </w:rPr>
              <w:t>The Customer will make a Request for Proposal (RFP) in writing to the Supplier which will include a specification of requirements detailing the work needed, the outcomes required and the date the Supplier’s proposal is required by.</w:t>
            </w:r>
          </w:p>
          <w:p w14:paraId="4A70EF22" w14:textId="3C2AD952" w:rsidR="00440933" w:rsidRDefault="00440933" w:rsidP="00440933">
            <w:pPr>
              <w:pStyle w:val="ListParagraph"/>
              <w:numPr>
                <w:ilvl w:val="0"/>
                <w:numId w:val="22"/>
              </w:numPr>
              <w:overflowPunct/>
              <w:autoSpaceDE/>
              <w:autoSpaceDN/>
              <w:spacing w:after="0"/>
              <w:jc w:val="left"/>
              <w:textAlignment w:val="auto"/>
              <w:rPr>
                <w:rFonts w:eastAsia="STZhongsong"/>
                <w:lang w:eastAsia="zh-CN"/>
              </w:rPr>
            </w:pPr>
            <w:r>
              <w:rPr>
                <w:rFonts w:eastAsia="STZhongsong"/>
                <w:lang w:eastAsia="zh-CN"/>
              </w:rPr>
              <w:t>Upon receipt of the RFP the Supplier will provide a proposal to the Customer, which will include a Project Plan of the milestones needed to deliver the outcomes.</w:t>
            </w:r>
          </w:p>
          <w:p w14:paraId="6F6D7781" w14:textId="6D6FF969" w:rsidR="00440933" w:rsidRDefault="00A941B3" w:rsidP="00440933">
            <w:pPr>
              <w:pStyle w:val="ListParagraph"/>
              <w:numPr>
                <w:ilvl w:val="0"/>
                <w:numId w:val="22"/>
              </w:numPr>
              <w:overflowPunct/>
              <w:autoSpaceDE/>
              <w:autoSpaceDN/>
              <w:spacing w:after="0"/>
              <w:jc w:val="left"/>
              <w:textAlignment w:val="auto"/>
              <w:rPr>
                <w:rFonts w:eastAsia="STZhongsong"/>
                <w:lang w:eastAsia="zh-CN"/>
              </w:rPr>
            </w:pPr>
            <w:r>
              <w:rPr>
                <w:rFonts w:eastAsia="STZhongsong"/>
                <w:lang w:eastAsia="zh-CN"/>
              </w:rPr>
              <w:t>Upon receipt, the Customer will review the proposal and reserves the right to request any changes to the proposal as may be required to ensure the required outcomes will be delivered to the Customer’s satisfaction.</w:t>
            </w:r>
          </w:p>
          <w:p w14:paraId="48F742D0" w14:textId="1F5A7927" w:rsidR="00A941B3" w:rsidRDefault="00A941B3" w:rsidP="00440933">
            <w:pPr>
              <w:pStyle w:val="ListParagraph"/>
              <w:numPr>
                <w:ilvl w:val="0"/>
                <w:numId w:val="22"/>
              </w:numPr>
              <w:overflowPunct/>
              <w:autoSpaceDE/>
              <w:autoSpaceDN/>
              <w:spacing w:after="0"/>
              <w:jc w:val="left"/>
              <w:textAlignment w:val="auto"/>
              <w:rPr>
                <w:rFonts w:eastAsia="STZhongsong"/>
                <w:lang w:eastAsia="zh-CN"/>
              </w:rPr>
            </w:pPr>
            <w:r>
              <w:rPr>
                <w:rFonts w:eastAsia="STZhongsong"/>
                <w:lang w:eastAsia="zh-CN"/>
              </w:rPr>
              <w:t xml:space="preserve">Once the content of the </w:t>
            </w:r>
            <w:r w:rsidR="00757AC7">
              <w:rPr>
                <w:rFonts w:eastAsia="STZhongsong"/>
                <w:lang w:eastAsia="zh-CN"/>
              </w:rPr>
              <w:t xml:space="preserve">final </w:t>
            </w:r>
            <w:r>
              <w:rPr>
                <w:rFonts w:eastAsia="STZhongsong"/>
                <w:lang w:eastAsia="zh-CN"/>
              </w:rPr>
              <w:t>proposal is agreed by both parties,</w:t>
            </w:r>
            <w:r w:rsidR="00505CE6">
              <w:rPr>
                <w:rFonts w:eastAsia="STZhongsong"/>
                <w:lang w:eastAsia="zh-CN"/>
              </w:rPr>
              <w:t xml:space="preserve"> the Customer</w:t>
            </w:r>
            <w:r>
              <w:rPr>
                <w:rFonts w:eastAsia="STZhongsong"/>
                <w:lang w:eastAsia="zh-CN"/>
              </w:rPr>
              <w:t xml:space="preserve"> </w:t>
            </w:r>
            <w:r w:rsidR="00757AC7">
              <w:rPr>
                <w:rFonts w:eastAsia="STZhongsong"/>
                <w:lang w:eastAsia="zh-CN"/>
              </w:rPr>
              <w:t>will attach/include</w:t>
            </w:r>
            <w:r w:rsidR="00505CE6">
              <w:rPr>
                <w:rFonts w:eastAsia="STZhongsong"/>
                <w:lang w:eastAsia="zh-CN"/>
              </w:rPr>
              <w:t xml:space="preserve"> the proposal</w:t>
            </w:r>
            <w:r w:rsidR="00757AC7">
              <w:rPr>
                <w:rFonts w:eastAsia="STZhongsong"/>
                <w:lang w:eastAsia="zh-CN"/>
              </w:rPr>
              <w:t xml:space="preserve"> </w:t>
            </w:r>
            <w:r w:rsidR="00505CE6">
              <w:rPr>
                <w:rFonts w:eastAsia="STZhongsong"/>
                <w:lang w:eastAsia="zh-CN"/>
              </w:rPr>
              <w:t xml:space="preserve">to the </w:t>
            </w:r>
            <w:r>
              <w:rPr>
                <w:rFonts w:eastAsia="STZhongsong"/>
                <w:lang w:eastAsia="zh-CN"/>
              </w:rPr>
              <w:t xml:space="preserve">formal Call </w:t>
            </w:r>
            <w:proofErr w:type="gramStart"/>
            <w:r>
              <w:rPr>
                <w:rFonts w:eastAsia="STZhongsong"/>
                <w:lang w:eastAsia="zh-CN"/>
              </w:rPr>
              <w:t>Off</w:t>
            </w:r>
            <w:proofErr w:type="gramEnd"/>
            <w:r>
              <w:rPr>
                <w:rFonts w:eastAsia="STZhongsong"/>
                <w:lang w:eastAsia="zh-CN"/>
              </w:rPr>
              <w:t xml:space="preserve"> Variation Form, (Schedule 12 of</w:t>
            </w:r>
            <w:r>
              <w:t xml:space="preserve"> the </w:t>
            </w:r>
            <w:hyperlink r:id="rId8" w:history="1">
              <w:r w:rsidRPr="003A296D">
                <w:rPr>
                  <w:rStyle w:val="Hyperlink"/>
                </w:rPr>
                <w:t>Call Off terms</w:t>
              </w:r>
            </w:hyperlink>
            <w:r w:rsidRPr="00A941B3">
              <w:rPr>
                <w:rStyle w:val="Hyperlink"/>
                <w:color w:val="auto"/>
                <w:u w:val="none"/>
              </w:rPr>
              <w:t xml:space="preserve">) </w:t>
            </w:r>
            <w:r w:rsidR="00505CE6">
              <w:rPr>
                <w:rStyle w:val="Hyperlink"/>
                <w:color w:val="auto"/>
                <w:u w:val="none"/>
              </w:rPr>
              <w:t>and distribute via DocuSign for both parties to sign.</w:t>
            </w:r>
          </w:p>
          <w:p w14:paraId="7BC021FC" w14:textId="40AF63BD" w:rsidR="00A941B3" w:rsidRPr="00440933" w:rsidRDefault="00505CE6" w:rsidP="00440933">
            <w:pPr>
              <w:pStyle w:val="ListParagraph"/>
              <w:numPr>
                <w:ilvl w:val="0"/>
                <w:numId w:val="22"/>
              </w:numPr>
              <w:overflowPunct/>
              <w:autoSpaceDE/>
              <w:autoSpaceDN/>
              <w:spacing w:after="0"/>
              <w:jc w:val="left"/>
              <w:textAlignment w:val="auto"/>
              <w:rPr>
                <w:rFonts w:eastAsia="STZhongsong"/>
                <w:lang w:eastAsia="zh-CN"/>
              </w:rPr>
            </w:pPr>
            <w:r>
              <w:rPr>
                <w:rFonts w:eastAsia="STZhongsong"/>
                <w:lang w:eastAsia="zh-CN"/>
              </w:rPr>
              <w:t xml:space="preserve">Once the formal Call </w:t>
            </w:r>
            <w:proofErr w:type="gramStart"/>
            <w:r>
              <w:rPr>
                <w:rFonts w:eastAsia="STZhongsong"/>
                <w:lang w:eastAsia="zh-CN"/>
              </w:rPr>
              <w:t>Off</w:t>
            </w:r>
            <w:proofErr w:type="gramEnd"/>
            <w:r>
              <w:rPr>
                <w:rFonts w:eastAsia="STZhongsong"/>
                <w:lang w:eastAsia="zh-CN"/>
              </w:rPr>
              <w:t xml:space="preserve"> Variation Form is signed by both parties this will provide the authorisation needed for the work to commence</w:t>
            </w:r>
            <w:r w:rsidR="00A941B3">
              <w:rPr>
                <w:rFonts w:eastAsia="STZhongsong"/>
                <w:lang w:eastAsia="zh-CN"/>
              </w:rPr>
              <w:t xml:space="preserve">. </w:t>
            </w:r>
          </w:p>
          <w:p w14:paraId="6D7FB8ED" w14:textId="7C963A6B" w:rsidR="001529B7" w:rsidRPr="001529B7" w:rsidRDefault="001529B7" w:rsidP="001529B7">
            <w:pPr>
              <w:overflowPunct/>
              <w:autoSpaceDE/>
              <w:autoSpaceDN/>
              <w:spacing w:after="0"/>
              <w:ind w:left="0"/>
              <w:jc w:val="left"/>
              <w:textAlignment w:val="auto"/>
              <w:rPr>
                <w:rFonts w:eastAsia="STZhongsong"/>
                <w:lang w:eastAsia="zh-CN"/>
              </w:rPr>
            </w:pPr>
          </w:p>
        </w:tc>
      </w:tr>
    </w:tbl>
    <w:p w14:paraId="27FAAADF" w14:textId="7A41B892" w:rsidR="00976F5B" w:rsidRDefault="00976F5B">
      <w:pPr>
        <w:spacing w:after="0"/>
        <w:ind w:left="0"/>
      </w:pPr>
    </w:p>
    <w:p w14:paraId="1CBAD0F4" w14:textId="77777777" w:rsidR="00976F5B" w:rsidRPr="00B91478" w:rsidRDefault="00976F5B">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25"/>
      </w:tblGrid>
      <w:tr w:rsidR="003A296D" w:rsidRPr="00B91478" w14:paraId="7BEDE618" w14:textId="77777777" w:rsidTr="003A296D">
        <w:tc>
          <w:tcPr>
            <w:tcW w:w="843" w:type="dxa"/>
          </w:tcPr>
          <w:p w14:paraId="3C400C1B" w14:textId="77777777" w:rsidR="003A296D" w:rsidRPr="00B91478" w:rsidRDefault="003A296D">
            <w:pPr>
              <w:ind w:left="0"/>
              <w:rPr>
                <w:b/>
              </w:rPr>
            </w:pPr>
            <w:r w:rsidRPr="00B91478">
              <w:rPr>
                <w:b/>
              </w:rPr>
              <w:t xml:space="preserve">3.1. </w:t>
            </w:r>
          </w:p>
        </w:tc>
        <w:tc>
          <w:tcPr>
            <w:tcW w:w="8825" w:type="dxa"/>
            <w:shd w:val="clear" w:color="auto" w:fill="auto"/>
          </w:tcPr>
          <w:p w14:paraId="001D3BE2" w14:textId="254BA221" w:rsidR="003A296D" w:rsidRDefault="003A296D">
            <w:pPr>
              <w:ind w:left="0"/>
            </w:pPr>
            <w:r w:rsidRPr="00B91478">
              <w:rPr>
                <w:b/>
              </w:rPr>
              <w:t>Project Plan</w:t>
            </w:r>
            <w:r w:rsidRPr="00B91478">
              <w:t xml:space="preserve">: </w:t>
            </w:r>
          </w:p>
          <w:p w14:paraId="7C4F4D41" w14:textId="77777777" w:rsidR="00F224CA" w:rsidRDefault="00A03B7B">
            <w:pPr>
              <w:ind w:left="0"/>
            </w:pPr>
            <w:r>
              <w:t>Within each Statement of Work</w:t>
            </w:r>
            <w:r w:rsidR="007D5E27">
              <w:t xml:space="preserve"> package proposal</w:t>
            </w:r>
            <w:r>
              <w:t>, the Supplier shall provide</w:t>
            </w:r>
            <w:r w:rsidR="007D5E27">
              <w:t xml:space="preserve"> the Customer with a draft Project Plan</w:t>
            </w:r>
            <w:r w:rsidR="00F224CA">
              <w:t>.</w:t>
            </w:r>
            <w:r w:rsidR="007D5E27">
              <w:t xml:space="preserve"> </w:t>
            </w:r>
          </w:p>
          <w:p w14:paraId="7C8EF8EE" w14:textId="47348C6A" w:rsidR="003A296D" w:rsidRDefault="00F224CA">
            <w:pPr>
              <w:ind w:left="0"/>
            </w:pPr>
            <w:r>
              <w:t>Any changes to the Draft Project plan</w:t>
            </w:r>
            <w:r w:rsidR="003D78F3">
              <w:t>,</w:t>
            </w:r>
            <w:r>
              <w:t xml:space="preserve"> which must be agreed within 7</w:t>
            </w:r>
            <w:r w:rsidR="007D5E27">
              <w:t xml:space="preserve"> days of the Statement of Works Commencement Date.</w:t>
            </w:r>
          </w:p>
          <w:p w14:paraId="2650310A" w14:textId="44D06470" w:rsidR="007D5E27" w:rsidRPr="008B58BC" w:rsidRDefault="007D5E27" w:rsidP="008B58BC">
            <w:pPr>
              <w:numPr>
                <w:ilvl w:val="1"/>
                <w:numId w:val="0"/>
              </w:numPr>
              <w:overflowPunct/>
              <w:autoSpaceDE/>
              <w:autoSpaceDN/>
              <w:spacing w:after="120"/>
              <w:jc w:val="left"/>
              <w:textAlignment w:val="auto"/>
              <w:rPr>
                <w:rFonts w:eastAsia="STZhongsong"/>
                <w:lang w:eastAsia="zh-CN"/>
              </w:rPr>
            </w:pPr>
            <w:r>
              <w:t xml:space="preserve">For the first work package, the draft Project Plan was provided by the </w:t>
            </w:r>
            <w:r w:rsidR="0067076D">
              <w:t>Supplier</w:t>
            </w:r>
            <w:r>
              <w:t xml:space="preserve"> </w:t>
            </w:r>
            <w:r w:rsidR="00EA5509">
              <w:t>in</w:t>
            </w:r>
            <w:r w:rsidR="008B58BC">
              <w:t xml:space="preserve"> the document titled </w:t>
            </w:r>
            <w:r w:rsidR="008B58BC">
              <w:rPr>
                <w:rFonts w:eastAsia="STZhongsong"/>
                <w:lang w:eastAsia="zh-CN"/>
              </w:rPr>
              <w:t>‘HMRC Sourcing 2020 – 07 08 FINAL’ (page 11) within their</w:t>
            </w:r>
            <w:r>
              <w:t xml:space="preserve"> Call Off Tender as referred to in 10.12 below. </w:t>
            </w:r>
          </w:p>
          <w:p w14:paraId="13F0CCA2" w14:textId="488BB275" w:rsidR="003A296D" w:rsidRPr="00BB4A0B" w:rsidRDefault="007D5E27" w:rsidP="007D5E27">
            <w:pPr>
              <w:ind w:left="0"/>
            </w:pPr>
            <w:r>
              <w:t>This dra</w:t>
            </w:r>
            <w:r w:rsidR="003D78F3">
              <w:t>ft Project Plan must be agreed</w:t>
            </w:r>
            <w:r>
              <w:t xml:space="preserve"> within 14 days of the Statement of Works Commencement Date. </w:t>
            </w: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976F5B" w:rsidRPr="00B91478" w14:paraId="016BBA4A" w14:textId="77777777" w:rsidTr="00976F5B">
        <w:tc>
          <w:tcPr>
            <w:tcW w:w="584" w:type="dxa"/>
          </w:tcPr>
          <w:p w14:paraId="30227DA0" w14:textId="77777777" w:rsidR="00976F5B" w:rsidRPr="00B91478" w:rsidRDefault="00976F5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363A218B" w14:textId="77777777" w:rsidR="00976F5B" w:rsidRPr="00B91478" w:rsidRDefault="00976F5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F2590BC" w14:textId="211D835B" w:rsidR="00976F5B" w:rsidRPr="00B91478" w:rsidRDefault="003A296D">
            <w:pPr>
              <w:numPr>
                <w:ilvl w:val="1"/>
                <w:numId w:val="0"/>
              </w:numPr>
              <w:overflowPunct/>
              <w:autoSpaceDE/>
              <w:autoSpaceDN/>
              <w:spacing w:after="120"/>
              <w:jc w:val="left"/>
              <w:textAlignment w:val="auto"/>
              <w:rPr>
                <w:rFonts w:eastAsia="STZhongsong"/>
                <w:lang w:eastAsia="zh-CN"/>
              </w:rPr>
            </w:pPr>
            <w:r>
              <w:t xml:space="preserve">Applicable standards for this contract are per Section 11, Standards and Quality, detailed in the </w:t>
            </w:r>
            <w:hyperlink r:id="rId9" w:history="1">
              <w:r w:rsidRPr="003A296D">
                <w:rPr>
                  <w:rStyle w:val="Hyperlink"/>
                </w:rPr>
                <w:t>Call Off terms</w:t>
              </w:r>
            </w:hyperlink>
            <w:r>
              <w:t xml:space="preserve"> for RM6008 which can be accessed via the CCS website.</w:t>
            </w:r>
          </w:p>
        </w:tc>
      </w:tr>
      <w:tr w:rsidR="00976F5B" w:rsidRPr="00B91478" w14:paraId="59C74AF2" w14:textId="77777777" w:rsidTr="00976F5B">
        <w:tc>
          <w:tcPr>
            <w:tcW w:w="584" w:type="dxa"/>
          </w:tcPr>
          <w:p w14:paraId="1CD66C2C" w14:textId="77777777" w:rsidR="00976F5B" w:rsidRPr="00B91478" w:rsidRDefault="00976F5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69008BCE" w14:textId="77777777" w:rsidR="00976F5B" w:rsidRPr="00B91478" w:rsidRDefault="00976F5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976F5B" w:rsidRPr="00B91478" w:rsidRDefault="00976F5B" w:rsidP="00BB4A0B">
            <w:pPr>
              <w:numPr>
                <w:ilvl w:val="1"/>
                <w:numId w:val="0"/>
              </w:numPr>
              <w:overflowPunct/>
              <w:autoSpaceDE/>
              <w:autoSpaceDN/>
              <w:spacing w:after="120"/>
              <w:jc w:val="left"/>
              <w:textAlignment w:val="auto"/>
            </w:pPr>
            <w:r w:rsidRPr="00B91478">
              <w:t>Not applied</w:t>
            </w:r>
          </w:p>
        </w:tc>
      </w:tr>
      <w:tr w:rsidR="00976F5B" w:rsidRPr="00B91478" w14:paraId="4A58D05F" w14:textId="77777777" w:rsidTr="00976F5B">
        <w:tc>
          <w:tcPr>
            <w:tcW w:w="584" w:type="dxa"/>
          </w:tcPr>
          <w:p w14:paraId="4D930D9D" w14:textId="77777777" w:rsidR="00976F5B" w:rsidRPr="00B91478" w:rsidRDefault="00976F5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1D7E28DD" w14:textId="77777777" w:rsidR="00976F5B" w:rsidRPr="00B91478" w:rsidRDefault="00976F5B"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976F5B" w:rsidRPr="00B91478" w:rsidRDefault="00976F5B" w:rsidP="00B02A10">
            <w:pPr>
              <w:ind w:left="0"/>
              <w:rPr>
                <w:rFonts w:eastAsia="STZhongsong"/>
                <w:lang w:eastAsia="zh-CN"/>
              </w:rPr>
            </w:pPr>
            <w:r w:rsidRPr="00B91478">
              <w:t>Not applied</w:t>
            </w:r>
          </w:p>
        </w:tc>
      </w:tr>
      <w:tr w:rsidR="00976F5B" w:rsidRPr="00B91478" w14:paraId="5C65B622" w14:textId="77777777" w:rsidTr="00976F5B">
        <w:tc>
          <w:tcPr>
            <w:tcW w:w="584" w:type="dxa"/>
          </w:tcPr>
          <w:p w14:paraId="4C3EAEAB" w14:textId="77777777" w:rsidR="00976F5B" w:rsidRPr="00B91478" w:rsidRDefault="00976F5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1BBFAE04" w14:textId="77777777" w:rsidR="00976F5B" w:rsidRPr="00B91478" w:rsidRDefault="00976F5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65BA0933" w:rsidR="009E5604" w:rsidRPr="009E5604" w:rsidRDefault="00866A1F" w:rsidP="00866A1F">
            <w:pPr>
              <w:ind w:left="0"/>
            </w:pPr>
            <w:r>
              <w:t xml:space="preserve">The </w:t>
            </w:r>
            <w:r w:rsidR="00F45CB9">
              <w:t xml:space="preserve">Performance Monitoring </w:t>
            </w:r>
            <w:r w:rsidR="00CF602C">
              <w:t>approach</w:t>
            </w:r>
            <w:r w:rsidR="00F45CB9">
              <w:t xml:space="preserve"> </w:t>
            </w:r>
            <w:r>
              <w:t>will</w:t>
            </w:r>
            <w:r w:rsidR="00F45CB9">
              <w:t xml:space="preserve"> be agreed within 7 days of the Statement of Works Commencement Date. </w:t>
            </w:r>
          </w:p>
        </w:tc>
      </w:tr>
      <w:tr w:rsidR="00976F5B" w:rsidRPr="00B91478" w14:paraId="0B21EE94" w14:textId="77777777" w:rsidTr="00976F5B">
        <w:tc>
          <w:tcPr>
            <w:tcW w:w="584" w:type="dxa"/>
          </w:tcPr>
          <w:p w14:paraId="450910F1" w14:textId="77777777" w:rsidR="00976F5B" w:rsidRPr="00B91478" w:rsidRDefault="00976F5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14:paraId="07DBB82F" w14:textId="77777777" w:rsidR="00976F5B" w:rsidRPr="00B91478" w:rsidRDefault="00976F5B"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1B26A765" w14:textId="00BF7C49" w:rsidR="00976F5B" w:rsidRPr="00B91478" w:rsidRDefault="003A296D" w:rsidP="002047E1">
            <w:pPr>
              <w:numPr>
                <w:ilvl w:val="1"/>
                <w:numId w:val="0"/>
              </w:numPr>
              <w:overflowPunct/>
              <w:autoSpaceDE/>
              <w:autoSpaceDN/>
              <w:spacing w:after="120"/>
              <w:textAlignment w:val="auto"/>
              <w:rPr>
                <w:rFonts w:eastAsia="STZhongsong"/>
                <w:b/>
                <w:lang w:eastAsia="zh-CN"/>
              </w:rPr>
            </w:pPr>
            <w:r>
              <w:t xml:space="preserve">Applicable period for providing Rectification Plan can be </w:t>
            </w:r>
            <w:proofErr w:type="spellStart"/>
            <w:r>
              <w:t>be</w:t>
            </w:r>
            <w:proofErr w:type="spellEnd"/>
            <w:r>
              <w:t xml:space="preserve"> viewed in 39.2.1(a) of the </w:t>
            </w:r>
            <w:hyperlink r:id="rId10" w:history="1">
              <w:r w:rsidRPr="003A296D">
                <w:rPr>
                  <w:rStyle w:val="Hyperlink"/>
                </w:rPr>
                <w:t>Call Off terms</w:t>
              </w:r>
            </w:hyperlink>
            <w:r>
              <w:t xml:space="preserve"> for RM6008 which can be accessed via the CCS website. </w:t>
            </w:r>
            <w:r w:rsidR="00976F5B" w:rsidRPr="00B91478">
              <w:t xml:space="preserve"> </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3A296D" w:rsidRPr="00B91478" w14:paraId="67C5D3D0" w14:textId="77777777" w:rsidTr="003A296D">
        <w:tc>
          <w:tcPr>
            <w:tcW w:w="566" w:type="dxa"/>
          </w:tcPr>
          <w:p w14:paraId="73D2EBFF" w14:textId="77777777" w:rsidR="003A296D" w:rsidRPr="00B91478" w:rsidRDefault="003A296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7DB4819B" w14:textId="77777777" w:rsidR="003A296D" w:rsidRPr="00B91478" w:rsidRDefault="003A296D">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3A5B5EDC" w14:textId="6D3B182A" w:rsidR="003A296D" w:rsidRDefault="00EA5509" w:rsidP="00EA5509">
            <w:pPr>
              <w:numPr>
                <w:ilvl w:val="1"/>
                <w:numId w:val="0"/>
              </w:numPr>
              <w:overflowPunct/>
              <w:autoSpaceDE/>
              <w:autoSpaceDN/>
              <w:spacing w:after="120"/>
              <w:jc w:val="left"/>
              <w:textAlignment w:val="auto"/>
              <w:rPr>
                <w:rFonts w:eastAsia="STZhongsong"/>
                <w:b/>
                <w:lang w:eastAsia="zh-CN"/>
              </w:rPr>
            </w:pPr>
            <w:r>
              <w:t xml:space="preserve">As per Section 27, Key Personnel, detailed in the </w:t>
            </w:r>
            <w:hyperlink r:id="rId11" w:history="1">
              <w:r w:rsidRPr="003A296D">
                <w:rPr>
                  <w:rStyle w:val="Hyperlink"/>
                </w:rPr>
                <w:t>Call Off terms</w:t>
              </w:r>
            </w:hyperlink>
            <w:r>
              <w:t xml:space="preserve"> for RM6008 which can be accessed via the CCS website, the Key Personnel for the first Statement of Works package are as provided by the </w:t>
            </w:r>
            <w:r w:rsidR="0067076D">
              <w:t>Supplier</w:t>
            </w:r>
            <w:r>
              <w:t xml:space="preserve"> in their Call Off Tender (page 37) as referred to in 10.12 below.</w:t>
            </w:r>
            <w:r w:rsidR="003A296D" w:rsidRPr="00B91478">
              <w:rPr>
                <w:rFonts w:eastAsia="STZhongsong"/>
                <w:b/>
                <w:lang w:eastAsia="zh-CN"/>
              </w:rPr>
              <w:tab/>
            </w:r>
          </w:p>
          <w:p w14:paraId="10DD0DC6" w14:textId="29BB5550" w:rsidR="00EA5509" w:rsidRPr="00EA5509" w:rsidRDefault="00A732D5" w:rsidP="00EA5509">
            <w:pPr>
              <w:numPr>
                <w:ilvl w:val="1"/>
                <w:numId w:val="0"/>
              </w:numPr>
              <w:overflowPunct/>
              <w:autoSpaceDE/>
              <w:autoSpaceDN/>
              <w:spacing w:after="120"/>
              <w:jc w:val="left"/>
              <w:textAlignment w:val="auto"/>
            </w:pPr>
            <w:r>
              <w:rPr>
                <w:rFonts w:eastAsia="STZhongsong"/>
                <w:lang w:eastAsia="zh-CN"/>
              </w:rPr>
              <w:t>Key Personnel must be named</w:t>
            </w:r>
            <w:r w:rsidR="00EA5509">
              <w:rPr>
                <w:rFonts w:eastAsia="STZhongsong"/>
                <w:lang w:eastAsia="zh-CN"/>
              </w:rPr>
              <w:t xml:space="preserve"> in any subsequent Statement of Works packages commissioned under the terms of this Call Off Order Form.</w:t>
            </w:r>
          </w:p>
        </w:tc>
      </w:tr>
      <w:tr w:rsidR="003A296D" w:rsidRPr="00B91478" w14:paraId="0FF6582D" w14:textId="77777777" w:rsidTr="003A296D">
        <w:tc>
          <w:tcPr>
            <w:tcW w:w="566" w:type="dxa"/>
            <w:tcBorders>
              <w:top w:val="single" w:sz="4" w:space="0" w:color="auto"/>
              <w:left w:val="single" w:sz="4" w:space="0" w:color="auto"/>
              <w:bottom w:val="single" w:sz="4" w:space="0" w:color="auto"/>
              <w:right w:val="single" w:sz="4" w:space="0" w:color="auto"/>
            </w:tcBorders>
          </w:tcPr>
          <w:p w14:paraId="2B5BB8B1" w14:textId="77777777" w:rsidR="003A296D" w:rsidRPr="00B91478" w:rsidRDefault="003A296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3A296D" w:rsidRPr="00B91478" w:rsidRDefault="003A296D"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80BCAD0" w14:textId="017BEA3B" w:rsidR="003A296D" w:rsidRPr="00B91478" w:rsidRDefault="003A296D">
            <w:pPr>
              <w:numPr>
                <w:ilvl w:val="1"/>
                <w:numId w:val="0"/>
              </w:numPr>
              <w:overflowPunct/>
              <w:autoSpaceDE/>
              <w:autoSpaceDN/>
              <w:spacing w:after="120"/>
              <w:jc w:val="left"/>
              <w:textAlignment w:val="auto"/>
              <w:rPr>
                <w:rFonts w:eastAsia="STZhongsong"/>
                <w:lang w:eastAsia="zh-CN"/>
              </w:rPr>
            </w:pPr>
            <w:r>
              <w:t xml:space="preserve">Refer to Clause 28.2 of the </w:t>
            </w:r>
            <w:hyperlink r:id="rId12" w:history="1">
              <w:r w:rsidRPr="003A296D">
                <w:rPr>
                  <w:rStyle w:val="Hyperlink"/>
                </w:rPr>
                <w:t>Call Off terms</w:t>
              </w:r>
            </w:hyperlink>
            <w:r>
              <w:t xml:space="preserve"> for RM6008 which can be accessed via the CCS website</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3A296D" w:rsidRPr="00B91478" w14:paraId="25AA48BB" w14:textId="77777777" w:rsidTr="003A296D">
        <w:tc>
          <w:tcPr>
            <w:tcW w:w="564" w:type="dxa"/>
          </w:tcPr>
          <w:p w14:paraId="58E752B1" w14:textId="77777777" w:rsidR="003A296D" w:rsidRPr="00B91478" w:rsidRDefault="003A296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3D5C3CE0" w14:textId="77777777" w:rsidR="003A296D" w:rsidRPr="00B91478" w:rsidRDefault="003A296D"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09CF5660" w14:textId="77777777" w:rsidR="003A296D" w:rsidRDefault="003A296D"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p w14:paraId="7DD0375A" w14:textId="77777777" w:rsidR="002F6F3D" w:rsidRDefault="002F6F3D" w:rsidP="002F6F3D">
            <w:pPr>
              <w:numPr>
                <w:ilvl w:val="1"/>
                <w:numId w:val="0"/>
              </w:numPr>
              <w:overflowPunct/>
              <w:autoSpaceDE/>
              <w:autoSpaceDN/>
              <w:spacing w:after="0"/>
              <w:jc w:val="left"/>
              <w:textAlignment w:val="auto"/>
              <w:rPr>
                <w:rFonts w:eastAsia="STZhongsong"/>
                <w:lang w:eastAsia="zh-CN"/>
              </w:rPr>
            </w:pPr>
          </w:p>
          <w:p w14:paraId="08F7567C" w14:textId="20768975" w:rsidR="002F6F3D" w:rsidRDefault="002F6F3D" w:rsidP="002F6F3D">
            <w:pPr>
              <w:numPr>
                <w:ilvl w:val="1"/>
                <w:numId w:val="0"/>
              </w:numPr>
              <w:overflowPunct/>
              <w:autoSpaceDE/>
              <w:autoSpaceDN/>
              <w:spacing w:after="0"/>
              <w:jc w:val="left"/>
              <w:textAlignment w:val="auto"/>
              <w:rPr>
                <w:rFonts w:eastAsia="STZhongsong"/>
                <w:lang w:eastAsia="zh-CN"/>
              </w:rPr>
            </w:pPr>
            <w:r>
              <w:rPr>
                <w:rFonts w:eastAsia="STZhongsong"/>
                <w:lang w:eastAsia="zh-CN"/>
              </w:rPr>
              <w:t>No commitment is given t</w:t>
            </w:r>
            <w:r w:rsidR="00586E17">
              <w:rPr>
                <w:rFonts w:eastAsia="STZhongsong"/>
                <w:lang w:eastAsia="zh-CN"/>
              </w:rPr>
              <w:t xml:space="preserve">o the extent as to which </w:t>
            </w:r>
            <w:proofErr w:type="spellStart"/>
            <w:r w:rsidR="00586E17">
              <w:rPr>
                <w:rFonts w:eastAsia="STZhongsong"/>
                <w:lang w:eastAsia="zh-CN"/>
              </w:rPr>
              <w:t>futcher</w:t>
            </w:r>
            <w:proofErr w:type="spellEnd"/>
            <w:r>
              <w:rPr>
                <w:rFonts w:eastAsia="STZhongsong"/>
                <w:lang w:eastAsia="zh-CN"/>
              </w:rPr>
              <w:t xml:space="preserve"> Statement of Works packages will be commissioned from this Call Off Order Form. </w:t>
            </w:r>
          </w:p>
          <w:p w14:paraId="6B627761" w14:textId="77777777" w:rsidR="002F6F3D" w:rsidRDefault="002F6F3D" w:rsidP="002F6F3D">
            <w:pPr>
              <w:numPr>
                <w:ilvl w:val="1"/>
                <w:numId w:val="0"/>
              </w:numPr>
              <w:overflowPunct/>
              <w:autoSpaceDE/>
              <w:autoSpaceDN/>
              <w:spacing w:after="0"/>
              <w:jc w:val="left"/>
              <w:textAlignment w:val="auto"/>
              <w:rPr>
                <w:rFonts w:eastAsia="STZhongsong"/>
                <w:lang w:eastAsia="zh-CN"/>
              </w:rPr>
            </w:pPr>
          </w:p>
          <w:p w14:paraId="49B37334" w14:textId="514D4C6E" w:rsidR="003A296D" w:rsidRPr="002F6F3D" w:rsidRDefault="002F6F3D" w:rsidP="002F6F3D">
            <w:pPr>
              <w:numPr>
                <w:ilvl w:val="1"/>
                <w:numId w:val="0"/>
              </w:numPr>
              <w:overflowPunct/>
              <w:autoSpaceDE/>
              <w:autoSpaceDN/>
              <w:spacing w:after="0"/>
              <w:jc w:val="left"/>
              <w:textAlignment w:val="auto"/>
              <w:rPr>
                <w:rFonts w:eastAsia="STZhongsong"/>
                <w:lang w:eastAsia="zh-CN"/>
              </w:rPr>
            </w:pPr>
            <w:r>
              <w:rPr>
                <w:rFonts w:eastAsia="STZhongsong"/>
                <w:lang w:eastAsia="zh-CN"/>
              </w:rPr>
              <w:t>T</w:t>
            </w:r>
            <w:r w:rsidR="001C0DFC">
              <w:t xml:space="preserve">he charging principles for this Call Off Contract </w:t>
            </w:r>
            <w:r w:rsidR="003A296D">
              <w:t>can be found in the charging model, titled</w:t>
            </w:r>
            <w:r w:rsidR="00410C77">
              <w:t xml:space="preserve"> </w:t>
            </w:r>
            <w:r w:rsidR="009C4C50">
              <w:t>‘</w:t>
            </w:r>
            <w:r w:rsidR="00FF7066">
              <w:rPr>
                <w:rFonts w:eastAsia="STZhongsong"/>
                <w:lang w:eastAsia="zh-CN"/>
              </w:rPr>
              <w:t>Revised Deloitte Consultancy Support Charging</w:t>
            </w:r>
            <w:r w:rsidR="009C4C50">
              <w:rPr>
                <w:rFonts w:eastAsia="STZhongsong"/>
                <w:lang w:eastAsia="zh-CN"/>
              </w:rPr>
              <w:t xml:space="preserve">’ </w:t>
            </w:r>
            <w:r w:rsidR="001C0DFC">
              <w:t xml:space="preserve">as provided by the </w:t>
            </w:r>
            <w:r w:rsidR="0067076D">
              <w:t>Supplier</w:t>
            </w:r>
            <w:r w:rsidR="001C0DFC">
              <w:t xml:space="preserve"> as part of their Tender Response, a</w:t>
            </w:r>
            <w:r w:rsidR="001C0DFC">
              <w:rPr>
                <w:rFonts w:eastAsia="STZhongsong"/>
                <w:lang w:eastAsia="zh-CN"/>
              </w:rPr>
              <w:t>s embedded below and as provided as an annex at the end of this Order Form in the signed DocuSign version of this contract.</w:t>
            </w:r>
          </w:p>
          <w:p w14:paraId="2052623C" w14:textId="7AF0BB3E" w:rsidR="00410C77" w:rsidRDefault="00410C77" w:rsidP="00BB4A0B">
            <w:pPr>
              <w:numPr>
                <w:ilvl w:val="1"/>
                <w:numId w:val="0"/>
              </w:numPr>
              <w:overflowPunct/>
              <w:autoSpaceDE/>
              <w:autoSpaceDN/>
              <w:spacing w:after="120"/>
              <w:textAlignment w:val="auto"/>
            </w:pPr>
          </w:p>
          <w:p w14:paraId="004C3BAE" w14:textId="77777777" w:rsidR="00B81675" w:rsidRDefault="00B81675" w:rsidP="00BB4A0B">
            <w:pPr>
              <w:numPr>
                <w:ilvl w:val="1"/>
                <w:numId w:val="0"/>
              </w:numPr>
              <w:overflowPunct/>
              <w:autoSpaceDE/>
              <w:autoSpaceDN/>
              <w:spacing w:after="120"/>
              <w:textAlignment w:val="auto"/>
            </w:pPr>
            <w:r>
              <w:t>Redacted</w:t>
            </w:r>
          </w:p>
          <w:p w14:paraId="079A22F5" w14:textId="77777777" w:rsidR="00B81675" w:rsidRDefault="00B81675" w:rsidP="00BB4A0B">
            <w:pPr>
              <w:numPr>
                <w:ilvl w:val="1"/>
                <w:numId w:val="0"/>
              </w:numPr>
              <w:overflowPunct/>
              <w:autoSpaceDE/>
              <w:autoSpaceDN/>
              <w:spacing w:after="120"/>
              <w:textAlignment w:val="auto"/>
            </w:pPr>
          </w:p>
          <w:p w14:paraId="04576703" w14:textId="13642E0F" w:rsidR="003A296D" w:rsidRDefault="001C0DFC" w:rsidP="00BB4A0B">
            <w:pPr>
              <w:numPr>
                <w:ilvl w:val="1"/>
                <w:numId w:val="0"/>
              </w:numPr>
              <w:overflowPunct/>
              <w:autoSpaceDE/>
              <w:autoSpaceDN/>
              <w:spacing w:after="120"/>
              <w:textAlignment w:val="auto"/>
            </w:pPr>
            <w:r>
              <w:t>These charging principles, including the additional expected investment approach, should be used to determine the charges for any subsequent Statement of Works package.</w:t>
            </w:r>
            <w:r w:rsidR="002F6F3D">
              <w:t xml:space="preserve"> </w:t>
            </w:r>
          </w:p>
          <w:p w14:paraId="688CA994" w14:textId="0D51E496" w:rsidR="001C0DFC" w:rsidRDefault="002F6F3D" w:rsidP="00BB4A0B">
            <w:pPr>
              <w:numPr>
                <w:ilvl w:val="1"/>
                <w:numId w:val="0"/>
              </w:numPr>
              <w:overflowPunct/>
              <w:autoSpaceDE/>
              <w:autoSpaceDN/>
              <w:spacing w:after="120"/>
              <w:textAlignment w:val="auto"/>
            </w:pPr>
            <w:r>
              <w:t>The intended maximum aggregated value of Statemen</w:t>
            </w:r>
            <w:r w:rsidR="00586E17">
              <w:t>t of Works packages during the I</w:t>
            </w:r>
            <w:r>
              <w:t xml:space="preserve">nitial Contract Term will be </w:t>
            </w:r>
            <w:r w:rsidR="001262D1">
              <w:t xml:space="preserve">£1,250,000. Any increase on this amount will require approval via the Customer’s internal governance processes and confirmation with the </w:t>
            </w:r>
            <w:r w:rsidR="0067076D">
              <w:t>Supplier</w:t>
            </w:r>
            <w:r w:rsidR="001262D1">
              <w:t xml:space="preserve"> through a formal contract variation process.</w:t>
            </w:r>
            <w:r>
              <w:t xml:space="preserve"> </w:t>
            </w:r>
          </w:p>
          <w:p w14:paraId="6760181A" w14:textId="66ED1B63" w:rsidR="003A296D" w:rsidRPr="00B91478" w:rsidRDefault="001C0DFC" w:rsidP="00410C77">
            <w:pPr>
              <w:numPr>
                <w:ilvl w:val="1"/>
                <w:numId w:val="0"/>
              </w:numPr>
              <w:overflowPunct/>
              <w:autoSpaceDE/>
              <w:autoSpaceDN/>
              <w:spacing w:after="120"/>
              <w:textAlignment w:val="auto"/>
              <w:rPr>
                <w:rFonts w:eastAsia="STZhongsong"/>
                <w:lang w:eastAsia="zh-CN"/>
              </w:rPr>
            </w:pPr>
            <w:r>
              <w:t xml:space="preserve">As detailed in the </w:t>
            </w:r>
            <w:r w:rsidR="009C4C50">
              <w:t>‘</w:t>
            </w:r>
            <w:r w:rsidR="00FF7066">
              <w:rPr>
                <w:rFonts w:eastAsia="STZhongsong"/>
                <w:lang w:eastAsia="zh-CN"/>
              </w:rPr>
              <w:t xml:space="preserve">Revised Deloitte Consultancy Support Charging’ </w:t>
            </w:r>
            <w:r>
              <w:t>model referred to above, t</w:t>
            </w:r>
            <w:r w:rsidR="003A296D">
              <w:t xml:space="preserve">he fixed contract value </w:t>
            </w:r>
            <w:r>
              <w:t>for</w:t>
            </w:r>
            <w:r w:rsidR="008C628F">
              <w:t xml:space="preserve"> the</w:t>
            </w:r>
            <w:r>
              <w:t xml:space="preserve"> first Statement of Works package </w:t>
            </w:r>
            <w:r w:rsidR="003A296D">
              <w:t>is £</w:t>
            </w:r>
            <w:r w:rsidR="00410C77">
              <w:t>398,450</w:t>
            </w:r>
            <w:r w:rsidR="003A296D">
              <w:t>. (</w:t>
            </w:r>
            <w:proofErr w:type="gramStart"/>
            <w:r w:rsidR="003A296D">
              <w:t>exclusive</w:t>
            </w:r>
            <w:proofErr w:type="gramEnd"/>
            <w:r w:rsidR="003A296D">
              <w:t xml:space="preserve"> of VAT which will be charged at the then prevailing rate).</w:t>
            </w:r>
            <w:r>
              <w:t xml:space="preserve"> </w:t>
            </w:r>
          </w:p>
        </w:tc>
      </w:tr>
      <w:tr w:rsidR="003A296D" w:rsidRPr="00B91478" w14:paraId="1B702A76" w14:textId="77777777" w:rsidTr="003A296D">
        <w:tc>
          <w:tcPr>
            <w:tcW w:w="564" w:type="dxa"/>
          </w:tcPr>
          <w:p w14:paraId="10B4EC6D" w14:textId="3F3BD2F1" w:rsidR="003A296D" w:rsidRPr="00B91478" w:rsidRDefault="003A296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07DED7CF" w14:textId="77777777" w:rsidR="003A296D" w:rsidRPr="00B91478" w:rsidRDefault="003A296D"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1CE936F6" w14:textId="77777777" w:rsidR="003A296D" w:rsidRDefault="003A296D"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2 of Call Off Schedule 3 (Call Off Contract Charges, Payment and Invoicing)</w:t>
            </w:r>
          </w:p>
          <w:p w14:paraId="663246FD" w14:textId="77777777" w:rsidR="0041175C" w:rsidRDefault="0041175C" w:rsidP="008C628F">
            <w:pPr>
              <w:numPr>
                <w:ilvl w:val="1"/>
                <w:numId w:val="0"/>
              </w:numPr>
              <w:overflowPunct/>
              <w:autoSpaceDE/>
              <w:autoSpaceDN/>
              <w:spacing w:after="120"/>
              <w:textAlignment w:val="auto"/>
              <w:rPr>
                <w:rFonts w:eastAsia="STZhongsong"/>
                <w:lang w:eastAsia="zh-CN"/>
              </w:rPr>
            </w:pPr>
          </w:p>
          <w:p w14:paraId="01416512" w14:textId="77777777" w:rsidR="00FD5967" w:rsidRDefault="0041175C" w:rsidP="008C628F">
            <w:pPr>
              <w:numPr>
                <w:ilvl w:val="1"/>
                <w:numId w:val="0"/>
              </w:numPr>
              <w:overflowPunct/>
              <w:autoSpaceDE/>
              <w:autoSpaceDN/>
              <w:spacing w:after="120"/>
              <w:textAlignment w:val="auto"/>
              <w:rPr>
                <w:rFonts w:eastAsia="STZhongsong"/>
                <w:lang w:eastAsia="zh-CN"/>
              </w:rPr>
            </w:pPr>
            <w:r>
              <w:rPr>
                <w:rFonts w:eastAsia="STZhongsong"/>
                <w:lang w:eastAsia="zh-CN"/>
              </w:rPr>
              <w:t>The payment terms/profile for any services commissioned as part of this Call Off Order Form will be</w:t>
            </w:r>
            <w:r w:rsidR="00FD5967">
              <w:rPr>
                <w:rFonts w:eastAsia="STZhongsong"/>
                <w:lang w:eastAsia="zh-CN"/>
              </w:rPr>
              <w:t xml:space="preserve"> for payments to be made</w:t>
            </w:r>
            <w:r>
              <w:rPr>
                <w:rFonts w:eastAsia="STZhongsong"/>
                <w:lang w:eastAsia="zh-CN"/>
              </w:rPr>
              <w:t xml:space="preserve"> </w:t>
            </w:r>
            <w:r w:rsidR="00FD5967">
              <w:rPr>
                <w:rFonts w:eastAsia="STZhongsong"/>
                <w:lang w:eastAsia="zh-CN"/>
              </w:rPr>
              <w:t xml:space="preserve">upon: </w:t>
            </w:r>
          </w:p>
          <w:p w14:paraId="798592B7" w14:textId="00F8BB8A" w:rsidR="00FD5967" w:rsidRDefault="00FD5967" w:rsidP="00FD5967">
            <w:pPr>
              <w:pStyle w:val="ListParagraph"/>
              <w:numPr>
                <w:ilvl w:val="0"/>
                <w:numId w:val="23"/>
              </w:numPr>
              <w:overflowPunct/>
              <w:autoSpaceDE/>
              <w:autoSpaceDN/>
              <w:spacing w:after="120"/>
              <w:textAlignment w:val="auto"/>
              <w:rPr>
                <w:rFonts w:eastAsia="STZhongsong"/>
                <w:lang w:eastAsia="zh-CN"/>
              </w:rPr>
            </w:pPr>
            <w:r w:rsidRPr="00FD5967">
              <w:rPr>
                <w:rFonts w:eastAsia="STZhongsong"/>
                <w:lang w:eastAsia="zh-CN"/>
              </w:rPr>
              <w:t xml:space="preserve">the completion by the Supplier of the milestone deliverables/outcomes stated in the </w:t>
            </w:r>
            <w:r w:rsidR="00183B13">
              <w:rPr>
                <w:rFonts w:eastAsia="STZhongsong"/>
                <w:lang w:eastAsia="zh-CN"/>
              </w:rPr>
              <w:t>Statement of Works/</w:t>
            </w:r>
            <w:r w:rsidRPr="00FD5967">
              <w:rPr>
                <w:rFonts w:eastAsia="STZhongsong"/>
                <w:lang w:eastAsia="zh-CN"/>
              </w:rPr>
              <w:t>Supplier’s proposal</w:t>
            </w:r>
            <w:r>
              <w:rPr>
                <w:rFonts w:eastAsia="STZhongsong"/>
                <w:lang w:eastAsia="zh-CN"/>
              </w:rPr>
              <w:t>;</w:t>
            </w:r>
            <w:r w:rsidRPr="00FD5967">
              <w:rPr>
                <w:rFonts w:eastAsia="STZhongsong"/>
                <w:lang w:eastAsia="zh-CN"/>
              </w:rPr>
              <w:t xml:space="preserve"> </w:t>
            </w:r>
            <w:r>
              <w:rPr>
                <w:rFonts w:eastAsia="STZhongsong"/>
                <w:lang w:eastAsia="zh-CN"/>
              </w:rPr>
              <w:t xml:space="preserve">and </w:t>
            </w:r>
          </w:p>
          <w:p w14:paraId="0FDF3C5B" w14:textId="77777777" w:rsidR="00FD5967" w:rsidRDefault="00FD5967" w:rsidP="00FD5967">
            <w:pPr>
              <w:pStyle w:val="ListParagraph"/>
              <w:numPr>
                <w:ilvl w:val="0"/>
                <w:numId w:val="23"/>
              </w:numPr>
              <w:overflowPunct/>
              <w:autoSpaceDE/>
              <w:autoSpaceDN/>
              <w:spacing w:after="120"/>
              <w:textAlignment w:val="auto"/>
              <w:rPr>
                <w:rFonts w:eastAsia="STZhongsong"/>
                <w:lang w:eastAsia="zh-CN"/>
              </w:rPr>
            </w:pPr>
            <w:proofErr w:type="gramStart"/>
            <w:r w:rsidRPr="00FD5967">
              <w:rPr>
                <w:rFonts w:eastAsia="STZhongsong"/>
                <w:lang w:eastAsia="zh-CN"/>
              </w:rPr>
              <w:t>acceptance</w:t>
            </w:r>
            <w:proofErr w:type="gramEnd"/>
            <w:r w:rsidRPr="00FD5967">
              <w:rPr>
                <w:rFonts w:eastAsia="STZhongsong"/>
                <w:lang w:eastAsia="zh-CN"/>
              </w:rPr>
              <w:t xml:space="preserve"> by the Customer that the deliverables/outcomes have been completed to the Customer’s satisfaction.</w:t>
            </w:r>
            <w:r w:rsidR="0041175C" w:rsidRPr="00FD5967">
              <w:rPr>
                <w:rFonts w:eastAsia="STZhongsong"/>
                <w:lang w:eastAsia="zh-CN"/>
              </w:rPr>
              <w:t xml:space="preserve"> </w:t>
            </w:r>
          </w:p>
          <w:p w14:paraId="0B09DB3F" w14:textId="021B2FE0" w:rsidR="001C0DFC" w:rsidRPr="00FD5967" w:rsidRDefault="008C628F" w:rsidP="00FD5967">
            <w:pPr>
              <w:overflowPunct/>
              <w:autoSpaceDE/>
              <w:autoSpaceDN/>
              <w:spacing w:after="120"/>
              <w:ind w:left="0"/>
              <w:textAlignment w:val="auto"/>
              <w:rPr>
                <w:rFonts w:eastAsia="STZhongsong"/>
                <w:lang w:eastAsia="zh-CN"/>
              </w:rPr>
            </w:pPr>
            <w:r w:rsidRPr="00FD5967">
              <w:rPr>
                <w:rFonts w:eastAsia="STZhongsong"/>
                <w:lang w:eastAsia="zh-CN"/>
              </w:rPr>
              <w:t>T</w:t>
            </w:r>
            <w:r w:rsidR="001C0DFC" w:rsidRPr="00FD5967">
              <w:rPr>
                <w:rFonts w:eastAsia="STZhongsong"/>
                <w:lang w:eastAsia="zh-CN"/>
              </w:rPr>
              <w:t xml:space="preserve">he milestone billing </w:t>
            </w:r>
            <w:r w:rsidRPr="00FD5967">
              <w:rPr>
                <w:rFonts w:eastAsia="STZhongsong"/>
                <w:lang w:eastAsia="zh-CN"/>
              </w:rPr>
              <w:t xml:space="preserve">for the first Statement of Works package is detailed in the </w:t>
            </w:r>
            <w:r w:rsidR="00C26F98" w:rsidRPr="00FD5967">
              <w:rPr>
                <w:rFonts w:eastAsia="STZhongsong"/>
                <w:lang w:eastAsia="zh-CN"/>
              </w:rPr>
              <w:t>‘</w:t>
            </w:r>
            <w:r w:rsidRPr="00FD5967">
              <w:rPr>
                <w:rFonts w:eastAsia="STZhongsong"/>
                <w:lang w:eastAsia="zh-CN"/>
              </w:rPr>
              <w:t>Revised Deloitte Consultancy Support Charging</w:t>
            </w:r>
            <w:r w:rsidR="00C26F98" w:rsidRPr="00FD5967">
              <w:rPr>
                <w:rFonts w:eastAsia="STZhongsong"/>
                <w:lang w:eastAsia="zh-CN"/>
              </w:rPr>
              <w:t>’</w:t>
            </w:r>
            <w:r w:rsidRPr="00FD5967">
              <w:rPr>
                <w:rFonts w:eastAsia="STZhongsong"/>
                <w:lang w:eastAsia="zh-CN"/>
              </w:rPr>
              <w:t xml:space="preserve"> model referred to in 6.1</w:t>
            </w:r>
            <w:r w:rsidR="00D57D33" w:rsidRPr="00FD5967">
              <w:rPr>
                <w:rFonts w:eastAsia="STZhongsong"/>
                <w:lang w:eastAsia="zh-CN"/>
              </w:rPr>
              <w:t>.</w:t>
            </w:r>
          </w:p>
        </w:tc>
      </w:tr>
      <w:tr w:rsidR="003A296D" w:rsidRPr="00B91478" w14:paraId="509E85CE" w14:textId="77777777" w:rsidTr="003A296D">
        <w:tc>
          <w:tcPr>
            <w:tcW w:w="564" w:type="dxa"/>
          </w:tcPr>
          <w:p w14:paraId="3919B235" w14:textId="77777777" w:rsidR="003A296D" w:rsidRPr="00B91478" w:rsidRDefault="003A296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14:paraId="29D65DB8" w14:textId="77777777" w:rsidR="003A296D" w:rsidRPr="00B91478" w:rsidRDefault="003A296D">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2370B4B8" w14:textId="77777777" w:rsidR="003A296D" w:rsidRDefault="003A296D">
            <w:pPr>
              <w:numPr>
                <w:ilvl w:val="1"/>
                <w:numId w:val="0"/>
              </w:numPr>
              <w:overflowPunct/>
              <w:autoSpaceDE/>
              <w:autoSpaceDN/>
              <w:spacing w:after="120"/>
              <w:jc w:val="left"/>
              <w:textAlignment w:val="auto"/>
            </w:pPr>
            <w:r>
              <w:t xml:space="preserve">Reimbursable Expenses are not permitted </w:t>
            </w:r>
            <w:r w:rsidR="001C6C25">
              <w:t xml:space="preserve">within the M25 Greater London area </w:t>
            </w:r>
            <w:r>
              <w:t>unless expressly permitted by the HMRC Work Manager.</w:t>
            </w:r>
            <w:r w:rsidR="008A0169">
              <w:t xml:space="preserve"> </w:t>
            </w:r>
          </w:p>
          <w:p w14:paraId="1FD613BE" w14:textId="2654D4FB" w:rsidR="001C6C25" w:rsidRPr="00B91478" w:rsidRDefault="001C6C25">
            <w:pPr>
              <w:numPr>
                <w:ilvl w:val="1"/>
                <w:numId w:val="0"/>
              </w:numPr>
              <w:overflowPunct/>
              <w:autoSpaceDE/>
              <w:autoSpaceDN/>
              <w:spacing w:after="120"/>
              <w:jc w:val="left"/>
              <w:textAlignment w:val="auto"/>
              <w:rPr>
                <w:rFonts w:eastAsia="STZhongsong"/>
                <w:lang w:eastAsia="zh-CN"/>
              </w:rPr>
            </w:pPr>
            <w:r>
              <w:t>Reimbursable Expenses incurred for activity outside of the M25 Greater London area will be permitted with the prior agreement of the HMRC Work Manager, but any expenses incurred must be in accordance with HMRC T&amp;S Policy as provided at Appendix A.</w:t>
            </w:r>
          </w:p>
        </w:tc>
      </w:tr>
      <w:tr w:rsidR="003A296D" w:rsidRPr="00B91478" w14:paraId="79636B86" w14:textId="77777777" w:rsidTr="003A296D">
        <w:tc>
          <w:tcPr>
            <w:tcW w:w="564" w:type="dxa"/>
          </w:tcPr>
          <w:p w14:paraId="6C80142A" w14:textId="77777777" w:rsidR="003A296D" w:rsidRPr="00B91478" w:rsidRDefault="003A296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0892716B" w14:textId="77777777" w:rsidR="003A296D" w:rsidRPr="00B91478" w:rsidRDefault="003A296D"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7515C78C" w14:textId="10A47722" w:rsidR="000128E2" w:rsidRPr="00B91478" w:rsidRDefault="00560CCB" w:rsidP="000128E2">
            <w:pPr>
              <w:numPr>
                <w:ilvl w:val="1"/>
                <w:numId w:val="0"/>
              </w:numPr>
              <w:overflowPunct/>
              <w:autoSpaceDE/>
              <w:autoSpaceDN/>
              <w:spacing w:after="0"/>
              <w:textAlignment w:val="auto"/>
              <w:rPr>
                <w:rFonts w:eastAsia="STZhongsong"/>
                <w:lang w:eastAsia="zh-CN"/>
              </w:rPr>
            </w:pPr>
            <w:r>
              <w:t>REDACTED</w:t>
            </w:r>
          </w:p>
        </w:tc>
      </w:tr>
      <w:tr w:rsidR="003A296D" w:rsidRPr="00B91478" w14:paraId="178F82D0" w14:textId="77777777" w:rsidTr="003A296D">
        <w:tc>
          <w:tcPr>
            <w:tcW w:w="564" w:type="dxa"/>
          </w:tcPr>
          <w:p w14:paraId="7620ED36" w14:textId="77777777" w:rsidR="003A296D" w:rsidRPr="00B91478" w:rsidRDefault="003A296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14:paraId="6839226E" w14:textId="517714F9" w:rsidR="003A296D" w:rsidRPr="00B91478" w:rsidRDefault="003A296D"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72EAD2DD" w14:textId="73570ABB" w:rsidR="003A296D" w:rsidRPr="00B91478" w:rsidRDefault="003A296D" w:rsidP="001262D1">
            <w:pPr>
              <w:numPr>
                <w:ilvl w:val="1"/>
                <w:numId w:val="0"/>
              </w:numPr>
              <w:overflowPunct/>
              <w:autoSpaceDE/>
              <w:autoSpaceDN/>
              <w:spacing w:after="120"/>
              <w:textAlignment w:val="auto"/>
              <w:rPr>
                <w:rFonts w:eastAsia="STZhongsong"/>
                <w:b/>
                <w:lang w:eastAsia="zh-CN"/>
              </w:rPr>
            </w:pPr>
            <w:r>
              <w:t xml:space="preserve">Call Off Contract Charges are fixed for the </w:t>
            </w:r>
            <w:r w:rsidR="001262D1">
              <w:t>first Statement of Works package</w:t>
            </w:r>
            <w:r>
              <w:t>.</w:t>
            </w:r>
          </w:p>
        </w:tc>
      </w:tr>
      <w:tr w:rsidR="003A296D" w:rsidRPr="00B91478" w14:paraId="26AECBD0" w14:textId="77777777" w:rsidTr="003A296D">
        <w:tc>
          <w:tcPr>
            <w:tcW w:w="564" w:type="dxa"/>
          </w:tcPr>
          <w:p w14:paraId="779A313D" w14:textId="77777777" w:rsidR="003A296D" w:rsidRPr="00B91478" w:rsidRDefault="003A296D">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715FDC88" w14:textId="634461FE" w:rsidR="003A296D" w:rsidRPr="00B91478" w:rsidRDefault="003A296D"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1487F635" w:rsidR="003A296D" w:rsidRPr="003A296D" w:rsidRDefault="003A296D" w:rsidP="00BB4A0B">
            <w:pPr>
              <w:numPr>
                <w:ilvl w:val="1"/>
                <w:numId w:val="0"/>
              </w:numPr>
              <w:tabs>
                <w:tab w:val="left" w:pos="2783"/>
              </w:tabs>
              <w:overflowPunct/>
              <w:autoSpaceDE/>
              <w:autoSpaceDN/>
              <w:spacing w:after="120"/>
              <w:textAlignment w:val="auto"/>
              <w:rPr>
                <w:rFonts w:eastAsia="STZhongsong"/>
                <w:lang w:eastAsia="zh-CN"/>
              </w:rPr>
            </w:pPr>
            <w:r w:rsidRPr="003A296D">
              <w:t>Not Applicable</w:t>
            </w:r>
            <w:r w:rsidRPr="003A296D">
              <w:rPr>
                <w:rFonts w:eastAsia="STZhongsong"/>
                <w:lang w:eastAsia="zh-CN"/>
              </w:rPr>
              <w:tab/>
            </w:r>
          </w:p>
        </w:tc>
      </w:tr>
      <w:tr w:rsidR="003A296D" w:rsidRPr="00B91478" w14:paraId="2C9FE932" w14:textId="77777777" w:rsidTr="003A296D">
        <w:tc>
          <w:tcPr>
            <w:tcW w:w="564" w:type="dxa"/>
          </w:tcPr>
          <w:p w14:paraId="1ACDA024" w14:textId="77777777" w:rsidR="003A296D" w:rsidRPr="00B91478" w:rsidRDefault="003A296D">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5D8533AF" w14:textId="206F6AE0" w:rsidR="003A296D" w:rsidRPr="00B91478" w:rsidRDefault="003A296D"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5A1C99AA" w14:textId="0C24E8AF" w:rsidR="003A296D" w:rsidRPr="00B91478" w:rsidRDefault="003A296D" w:rsidP="00BB4A0B">
            <w:pPr>
              <w:numPr>
                <w:ilvl w:val="1"/>
                <w:numId w:val="0"/>
              </w:numPr>
              <w:tabs>
                <w:tab w:val="left" w:pos="2783"/>
              </w:tabs>
              <w:overflowPunct/>
              <w:autoSpaceDE/>
              <w:autoSpaceDN/>
              <w:spacing w:after="120"/>
              <w:textAlignment w:val="auto"/>
              <w:rPr>
                <w:rFonts w:eastAsia="STZhongsong"/>
                <w:lang w:eastAsia="zh-CN"/>
              </w:rPr>
            </w:pPr>
            <w:r w:rsidRPr="003A296D">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3A296D" w:rsidRPr="00B91478" w14:paraId="5478B57F" w14:textId="77777777" w:rsidTr="00152654">
        <w:tc>
          <w:tcPr>
            <w:tcW w:w="565" w:type="dxa"/>
          </w:tcPr>
          <w:p w14:paraId="1856BB0E" w14:textId="77777777" w:rsidR="003A296D" w:rsidRPr="00B91478" w:rsidRDefault="003A296D">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5252CCDF" w14:textId="6D43A86F" w:rsidR="003A296D" w:rsidRDefault="003A296D">
            <w:pPr>
              <w:numPr>
                <w:ilvl w:val="1"/>
                <w:numId w:val="0"/>
              </w:numPr>
              <w:overflowPunct/>
              <w:autoSpaceDE/>
              <w:autoSpaceDN/>
              <w:spacing w:after="120"/>
              <w:textAlignment w:val="auto"/>
            </w:pPr>
            <w:r w:rsidRPr="00B91478">
              <w:rPr>
                <w:b/>
              </w:rPr>
              <w:t>Estimated Call Off Contract Charges</w:t>
            </w:r>
            <w:r w:rsidRPr="00B91478">
              <w:t>:</w:t>
            </w:r>
          </w:p>
          <w:p w14:paraId="57A197F1" w14:textId="2620D27D" w:rsidR="001262D1" w:rsidRDefault="001262D1">
            <w:pPr>
              <w:numPr>
                <w:ilvl w:val="1"/>
                <w:numId w:val="0"/>
              </w:numPr>
              <w:overflowPunct/>
              <w:autoSpaceDE/>
              <w:autoSpaceDN/>
              <w:spacing w:after="120"/>
              <w:textAlignment w:val="auto"/>
            </w:pPr>
            <w:r>
              <w:t>Year 1, £500,000 total aggregated value of Statement of Works packages.</w:t>
            </w:r>
          </w:p>
          <w:p w14:paraId="4D8A571C" w14:textId="5501D3D1" w:rsidR="003A296D" w:rsidRPr="001262D1" w:rsidRDefault="001262D1" w:rsidP="001262D1">
            <w:pPr>
              <w:numPr>
                <w:ilvl w:val="1"/>
                <w:numId w:val="0"/>
              </w:numPr>
              <w:overflowPunct/>
              <w:autoSpaceDE/>
              <w:autoSpaceDN/>
              <w:spacing w:after="120"/>
              <w:textAlignment w:val="auto"/>
            </w:pPr>
            <w:r>
              <w:t>Year 2, £750,000 total aggregated value of Statement of Works packages.</w:t>
            </w:r>
          </w:p>
        </w:tc>
      </w:tr>
      <w:tr w:rsidR="003A296D" w:rsidRPr="00B91478" w14:paraId="55713951" w14:textId="77777777" w:rsidTr="00152654">
        <w:tc>
          <w:tcPr>
            <w:tcW w:w="565" w:type="dxa"/>
          </w:tcPr>
          <w:p w14:paraId="35D7B8B5" w14:textId="5CFE209B" w:rsidR="003A296D" w:rsidRPr="00B91478" w:rsidRDefault="003A296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14:paraId="2FD5BCFD" w14:textId="00CFF953" w:rsidR="003A296D" w:rsidRPr="00B91478" w:rsidRDefault="003A296D">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337954A" w14:textId="70FD4C48" w:rsidR="003A296D" w:rsidRPr="00B91478" w:rsidRDefault="001262D1" w:rsidP="001262D1">
            <w:pPr>
              <w:numPr>
                <w:ilvl w:val="1"/>
                <w:numId w:val="0"/>
              </w:numPr>
              <w:overflowPunct/>
              <w:autoSpaceDE/>
              <w:autoSpaceDN/>
              <w:spacing w:after="120"/>
              <w:textAlignment w:val="auto"/>
              <w:rPr>
                <w:rFonts w:eastAsia="STZhongsong"/>
                <w:lang w:eastAsia="zh-CN"/>
              </w:rPr>
            </w:pPr>
            <w:r>
              <w:t xml:space="preserve">Applicable Supplier’s total aggregated liability are available in Clause 37.2.1 of the </w:t>
            </w:r>
            <w:hyperlink r:id="rId13" w:history="1">
              <w:r w:rsidRPr="00152654">
                <w:rPr>
                  <w:rStyle w:val="Hyperlink"/>
                </w:rPr>
                <w:t>Call Off terms</w:t>
              </w:r>
            </w:hyperlink>
            <w:r>
              <w:t xml:space="preserve"> for RM6008 which can be accessed via the CCS website.</w:t>
            </w:r>
          </w:p>
        </w:tc>
      </w:tr>
      <w:tr w:rsidR="003A296D" w:rsidRPr="00B91478" w14:paraId="75F98DE5" w14:textId="77777777" w:rsidTr="00152654">
        <w:tc>
          <w:tcPr>
            <w:tcW w:w="565" w:type="dxa"/>
          </w:tcPr>
          <w:p w14:paraId="73B0BF73" w14:textId="77777777" w:rsidR="003A296D" w:rsidRPr="00B91478" w:rsidRDefault="003A296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14:paraId="5EAD959D" w14:textId="4E14B5EA" w:rsidR="003A296D" w:rsidRPr="00B91478" w:rsidRDefault="003A296D">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4451852C" w14:textId="5512C62E" w:rsidR="003A296D" w:rsidRPr="00B91478" w:rsidRDefault="00152654">
            <w:pPr>
              <w:numPr>
                <w:ilvl w:val="1"/>
                <w:numId w:val="0"/>
              </w:numPr>
              <w:overflowPunct/>
              <w:autoSpaceDE/>
              <w:autoSpaceDN/>
              <w:spacing w:after="120"/>
              <w:textAlignment w:val="auto"/>
              <w:rPr>
                <w:rFonts w:eastAsia="STZhongsong"/>
                <w:b/>
                <w:lang w:eastAsia="zh-CN"/>
              </w:rPr>
            </w:pPr>
            <w:r>
              <w:t xml:space="preserve">Applicable insurance terms are available in Clause 38.3 of the </w:t>
            </w:r>
            <w:hyperlink r:id="rId14" w:history="1">
              <w:r w:rsidRPr="00152654">
                <w:rPr>
                  <w:rStyle w:val="Hyperlink"/>
                </w:rPr>
                <w:t>Call Off terms</w:t>
              </w:r>
            </w:hyperlink>
            <w:r>
              <w:t xml:space="preserve"> for RM6008 which can be accessed via the CCS website.</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152654" w:rsidRPr="00B91478" w14:paraId="45EEC7DA" w14:textId="77777777" w:rsidTr="00152654">
        <w:tc>
          <w:tcPr>
            <w:tcW w:w="565" w:type="dxa"/>
          </w:tcPr>
          <w:p w14:paraId="40AC2E4B" w14:textId="77777777" w:rsidR="00152654" w:rsidRPr="00B91478" w:rsidRDefault="0015265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03" w:type="dxa"/>
            <w:shd w:val="clear" w:color="auto" w:fill="auto"/>
          </w:tcPr>
          <w:p w14:paraId="2878B9E8" w14:textId="2448AB40" w:rsidR="00152654" w:rsidRPr="00B91478" w:rsidRDefault="00152654">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4594391F" w14:textId="24F58EC2" w:rsidR="00152654" w:rsidRPr="00B91478" w:rsidRDefault="00152654" w:rsidP="00397FC8">
            <w:pPr>
              <w:keepNext/>
              <w:keepLines/>
              <w:overflowPunct/>
              <w:autoSpaceDE/>
              <w:autoSpaceDN/>
              <w:spacing w:before="240"/>
              <w:ind w:left="0"/>
              <w:textAlignment w:val="auto"/>
              <w:rPr>
                <w:b/>
                <w:highlight w:val="yellow"/>
              </w:rPr>
            </w:pPr>
            <w:r>
              <w:t xml:space="preserve">The Customer may terminate this Call Off Order Form in accordance with clause 42.2.1(c) of the </w:t>
            </w:r>
            <w:hyperlink r:id="rId15" w:history="1">
              <w:r w:rsidRPr="00152654">
                <w:rPr>
                  <w:rStyle w:val="Hyperlink"/>
                </w:rPr>
                <w:t>Call Off terms</w:t>
              </w:r>
            </w:hyperlink>
            <w:r>
              <w:t xml:space="preserve"> for RM6008 which can be accessed via the CCS website, by issuing a termination notice of 10 Working Days.</w:t>
            </w:r>
          </w:p>
        </w:tc>
      </w:tr>
      <w:tr w:rsidR="00152654" w:rsidRPr="00B91478" w14:paraId="2D4DA8B8" w14:textId="77777777" w:rsidTr="00152654">
        <w:tc>
          <w:tcPr>
            <w:tcW w:w="565" w:type="dxa"/>
          </w:tcPr>
          <w:p w14:paraId="7475DDE5" w14:textId="77777777" w:rsidR="00152654" w:rsidRPr="00B91478" w:rsidRDefault="0015265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103" w:type="dxa"/>
            <w:shd w:val="clear" w:color="auto" w:fill="auto"/>
          </w:tcPr>
          <w:p w14:paraId="68CE8304" w14:textId="314F66F6" w:rsidR="00152654" w:rsidRPr="00B91478" w:rsidRDefault="00152654">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3158D234" w14:textId="71CCB2D8" w:rsidR="00152654" w:rsidRPr="00B91478" w:rsidRDefault="00152654" w:rsidP="004944BE">
            <w:pPr>
              <w:numPr>
                <w:ilvl w:val="1"/>
                <w:numId w:val="0"/>
              </w:numPr>
              <w:overflowPunct/>
              <w:autoSpaceDE/>
              <w:autoSpaceDN/>
              <w:spacing w:after="120"/>
              <w:textAlignment w:val="auto"/>
              <w:rPr>
                <w:rFonts w:eastAsia="STZhongsong"/>
                <w:lang w:eastAsia="zh-CN"/>
              </w:rPr>
            </w:pPr>
            <w:r>
              <w:t>In accordance with clause 42.7 of the Call off Terms for RM6008 which can be accessed via the CCS website.</w:t>
            </w:r>
          </w:p>
        </w:tc>
      </w:tr>
      <w:tr w:rsidR="00152654" w:rsidRPr="00B91478" w14:paraId="7C78E2F3" w14:textId="77777777" w:rsidTr="00152654">
        <w:tc>
          <w:tcPr>
            <w:tcW w:w="565" w:type="dxa"/>
          </w:tcPr>
          <w:p w14:paraId="174E531E" w14:textId="77777777" w:rsidR="00152654" w:rsidRPr="00B91478" w:rsidRDefault="0015265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103" w:type="dxa"/>
            <w:shd w:val="clear" w:color="auto" w:fill="auto"/>
          </w:tcPr>
          <w:p w14:paraId="32D7692F" w14:textId="77777777" w:rsidR="00152654" w:rsidRPr="00B91478" w:rsidRDefault="00152654">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743B1542" w14:textId="3A30137F" w:rsidR="00152654" w:rsidRPr="00B91478" w:rsidRDefault="00152654" w:rsidP="00DE1860">
            <w:pPr>
              <w:keepNext/>
              <w:keepLines/>
              <w:overflowPunct/>
              <w:autoSpaceDE/>
              <w:autoSpaceDN/>
              <w:spacing w:before="240"/>
              <w:ind w:left="0"/>
              <w:textAlignment w:val="auto"/>
              <w:rPr>
                <w:rFonts w:eastAsia="STZhongsong"/>
                <w:b/>
                <w:caps/>
                <w:lang w:eastAsia="zh-CN"/>
              </w:rPr>
            </w:pPr>
            <w:r>
              <w:t xml:space="preserve">In Clause 43.1.1 of the </w:t>
            </w:r>
            <w:hyperlink r:id="rId16" w:history="1">
              <w:r w:rsidRPr="00152654">
                <w:rPr>
                  <w:rStyle w:val="Hyperlink"/>
                </w:rPr>
                <w:t>Call Off Terms</w:t>
              </w:r>
            </w:hyperlink>
            <w:r>
              <w:t xml:space="preserve"> for RM6008 which can be accessed via the CCS website</w:t>
            </w:r>
          </w:p>
        </w:tc>
      </w:tr>
      <w:tr w:rsidR="00152654" w:rsidRPr="00B91478" w14:paraId="7CFBFB52" w14:textId="77777777" w:rsidTr="00152654">
        <w:tc>
          <w:tcPr>
            <w:tcW w:w="565" w:type="dxa"/>
            <w:tcBorders>
              <w:top w:val="single" w:sz="4" w:space="0" w:color="auto"/>
              <w:left w:val="single" w:sz="4" w:space="0" w:color="auto"/>
              <w:bottom w:val="single" w:sz="4" w:space="0" w:color="auto"/>
              <w:right w:val="single" w:sz="4" w:space="0" w:color="auto"/>
            </w:tcBorders>
          </w:tcPr>
          <w:p w14:paraId="44A77CD6" w14:textId="20FE1027" w:rsidR="00152654" w:rsidRPr="00B91478" w:rsidRDefault="0015265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38E40F79" w14:textId="6F61F2CD" w:rsidR="00152654" w:rsidRDefault="0015265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6E8FDC83" w14:textId="77777777" w:rsidR="000128E2" w:rsidRDefault="000128E2">
            <w:pPr>
              <w:numPr>
                <w:ilvl w:val="1"/>
                <w:numId w:val="0"/>
              </w:numPr>
              <w:overflowPunct/>
              <w:autoSpaceDE/>
              <w:autoSpaceDN/>
              <w:spacing w:after="120"/>
              <w:textAlignment w:val="auto"/>
              <w:rPr>
                <w:rFonts w:eastAsia="STZhongsong"/>
                <w:b/>
                <w:lang w:eastAsia="zh-CN"/>
              </w:rPr>
            </w:pPr>
          </w:p>
          <w:p w14:paraId="200B8DF2" w14:textId="2D8D9DA5" w:rsidR="000128E2" w:rsidRPr="000128E2" w:rsidRDefault="000128E2">
            <w:pPr>
              <w:numPr>
                <w:ilvl w:val="1"/>
                <w:numId w:val="0"/>
              </w:numPr>
              <w:overflowPunct/>
              <w:autoSpaceDE/>
              <w:autoSpaceDN/>
              <w:spacing w:after="120"/>
              <w:textAlignment w:val="auto"/>
              <w:rPr>
                <w:rFonts w:eastAsia="STZhongsong"/>
                <w:lang w:eastAsia="zh-CN"/>
              </w:rPr>
            </w:pPr>
            <w:r>
              <w:rPr>
                <w:rFonts w:eastAsia="STZhongsong"/>
                <w:lang w:eastAsia="zh-CN"/>
              </w:rPr>
              <w:t xml:space="preserve">Under the terms of the Contract, the Supplier must commit to co-operating with the customer to ensure efficient Exit Management as Statement of Works packages are completed. </w:t>
            </w:r>
          </w:p>
          <w:p w14:paraId="2CE59F54" w14:textId="027BE542" w:rsidR="000128E2" w:rsidRDefault="000128E2">
            <w:pPr>
              <w:numPr>
                <w:ilvl w:val="1"/>
                <w:numId w:val="0"/>
              </w:numPr>
              <w:overflowPunct/>
              <w:autoSpaceDE/>
              <w:autoSpaceDN/>
              <w:spacing w:after="120"/>
              <w:textAlignment w:val="auto"/>
              <w:rPr>
                <w:rFonts w:eastAsia="STZhongsong"/>
                <w:lang w:eastAsia="zh-CN"/>
              </w:rPr>
            </w:pPr>
            <w:r>
              <w:rPr>
                <w:rFonts w:eastAsia="STZhongsong"/>
                <w:lang w:eastAsia="zh-CN"/>
              </w:rPr>
              <w:t>T</w:t>
            </w:r>
            <w:r w:rsidR="00C26F98" w:rsidRPr="00C26F98">
              <w:rPr>
                <w:rFonts w:eastAsia="STZhongsong"/>
                <w:lang w:eastAsia="zh-CN"/>
              </w:rPr>
              <w:t xml:space="preserve">he Supplier </w:t>
            </w:r>
            <w:r>
              <w:rPr>
                <w:rFonts w:eastAsia="STZhongsong"/>
                <w:lang w:eastAsia="zh-CN"/>
              </w:rPr>
              <w:t>must ensure</w:t>
            </w:r>
            <w:r w:rsidR="00C26F98" w:rsidRPr="00C26F98">
              <w:rPr>
                <w:rFonts w:eastAsia="STZhongsong"/>
                <w:lang w:eastAsia="zh-CN"/>
              </w:rPr>
              <w:t xml:space="preserve"> that knowledge transfer to the </w:t>
            </w:r>
            <w:r w:rsidR="00C26F98">
              <w:rPr>
                <w:rFonts w:eastAsia="STZhongsong"/>
                <w:lang w:eastAsia="zh-CN"/>
              </w:rPr>
              <w:t>Customer’</w:t>
            </w:r>
            <w:r w:rsidR="00C26F98" w:rsidRPr="00C26F98">
              <w:rPr>
                <w:rFonts w:eastAsia="STZhongsong"/>
                <w:lang w:eastAsia="zh-CN"/>
              </w:rPr>
              <w:t>s team is a fundamental part of th</w:t>
            </w:r>
            <w:r>
              <w:rPr>
                <w:rFonts w:eastAsia="STZhongsong"/>
                <w:lang w:eastAsia="zh-CN"/>
              </w:rPr>
              <w:t>e Exit Management process.</w:t>
            </w:r>
          </w:p>
          <w:p w14:paraId="216E5E31" w14:textId="77777777" w:rsidR="000128E2" w:rsidRDefault="000128E2">
            <w:pPr>
              <w:numPr>
                <w:ilvl w:val="1"/>
                <w:numId w:val="0"/>
              </w:numPr>
              <w:overflowPunct/>
              <w:autoSpaceDE/>
              <w:autoSpaceDN/>
              <w:spacing w:after="120"/>
              <w:textAlignment w:val="auto"/>
              <w:rPr>
                <w:rFonts w:eastAsia="STZhongsong"/>
                <w:lang w:eastAsia="zh-CN"/>
              </w:rPr>
            </w:pPr>
          </w:p>
          <w:p w14:paraId="03E43D79" w14:textId="77777777" w:rsidR="0016156A" w:rsidRDefault="00C26F98">
            <w:pPr>
              <w:numPr>
                <w:ilvl w:val="1"/>
                <w:numId w:val="0"/>
              </w:numPr>
              <w:overflowPunct/>
              <w:autoSpaceDE/>
              <w:autoSpaceDN/>
              <w:spacing w:after="120"/>
              <w:textAlignment w:val="auto"/>
              <w:rPr>
                <w:rFonts w:eastAsia="STZhongsong"/>
                <w:lang w:eastAsia="zh-CN"/>
              </w:rPr>
            </w:pPr>
            <w:r w:rsidRPr="00C26F98">
              <w:rPr>
                <w:rFonts w:eastAsia="STZhongsong"/>
                <w:lang w:eastAsia="zh-CN"/>
              </w:rPr>
              <w:t xml:space="preserve">Four weeks prior to the </w:t>
            </w:r>
            <w:r w:rsidR="0016156A">
              <w:rPr>
                <w:rFonts w:eastAsia="STZhongsong"/>
                <w:lang w:eastAsia="zh-CN"/>
              </w:rPr>
              <w:t xml:space="preserve">planned </w:t>
            </w:r>
            <w:r w:rsidRPr="00C26F98">
              <w:rPr>
                <w:rFonts w:eastAsia="STZhongsong"/>
                <w:lang w:eastAsia="zh-CN"/>
              </w:rPr>
              <w:t>end</w:t>
            </w:r>
            <w:r w:rsidR="0016156A">
              <w:rPr>
                <w:rFonts w:eastAsia="STZhongsong"/>
                <w:lang w:eastAsia="zh-CN"/>
              </w:rPr>
              <w:t xml:space="preserve"> date</w:t>
            </w:r>
            <w:r w:rsidRPr="00C26F98">
              <w:rPr>
                <w:rFonts w:eastAsia="STZhongsong"/>
                <w:lang w:eastAsia="zh-CN"/>
              </w:rPr>
              <w:t xml:space="preserve"> of the </w:t>
            </w:r>
            <w:r w:rsidR="0016156A">
              <w:rPr>
                <w:rFonts w:eastAsia="STZhongsong"/>
                <w:lang w:eastAsia="zh-CN"/>
              </w:rPr>
              <w:t>completion of the work</w:t>
            </w:r>
            <w:r w:rsidRPr="00C26F98">
              <w:rPr>
                <w:rFonts w:eastAsia="STZhongsong"/>
                <w:lang w:eastAsia="zh-CN"/>
              </w:rPr>
              <w:t>, at the C</w:t>
            </w:r>
            <w:r>
              <w:rPr>
                <w:rFonts w:eastAsia="STZhongsong"/>
                <w:lang w:eastAsia="zh-CN"/>
              </w:rPr>
              <w:t>ustomer’</w:t>
            </w:r>
            <w:r w:rsidRPr="00C26F98">
              <w:rPr>
                <w:rFonts w:eastAsia="STZhongsong"/>
                <w:lang w:eastAsia="zh-CN"/>
              </w:rPr>
              <w:t xml:space="preserve">s request, the Supplier </w:t>
            </w:r>
            <w:r w:rsidR="0016156A">
              <w:rPr>
                <w:rFonts w:eastAsia="STZhongsong"/>
                <w:lang w:eastAsia="zh-CN"/>
              </w:rPr>
              <w:t>must</w:t>
            </w:r>
            <w:r w:rsidRPr="00C26F98">
              <w:rPr>
                <w:rFonts w:eastAsia="STZhongsong"/>
                <w:lang w:eastAsia="zh-CN"/>
              </w:rPr>
              <w:t xml:space="preserve"> provide an</w:t>
            </w:r>
            <w:r w:rsidR="00704E3F">
              <w:rPr>
                <w:rFonts w:eastAsia="STZhongsong"/>
                <w:lang w:eastAsia="zh-CN"/>
              </w:rPr>
              <w:t xml:space="preserve"> Exit</w:t>
            </w:r>
            <w:r w:rsidR="0016156A">
              <w:rPr>
                <w:rFonts w:eastAsia="STZhongsong"/>
                <w:lang w:eastAsia="zh-CN"/>
              </w:rPr>
              <w:t xml:space="preserve"> Management</w:t>
            </w:r>
            <w:r w:rsidR="00704E3F">
              <w:rPr>
                <w:rFonts w:eastAsia="STZhongsong"/>
                <w:lang w:eastAsia="zh-CN"/>
              </w:rPr>
              <w:t xml:space="preserve"> Plan</w:t>
            </w:r>
            <w:r w:rsidR="0016156A">
              <w:rPr>
                <w:rFonts w:eastAsia="STZhongsong"/>
                <w:lang w:eastAsia="zh-CN"/>
              </w:rPr>
              <w:t>.</w:t>
            </w:r>
            <w:r w:rsidR="00704E3F">
              <w:rPr>
                <w:rFonts w:eastAsia="STZhongsong"/>
                <w:lang w:eastAsia="zh-CN"/>
              </w:rPr>
              <w:t xml:space="preserve"> </w:t>
            </w:r>
          </w:p>
          <w:p w14:paraId="7FB94256" w14:textId="77777777" w:rsidR="0016156A" w:rsidRDefault="0016156A">
            <w:pPr>
              <w:numPr>
                <w:ilvl w:val="1"/>
                <w:numId w:val="0"/>
              </w:numPr>
              <w:overflowPunct/>
              <w:autoSpaceDE/>
              <w:autoSpaceDN/>
              <w:spacing w:after="120"/>
              <w:textAlignment w:val="auto"/>
              <w:rPr>
                <w:rFonts w:eastAsia="STZhongsong"/>
                <w:lang w:eastAsia="zh-CN"/>
              </w:rPr>
            </w:pPr>
            <w:r>
              <w:rPr>
                <w:rFonts w:eastAsia="STZhongsong"/>
                <w:lang w:eastAsia="zh-CN"/>
              </w:rPr>
              <w:t xml:space="preserve">The Exit Management Plan must describe: </w:t>
            </w:r>
          </w:p>
          <w:p w14:paraId="1487DD74" w14:textId="43B16D11" w:rsidR="00921CFF" w:rsidRDefault="0016156A" w:rsidP="0016156A">
            <w:pPr>
              <w:pStyle w:val="ListParagraph"/>
              <w:numPr>
                <w:ilvl w:val="0"/>
                <w:numId w:val="21"/>
              </w:numPr>
              <w:overflowPunct/>
              <w:autoSpaceDE/>
              <w:autoSpaceDN/>
              <w:spacing w:after="120"/>
              <w:textAlignment w:val="auto"/>
              <w:rPr>
                <w:rFonts w:eastAsia="STZhongsong"/>
                <w:lang w:eastAsia="zh-CN"/>
              </w:rPr>
            </w:pPr>
            <w:r w:rsidRPr="0016156A">
              <w:rPr>
                <w:rFonts w:eastAsia="STZhongsong"/>
                <w:lang w:eastAsia="zh-CN"/>
              </w:rPr>
              <w:t xml:space="preserve">what further activities </w:t>
            </w:r>
            <w:r w:rsidR="00921CFF">
              <w:rPr>
                <w:rFonts w:eastAsia="STZhongsong"/>
                <w:lang w:eastAsia="zh-CN"/>
              </w:rPr>
              <w:t>are needed</w:t>
            </w:r>
            <w:r w:rsidRPr="0016156A">
              <w:rPr>
                <w:rFonts w:eastAsia="STZhongsong"/>
                <w:lang w:eastAsia="zh-CN"/>
              </w:rPr>
              <w:t xml:space="preserve"> by the Customer to continue to deliver the Programme</w:t>
            </w:r>
            <w:r w:rsidR="00921CFF">
              <w:rPr>
                <w:rFonts w:eastAsia="STZhongsong"/>
                <w:lang w:eastAsia="zh-CN"/>
              </w:rPr>
              <w:t xml:space="preserve"> effectively</w:t>
            </w:r>
            <w:r>
              <w:rPr>
                <w:rFonts w:eastAsia="STZhongsong"/>
                <w:lang w:eastAsia="zh-CN"/>
              </w:rPr>
              <w:t>;</w:t>
            </w:r>
            <w:r w:rsidRPr="0016156A">
              <w:rPr>
                <w:rFonts w:eastAsia="STZhongsong"/>
                <w:lang w:eastAsia="zh-CN"/>
              </w:rPr>
              <w:t xml:space="preserve"> </w:t>
            </w:r>
          </w:p>
          <w:p w14:paraId="1B11B93C" w14:textId="0F86324F" w:rsidR="00921CFF" w:rsidRDefault="0016156A" w:rsidP="00921CFF">
            <w:pPr>
              <w:pStyle w:val="ListParagraph"/>
              <w:numPr>
                <w:ilvl w:val="0"/>
                <w:numId w:val="21"/>
              </w:numPr>
              <w:overflowPunct/>
              <w:autoSpaceDE/>
              <w:autoSpaceDN/>
              <w:spacing w:after="120"/>
              <w:textAlignment w:val="auto"/>
              <w:rPr>
                <w:rFonts w:eastAsia="STZhongsong"/>
                <w:lang w:eastAsia="zh-CN"/>
              </w:rPr>
            </w:pPr>
            <w:r w:rsidRPr="00921CFF">
              <w:rPr>
                <w:rFonts w:eastAsia="STZhongsong"/>
                <w:lang w:eastAsia="zh-CN"/>
              </w:rPr>
              <w:t xml:space="preserve">how any knowledge retained by the Supplier’s team needed to complete such activities efficiently </w:t>
            </w:r>
            <w:r w:rsidR="00C26F98" w:rsidRPr="00921CFF">
              <w:rPr>
                <w:rFonts w:eastAsia="STZhongsong"/>
                <w:lang w:eastAsia="zh-CN"/>
              </w:rPr>
              <w:t>will be transferred to the Customer team</w:t>
            </w:r>
            <w:r w:rsidRPr="00921CFF">
              <w:rPr>
                <w:rFonts w:eastAsia="STZhongsong"/>
                <w:lang w:eastAsia="zh-CN"/>
              </w:rPr>
              <w:t xml:space="preserve"> </w:t>
            </w:r>
            <w:r w:rsidR="00921CFF">
              <w:rPr>
                <w:rFonts w:eastAsia="STZhongsong"/>
                <w:lang w:eastAsia="zh-CN"/>
              </w:rPr>
              <w:t>(</w:t>
            </w:r>
            <w:r w:rsidRPr="00921CFF">
              <w:rPr>
                <w:rFonts w:eastAsia="STZhongsong"/>
                <w:lang w:eastAsia="zh-CN"/>
              </w:rPr>
              <w:t xml:space="preserve">on the understanding that the Customer’s team may include </w:t>
            </w:r>
            <w:r w:rsidR="00C26F98" w:rsidRPr="00921CFF">
              <w:rPr>
                <w:rFonts w:eastAsia="STZhongsong"/>
                <w:lang w:eastAsia="zh-CN"/>
              </w:rPr>
              <w:t>contractors and third parties</w:t>
            </w:r>
            <w:r w:rsidR="00921CFF">
              <w:rPr>
                <w:rFonts w:eastAsia="STZhongsong"/>
                <w:lang w:eastAsia="zh-CN"/>
              </w:rPr>
              <w:t>) and</w:t>
            </w:r>
            <w:r w:rsidR="00C26F98" w:rsidRPr="00921CFF">
              <w:rPr>
                <w:rFonts w:eastAsia="STZhongsong"/>
                <w:lang w:eastAsia="zh-CN"/>
              </w:rPr>
              <w:t xml:space="preserve"> </w:t>
            </w:r>
          </w:p>
          <w:p w14:paraId="11DB9B6A" w14:textId="6749E7A4" w:rsidR="00152654" w:rsidRPr="00505CE6" w:rsidRDefault="00505CE6" w:rsidP="00505CE6">
            <w:pPr>
              <w:pStyle w:val="ListParagraph"/>
              <w:numPr>
                <w:ilvl w:val="0"/>
                <w:numId w:val="21"/>
              </w:numPr>
              <w:overflowPunct/>
              <w:autoSpaceDE/>
              <w:autoSpaceDN/>
              <w:spacing w:after="120"/>
              <w:textAlignment w:val="auto"/>
              <w:rPr>
                <w:rFonts w:eastAsia="STZhongsong"/>
                <w:lang w:eastAsia="zh-CN"/>
              </w:rPr>
            </w:pPr>
            <w:proofErr w:type="gramStart"/>
            <w:r>
              <w:rPr>
                <w:rFonts w:eastAsia="STZhongsong"/>
                <w:lang w:eastAsia="zh-CN"/>
              </w:rPr>
              <w:t>the</w:t>
            </w:r>
            <w:proofErr w:type="gramEnd"/>
            <w:r>
              <w:rPr>
                <w:rFonts w:eastAsia="STZhongsong"/>
                <w:lang w:eastAsia="zh-CN"/>
              </w:rPr>
              <w:t xml:space="preserve"> content format and location for any formal </w:t>
            </w:r>
            <w:r w:rsidRPr="00921CFF">
              <w:rPr>
                <w:rFonts w:eastAsia="STZhongsong"/>
                <w:lang w:eastAsia="zh-CN"/>
              </w:rPr>
              <w:t xml:space="preserve">knowledge transfer sessions </w:t>
            </w:r>
            <w:r>
              <w:rPr>
                <w:rFonts w:eastAsia="STZhongsong"/>
                <w:lang w:eastAsia="zh-CN"/>
              </w:rPr>
              <w:t xml:space="preserve">where required.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152654" w:rsidRPr="00B91478" w14:paraId="79968519" w14:textId="77777777" w:rsidTr="00152654">
        <w:tc>
          <w:tcPr>
            <w:tcW w:w="565" w:type="dxa"/>
            <w:tcBorders>
              <w:top w:val="single" w:sz="4" w:space="0" w:color="auto"/>
              <w:left w:val="single" w:sz="4" w:space="0" w:color="auto"/>
              <w:bottom w:val="single" w:sz="4" w:space="0" w:color="auto"/>
              <w:right w:val="single" w:sz="4" w:space="0" w:color="auto"/>
            </w:tcBorders>
          </w:tcPr>
          <w:p w14:paraId="6BFBD54A" w14:textId="77777777" w:rsidR="00152654" w:rsidRPr="00B91478" w:rsidRDefault="00152654">
            <w:pPr>
              <w:numPr>
                <w:ilvl w:val="1"/>
                <w:numId w:val="0"/>
              </w:numPr>
              <w:overflowPunct/>
              <w:autoSpaceDE/>
              <w:autoSpaceDN/>
              <w:spacing w:after="120"/>
              <w:jc w:val="left"/>
              <w:textAlignment w:val="auto"/>
              <w:rPr>
                <w:b/>
              </w:rPr>
            </w:pPr>
            <w:r w:rsidRPr="00B91478">
              <w:rPr>
                <w:b/>
              </w:rPr>
              <w:t>9.1</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152654" w:rsidRPr="00B91478" w:rsidRDefault="00152654"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7C6A74E5" w14:textId="77777777" w:rsidR="00152654" w:rsidRDefault="00152654">
            <w:pPr>
              <w:numPr>
                <w:ilvl w:val="1"/>
                <w:numId w:val="0"/>
              </w:numPr>
              <w:overflowPunct/>
              <w:autoSpaceDE/>
              <w:autoSpaceDN/>
              <w:spacing w:after="120"/>
              <w:jc w:val="left"/>
              <w:textAlignment w:val="auto"/>
            </w:pPr>
            <w:r>
              <w:t>Clauses 2 (Due Diligence), 31 (Customer Premises) and 32 (Customer Property) may apply to this contract. The supplier will be given site access upon request for inspection purposes.</w:t>
            </w:r>
          </w:p>
          <w:p w14:paraId="5E2A6D23" w14:textId="4655882C" w:rsidR="00921CFF" w:rsidRDefault="00857878" w:rsidP="00921CFF">
            <w:pPr>
              <w:numPr>
                <w:ilvl w:val="1"/>
                <w:numId w:val="0"/>
              </w:numPr>
              <w:overflowPunct/>
              <w:autoSpaceDE/>
              <w:autoSpaceDN/>
              <w:spacing w:after="120"/>
              <w:jc w:val="left"/>
              <w:textAlignment w:val="auto"/>
            </w:pPr>
            <w:r>
              <w:t>Where co-location of the Supplier’s team and the Customer’s team is required f</w:t>
            </w:r>
            <w:r w:rsidR="00921CFF">
              <w:t>or the delivery of the Services</w:t>
            </w:r>
            <w:r>
              <w:t xml:space="preserve"> relating to any individual Statement of Works package</w:t>
            </w:r>
            <w:r w:rsidR="00921CFF">
              <w:t xml:space="preserve">, </w:t>
            </w:r>
            <w:r>
              <w:t>the Customer will provide all office accommodation at the following address</w:t>
            </w:r>
            <w:r w:rsidR="00921CFF">
              <w:t xml:space="preserve">: </w:t>
            </w:r>
          </w:p>
          <w:p w14:paraId="57D57D11" w14:textId="6261CCE2" w:rsidR="00921CFF" w:rsidRDefault="00560CCB" w:rsidP="00921CFF">
            <w:pPr>
              <w:numPr>
                <w:ilvl w:val="1"/>
                <w:numId w:val="0"/>
              </w:numPr>
              <w:overflowPunct/>
              <w:autoSpaceDE/>
              <w:autoSpaceDN/>
              <w:spacing w:after="120"/>
              <w:jc w:val="left"/>
              <w:textAlignment w:val="auto"/>
            </w:pPr>
            <w:r>
              <w:t>REDACTED</w:t>
            </w:r>
          </w:p>
          <w:p w14:paraId="7A85183F" w14:textId="3D64E0CD" w:rsidR="00921CFF" w:rsidRDefault="00D57D33" w:rsidP="00857878">
            <w:pPr>
              <w:numPr>
                <w:ilvl w:val="1"/>
                <w:numId w:val="0"/>
              </w:numPr>
              <w:overflowPunct/>
              <w:autoSpaceDE/>
              <w:autoSpaceDN/>
              <w:spacing w:after="120"/>
              <w:jc w:val="left"/>
              <w:textAlignment w:val="auto"/>
            </w:pPr>
            <w:r>
              <w:t xml:space="preserve">The </w:t>
            </w:r>
            <w:r w:rsidR="00921CFF">
              <w:t xml:space="preserve">Customer will </w:t>
            </w:r>
            <w:r w:rsidR="00857878">
              <w:t xml:space="preserve">also </w:t>
            </w:r>
            <w:r w:rsidR="00921CFF">
              <w:t>provide</w:t>
            </w:r>
            <w:r w:rsidR="00857878">
              <w:t xml:space="preserve"> a</w:t>
            </w:r>
            <w:r>
              <w:t>ny equipment needed, such as</w:t>
            </w:r>
            <w:r w:rsidR="00857878">
              <w:t xml:space="preserve"> personal computer (Microsoft Surface Pro)</w:t>
            </w:r>
            <w:r>
              <w:t>,</w:t>
            </w:r>
            <w:r w:rsidR="00921CFF">
              <w:t xml:space="preserve"> </w:t>
            </w:r>
            <w:r w:rsidR="00857878">
              <w:t>to any member of the Supplier’s team as required for the duration period agreed in any Statement of Works package.</w:t>
            </w:r>
          </w:p>
          <w:p w14:paraId="2284005D" w14:textId="06267E15" w:rsidR="00D57D33" w:rsidRPr="00B91478" w:rsidRDefault="00D57D33" w:rsidP="00857878">
            <w:pPr>
              <w:numPr>
                <w:ilvl w:val="1"/>
                <w:numId w:val="0"/>
              </w:numPr>
              <w:overflowPunct/>
              <w:autoSpaceDE/>
              <w:autoSpaceDN/>
              <w:spacing w:after="120"/>
              <w:jc w:val="left"/>
              <w:textAlignment w:val="auto"/>
              <w:rPr>
                <w:rFonts w:eastAsia="STZhongsong"/>
                <w:b/>
                <w:lang w:eastAsia="zh-CN"/>
              </w:rPr>
            </w:pPr>
            <w:r>
              <w:t xml:space="preserve">Upon completion of the Statement of Works package the Supplier must ensure that all the Supplier’s team members return any equipment provided by the Customer in full working order. Where any such equipment is not returned then the Supplier will be responsible for any replacement costs. </w:t>
            </w:r>
          </w:p>
        </w:tc>
      </w:tr>
      <w:tr w:rsidR="00152654" w:rsidRPr="00B91478" w14:paraId="6A7CE09E" w14:textId="77777777" w:rsidTr="00152654">
        <w:tc>
          <w:tcPr>
            <w:tcW w:w="565" w:type="dxa"/>
            <w:tcBorders>
              <w:top w:val="single" w:sz="4" w:space="0" w:color="auto"/>
              <w:left w:val="single" w:sz="4" w:space="0" w:color="auto"/>
              <w:bottom w:val="single" w:sz="4" w:space="0" w:color="auto"/>
              <w:right w:val="single" w:sz="4" w:space="0" w:color="auto"/>
            </w:tcBorders>
          </w:tcPr>
          <w:p w14:paraId="1E7D0AAB" w14:textId="77777777" w:rsidR="00152654" w:rsidRPr="00B91478" w:rsidRDefault="0015265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152654" w:rsidRPr="00B91478" w:rsidRDefault="0015265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098E299" w14:textId="77777777" w:rsidR="00152654" w:rsidRDefault="002B46DF">
            <w:pPr>
              <w:numPr>
                <w:ilvl w:val="1"/>
                <w:numId w:val="0"/>
              </w:numPr>
              <w:overflowPunct/>
              <w:autoSpaceDE/>
              <w:autoSpaceDN/>
              <w:spacing w:after="120"/>
              <w:jc w:val="left"/>
              <w:textAlignment w:val="auto"/>
              <w:rPr>
                <w:rFonts w:eastAsia="STZhongsong"/>
                <w:lang w:eastAsia="zh-CN"/>
              </w:rPr>
            </w:pPr>
            <w:r>
              <w:rPr>
                <w:rFonts w:eastAsia="STZhongsong"/>
                <w:lang w:eastAsia="zh-CN"/>
              </w:rPr>
              <w:t>The Supplier proposal document presented to the Customer and titled ‘HMRC Sourcing 2020 – 07 08 FINAL’ and all of its content is considered to be Commercially Sensitive Information.</w:t>
            </w:r>
          </w:p>
          <w:p w14:paraId="690A060E" w14:textId="77777777" w:rsidR="00FF7066" w:rsidRDefault="002B46DF">
            <w:pPr>
              <w:numPr>
                <w:ilvl w:val="1"/>
                <w:numId w:val="0"/>
              </w:numPr>
              <w:overflowPunct/>
              <w:autoSpaceDE/>
              <w:autoSpaceDN/>
              <w:spacing w:after="120"/>
              <w:jc w:val="left"/>
              <w:textAlignment w:val="auto"/>
              <w:rPr>
                <w:rFonts w:eastAsia="STZhongsong"/>
                <w:lang w:eastAsia="zh-CN"/>
              </w:rPr>
            </w:pPr>
            <w:r>
              <w:rPr>
                <w:rFonts w:eastAsia="STZhongsong"/>
                <w:lang w:eastAsia="zh-CN"/>
              </w:rPr>
              <w:t>The Supplier charging model document presented to the Customer and titled</w:t>
            </w:r>
            <w:r w:rsidR="00FF7066">
              <w:rPr>
                <w:rFonts w:eastAsia="STZhongsong"/>
                <w:lang w:eastAsia="zh-CN"/>
              </w:rPr>
              <w:t>:</w:t>
            </w:r>
            <w:r>
              <w:rPr>
                <w:rFonts w:eastAsia="STZhongsong"/>
                <w:lang w:eastAsia="zh-CN"/>
              </w:rPr>
              <w:t xml:space="preserve"> </w:t>
            </w:r>
          </w:p>
          <w:p w14:paraId="687210B8" w14:textId="77777777" w:rsidR="00FF7066" w:rsidRPr="00FF7066" w:rsidRDefault="002B46DF" w:rsidP="00FF7066">
            <w:pPr>
              <w:pStyle w:val="ListParagraph"/>
              <w:numPr>
                <w:ilvl w:val="0"/>
                <w:numId w:val="29"/>
              </w:numPr>
              <w:overflowPunct/>
              <w:autoSpaceDE/>
              <w:autoSpaceDN/>
              <w:spacing w:after="120"/>
              <w:jc w:val="left"/>
              <w:textAlignment w:val="auto"/>
              <w:rPr>
                <w:rFonts w:eastAsia="STZhongsong"/>
                <w:lang w:eastAsia="zh-CN"/>
              </w:rPr>
            </w:pPr>
            <w:r w:rsidRPr="00FF7066">
              <w:rPr>
                <w:rFonts w:eastAsia="STZhongsong"/>
                <w:lang w:eastAsia="zh-CN"/>
              </w:rPr>
              <w:t>‘</w:t>
            </w:r>
            <w:r w:rsidR="009C4C50" w:rsidRPr="00FF7066">
              <w:rPr>
                <w:rFonts w:eastAsia="STZhongsong"/>
                <w:lang w:eastAsia="zh-CN"/>
              </w:rPr>
              <w:t>Sourcing 2020 Consultancy Support – SR219917702 – Charging final’</w:t>
            </w:r>
            <w:r w:rsidR="00FF7066" w:rsidRPr="00FF7066">
              <w:rPr>
                <w:rFonts w:eastAsia="STZhongsong"/>
                <w:lang w:eastAsia="zh-CN"/>
              </w:rPr>
              <w:t>;</w:t>
            </w:r>
            <w:r w:rsidR="009C4C50" w:rsidRPr="00FF7066">
              <w:rPr>
                <w:rFonts w:eastAsia="STZhongsong"/>
                <w:lang w:eastAsia="zh-CN"/>
              </w:rPr>
              <w:t xml:space="preserve"> </w:t>
            </w:r>
            <w:r w:rsidRPr="00FF7066">
              <w:rPr>
                <w:rFonts w:eastAsia="STZhongsong"/>
                <w:lang w:eastAsia="zh-CN"/>
              </w:rPr>
              <w:t xml:space="preserve">and </w:t>
            </w:r>
          </w:p>
          <w:p w14:paraId="56538A6A" w14:textId="4F5A9851" w:rsidR="00FF7066" w:rsidRPr="00FF7066" w:rsidRDefault="00FF7066" w:rsidP="00FF7066">
            <w:pPr>
              <w:pStyle w:val="ListParagraph"/>
              <w:numPr>
                <w:ilvl w:val="0"/>
                <w:numId w:val="29"/>
              </w:numPr>
              <w:overflowPunct/>
              <w:autoSpaceDE/>
              <w:autoSpaceDN/>
              <w:spacing w:after="120"/>
              <w:jc w:val="left"/>
              <w:textAlignment w:val="auto"/>
              <w:rPr>
                <w:rFonts w:eastAsia="STZhongsong"/>
                <w:lang w:eastAsia="zh-CN"/>
              </w:rPr>
            </w:pPr>
            <w:r w:rsidRPr="00FF7066">
              <w:rPr>
                <w:rFonts w:eastAsia="STZhongsong"/>
                <w:lang w:eastAsia="zh-CN"/>
              </w:rPr>
              <w:t xml:space="preserve">‘Revised Deloitte Consultancy Support Charging’ </w:t>
            </w:r>
          </w:p>
          <w:p w14:paraId="5FE23564" w14:textId="68894BF9" w:rsidR="00FF7066" w:rsidRPr="002B46DF" w:rsidRDefault="00FF7066" w:rsidP="00FF7066">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And </w:t>
            </w:r>
            <w:r w:rsidR="002B46DF">
              <w:rPr>
                <w:rFonts w:eastAsia="STZhongsong"/>
                <w:lang w:eastAsia="zh-CN"/>
              </w:rPr>
              <w:t>a</w:t>
            </w:r>
            <w:r>
              <w:rPr>
                <w:rFonts w:eastAsia="STZhongsong"/>
                <w:lang w:eastAsia="zh-CN"/>
              </w:rPr>
              <w:t>ll of their</w:t>
            </w:r>
            <w:r w:rsidR="002B46DF">
              <w:rPr>
                <w:rFonts w:eastAsia="STZhongsong"/>
                <w:lang w:eastAsia="zh-CN"/>
              </w:rPr>
              <w:t xml:space="preserve"> content is considered to be Commercially Sensitive Information.</w:t>
            </w:r>
          </w:p>
        </w:tc>
      </w:tr>
    </w:tbl>
    <w:p w14:paraId="53C20A9A" w14:textId="1439DEE0"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9009"/>
      </w:tblGrid>
      <w:tr w:rsidR="00152654" w:rsidRPr="00B91478" w14:paraId="43D33619" w14:textId="77777777" w:rsidTr="008B35D4">
        <w:tc>
          <w:tcPr>
            <w:tcW w:w="767" w:type="dxa"/>
          </w:tcPr>
          <w:p w14:paraId="7D99477E" w14:textId="77777777" w:rsidR="00152654" w:rsidRPr="00B91478" w:rsidRDefault="0015265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9009" w:type="dxa"/>
            <w:shd w:val="clear" w:color="auto" w:fill="auto"/>
          </w:tcPr>
          <w:p w14:paraId="7C58B8A9" w14:textId="77777777" w:rsidR="00152654" w:rsidRPr="00B91478" w:rsidRDefault="00152654">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04391F54" w14:textId="77777777" w:rsidR="00152654" w:rsidRDefault="00152654">
            <w:pPr>
              <w:numPr>
                <w:ilvl w:val="1"/>
                <w:numId w:val="0"/>
              </w:numPr>
              <w:overflowPunct/>
              <w:autoSpaceDE/>
              <w:autoSpaceDN/>
              <w:spacing w:after="120"/>
              <w:jc w:val="left"/>
              <w:textAlignment w:val="auto"/>
            </w:pPr>
            <w:r>
              <w:t xml:space="preserve">Refer to the preamble of the </w:t>
            </w:r>
            <w:hyperlink r:id="rId17" w:history="1">
              <w:r w:rsidRPr="00152654">
                <w:rPr>
                  <w:rStyle w:val="Hyperlink"/>
                </w:rPr>
                <w:t>Call Off terms</w:t>
              </w:r>
            </w:hyperlink>
            <w:r>
              <w:t xml:space="preserve"> for RM6008 which can be accessed via the CCS website.</w:t>
            </w:r>
          </w:p>
          <w:p w14:paraId="532FDC60" w14:textId="77777777" w:rsidR="00152654" w:rsidRDefault="00152654">
            <w:pPr>
              <w:numPr>
                <w:ilvl w:val="1"/>
                <w:numId w:val="0"/>
              </w:numPr>
              <w:overflowPunct/>
              <w:autoSpaceDE/>
              <w:autoSpaceDN/>
              <w:spacing w:after="120"/>
              <w:jc w:val="left"/>
              <w:textAlignment w:val="auto"/>
            </w:pPr>
            <w:r>
              <w:t>Recitals B to E</w:t>
            </w:r>
          </w:p>
          <w:p w14:paraId="0DB3D03F" w14:textId="681C6D6D" w:rsidR="00152654" w:rsidRPr="002B46DF" w:rsidRDefault="00152654">
            <w:pPr>
              <w:numPr>
                <w:ilvl w:val="1"/>
                <w:numId w:val="0"/>
              </w:numPr>
              <w:overflowPunct/>
              <w:autoSpaceDE/>
              <w:autoSpaceDN/>
              <w:spacing w:after="120"/>
              <w:jc w:val="left"/>
              <w:textAlignment w:val="auto"/>
            </w:pPr>
            <w:r w:rsidRPr="002B46DF">
              <w:t xml:space="preserve">Recital C - date of issue of the Request for Proposal document: </w:t>
            </w:r>
            <w:r w:rsidR="002B46DF" w:rsidRPr="002B46DF">
              <w:t>03/07/2019</w:t>
            </w:r>
          </w:p>
          <w:p w14:paraId="45E18F3C" w14:textId="5BFFCE5E" w:rsidR="00152654" w:rsidRPr="00B91478" w:rsidRDefault="00152654" w:rsidP="002B46DF">
            <w:pPr>
              <w:numPr>
                <w:ilvl w:val="1"/>
                <w:numId w:val="0"/>
              </w:numPr>
              <w:overflowPunct/>
              <w:autoSpaceDE/>
              <w:autoSpaceDN/>
              <w:spacing w:after="120"/>
              <w:jc w:val="left"/>
              <w:textAlignment w:val="auto"/>
              <w:rPr>
                <w:rFonts w:eastAsia="STZhongsong"/>
                <w:b/>
                <w:lang w:eastAsia="zh-CN"/>
              </w:rPr>
            </w:pPr>
            <w:r w:rsidRPr="002B46DF">
              <w:t xml:space="preserve">Recital D - date of receipt of Call Off Tender: </w:t>
            </w:r>
            <w:r w:rsidR="002B46DF" w:rsidRPr="002B46DF">
              <w:t>16/07/2019</w:t>
            </w:r>
          </w:p>
        </w:tc>
      </w:tr>
      <w:tr w:rsidR="00152654" w:rsidRPr="00B91478" w14:paraId="6517E645" w14:textId="77777777" w:rsidTr="008B35D4">
        <w:tc>
          <w:tcPr>
            <w:tcW w:w="767" w:type="dxa"/>
          </w:tcPr>
          <w:p w14:paraId="18CF27F0" w14:textId="77777777" w:rsidR="00152654" w:rsidRPr="00B91478" w:rsidRDefault="00152654">
            <w:pPr>
              <w:numPr>
                <w:ilvl w:val="1"/>
                <w:numId w:val="0"/>
              </w:numPr>
              <w:overflowPunct/>
              <w:autoSpaceDE/>
              <w:autoSpaceDN/>
              <w:spacing w:after="120"/>
              <w:textAlignment w:val="auto"/>
              <w:rPr>
                <w:b/>
              </w:rPr>
            </w:pPr>
            <w:r w:rsidRPr="00B91478">
              <w:rPr>
                <w:b/>
              </w:rPr>
              <w:t>10.2</w:t>
            </w:r>
          </w:p>
        </w:tc>
        <w:tc>
          <w:tcPr>
            <w:tcW w:w="9009" w:type="dxa"/>
            <w:shd w:val="clear" w:color="auto" w:fill="auto"/>
          </w:tcPr>
          <w:p w14:paraId="0670D793" w14:textId="25B805BA" w:rsidR="00152654" w:rsidRPr="00152654" w:rsidRDefault="00152654" w:rsidP="00152654">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r w:rsidRPr="00152654">
              <w:rPr>
                <w:b/>
              </w:rPr>
              <w:t xml:space="preserve">): </w:t>
            </w:r>
            <w:r w:rsidRPr="00152654">
              <w:t>Not required</w:t>
            </w:r>
          </w:p>
        </w:tc>
      </w:tr>
      <w:tr w:rsidR="00152654" w:rsidRPr="00B91478" w14:paraId="7DCC4D29" w14:textId="77777777" w:rsidTr="008B35D4">
        <w:tc>
          <w:tcPr>
            <w:tcW w:w="767" w:type="dxa"/>
          </w:tcPr>
          <w:p w14:paraId="60E9D409" w14:textId="77777777" w:rsidR="00152654" w:rsidRPr="00B91478" w:rsidRDefault="0015265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9009" w:type="dxa"/>
            <w:shd w:val="clear" w:color="auto" w:fill="auto"/>
          </w:tcPr>
          <w:p w14:paraId="0578377D" w14:textId="77777777" w:rsidR="00152654" w:rsidRPr="00B91478" w:rsidRDefault="00152654">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53325C2F" w14:textId="294894D3" w:rsidR="00152654" w:rsidRPr="00B91478" w:rsidRDefault="002B46DF">
            <w:pPr>
              <w:numPr>
                <w:ilvl w:val="1"/>
                <w:numId w:val="0"/>
              </w:numPr>
              <w:overflowPunct/>
              <w:autoSpaceDE/>
              <w:autoSpaceDN/>
              <w:spacing w:after="120"/>
              <w:jc w:val="left"/>
              <w:textAlignment w:val="auto"/>
              <w:rPr>
                <w:rFonts w:eastAsia="STZhongsong"/>
                <w:b/>
                <w:lang w:eastAsia="zh-CN"/>
              </w:rPr>
            </w:pPr>
            <w:r w:rsidRPr="00C1754D">
              <w:rPr>
                <w:rFonts w:eastAsia="STZhongsong"/>
                <w:lang w:eastAsia="zh-CN"/>
              </w:rPr>
              <w:t xml:space="preserve">The ‘Short Form - Paragraphs 1-5’ Call </w:t>
            </w:r>
            <w:proofErr w:type="gramStart"/>
            <w:r w:rsidRPr="00C1754D">
              <w:rPr>
                <w:rFonts w:eastAsia="STZhongsong"/>
                <w:lang w:eastAsia="zh-CN"/>
              </w:rPr>
              <w:t>Off  Schedule</w:t>
            </w:r>
            <w:proofErr w:type="gramEnd"/>
            <w:r w:rsidRPr="00C1754D">
              <w:rPr>
                <w:rFonts w:eastAsia="STZhongsong"/>
                <w:lang w:eastAsia="zh-CN"/>
              </w:rPr>
              <w:t xml:space="preserve"> 7: Security contained in the </w:t>
            </w:r>
            <w:hyperlink r:id="rId18" w:history="1">
              <w:r w:rsidRPr="00AC5834">
                <w:rPr>
                  <w:rStyle w:val="Hyperlink"/>
                  <w:rFonts w:eastAsia="STZhongsong"/>
                  <w:lang w:eastAsia="zh-CN"/>
                </w:rPr>
                <w:t>Call Off terms</w:t>
              </w:r>
            </w:hyperlink>
            <w:r w:rsidRPr="00C1754D">
              <w:rPr>
                <w:rFonts w:eastAsia="STZhongsong"/>
                <w:lang w:eastAsia="zh-CN"/>
              </w:rPr>
              <w:t xml:space="preserve"> </w:t>
            </w:r>
            <w:r>
              <w:t xml:space="preserve">for RM6008 which can be accessed via the CCS website </w:t>
            </w:r>
            <w:r w:rsidRPr="00C1754D">
              <w:rPr>
                <w:rFonts w:eastAsia="STZhongsong"/>
                <w:lang w:eastAsia="zh-CN"/>
              </w:rPr>
              <w:t>will apply.</w:t>
            </w:r>
          </w:p>
        </w:tc>
      </w:tr>
      <w:tr w:rsidR="00152654" w:rsidRPr="00B91478" w14:paraId="433A9CF1" w14:textId="77777777" w:rsidTr="008B35D4">
        <w:tc>
          <w:tcPr>
            <w:tcW w:w="767" w:type="dxa"/>
          </w:tcPr>
          <w:p w14:paraId="21B91E79" w14:textId="77777777" w:rsidR="00152654" w:rsidRPr="00B91478" w:rsidRDefault="0015265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9009" w:type="dxa"/>
            <w:shd w:val="clear" w:color="auto" w:fill="auto"/>
          </w:tcPr>
          <w:p w14:paraId="55D2D61B" w14:textId="77777777" w:rsidR="00152654" w:rsidRPr="00B91478" w:rsidRDefault="0015265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19750EDA" w14:textId="78407C07" w:rsidR="003B5D8A" w:rsidRDefault="003B5D8A">
            <w:pPr>
              <w:numPr>
                <w:ilvl w:val="1"/>
                <w:numId w:val="0"/>
              </w:numPr>
              <w:overflowPunct/>
              <w:autoSpaceDE/>
              <w:autoSpaceDN/>
              <w:spacing w:after="120"/>
              <w:jc w:val="left"/>
              <w:textAlignment w:val="auto"/>
              <w:rPr>
                <w:rFonts w:eastAsia="STZhongsong"/>
                <w:lang w:eastAsia="zh-CN"/>
              </w:rPr>
            </w:pPr>
            <w:r>
              <w:rPr>
                <w:rFonts w:eastAsia="STZhongsong"/>
                <w:lang w:eastAsia="zh-CN"/>
              </w:rPr>
              <w:t>The Supplier’s team must ensure that when they are using equipment provided by the Customer they must comply with the Customer’s</w:t>
            </w:r>
            <w:r w:rsidR="002C0F87">
              <w:rPr>
                <w:rFonts w:eastAsia="STZhongsong"/>
                <w:lang w:eastAsia="zh-CN"/>
              </w:rPr>
              <w:t xml:space="preserve"> ICT/Security policies. </w:t>
            </w:r>
          </w:p>
          <w:p w14:paraId="42533ED2" w14:textId="65A0587B" w:rsidR="003B5D8A" w:rsidRPr="003B5D8A" w:rsidRDefault="003B5D8A">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When the Supplier’s team members are accessing the Customer’s systems using the Customer’s equipment the ICT/Security policies can be located at the following URL: </w:t>
            </w:r>
            <w:hyperlink r:id="rId19" w:history="1">
              <w:r w:rsidRPr="003B5D8A">
                <w:rPr>
                  <w:rStyle w:val="Hyperlink"/>
                  <w:rFonts w:eastAsia="STZhongsong"/>
                  <w:lang w:eastAsia="zh-CN"/>
                </w:rPr>
                <w:t>https://intranet.prod.dop.corp.hmrc.gov.uk/section/how-do-i/get-help-security/security-information-zone</w:t>
              </w:r>
            </w:hyperlink>
          </w:p>
          <w:p w14:paraId="3FD47CAF" w14:textId="73A585D1" w:rsidR="00152654" w:rsidRPr="003B5D8A" w:rsidRDefault="003B5D8A" w:rsidP="002B46DF">
            <w:pPr>
              <w:numPr>
                <w:ilvl w:val="1"/>
                <w:numId w:val="0"/>
              </w:numPr>
              <w:overflowPunct/>
              <w:autoSpaceDE/>
              <w:autoSpaceDN/>
              <w:spacing w:after="120"/>
              <w:textAlignment w:val="auto"/>
              <w:rPr>
                <w:rFonts w:eastAsia="STZhongsong"/>
                <w:lang w:eastAsia="zh-CN"/>
              </w:rPr>
            </w:pPr>
            <w:r>
              <w:rPr>
                <w:rFonts w:eastAsia="STZhongsong"/>
                <w:lang w:eastAsia="zh-CN"/>
              </w:rPr>
              <w:t>The Supplier must ensure that all team members are made aware of the need to comply with ICT/Security policies and that team members are directed to where the security policies are located.</w:t>
            </w:r>
          </w:p>
        </w:tc>
      </w:tr>
      <w:tr w:rsidR="00152654" w:rsidRPr="00B91478" w14:paraId="068657D7" w14:textId="77777777" w:rsidTr="008B35D4">
        <w:tc>
          <w:tcPr>
            <w:tcW w:w="767" w:type="dxa"/>
          </w:tcPr>
          <w:p w14:paraId="3D88F94C" w14:textId="2EC6BE08" w:rsidR="00152654" w:rsidRPr="00B91478" w:rsidRDefault="0015265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9009" w:type="dxa"/>
            <w:shd w:val="clear" w:color="auto" w:fill="auto"/>
          </w:tcPr>
          <w:p w14:paraId="4AD0ACE7" w14:textId="77777777" w:rsidR="00152654" w:rsidRPr="00B91478" w:rsidRDefault="0015265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42860105" w14:textId="37C100F0" w:rsidR="00152654" w:rsidRPr="002B46DF" w:rsidRDefault="00152654" w:rsidP="00BB4A0B">
            <w:pPr>
              <w:numPr>
                <w:ilvl w:val="1"/>
                <w:numId w:val="0"/>
              </w:numPr>
              <w:overflowPunct/>
              <w:autoSpaceDE/>
              <w:autoSpaceDN/>
              <w:spacing w:after="120"/>
              <w:textAlignment w:val="auto"/>
              <w:rPr>
                <w:b/>
              </w:rPr>
            </w:pPr>
            <w:r w:rsidRPr="002B46DF">
              <w:t>Not applied</w:t>
            </w:r>
          </w:p>
          <w:p w14:paraId="50F15A0C" w14:textId="77777777" w:rsidR="00152654" w:rsidRPr="00B91478" w:rsidRDefault="00152654" w:rsidP="00BB4A0B">
            <w:pPr>
              <w:numPr>
                <w:ilvl w:val="1"/>
                <w:numId w:val="0"/>
              </w:numPr>
              <w:overflowPunct/>
              <w:autoSpaceDE/>
              <w:autoSpaceDN/>
              <w:spacing w:after="0"/>
              <w:textAlignment w:val="auto"/>
              <w:rPr>
                <w:b/>
              </w:rPr>
            </w:pPr>
          </w:p>
          <w:p w14:paraId="5618519B" w14:textId="77777777" w:rsidR="00152654" w:rsidRPr="00B91478" w:rsidRDefault="00152654" w:rsidP="00BB4A0B">
            <w:pPr>
              <w:numPr>
                <w:ilvl w:val="1"/>
                <w:numId w:val="0"/>
              </w:numPr>
              <w:overflowPunct/>
              <w:autoSpaceDE/>
              <w:autoSpaceDN/>
              <w:spacing w:after="0"/>
              <w:textAlignment w:val="auto"/>
            </w:pPr>
            <w:r w:rsidRPr="00B91478">
              <w:rPr>
                <w:b/>
              </w:rPr>
              <w:t>Disaster Period</w:t>
            </w:r>
            <w:r w:rsidRPr="00B91478">
              <w:t>:</w:t>
            </w:r>
          </w:p>
          <w:p w14:paraId="7DFF7994" w14:textId="7A707838" w:rsidR="00152654" w:rsidRPr="00B91478" w:rsidRDefault="002B46DF" w:rsidP="00BB4A0B">
            <w:pPr>
              <w:numPr>
                <w:ilvl w:val="1"/>
                <w:numId w:val="0"/>
              </w:numPr>
              <w:overflowPunct/>
              <w:autoSpaceDE/>
              <w:autoSpaceDN/>
              <w:spacing w:after="120"/>
              <w:textAlignment w:val="auto"/>
              <w:rPr>
                <w:rFonts w:eastAsia="STZhongsong"/>
                <w:lang w:eastAsia="zh-CN"/>
              </w:rPr>
            </w:pPr>
            <w:r>
              <w:t>Not applied</w:t>
            </w:r>
          </w:p>
        </w:tc>
      </w:tr>
      <w:tr w:rsidR="00152654" w:rsidRPr="00B91478" w14:paraId="3781B6C0" w14:textId="77777777" w:rsidTr="008B35D4">
        <w:tc>
          <w:tcPr>
            <w:tcW w:w="767" w:type="dxa"/>
            <w:tcBorders>
              <w:top w:val="single" w:sz="4" w:space="0" w:color="auto"/>
              <w:left w:val="single" w:sz="4" w:space="0" w:color="auto"/>
              <w:bottom w:val="single" w:sz="4" w:space="0" w:color="auto"/>
              <w:right w:val="single" w:sz="4" w:space="0" w:color="auto"/>
            </w:tcBorders>
          </w:tcPr>
          <w:p w14:paraId="6442263B" w14:textId="064CB0EE" w:rsidR="00152654" w:rsidRPr="00B91478" w:rsidRDefault="00152654">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152654" w:rsidRPr="00B91478" w:rsidRDefault="00152654">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152654" w:rsidRPr="00B91478" w14:paraId="1F2C0BC2" w14:textId="77777777" w:rsidTr="008B35D4">
        <w:tc>
          <w:tcPr>
            <w:tcW w:w="767" w:type="dxa"/>
            <w:tcBorders>
              <w:top w:val="single" w:sz="4" w:space="0" w:color="auto"/>
              <w:left w:val="single" w:sz="4" w:space="0" w:color="auto"/>
              <w:bottom w:val="single" w:sz="4" w:space="0" w:color="auto"/>
              <w:right w:val="single" w:sz="4" w:space="0" w:color="auto"/>
            </w:tcBorders>
          </w:tcPr>
          <w:p w14:paraId="0BB11D9B" w14:textId="77777777" w:rsidR="00152654" w:rsidRPr="00B91478" w:rsidRDefault="0015265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152654" w:rsidRPr="00B91478" w:rsidRDefault="00152654">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5D8EA955" w14:textId="2E5733E4" w:rsidR="00152654" w:rsidRPr="00B91478" w:rsidRDefault="00152654">
            <w:pPr>
              <w:numPr>
                <w:ilvl w:val="1"/>
                <w:numId w:val="0"/>
              </w:numPr>
              <w:overflowPunct/>
              <w:autoSpaceDE/>
              <w:autoSpaceDN/>
              <w:spacing w:after="120"/>
              <w:textAlignment w:val="auto"/>
              <w:rPr>
                <w:rFonts w:eastAsia="STZhongsong"/>
                <w:lang w:eastAsia="zh-CN"/>
              </w:rPr>
            </w:pPr>
            <w:r>
              <w:t xml:space="preserve">It is not envisaged that this contract will involve the processing of Customer Data but should this arise then Clause 35.2.3 of the </w:t>
            </w:r>
            <w:hyperlink r:id="rId20" w:history="1">
              <w:r w:rsidRPr="00152654">
                <w:rPr>
                  <w:rStyle w:val="Hyperlink"/>
                </w:rPr>
                <w:t>Call Off terms</w:t>
              </w:r>
            </w:hyperlink>
            <w:r>
              <w:t xml:space="preserve"> for RM6008 which can be accessed via the CCS website will apply.</w:t>
            </w:r>
          </w:p>
        </w:tc>
      </w:tr>
      <w:tr w:rsidR="00152654" w:rsidRPr="00B91478" w14:paraId="5A0C2F03" w14:textId="77777777" w:rsidTr="008B35D4">
        <w:tc>
          <w:tcPr>
            <w:tcW w:w="767" w:type="dxa"/>
            <w:tcBorders>
              <w:top w:val="single" w:sz="4" w:space="0" w:color="auto"/>
              <w:left w:val="single" w:sz="4" w:space="0" w:color="auto"/>
              <w:bottom w:val="single" w:sz="4" w:space="0" w:color="auto"/>
              <w:right w:val="single" w:sz="4" w:space="0" w:color="auto"/>
            </w:tcBorders>
          </w:tcPr>
          <w:p w14:paraId="77CBD9C7" w14:textId="77777777" w:rsidR="00152654" w:rsidRPr="00B91478" w:rsidRDefault="0015265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152654" w:rsidRPr="00B91478" w:rsidRDefault="00152654" w:rsidP="008B35D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0A189E49" w14:textId="77777777" w:rsidR="00152654" w:rsidRDefault="00152654" w:rsidP="008B35D4">
            <w:pPr>
              <w:numPr>
                <w:ilvl w:val="1"/>
                <w:numId w:val="0"/>
              </w:numPr>
              <w:overflowPunct/>
              <w:autoSpaceDE/>
              <w:autoSpaceDN/>
              <w:spacing w:after="120"/>
              <w:jc w:val="left"/>
              <w:textAlignment w:val="auto"/>
            </w:pPr>
            <w:r>
              <w:t>Customer’s postal address and email address:</w:t>
            </w:r>
          </w:p>
          <w:p w14:paraId="5F582519" w14:textId="116C5798" w:rsidR="008B35D4" w:rsidRDefault="00560CCB" w:rsidP="008B35D4">
            <w:pPr>
              <w:numPr>
                <w:ilvl w:val="1"/>
                <w:numId w:val="0"/>
              </w:numPr>
              <w:overflowPunct/>
              <w:autoSpaceDE/>
              <w:autoSpaceDN/>
              <w:spacing w:after="120"/>
              <w:jc w:val="left"/>
              <w:textAlignment w:val="auto"/>
            </w:pPr>
            <w:r>
              <w:t>REDACTED</w:t>
            </w:r>
          </w:p>
          <w:p w14:paraId="4E07D92D" w14:textId="77777777" w:rsidR="00152654" w:rsidRDefault="00152654" w:rsidP="002B46DF">
            <w:pPr>
              <w:numPr>
                <w:ilvl w:val="1"/>
                <w:numId w:val="0"/>
              </w:numPr>
              <w:overflowPunct/>
              <w:autoSpaceDE/>
              <w:autoSpaceDN/>
              <w:spacing w:after="120"/>
              <w:jc w:val="left"/>
              <w:textAlignment w:val="auto"/>
              <w:rPr>
                <w:rFonts w:eastAsia="STZhongsong"/>
                <w:b/>
                <w:lang w:eastAsia="zh-CN"/>
              </w:rPr>
            </w:pPr>
            <w:r w:rsidRPr="00B91478">
              <w:rPr>
                <w:rFonts w:eastAsia="STZhongsong"/>
                <w:lang w:eastAsia="zh-CN"/>
              </w:rPr>
              <w:t xml:space="preserve">Supplier’s postal address and email address: </w:t>
            </w:r>
          </w:p>
          <w:p w14:paraId="1518267C" w14:textId="51F8B6BA" w:rsidR="00A66292" w:rsidRPr="002B46DF" w:rsidRDefault="00560CCB" w:rsidP="00A66292">
            <w:pPr>
              <w:numPr>
                <w:ilvl w:val="1"/>
                <w:numId w:val="0"/>
              </w:numPr>
              <w:overflowPunct/>
              <w:autoSpaceDE/>
              <w:autoSpaceDN/>
              <w:spacing w:after="0"/>
              <w:jc w:val="left"/>
              <w:textAlignment w:val="auto"/>
              <w:rPr>
                <w:rFonts w:eastAsia="STZhongsong"/>
                <w:lang w:eastAsia="zh-CN"/>
              </w:rPr>
            </w:pPr>
            <w:r>
              <w:rPr>
                <w:rFonts w:eastAsia="STZhongsong"/>
                <w:lang w:eastAsia="zh-CN"/>
              </w:rPr>
              <w:t>REDACTED</w:t>
            </w:r>
          </w:p>
        </w:tc>
      </w:tr>
      <w:tr w:rsidR="008B35D4" w:rsidRPr="00B91478" w14:paraId="3580F4D1" w14:textId="77777777" w:rsidTr="008B35D4">
        <w:tc>
          <w:tcPr>
            <w:tcW w:w="767" w:type="dxa"/>
            <w:tcBorders>
              <w:top w:val="single" w:sz="4" w:space="0" w:color="auto"/>
              <w:left w:val="single" w:sz="4" w:space="0" w:color="auto"/>
              <w:bottom w:val="single" w:sz="4" w:space="0" w:color="auto"/>
              <w:right w:val="single" w:sz="4" w:space="0" w:color="auto"/>
            </w:tcBorders>
          </w:tcPr>
          <w:p w14:paraId="20746A0C" w14:textId="725B90EA" w:rsidR="008B35D4" w:rsidRPr="00B91478" w:rsidRDefault="008B35D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8B35D4" w:rsidRPr="00B91478" w:rsidRDefault="008B35D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241BFD3E" w14:textId="77777777" w:rsidR="008B35D4" w:rsidRDefault="008B35D4"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p w14:paraId="1BBA6BFC" w14:textId="3217AB64" w:rsidR="008B35D4" w:rsidRPr="00B91478" w:rsidRDefault="008B35D4" w:rsidP="00FB2B54">
            <w:pPr>
              <w:numPr>
                <w:ilvl w:val="1"/>
                <w:numId w:val="0"/>
              </w:numPr>
              <w:overflowPunct/>
              <w:autoSpaceDE/>
              <w:autoSpaceDN/>
              <w:spacing w:after="120"/>
              <w:textAlignment w:val="auto"/>
              <w:rPr>
                <w:rFonts w:eastAsia="STZhongsong"/>
                <w:lang w:eastAsia="zh-CN"/>
              </w:rPr>
            </w:pPr>
            <w:r>
              <w:rPr>
                <w:rFonts w:eastAsia="STZhongsong"/>
                <w:lang w:eastAsia="zh-CN"/>
              </w:rPr>
              <w:t>Not applied</w:t>
            </w:r>
          </w:p>
        </w:tc>
      </w:tr>
      <w:tr w:rsidR="008B35D4" w:rsidRPr="00B91478" w14:paraId="30A66646" w14:textId="77777777" w:rsidTr="008B35D4">
        <w:tc>
          <w:tcPr>
            <w:tcW w:w="767" w:type="dxa"/>
            <w:tcBorders>
              <w:top w:val="single" w:sz="4" w:space="0" w:color="auto"/>
              <w:left w:val="single" w:sz="4" w:space="0" w:color="auto"/>
              <w:bottom w:val="single" w:sz="4" w:space="0" w:color="auto"/>
              <w:right w:val="single" w:sz="4" w:space="0" w:color="auto"/>
            </w:tcBorders>
          </w:tcPr>
          <w:p w14:paraId="703563A4" w14:textId="77777777" w:rsidR="008B35D4" w:rsidRPr="00B91478" w:rsidRDefault="008B35D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8B35D4" w:rsidRPr="00B91478" w:rsidRDefault="008B35D4"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6B7CD9A5" w14:textId="7BABDB30" w:rsidR="008B35D4" w:rsidRPr="00B91478" w:rsidRDefault="00E2455B">
            <w:pPr>
              <w:numPr>
                <w:ilvl w:val="1"/>
                <w:numId w:val="0"/>
              </w:numPr>
              <w:overflowPunct/>
              <w:autoSpaceDE/>
              <w:autoSpaceDN/>
              <w:spacing w:after="120"/>
              <w:jc w:val="left"/>
              <w:textAlignment w:val="auto"/>
              <w:rPr>
                <w:rFonts w:eastAsia="STZhongsong"/>
                <w:b/>
                <w:lang w:eastAsia="zh-CN"/>
              </w:rPr>
            </w:pPr>
            <w:r>
              <w:t>Customer’s additional Clauses will apply as provided in Appendix B.</w:t>
            </w:r>
          </w:p>
        </w:tc>
      </w:tr>
      <w:tr w:rsidR="008B35D4" w:rsidRPr="00B91478" w14:paraId="1A1C7C47" w14:textId="77777777" w:rsidTr="008B35D4">
        <w:tc>
          <w:tcPr>
            <w:tcW w:w="767" w:type="dxa"/>
            <w:tcBorders>
              <w:top w:val="single" w:sz="4" w:space="0" w:color="auto"/>
              <w:left w:val="single" w:sz="4" w:space="0" w:color="auto"/>
              <w:bottom w:val="single" w:sz="4" w:space="0" w:color="auto"/>
              <w:right w:val="single" w:sz="4" w:space="0" w:color="auto"/>
            </w:tcBorders>
          </w:tcPr>
          <w:p w14:paraId="7AAE6378" w14:textId="77777777" w:rsidR="008B35D4" w:rsidRPr="00B91478" w:rsidRDefault="008B35D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9009"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8B35D4" w:rsidRPr="00B91478" w:rsidRDefault="008B35D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A6713D2" w14:textId="55EBC0EF" w:rsidR="008B35D4" w:rsidRDefault="00A66292">
            <w:pPr>
              <w:numPr>
                <w:ilvl w:val="1"/>
                <w:numId w:val="0"/>
              </w:numPr>
              <w:overflowPunct/>
              <w:autoSpaceDE/>
              <w:autoSpaceDN/>
              <w:spacing w:after="120"/>
              <w:jc w:val="left"/>
              <w:textAlignment w:val="auto"/>
              <w:rPr>
                <w:rFonts w:eastAsia="STZhongsong"/>
                <w:lang w:eastAsia="zh-CN"/>
              </w:rPr>
            </w:pPr>
            <w:r>
              <w:rPr>
                <w:rFonts w:eastAsia="STZhongsong"/>
                <w:lang w:eastAsia="zh-CN"/>
              </w:rPr>
              <w:t>Call Off Tender response</w:t>
            </w:r>
            <w:r w:rsidR="00FF7066">
              <w:rPr>
                <w:rFonts w:eastAsia="STZhongsong"/>
                <w:lang w:eastAsia="zh-CN"/>
              </w:rPr>
              <w:t xml:space="preserve"> and subsequent updates</w:t>
            </w:r>
            <w:r>
              <w:rPr>
                <w:rFonts w:eastAsia="STZhongsong"/>
                <w:lang w:eastAsia="zh-CN"/>
              </w:rPr>
              <w:t xml:space="preserve"> consists of:</w:t>
            </w:r>
          </w:p>
          <w:p w14:paraId="50556844" w14:textId="00879D30" w:rsidR="00FF7066" w:rsidRDefault="00A66292">
            <w:pPr>
              <w:numPr>
                <w:ilvl w:val="1"/>
                <w:numId w:val="0"/>
              </w:numPr>
              <w:overflowPunct/>
              <w:autoSpaceDE/>
              <w:autoSpaceDN/>
              <w:spacing w:after="120"/>
              <w:jc w:val="left"/>
              <w:textAlignment w:val="auto"/>
              <w:rPr>
                <w:rFonts w:eastAsia="STZhongsong"/>
                <w:lang w:eastAsia="zh-CN"/>
              </w:rPr>
            </w:pPr>
            <w:r>
              <w:rPr>
                <w:rFonts w:eastAsia="STZhongsong"/>
                <w:lang w:eastAsia="zh-CN"/>
              </w:rPr>
              <w:t>‘HMRC Sourcing 2020 – 07 08 FINAL’</w:t>
            </w:r>
          </w:p>
          <w:p w14:paraId="02741879" w14:textId="3FDE9D03" w:rsidR="00A66292" w:rsidRPr="00B91478" w:rsidRDefault="00A66292">
            <w:pPr>
              <w:numPr>
                <w:ilvl w:val="1"/>
                <w:numId w:val="0"/>
              </w:numPr>
              <w:overflowPunct/>
              <w:autoSpaceDE/>
              <w:autoSpaceDN/>
              <w:spacing w:after="120"/>
              <w:jc w:val="left"/>
              <w:textAlignment w:val="auto"/>
              <w:rPr>
                <w:rFonts w:eastAsia="STZhongsong"/>
                <w:lang w:eastAsia="zh-CN"/>
              </w:rPr>
            </w:pPr>
            <w:r>
              <w:rPr>
                <w:rFonts w:eastAsia="STZhongsong"/>
                <w:lang w:eastAsia="zh-CN"/>
              </w:rPr>
              <w:t>‘</w:t>
            </w:r>
            <w:r w:rsidR="009C4C50">
              <w:rPr>
                <w:rFonts w:eastAsia="STZhongsong"/>
                <w:lang w:eastAsia="zh-CN"/>
              </w:rPr>
              <w:t>Sourcing 2020 Consultancy Support – SR219917702 – Charging final’</w:t>
            </w:r>
          </w:p>
          <w:p w14:paraId="51BC79EB" w14:textId="77777777" w:rsidR="008B35D4" w:rsidRDefault="00D77BAC">
            <w:pPr>
              <w:numPr>
                <w:ilvl w:val="1"/>
                <w:numId w:val="0"/>
              </w:numPr>
              <w:overflowPunct/>
              <w:autoSpaceDE/>
              <w:autoSpaceDN/>
              <w:spacing w:after="120"/>
              <w:jc w:val="left"/>
              <w:textAlignment w:val="auto"/>
              <w:rPr>
                <w:rFonts w:eastAsia="STZhongsong"/>
                <w:lang w:eastAsia="zh-CN"/>
              </w:rPr>
            </w:pPr>
            <w:r>
              <w:rPr>
                <w:rFonts w:eastAsia="STZhongsong"/>
                <w:lang w:eastAsia="zh-CN"/>
              </w:rPr>
              <w:t>‘Deloitte Ariba Extract’ (as extracted from the Customer’s e-sourcing portal)</w:t>
            </w:r>
          </w:p>
          <w:p w14:paraId="25AE844C" w14:textId="77777777" w:rsidR="00E2455B" w:rsidRDefault="00E2455B" w:rsidP="00E2455B">
            <w:pPr>
              <w:overflowPunct/>
              <w:autoSpaceDE/>
              <w:autoSpaceDN/>
              <w:spacing w:after="0"/>
              <w:ind w:left="0"/>
              <w:jc w:val="left"/>
              <w:textAlignment w:val="auto"/>
              <w:rPr>
                <w:rFonts w:eastAsia="STZhongsong"/>
                <w:lang w:eastAsia="zh-CN"/>
              </w:rPr>
            </w:pPr>
            <w:r>
              <w:rPr>
                <w:rFonts w:eastAsia="STZhongsong"/>
                <w:lang w:eastAsia="zh-CN"/>
              </w:rPr>
              <w:t>As embedded below and as provided as an annex at the end of this Order Form in the signed DocuSign version of this contract.</w:t>
            </w:r>
          </w:p>
          <w:p w14:paraId="1A721579" w14:textId="77777777" w:rsidR="00E2455B" w:rsidRDefault="00E2455B">
            <w:pPr>
              <w:numPr>
                <w:ilvl w:val="1"/>
                <w:numId w:val="0"/>
              </w:numPr>
              <w:overflowPunct/>
              <w:autoSpaceDE/>
              <w:autoSpaceDN/>
              <w:spacing w:after="120"/>
              <w:jc w:val="left"/>
              <w:textAlignment w:val="auto"/>
              <w:rPr>
                <w:rFonts w:eastAsia="STZhongsong"/>
                <w:lang w:eastAsia="zh-CN"/>
              </w:rPr>
            </w:pPr>
          </w:p>
          <w:p w14:paraId="751849C5" w14:textId="77777777" w:rsidR="00E2455B" w:rsidRDefault="00B81675" w:rsidP="00B81675">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p>
          <w:p w14:paraId="5F7058D2" w14:textId="107BD927" w:rsidR="00B81675" w:rsidRPr="00D77BAC" w:rsidRDefault="00B81675" w:rsidP="00B81675">
            <w:pPr>
              <w:numPr>
                <w:ilvl w:val="1"/>
                <w:numId w:val="0"/>
              </w:numPr>
              <w:overflowPunct/>
              <w:autoSpaceDE/>
              <w:autoSpaceDN/>
              <w:spacing w:after="120"/>
              <w:jc w:val="left"/>
              <w:textAlignment w:val="auto"/>
              <w:rPr>
                <w:rFonts w:eastAsia="STZhongsong"/>
                <w:lang w:eastAsia="zh-CN"/>
              </w:rPr>
            </w:pPr>
            <w:bookmarkStart w:id="1" w:name="_GoBack"/>
            <w:bookmarkEnd w:id="1"/>
          </w:p>
        </w:tc>
      </w:tr>
      <w:tr w:rsidR="008B35D4" w:rsidRPr="00B91478" w14:paraId="72D6CB9F" w14:textId="77777777" w:rsidTr="008B35D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3FD30081" w:rsidR="008B35D4" w:rsidRPr="00B91478" w:rsidRDefault="008B35D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8B35D4" w:rsidRPr="00B91478" w:rsidRDefault="008B35D4"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281B94FA" w:rsidR="008B35D4" w:rsidRPr="00B91478" w:rsidRDefault="008B35D4">
            <w:pPr>
              <w:numPr>
                <w:ilvl w:val="1"/>
                <w:numId w:val="0"/>
              </w:numPr>
              <w:overflowPunct/>
              <w:autoSpaceDE/>
              <w:autoSpaceDN/>
              <w:spacing w:after="120"/>
              <w:jc w:val="left"/>
              <w:textAlignment w:val="auto"/>
              <w:rPr>
                <w:rFonts w:eastAsia="STZhongsong"/>
                <w:b/>
                <w:lang w:eastAsia="zh-CN"/>
              </w:rPr>
            </w:pPr>
            <w:r>
              <w:t xml:space="preserve">As per Clause 36.3.2 of the </w:t>
            </w:r>
            <w:hyperlink r:id="rId21" w:history="1">
              <w:r w:rsidRPr="008B35D4">
                <w:rPr>
                  <w:rStyle w:val="Hyperlink"/>
                </w:rPr>
                <w:t>Call Off terms</w:t>
              </w:r>
            </w:hyperlink>
            <w:r>
              <w:t xml:space="preserve"> for RM6008 which can be accessed via the CCS website.</w:t>
            </w:r>
          </w:p>
        </w:tc>
      </w:tr>
      <w:tr w:rsidR="008B35D4" w:rsidRPr="00B91478" w14:paraId="3C819062" w14:textId="77777777" w:rsidTr="008B35D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8B35D4" w:rsidRPr="00B91478" w:rsidRDefault="008B35D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8B35D4" w:rsidRPr="00B91478" w:rsidRDefault="008B35D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999AE1B" w14:textId="2B9D2ABE" w:rsidR="008B35D4" w:rsidRPr="00B91478" w:rsidRDefault="00B81675" w:rsidP="00BB4A0B">
            <w:pPr>
              <w:numPr>
                <w:ilvl w:val="1"/>
                <w:numId w:val="0"/>
              </w:numPr>
              <w:overflowPunct/>
              <w:autoSpaceDE/>
              <w:autoSpaceDN/>
              <w:spacing w:after="120"/>
              <w:textAlignment w:val="auto"/>
              <w:rPr>
                <w:rFonts w:eastAsia="STZhongsong"/>
                <w:lang w:eastAsia="zh-CN"/>
              </w:rPr>
            </w:pPr>
            <w:hyperlink r:id="rId22" w:history="1">
              <w:r w:rsidR="008B35D4" w:rsidRPr="008B35D4">
                <w:rPr>
                  <w:rStyle w:val="Hyperlink"/>
                </w:rPr>
                <w:t>Call Off terms</w:t>
              </w:r>
            </w:hyperlink>
            <w:r w:rsidR="008B35D4">
              <w:t xml:space="preserve"> for RM6008 which can be accessed via the CCS website, Schedule 10, Staff Transfer Parts A and B Not Applied.</w:t>
            </w:r>
          </w:p>
        </w:tc>
      </w:tr>
      <w:tr w:rsidR="008B35D4" w:rsidRPr="00B91478" w14:paraId="18937FE2" w14:textId="77777777" w:rsidTr="008B35D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8B35D4" w:rsidRPr="00B91478" w:rsidRDefault="008B35D4">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9009"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8B35D4" w:rsidRDefault="008B35D4">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01FCB531" w14:textId="1321CAA1" w:rsidR="008B35D4" w:rsidRPr="002440C8" w:rsidRDefault="00B37D39">
            <w:pPr>
              <w:numPr>
                <w:ilvl w:val="1"/>
                <w:numId w:val="0"/>
              </w:numPr>
              <w:overflowPunct/>
              <w:autoSpaceDE/>
              <w:autoSpaceDN/>
              <w:spacing w:after="120"/>
              <w:jc w:val="left"/>
              <w:textAlignment w:val="auto"/>
              <w:rPr>
                <w:rFonts w:eastAsia="STZhongsong"/>
                <w:lang w:eastAsia="zh-CN"/>
              </w:rPr>
            </w:pPr>
            <w:r>
              <w:rPr>
                <w:rFonts w:eastAsia="STZhongsong"/>
                <w:lang w:eastAsia="zh-CN"/>
              </w:rPr>
              <w:t>Not Applicable</w:t>
            </w:r>
          </w:p>
        </w:tc>
      </w:tr>
    </w:tbl>
    <w:p w14:paraId="126738F7" w14:textId="77777777" w:rsidR="00B37D39" w:rsidRDefault="00B37D39">
      <w:pPr>
        <w:ind w:left="0"/>
        <w:rPr>
          <w:b/>
        </w:rPr>
      </w:pPr>
    </w:p>
    <w:p w14:paraId="1D01113B" w14:textId="77777777" w:rsidR="00B37D39" w:rsidRDefault="00B37D39">
      <w:pPr>
        <w:ind w:left="0"/>
        <w:rPr>
          <w:b/>
        </w:rPr>
      </w:pPr>
    </w:p>
    <w:p w14:paraId="4CFED26F" w14:textId="77777777" w:rsidR="00B37D39" w:rsidRDefault="00B37D39">
      <w:pPr>
        <w:ind w:left="0"/>
        <w:rPr>
          <w:b/>
        </w:rPr>
      </w:pPr>
    </w:p>
    <w:p w14:paraId="66DBC988" w14:textId="77777777" w:rsidR="00B37D39" w:rsidRDefault="00B37D39">
      <w:pPr>
        <w:ind w:left="0"/>
        <w:rPr>
          <w:b/>
        </w:rPr>
      </w:pPr>
    </w:p>
    <w:p w14:paraId="18CF651D" w14:textId="77777777" w:rsidR="00B37D39" w:rsidRDefault="00B37D39">
      <w:pPr>
        <w:ind w:left="0"/>
        <w:rPr>
          <w:b/>
        </w:rPr>
      </w:pPr>
    </w:p>
    <w:p w14:paraId="6766C2EE" w14:textId="77777777" w:rsidR="00B37D39" w:rsidRDefault="00B37D39">
      <w:pPr>
        <w:ind w:left="0"/>
        <w:rPr>
          <w:b/>
        </w:rPr>
      </w:pPr>
    </w:p>
    <w:p w14:paraId="6C51038B" w14:textId="77777777" w:rsidR="00B37D39" w:rsidRDefault="00B37D39">
      <w:pPr>
        <w:ind w:left="0"/>
        <w:rPr>
          <w:b/>
        </w:rPr>
      </w:pPr>
    </w:p>
    <w:p w14:paraId="7B01D897" w14:textId="77777777" w:rsidR="00B37D39" w:rsidRDefault="00B37D39">
      <w:pPr>
        <w:ind w:left="0"/>
        <w:rPr>
          <w:b/>
        </w:rPr>
      </w:pPr>
    </w:p>
    <w:p w14:paraId="10DF04AE" w14:textId="77777777" w:rsidR="00B37D39" w:rsidRDefault="00B37D39">
      <w:pPr>
        <w:ind w:left="0"/>
        <w:rPr>
          <w:b/>
        </w:rPr>
      </w:pPr>
    </w:p>
    <w:p w14:paraId="518CD758" w14:textId="2D18939A" w:rsidR="004E05DC" w:rsidRPr="00B91478" w:rsidRDefault="00F770DB">
      <w:pPr>
        <w:ind w:left="0"/>
        <w:rPr>
          <w:b/>
        </w:rPr>
      </w:pPr>
      <w:r w:rsidRPr="00B91478">
        <w:rPr>
          <w:b/>
        </w:rPr>
        <w:t>FORMATION OF CALL OFF CONTRACT</w:t>
      </w:r>
    </w:p>
    <w:p w14:paraId="232E1959" w14:textId="77777777"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107AFCDD" w:rsidR="004E05DC" w:rsidRPr="00B91478" w:rsidRDefault="004E05DC">
            <w:pPr>
              <w:pStyle w:val="MarginText"/>
              <w:rPr>
                <w:rFonts w:cs="Arial"/>
                <w:sz w:val="22"/>
                <w:szCs w:val="22"/>
              </w:rPr>
            </w:pP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77777777" w:rsidR="004E05DC" w:rsidRPr="00B91478" w:rsidRDefault="004E05DC">
            <w:pPr>
              <w:pStyle w:val="MarginText"/>
              <w:rPr>
                <w:rFonts w:cs="Arial"/>
                <w:sz w:val="22"/>
                <w:szCs w:val="22"/>
              </w:rPr>
            </w:pP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77777777" w:rsidR="004E05DC" w:rsidRPr="00B91478" w:rsidRDefault="004E05DC">
            <w:pPr>
              <w:pStyle w:val="MarginText"/>
              <w:rPr>
                <w:rFonts w:cs="Arial"/>
                <w:sz w:val="22"/>
                <w:szCs w:val="22"/>
              </w:rPr>
            </w:pP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594375E3" w:rsidR="004E05DC" w:rsidRPr="00B91478" w:rsidRDefault="004E05DC">
            <w:pPr>
              <w:pStyle w:val="MarginText"/>
              <w:rPr>
                <w:rFonts w:cs="Arial"/>
                <w:sz w:val="22"/>
                <w:szCs w:val="22"/>
              </w:rPr>
            </w:pP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77777777" w:rsidR="004E05DC" w:rsidRPr="00B91478" w:rsidRDefault="004E05DC">
            <w:pPr>
              <w:pStyle w:val="MarginText"/>
              <w:rPr>
                <w:rFonts w:cs="Arial"/>
                <w:sz w:val="22"/>
                <w:szCs w:val="22"/>
              </w:rPr>
            </w:pP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77777777" w:rsidR="004E05DC" w:rsidRPr="00B91478" w:rsidRDefault="004E05DC">
            <w:pPr>
              <w:pStyle w:val="MarginText"/>
              <w:rPr>
                <w:rFonts w:cs="Arial"/>
                <w:sz w:val="22"/>
                <w:szCs w:val="22"/>
              </w:rPr>
            </w:pPr>
          </w:p>
        </w:tc>
      </w:tr>
    </w:tbl>
    <w:p w14:paraId="0D5F80B7" w14:textId="77777777" w:rsidR="00F763AE" w:rsidRDefault="00F763AE" w:rsidP="00F763AE">
      <w:pPr>
        <w:pStyle w:val="TOC1"/>
      </w:pPr>
    </w:p>
    <w:p w14:paraId="46DBAD4A" w14:textId="77777777" w:rsidR="001C6C25" w:rsidRDefault="001C6C25" w:rsidP="001C6C25">
      <w:pPr>
        <w:rPr>
          <w:lang w:eastAsia="en-GB"/>
        </w:rPr>
      </w:pPr>
    </w:p>
    <w:p w14:paraId="7493C646" w14:textId="77777777" w:rsidR="001C6C25" w:rsidRDefault="001C6C25" w:rsidP="001C6C25">
      <w:pPr>
        <w:rPr>
          <w:lang w:eastAsia="en-GB"/>
        </w:rPr>
      </w:pPr>
    </w:p>
    <w:p w14:paraId="642A55D3" w14:textId="77777777" w:rsidR="001C6C25" w:rsidRDefault="001C6C25" w:rsidP="001C6C25">
      <w:pPr>
        <w:rPr>
          <w:lang w:eastAsia="en-GB"/>
        </w:rPr>
      </w:pPr>
    </w:p>
    <w:p w14:paraId="1392D2D4" w14:textId="77777777" w:rsidR="001C6C25" w:rsidRPr="001C6C25" w:rsidRDefault="001C6C25" w:rsidP="001C6C25">
      <w:pPr>
        <w:pageBreakBefore/>
        <w:overflowPunct/>
        <w:autoSpaceDE/>
        <w:autoSpaceDN/>
        <w:adjustRightInd/>
        <w:spacing w:before="60"/>
        <w:ind w:left="0"/>
        <w:jc w:val="left"/>
        <w:textAlignment w:val="auto"/>
        <w:outlineLvl w:val="5"/>
        <w:rPr>
          <w:sz w:val="21"/>
          <w:szCs w:val="21"/>
          <w:lang w:eastAsia="en-GB"/>
        </w:rPr>
      </w:pPr>
      <w:r w:rsidRPr="001C6C25">
        <w:rPr>
          <w:b/>
          <w:sz w:val="21"/>
          <w:szCs w:val="21"/>
          <w:lang w:eastAsia="en-GB"/>
        </w:rPr>
        <w:t>APPENDIX A</w:t>
      </w:r>
    </w:p>
    <w:p w14:paraId="02AEDC45" w14:textId="77777777" w:rsidR="001C6C25" w:rsidRPr="001C6C25" w:rsidRDefault="001C6C25" w:rsidP="001C6C25">
      <w:pPr>
        <w:keepNext/>
        <w:spacing w:after="0"/>
        <w:ind w:left="2160" w:firstLine="720"/>
        <w:jc w:val="left"/>
        <w:outlineLvl w:val="6"/>
        <w:rPr>
          <w:b/>
          <w:sz w:val="21"/>
          <w:szCs w:val="21"/>
          <w:lang w:eastAsia="en-GB"/>
        </w:rPr>
      </w:pPr>
    </w:p>
    <w:p w14:paraId="094500F6" w14:textId="77777777" w:rsidR="001C6C25" w:rsidRPr="001C6C25" w:rsidRDefault="001C6C25" w:rsidP="001C6C25">
      <w:pPr>
        <w:keepNext/>
        <w:spacing w:after="0"/>
        <w:ind w:left="2160" w:firstLine="720"/>
        <w:jc w:val="left"/>
        <w:outlineLvl w:val="6"/>
        <w:rPr>
          <w:b/>
          <w:sz w:val="21"/>
          <w:szCs w:val="21"/>
          <w:lang w:eastAsia="en-GB"/>
        </w:rPr>
      </w:pPr>
    </w:p>
    <w:p w14:paraId="37429232" w14:textId="77777777" w:rsidR="001C6C25" w:rsidRPr="001C6C25" w:rsidRDefault="001C6C25" w:rsidP="001C6C25">
      <w:pPr>
        <w:keepNext/>
        <w:numPr>
          <w:ilvl w:val="0"/>
          <w:numId w:val="20"/>
        </w:numPr>
        <w:overflowPunct/>
        <w:autoSpaceDE/>
        <w:autoSpaceDN/>
        <w:adjustRightInd/>
        <w:spacing w:before="120" w:after="0"/>
        <w:jc w:val="left"/>
        <w:textAlignment w:val="auto"/>
        <w:outlineLvl w:val="1"/>
        <w:rPr>
          <w:rFonts w:eastAsia="MS Mincho"/>
          <w:b/>
          <w:bCs/>
          <w:iCs/>
          <w:sz w:val="21"/>
          <w:szCs w:val="21"/>
          <w:lang w:val="en" w:eastAsia="ja-JP"/>
        </w:rPr>
      </w:pPr>
      <w:bookmarkStart w:id="2" w:name="mileage"/>
      <w:bookmarkEnd w:id="2"/>
      <w:r w:rsidRPr="001C6C25">
        <w:rPr>
          <w:rFonts w:eastAsia="MS Mincho"/>
          <w:b/>
          <w:bCs/>
          <w:iCs/>
          <w:sz w:val="21"/>
          <w:szCs w:val="21"/>
          <w:lang w:val="en" w:eastAsia="ja-JP"/>
        </w:rPr>
        <w:t>Mileage allowances</w:t>
      </w:r>
    </w:p>
    <w:p w14:paraId="0FEF54CF" w14:textId="77777777" w:rsidR="001C6C25" w:rsidRPr="001C6C25" w:rsidRDefault="001C6C25" w:rsidP="001C6C25">
      <w:pPr>
        <w:overflowPunct/>
        <w:autoSpaceDE/>
        <w:autoSpaceDN/>
        <w:adjustRightInd/>
        <w:spacing w:after="0"/>
        <w:ind w:left="0"/>
        <w:jc w:val="left"/>
        <w:textAlignment w:val="auto"/>
        <w:rPr>
          <w:rFonts w:eastAsia="MS Mincho" w:cs="Times New Roman"/>
          <w:szCs w:val="24"/>
          <w:lang w:val="en" w:eastAsia="en-GB"/>
        </w:rPr>
      </w:pPr>
    </w:p>
    <w:tbl>
      <w:tblPr>
        <w:tblW w:w="5000" w:type="pct"/>
        <w:tblCellSpacing w:w="15" w:type="dxa"/>
        <w:tblCellMar>
          <w:left w:w="0" w:type="dxa"/>
          <w:right w:w="0" w:type="dxa"/>
        </w:tblCellMar>
        <w:tblLook w:val="04A0" w:firstRow="1" w:lastRow="0" w:firstColumn="1" w:lastColumn="0" w:noHBand="0" w:noVBand="1"/>
        <w:tblDescription w:val="The following table lists the Allowance followed by Rate pence per mile"/>
      </w:tblPr>
      <w:tblGrid>
        <w:gridCol w:w="6462"/>
        <w:gridCol w:w="2580"/>
      </w:tblGrid>
      <w:tr w:rsidR="001C6C25" w:rsidRPr="001C6C25" w14:paraId="3F02D846" w14:textId="77777777" w:rsidTr="000128E2">
        <w:trPr>
          <w:tblHeader/>
          <w:tblCellSpacing w:w="15" w:type="dxa"/>
        </w:trPr>
        <w:tc>
          <w:tcPr>
            <w:tcW w:w="0" w:type="auto"/>
            <w:tcBorders>
              <w:top w:val="nil"/>
              <w:left w:val="nil"/>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6B954CC8" w14:textId="77777777" w:rsidR="001C6C25" w:rsidRPr="001C6C25" w:rsidRDefault="001C6C25" w:rsidP="001C6C25">
            <w:pPr>
              <w:overflowPunct/>
              <w:autoSpaceDE/>
              <w:autoSpaceDN/>
              <w:adjustRightInd/>
              <w:spacing w:after="0" w:line="300" w:lineRule="atLeast"/>
              <w:ind w:left="0"/>
              <w:jc w:val="left"/>
              <w:rPr>
                <w:rFonts w:eastAsia="MS Mincho"/>
                <w:color w:val="FFFFFF"/>
                <w:sz w:val="21"/>
                <w:szCs w:val="21"/>
                <w:lang w:eastAsia="ja-JP"/>
              </w:rPr>
            </w:pPr>
            <w:r w:rsidRPr="001C6C25">
              <w:rPr>
                <w:rFonts w:eastAsia="MS Mincho"/>
                <w:color w:val="FFFFFF"/>
                <w:sz w:val="21"/>
                <w:szCs w:val="21"/>
                <w:lang w:eastAsia="ja-JP"/>
              </w:rPr>
              <w:t>Allowance</w:t>
            </w:r>
          </w:p>
        </w:tc>
        <w:tc>
          <w:tcPr>
            <w:tcW w:w="0" w:type="auto"/>
            <w:tcBorders>
              <w:top w:val="nil"/>
              <w:left w:val="nil"/>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59AF8EB7" w14:textId="77777777" w:rsidR="001C6C25" w:rsidRPr="001C6C25" w:rsidRDefault="001C6C25" w:rsidP="001C6C25">
            <w:pPr>
              <w:overflowPunct/>
              <w:autoSpaceDE/>
              <w:autoSpaceDN/>
              <w:adjustRightInd/>
              <w:spacing w:after="0" w:line="300" w:lineRule="atLeast"/>
              <w:ind w:left="0"/>
              <w:jc w:val="left"/>
              <w:rPr>
                <w:rFonts w:eastAsia="MS Mincho"/>
                <w:color w:val="FFFFFF"/>
                <w:sz w:val="21"/>
                <w:szCs w:val="21"/>
                <w:lang w:eastAsia="ja-JP"/>
              </w:rPr>
            </w:pPr>
            <w:r w:rsidRPr="001C6C25">
              <w:rPr>
                <w:rFonts w:eastAsia="MS Mincho"/>
                <w:color w:val="FFFFFF"/>
                <w:sz w:val="21"/>
                <w:szCs w:val="21"/>
                <w:lang w:eastAsia="ja-JP"/>
              </w:rPr>
              <w:t>Rate (pence per mile)</w:t>
            </w:r>
          </w:p>
        </w:tc>
      </w:tr>
      <w:tr w:rsidR="001C6C25" w:rsidRPr="001C6C25" w14:paraId="0AD8AE55" w14:textId="77777777" w:rsidTr="000128E2">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B2FCE71"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Higher Rate Mileage Allowance (limited to the first 10,000 miles in any financial year)</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240FBD2A"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45p from 11 January 2012 onwards.</w:t>
            </w:r>
          </w:p>
        </w:tc>
      </w:tr>
      <w:tr w:rsidR="001C6C25" w:rsidRPr="001C6C25" w14:paraId="01A2F41F" w14:textId="77777777" w:rsidTr="000128E2">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35A49D97"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Basic Rate Mileage Allowance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73E71DE"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25p</w:t>
            </w:r>
          </w:p>
        </w:tc>
      </w:tr>
      <w:tr w:rsidR="001C6C25" w:rsidRPr="001C6C25" w14:paraId="071242AA" w14:textId="77777777" w:rsidTr="000128E2">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37BEBA7"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Motor Cycle Rate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240C4DD2"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24p</w:t>
            </w:r>
          </w:p>
        </w:tc>
      </w:tr>
      <w:tr w:rsidR="001C6C25" w:rsidRPr="001C6C25" w14:paraId="47BE1455" w14:textId="77777777" w:rsidTr="000128E2">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2943146"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Pedal Cycle Rate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A332923"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20p</w:t>
            </w:r>
          </w:p>
        </w:tc>
      </w:tr>
      <w:tr w:rsidR="001C6C25" w:rsidRPr="001C6C25" w14:paraId="39A35D04" w14:textId="77777777" w:rsidTr="000128E2">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21EDAF1"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Driver Passenger Supplement - can be claimed by Vehicle Drivers for each passenger (ACS and private vehicles only)</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4C23620"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5p</w:t>
            </w:r>
          </w:p>
        </w:tc>
      </w:tr>
      <w:tr w:rsidR="001C6C25" w:rsidRPr="001C6C25" w14:paraId="16CE5A12" w14:textId="77777777" w:rsidTr="000128E2">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B3431CD"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Non-Driver Passenger Supplement - can be claimed by vehicle passengers (ACS and private vehicles only)</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2C676D06"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5p</w:t>
            </w:r>
          </w:p>
        </w:tc>
      </w:tr>
      <w:tr w:rsidR="001C6C25" w:rsidRPr="001C6C25" w14:paraId="470C4389" w14:textId="77777777" w:rsidTr="000128E2">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56224AE"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 xml:space="preserve">Equipment Supplement (private vehicles only) – </w:t>
            </w:r>
            <w:r w:rsidRPr="001C6C25">
              <w:rPr>
                <w:rFonts w:eastAsia="MS Mincho"/>
                <w:b/>
                <w:bCs/>
                <w:color w:val="000000"/>
                <w:sz w:val="21"/>
                <w:szCs w:val="21"/>
                <w:lang w:eastAsia="ja-JP"/>
              </w:rPr>
              <w:t>this allowance was withdrawn on 6 April 2012</w:t>
            </w:r>
            <w:r w:rsidRPr="001C6C25">
              <w:rPr>
                <w:rFonts w:eastAsia="MS Mincho"/>
                <w:color w:val="000000"/>
                <w:sz w:val="21"/>
                <w:szCs w:val="21"/>
                <w:lang w:eastAsia="ja-JP"/>
              </w:rPr>
              <w:t>.</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2125ED45"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2p</w:t>
            </w:r>
          </w:p>
        </w:tc>
      </w:tr>
    </w:tbl>
    <w:p w14:paraId="3C87C5F2" w14:textId="77777777" w:rsidR="001C6C25" w:rsidRPr="001C6C25" w:rsidRDefault="001C6C25" w:rsidP="001C6C25">
      <w:pPr>
        <w:keepNext/>
        <w:overflowPunct/>
        <w:autoSpaceDE/>
        <w:autoSpaceDN/>
        <w:adjustRightInd/>
        <w:ind w:left="567" w:hanging="567"/>
        <w:jc w:val="left"/>
        <w:textAlignment w:val="auto"/>
        <w:outlineLvl w:val="2"/>
        <w:rPr>
          <w:rFonts w:eastAsia="MS Mincho"/>
          <w:b/>
          <w:bCs/>
          <w:szCs w:val="26"/>
          <w:lang w:val="en" w:eastAsia="ja-JP"/>
        </w:rPr>
      </w:pPr>
    </w:p>
    <w:p w14:paraId="3FC1B353" w14:textId="77777777" w:rsidR="001C6C25" w:rsidRPr="001C6C25" w:rsidRDefault="001C6C25" w:rsidP="001C6C25">
      <w:pPr>
        <w:overflowPunct/>
        <w:autoSpaceDE/>
        <w:autoSpaceDN/>
        <w:adjustRightInd/>
        <w:spacing w:after="0"/>
        <w:ind w:left="0"/>
        <w:jc w:val="left"/>
        <w:textAlignment w:val="auto"/>
        <w:rPr>
          <w:rFonts w:eastAsia="MS Mincho" w:cs="Times New Roman"/>
          <w:szCs w:val="24"/>
          <w:lang w:val="en" w:eastAsia="ja-JP"/>
        </w:rPr>
      </w:pPr>
    </w:p>
    <w:p w14:paraId="05094BE6" w14:textId="77777777" w:rsidR="001C6C25" w:rsidRPr="001C6C25" w:rsidRDefault="001C6C25" w:rsidP="001C6C25">
      <w:pPr>
        <w:overflowPunct/>
        <w:autoSpaceDE/>
        <w:autoSpaceDN/>
        <w:adjustRightInd/>
        <w:spacing w:after="0"/>
        <w:ind w:left="0"/>
        <w:jc w:val="left"/>
        <w:textAlignment w:val="auto"/>
        <w:rPr>
          <w:rFonts w:eastAsia="MS Mincho" w:cs="Times New Roman"/>
          <w:szCs w:val="24"/>
          <w:lang w:val="en" w:eastAsia="ja-JP"/>
        </w:rPr>
      </w:pPr>
    </w:p>
    <w:p w14:paraId="50B17ABD" w14:textId="77777777" w:rsidR="001C6C25" w:rsidRPr="001C6C25" w:rsidRDefault="001C6C25" w:rsidP="001C6C25">
      <w:pPr>
        <w:overflowPunct/>
        <w:autoSpaceDE/>
        <w:autoSpaceDN/>
        <w:adjustRightInd/>
        <w:spacing w:after="0"/>
        <w:ind w:left="0"/>
        <w:jc w:val="left"/>
        <w:textAlignment w:val="auto"/>
        <w:rPr>
          <w:rFonts w:eastAsia="MS Mincho" w:cs="Times New Roman"/>
          <w:szCs w:val="24"/>
          <w:lang w:val="en" w:eastAsia="ja-JP"/>
        </w:rPr>
      </w:pPr>
    </w:p>
    <w:p w14:paraId="43BE89BD" w14:textId="77777777" w:rsidR="001C6C25" w:rsidRPr="001C6C25" w:rsidRDefault="001C6C25" w:rsidP="001C6C25">
      <w:pPr>
        <w:overflowPunct/>
        <w:autoSpaceDE/>
        <w:autoSpaceDN/>
        <w:adjustRightInd/>
        <w:spacing w:after="0"/>
        <w:ind w:left="0"/>
        <w:jc w:val="left"/>
        <w:textAlignment w:val="auto"/>
        <w:rPr>
          <w:rFonts w:eastAsia="MS Mincho" w:cs="Times New Roman"/>
          <w:szCs w:val="24"/>
          <w:lang w:val="en" w:eastAsia="ja-JP"/>
        </w:rPr>
      </w:pPr>
    </w:p>
    <w:p w14:paraId="7FB6F2C5" w14:textId="77777777" w:rsidR="001C6C25" w:rsidRPr="001C6C25" w:rsidRDefault="001C6C25" w:rsidP="001C6C25">
      <w:pPr>
        <w:overflowPunct/>
        <w:autoSpaceDE/>
        <w:autoSpaceDN/>
        <w:adjustRightInd/>
        <w:spacing w:after="0"/>
        <w:ind w:left="0"/>
        <w:jc w:val="left"/>
        <w:textAlignment w:val="auto"/>
        <w:rPr>
          <w:rFonts w:eastAsia="MS Mincho" w:cs="Times New Roman"/>
          <w:szCs w:val="24"/>
          <w:lang w:val="en" w:eastAsia="ja-JP"/>
        </w:rPr>
      </w:pPr>
    </w:p>
    <w:p w14:paraId="288C6AFA" w14:textId="77777777" w:rsidR="001C6C25" w:rsidRPr="001C6C25" w:rsidRDefault="001C6C25" w:rsidP="001C6C25">
      <w:pPr>
        <w:overflowPunct/>
        <w:autoSpaceDE/>
        <w:autoSpaceDN/>
        <w:adjustRightInd/>
        <w:spacing w:after="0"/>
        <w:ind w:left="0"/>
        <w:jc w:val="left"/>
        <w:textAlignment w:val="auto"/>
        <w:rPr>
          <w:rFonts w:eastAsia="MS Mincho" w:cs="Times New Roman"/>
          <w:szCs w:val="24"/>
          <w:lang w:val="en" w:eastAsia="ja-JP"/>
        </w:rPr>
      </w:pPr>
    </w:p>
    <w:p w14:paraId="2DF0B297" w14:textId="77777777" w:rsidR="001C6C25" w:rsidRPr="001C6C25" w:rsidRDefault="001C6C25" w:rsidP="001C6C25">
      <w:pPr>
        <w:overflowPunct/>
        <w:autoSpaceDE/>
        <w:autoSpaceDN/>
        <w:adjustRightInd/>
        <w:spacing w:after="0"/>
        <w:ind w:left="0"/>
        <w:jc w:val="left"/>
        <w:textAlignment w:val="auto"/>
        <w:rPr>
          <w:rFonts w:eastAsia="MS Mincho" w:cs="Times New Roman"/>
          <w:szCs w:val="24"/>
          <w:lang w:val="en" w:eastAsia="ja-JP"/>
        </w:rPr>
      </w:pPr>
    </w:p>
    <w:p w14:paraId="0600266C" w14:textId="77777777" w:rsidR="001C6C25" w:rsidRPr="001C6C25" w:rsidRDefault="001C6C25" w:rsidP="001C6C25">
      <w:pPr>
        <w:overflowPunct/>
        <w:autoSpaceDE/>
        <w:autoSpaceDN/>
        <w:adjustRightInd/>
        <w:spacing w:after="0"/>
        <w:ind w:left="0"/>
        <w:jc w:val="left"/>
        <w:textAlignment w:val="auto"/>
        <w:rPr>
          <w:rFonts w:eastAsia="MS Mincho" w:cs="Times New Roman"/>
          <w:szCs w:val="24"/>
          <w:lang w:val="en" w:eastAsia="ja-JP"/>
        </w:rPr>
      </w:pPr>
    </w:p>
    <w:p w14:paraId="4ECEAF5C" w14:textId="77777777" w:rsidR="001C6C25" w:rsidRPr="001C6C25" w:rsidRDefault="001C6C25" w:rsidP="001C6C25">
      <w:pPr>
        <w:overflowPunct/>
        <w:autoSpaceDE/>
        <w:autoSpaceDN/>
        <w:adjustRightInd/>
        <w:spacing w:after="0"/>
        <w:ind w:left="0"/>
        <w:jc w:val="left"/>
        <w:textAlignment w:val="auto"/>
        <w:rPr>
          <w:rFonts w:eastAsia="MS Mincho" w:cs="Times New Roman"/>
          <w:szCs w:val="24"/>
          <w:lang w:val="en" w:eastAsia="ja-JP"/>
        </w:rPr>
      </w:pPr>
    </w:p>
    <w:p w14:paraId="6A2A4A1D" w14:textId="77777777" w:rsidR="001C6C25" w:rsidRPr="001C6C25" w:rsidRDefault="001C6C25" w:rsidP="001C6C25">
      <w:pPr>
        <w:overflowPunct/>
        <w:autoSpaceDE/>
        <w:autoSpaceDN/>
        <w:adjustRightInd/>
        <w:spacing w:after="0"/>
        <w:ind w:left="0"/>
        <w:jc w:val="left"/>
        <w:textAlignment w:val="auto"/>
        <w:rPr>
          <w:rFonts w:eastAsia="MS Mincho" w:cs="Times New Roman"/>
          <w:szCs w:val="24"/>
          <w:lang w:val="en" w:eastAsia="ja-JP"/>
        </w:rPr>
      </w:pPr>
    </w:p>
    <w:p w14:paraId="736A37BD" w14:textId="77777777" w:rsidR="001C6C25" w:rsidRPr="001C6C25" w:rsidRDefault="001C6C25" w:rsidP="001C6C25">
      <w:pPr>
        <w:overflowPunct/>
        <w:autoSpaceDE/>
        <w:autoSpaceDN/>
        <w:adjustRightInd/>
        <w:spacing w:after="0"/>
        <w:ind w:left="0"/>
        <w:jc w:val="left"/>
        <w:textAlignment w:val="auto"/>
        <w:rPr>
          <w:rFonts w:eastAsia="MS Mincho" w:cs="Times New Roman"/>
          <w:szCs w:val="24"/>
          <w:lang w:val="en" w:eastAsia="ja-JP"/>
        </w:rPr>
      </w:pPr>
    </w:p>
    <w:p w14:paraId="4CE93B81" w14:textId="77777777" w:rsidR="001C6C25" w:rsidRPr="001C6C25" w:rsidRDefault="001C6C25" w:rsidP="001C6C25">
      <w:pPr>
        <w:overflowPunct/>
        <w:autoSpaceDE/>
        <w:autoSpaceDN/>
        <w:adjustRightInd/>
        <w:spacing w:after="0"/>
        <w:ind w:left="0"/>
        <w:jc w:val="left"/>
        <w:textAlignment w:val="auto"/>
        <w:rPr>
          <w:rFonts w:eastAsia="MS Mincho" w:cs="Times New Roman"/>
          <w:szCs w:val="24"/>
          <w:lang w:val="en" w:eastAsia="ja-JP"/>
        </w:rPr>
      </w:pPr>
    </w:p>
    <w:p w14:paraId="2A9CA8CB" w14:textId="77777777" w:rsidR="001C6C25" w:rsidRPr="001C6C25" w:rsidRDefault="001C6C25" w:rsidP="001C6C25">
      <w:pPr>
        <w:overflowPunct/>
        <w:autoSpaceDE/>
        <w:autoSpaceDN/>
        <w:adjustRightInd/>
        <w:spacing w:after="0"/>
        <w:ind w:left="0"/>
        <w:jc w:val="left"/>
        <w:textAlignment w:val="auto"/>
        <w:rPr>
          <w:rFonts w:eastAsia="MS Mincho" w:cs="Times New Roman"/>
          <w:szCs w:val="24"/>
          <w:lang w:val="en" w:eastAsia="ja-JP"/>
        </w:rPr>
      </w:pPr>
    </w:p>
    <w:p w14:paraId="570440EC" w14:textId="77777777" w:rsidR="001C6C25" w:rsidRPr="001C6C25" w:rsidRDefault="001C6C25" w:rsidP="001C6C25">
      <w:pPr>
        <w:overflowPunct/>
        <w:autoSpaceDE/>
        <w:autoSpaceDN/>
        <w:adjustRightInd/>
        <w:spacing w:after="0"/>
        <w:ind w:left="0"/>
        <w:jc w:val="left"/>
        <w:textAlignment w:val="auto"/>
        <w:rPr>
          <w:rFonts w:eastAsia="MS Mincho" w:cs="Times New Roman"/>
          <w:szCs w:val="24"/>
          <w:lang w:val="en" w:eastAsia="ja-JP"/>
        </w:rPr>
      </w:pPr>
    </w:p>
    <w:p w14:paraId="593B7B05" w14:textId="77777777" w:rsidR="001C6C25" w:rsidRPr="001C6C25" w:rsidRDefault="001C6C25" w:rsidP="001C6C25">
      <w:pPr>
        <w:overflowPunct/>
        <w:autoSpaceDE/>
        <w:autoSpaceDN/>
        <w:adjustRightInd/>
        <w:spacing w:after="0"/>
        <w:ind w:left="0"/>
        <w:jc w:val="left"/>
        <w:textAlignment w:val="auto"/>
        <w:rPr>
          <w:rFonts w:eastAsia="MS Mincho" w:cs="Times New Roman"/>
          <w:szCs w:val="24"/>
          <w:lang w:val="en" w:eastAsia="ja-JP"/>
        </w:rPr>
      </w:pPr>
    </w:p>
    <w:p w14:paraId="59EB4E20" w14:textId="77777777" w:rsidR="001C6C25" w:rsidRPr="001C6C25" w:rsidRDefault="001C6C25" w:rsidP="001C6C25">
      <w:pPr>
        <w:overflowPunct/>
        <w:autoSpaceDE/>
        <w:autoSpaceDN/>
        <w:adjustRightInd/>
        <w:spacing w:after="0"/>
        <w:ind w:left="0"/>
        <w:jc w:val="left"/>
        <w:textAlignment w:val="auto"/>
        <w:rPr>
          <w:rFonts w:eastAsia="MS Mincho" w:cs="Times New Roman"/>
          <w:szCs w:val="24"/>
          <w:lang w:val="en" w:eastAsia="ja-JP"/>
        </w:rPr>
      </w:pPr>
    </w:p>
    <w:p w14:paraId="3320FD43" w14:textId="77777777" w:rsidR="001C6C25" w:rsidRPr="001C6C25" w:rsidRDefault="001C6C25" w:rsidP="001C6C25">
      <w:pPr>
        <w:overflowPunct/>
        <w:autoSpaceDE/>
        <w:autoSpaceDN/>
        <w:adjustRightInd/>
        <w:spacing w:after="0"/>
        <w:ind w:left="0"/>
        <w:jc w:val="left"/>
        <w:textAlignment w:val="auto"/>
        <w:rPr>
          <w:rFonts w:eastAsia="MS Mincho" w:cs="Times New Roman"/>
          <w:szCs w:val="24"/>
          <w:lang w:val="en" w:eastAsia="ja-JP"/>
        </w:rPr>
      </w:pPr>
    </w:p>
    <w:p w14:paraId="13A0D2CD" w14:textId="77777777" w:rsidR="001C6C25" w:rsidRPr="001C6C25" w:rsidRDefault="001C6C25" w:rsidP="001C6C25">
      <w:pPr>
        <w:keepNext/>
        <w:numPr>
          <w:ilvl w:val="0"/>
          <w:numId w:val="20"/>
        </w:numPr>
        <w:overflowPunct/>
        <w:autoSpaceDE/>
        <w:autoSpaceDN/>
        <w:adjustRightInd/>
        <w:spacing w:after="0"/>
        <w:jc w:val="left"/>
        <w:textAlignment w:val="auto"/>
        <w:outlineLvl w:val="2"/>
        <w:rPr>
          <w:rFonts w:eastAsia="MS Mincho"/>
          <w:b/>
          <w:bCs/>
          <w:szCs w:val="26"/>
          <w:lang w:val="en" w:eastAsia="ja-JP"/>
        </w:rPr>
      </w:pPr>
      <w:r w:rsidRPr="001C6C25">
        <w:rPr>
          <w:rFonts w:eastAsia="MS Mincho"/>
          <w:b/>
          <w:bCs/>
          <w:szCs w:val="26"/>
          <w:lang w:val="en" w:eastAsia="ja-JP"/>
        </w:rPr>
        <w:t>Assigned Car Scheme (ACS) mileage rates (pence per mile) from </w:t>
      </w:r>
      <w:r w:rsidRPr="001C6C25">
        <w:rPr>
          <w:rFonts w:eastAsia="MS Mincho"/>
          <w:b/>
          <w:bCs/>
          <w:sz w:val="21"/>
          <w:szCs w:val="21"/>
          <w:lang w:val="en" w:eastAsia="ja-JP"/>
        </w:rPr>
        <w:t>1 June 2019</w:t>
      </w:r>
    </w:p>
    <w:p w14:paraId="1BC3C5B0" w14:textId="77777777" w:rsidR="001C6C25" w:rsidRPr="001C6C25" w:rsidRDefault="001C6C25" w:rsidP="001C6C25">
      <w:pPr>
        <w:overflowPunct/>
        <w:autoSpaceDE/>
        <w:autoSpaceDN/>
        <w:adjustRightInd/>
        <w:spacing w:after="150"/>
        <w:ind w:left="0"/>
        <w:jc w:val="left"/>
        <w:rPr>
          <w:sz w:val="21"/>
          <w:szCs w:val="21"/>
          <w:lang w:val="en" w:eastAsia="en-GB"/>
        </w:rPr>
      </w:pPr>
      <w:r w:rsidRPr="001C6C25">
        <w:rPr>
          <w:b/>
          <w:bCs/>
          <w:sz w:val="21"/>
          <w:szCs w:val="21"/>
          <w:lang w:val="en" w:eastAsia="en-GB"/>
        </w:rPr>
        <w:t>Note:</w:t>
      </w:r>
      <w:r w:rsidRPr="001C6C25">
        <w:rPr>
          <w:sz w:val="21"/>
          <w:szCs w:val="21"/>
          <w:lang w:val="en" w:eastAsia="en-GB"/>
        </w:rPr>
        <w:t xml:space="preserve"> From 1 March 2012 onwards, ACS mileage rate claims must be based on the Advisory Fuel Rates (AFRs) that match your vehicle’s engine size and fuel type. HMRC publishes AFRs on its website and reviews them on a quarterly basis. Hybrid cars are treated as either petrol or diesel for this purpose.</w:t>
      </w:r>
    </w:p>
    <w:tbl>
      <w:tblPr>
        <w:tblW w:w="5000" w:type="pct"/>
        <w:tblCellSpacing w:w="0" w:type="dxa"/>
        <w:tblCellMar>
          <w:left w:w="0" w:type="dxa"/>
          <w:right w:w="0" w:type="dxa"/>
        </w:tblCellMar>
        <w:tblLook w:val="04A0" w:firstRow="1" w:lastRow="0" w:firstColumn="1" w:lastColumn="0" w:noHBand="0" w:noVBand="1"/>
        <w:tblDescription w:val="The following table lists Engine size followed by Diesel vehicles; Petrol vehicles; Liquefied Petroleum Gas LPG vehicles"/>
      </w:tblPr>
      <w:tblGrid>
        <w:gridCol w:w="1913"/>
        <w:gridCol w:w="1752"/>
        <w:gridCol w:w="1724"/>
        <w:gridCol w:w="3653"/>
      </w:tblGrid>
      <w:tr w:rsidR="001C6C25" w:rsidRPr="001C6C25" w14:paraId="0D36BD53" w14:textId="77777777" w:rsidTr="000128E2">
        <w:trPr>
          <w:tblHeader/>
          <w:tblCellSpacing w:w="0" w:type="dxa"/>
        </w:trPr>
        <w:tc>
          <w:tcPr>
            <w:tcW w:w="0" w:type="auto"/>
            <w:tcBorders>
              <w:top w:val="nil"/>
              <w:left w:val="nil"/>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4083A1CB" w14:textId="77777777" w:rsidR="001C6C25" w:rsidRPr="001C6C25" w:rsidRDefault="001C6C25" w:rsidP="001C6C25">
            <w:pPr>
              <w:overflowPunct/>
              <w:autoSpaceDE/>
              <w:autoSpaceDN/>
              <w:adjustRightInd/>
              <w:spacing w:after="0" w:line="300" w:lineRule="atLeast"/>
              <w:ind w:left="0"/>
              <w:jc w:val="left"/>
              <w:rPr>
                <w:rFonts w:eastAsia="MS Mincho"/>
                <w:color w:val="FFFFFF"/>
                <w:sz w:val="21"/>
                <w:szCs w:val="21"/>
                <w:lang w:eastAsia="ja-JP"/>
              </w:rPr>
            </w:pPr>
            <w:r w:rsidRPr="001C6C25">
              <w:rPr>
                <w:rFonts w:eastAsia="MS Mincho"/>
                <w:color w:val="FFFFFF"/>
                <w:sz w:val="21"/>
                <w:szCs w:val="21"/>
                <w:lang w:eastAsia="ja-JP"/>
              </w:rPr>
              <w:t>Engine size</w:t>
            </w:r>
          </w:p>
        </w:tc>
        <w:tc>
          <w:tcPr>
            <w:tcW w:w="0" w:type="auto"/>
            <w:tcBorders>
              <w:top w:val="nil"/>
              <w:left w:val="nil"/>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14E2ACB6" w14:textId="77777777" w:rsidR="001C6C25" w:rsidRPr="001C6C25" w:rsidRDefault="001C6C25" w:rsidP="001C6C25">
            <w:pPr>
              <w:overflowPunct/>
              <w:autoSpaceDE/>
              <w:autoSpaceDN/>
              <w:adjustRightInd/>
              <w:spacing w:after="0" w:line="300" w:lineRule="atLeast"/>
              <w:ind w:left="0"/>
              <w:jc w:val="left"/>
              <w:rPr>
                <w:rFonts w:eastAsia="MS Mincho"/>
                <w:color w:val="FFFFFF"/>
                <w:sz w:val="21"/>
                <w:szCs w:val="21"/>
                <w:lang w:eastAsia="ja-JP"/>
              </w:rPr>
            </w:pPr>
            <w:r w:rsidRPr="001C6C25">
              <w:rPr>
                <w:rFonts w:eastAsia="MS Mincho"/>
                <w:color w:val="FFFFFF"/>
                <w:sz w:val="21"/>
                <w:szCs w:val="21"/>
                <w:lang w:eastAsia="ja-JP"/>
              </w:rPr>
              <w:t>Diesel vehicles</w:t>
            </w:r>
          </w:p>
        </w:tc>
        <w:tc>
          <w:tcPr>
            <w:tcW w:w="0" w:type="auto"/>
            <w:tcBorders>
              <w:top w:val="nil"/>
              <w:left w:val="nil"/>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57086BED" w14:textId="77777777" w:rsidR="001C6C25" w:rsidRPr="001C6C25" w:rsidRDefault="001C6C25" w:rsidP="001C6C25">
            <w:pPr>
              <w:overflowPunct/>
              <w:autoSpaceDE/>
              <w:autoSpaceDN/>
              <w:adjustRightInd/>
              <w:spacing w:after="0" w:line="300" w:lineRule="atLeast"/>
              <w:ind w:left="0"/>
              <w:jc w:val="left"/>
              <w:rPr>
                <w:rFonts w:eastAsia="MS Mincho"/>
                <w:color w:val="FFFFFF"/>
                <w:sz w:val="21"/>
                <w:szCs w:val="21"/>
                <w:lang w:eastAsia="ja-JP"/>
              </w:rPr>
            </w:pPr>
            <w:r w:rsidRPr="001C6C25">
              <w:rPr>
                <w:rFonts w:eastAsia="MS Mincho"/>
                <w:color w:val="FFFFFF"/>
                <w:sz w:val="21"/>
                <w:szCs w:val="21"/>
                <w:lang w:eastAsia="ja-JP"/>
              </w:rPr>
              <w:t>Petrol vehicles</w:t>
            </w:r>
          </w:p>
        </w:tc>
        <w:tc>
          <w:tcPr>
            <w:tcW w:w="0" w:type="auto"/>
            <w:tcBorders>
              <w:top w:val="nil"/>
              <w:left w:val="nil"/>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79214A92" w14:textId="77777777" w:rsidR="001C6C25" w:rsidRPr="001C6C25" w:rsidRDefault="001C6C25" w:rsidP="001C6C25">
            <w:pPr>
              <w:overflowPunct/>
              <w:autoSpaceDE/>
              <w:autoSpaceDN/>
              <w:adjustRightInd/>
              <w:spacing w:after="0" w:line="300" w:lineRule="atLeast"/>
              <w:ind w:left="0"/>
              <w:jc w:val="left"/>
              <w:rPr>
                <w:rFonts w:eastAsia="MS Mincho"/>
                <w:color w:val="FFFFFF"/>
                <w:sz w:val="21"/>
                <w:szCs w:val="21"/>
                <w:lang w:eastAsia="ja-JP"/>
              </w:rPr>
            </w:pPr>
            <w:r w:rsidRPr="001C6C25">
              <w:rPr>
                <w:rFonts w:eastAsia="MS Mincho"/>
                <w:color w:val="FFFFFF"/>
                <w:sz w:val="21"/>
                <w:szCs w:val="21"/>
                <w:lang w:eastAsia="ja-JP"/>
              </w:rPr>
              <w:t>Liquefied Petroleum Gas (LPG) vehicles</w:t>
            </w:r>
          </w:p>
        </w:tc>
      </w:tr>
      <w:tr w:rsidR="001C6C25" w:rsidRPr="001C6C25" w14:paraId="6B0877AA" w14:textId="77777777" w:rsidTr="000128E2">
        <w:trPr>
          <w:tblCellSpacing w:w="0"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809DD6A"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1400cc or less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7D7FF130"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Not applicable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3054BBCB"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12p</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3DB5303D"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8p</w:t>
            </w:r>
          </w:p>
        </w:tc>
      </w:tr>
      <w:tr w:rsidR="001C6C25" w:rsidRPr="001C6C25" w14:paraId="67C5D223" w14:textId="77777777" w:rsidTr="000128E2">
        <w:trPr>
          <w:tblCellSpacing w:w="0"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3EE396FD"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1401cc to 2000cc</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3C2446D8"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Not applicable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6BEABA0"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15p</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BCB0D30"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9p</w:t>
            </w:r>
          </w:p>
        </w:tc>
      </w:tr>
      <w:tr w:rsidR="001C6C25" w:rsidRPr="001C6C25" w14:paraId="6CBF286D" w14:textId="77777777" w:rsidTr="000128E2">
        <w:trPr>
          <w:tblCellSpacing w:w="0"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2B1B718B"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1600cc or less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6DF9964"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10p</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B0C7E7F"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Not applicable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95DC0EE"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Not applicable</w:t>
            </w:r>
          </w:p>
        </w:tc>
      </w:tr>
      <w:tr w:rsidR="001C6C25" w:rsidRPr="001C6C25" w14:paraId="3A328D8A" w14:textId="77777777" w:rsidTr="000128E2">
        <w:trPr>
          <w:tblCellSpacing w:w="0"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7C7EBFC0"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1601cc to 2000cc</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258F2728"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12p</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7FDDED7D"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Not applicable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7FECCAF1"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Not applicable</w:t>
            </w:r>
          </w:p>
        </w:tc>
      </w:tr>
      <w:tr w:rsidR="001C6C25" w:rsidRPr="001C6C25" w14:paraId="3A3CE4D6" w14:textId="77777777" w:rsidTr="000128E2">
        <w:trPr>
          <w:tblCellSpacing w:w="0"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06CC910"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Over 2000cc</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286A542A"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14p</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122B9193"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22p</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2C7C5E5D"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14p</w:t>
            </w:r>
          </w:p>
        </w:tc>
      </w:tr>
    </w:tbl>
    <w:p w14:paraId="4D23B16B" w14:textId="77777777" w:rsidR="001C6C25" w:rsidRPr="001C6C25" w:rsidRDefault="001C6C25" w:rsidP="001C6C25">
      <w:pPr>
        <w:overflowPunct/>
        <w:autoSpaceDE/>
        <w:autoSpaceDN/>
        <w:adjustRightInd/>
        <w:spacing w:after="150"/>
        <w:ind w:left="0"/>
        <w:jc w:val="left"/>
        <w:rPr>
          <w:sz w:val="21"/>
          <w:szCs w:val="21"/>
          <w:lang w:val="en" w:eastAsia="en-GB"/>
        </w:rPr>
      </w:pPr>
    </w:p>
    <w:p w14:paraId="6D5A413E" w14:textId="77777777" w:rsidR="001C6C25" w:rsidRPr="001C6C25" w:rsidRDefault="001C6C25" w:rsidP="001C6C25">
      <w:pPr>
        <w:keepNext/>
        <w:overflowPunct/>
        <w:autoSpaceDE/>
        <w:autoSpaceDN/>
        <w:adjustRightInd/>
        <w:ind w:left="0"/>
        <w:jc w:val="left"/>
        <w:textAlignment w:val="auto"/>
        <w:outlineLvl w:val="2"/>
        <w:rPr>
          <w:rFonts w:eastAsia="MS Mincho"/>
          <w:b/>
          <w:bCs/>
          <w:sz w:val="21"/>
          <w:szCs w:val="21"/>
          <w:lang w:val="en" w:eastAsia="ja-JP"/>
        </w:rPr>
      </w:pPr>
    </w:p>
    <w:p w14:paraId="3A85CC87" w14:textId="77777777" w:rsidR="001C6C25" w:rsidRPr="001C6C25" w:rsidRDefault="001C6C25" w:rsidP="001C6C25">
      <w:pPr>
        <w:keepNext/>
        <w:numPr>
          <w:ilvl w:val="0"/>
          <w:numId w:val="20"/>
        </w:numPr>
        <w:overflowPunct/>
        <w:autoSpaceDE/>
        <w:autoSpaceDN/>
        <w:adjustRightInd/>
        <w:spacing w:before="120" w:after="0"/>
        <w:jc w:val="left"/>
        <w:textAlignment w:val="auto"/>
        <w:outlineLvl w:val="1"/>
        <w:rPr>
          <w:rFonts w:eastAsia="MS Mincho"/>
          <w:b/>
          <w:bCs/>
          <w:iCs/>
          <w:sz w:val="21"/>
          <w:szCs w:val="21"/>
          <w:lang w:val="en" w:eastAsia="ja-JP"/>
        </w:rPr>
      </w:pPr>
      <w:bookmarkStart w:id="3" w:name="day"/>
      <w:bookmarkEnd w:id="3"/>
      <w:r w:rsidRPr="001C6C25">
        <w:rPr>
          <w:rFonts w:eastAsia="MS Mincho"/>
          <w:b/>
          <w:bCs/>
          <w:iCs/>
          <w:sz w:val="21"/>
          <w:szCs w:val="21"/>
          <w:lang w:val="en" w:eastAsia="ja-JP"/>
        </w:rPr>
        <w:t>Day Subsistence rates</w:t>
      </w:r>
    </w:p>
    <w:p w14:paraId="3A042B30" w14:textId="77777777" w:rsidR="001C6C25" w:rsidRPr="001C6C25" w:rsidRDefault="001C6C25" w:rsidP="001C6C25">
      <w:pPr>
        <w:overflowPunct/>
        <w:autoSpaceDE/>
        <w:autoSpaceDN/>
        <w:adjustRightInd/>
        <w:spacing w:after="150"/>
        <w:ind w:left="0"/>
        <w:jc w:val="left"/>
        <w:rPr>
          <w:sz w:val="21"/>
          <w:szCs w:val="21"/>
          <w:lang w:val="en" w:eastAsia="en-GB"/>
        </w:rPr>
      </w:pPr>
      <w:r w:rsidRPr="001C6C25">
        <w:rPr>
          <w:sz w:val="21"/>
          <w:szCs w:val="21"/>
          <w:lang w:val="en" w:eastAsia="en-GB"/>
        </w:rPr>
        <w:t>Provided you incur a cost that is more than you would normally have incurred at home or your office, actual expenditure will be paid within these limits:</w:t>
      </w:r>
    </w:p>
    <w:tbl>
      <w:tblPr>
        <w:tblW w:w="5000" w:type="pct"/>
        <w:tblCellSpacing w:w="15" w:type="dxa"/>
        <w:tblCellMar>
          <w:left w:w="0" w:type="dxa"/>
          <w:right w:w="0" w:type="dxa"/>
        </w:tblCellMar>
        <w:tblLook w:val="04A0" w:firstRow="1" w:lastRow="0" w:firstColumn="1" w:lastColumn="0" w:noHBand="0" w:noVBand="1"/>
        <w:tblDescription w:val="The following table lists Allowance followed by Details and Amount"/>
      </w:tblPr>
      <w:tblGrid>
        <w:gridCol w:w="2090"/>
        <w:gridCol w:w="4092"/>
        <w:gridCol w:w="2860"/>
      </w:tblGrid>
      <w:tr w:rsidR="001C6C25" w:rsidRPr="001C6C25" w14:paraId="72EB3529" w14:textId="77777777" w:rsidTr="000128E2">
        <w:trPr>
          <w:tblHeader/>
          <w:tblCellSpacing w:w="15" w:type="dxa"/>
        </w:trPr>
        <w:tc>
          <w:tcPr>
            <w:tcW w:w="0" w:type="auto"/>
            <w:tcBorders>
              <w:top w:val="nil"/>
              <w:left w:val="nil"/>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4CF9A99A" w14:textId="77777777" w:rsidR="001C6C25" w:rsidRPr="001C6C25" w:rsidRDefault="001C6C25" w:rsidP="001C6C25">
            <w:pPr>
              <w:overflowPunct/>
              <w:autoSpaceDE/>
              <w:autoSpaceDN/>
              <w:adjustRightInd/>
              <w:spacing w:after="0" w:line="300" w:lineRule="atLeast"/>
              <w:ind w:left="0"/>
              <w:jc w:val="left"/>
              <w:rPr>
                <w:rFonts w:eastAsia="MS Mincho"/>
                <w:color w:val="FFFFFF"/>
                <w:sz w:val="21"/>
                <w:szCs w:val="21"/>
                <w:lang w:eastAsia="ja-JP"/>
              </w:rPr>
            </w:pPr>
            <w:r w:rsidRPr="001C6C25">
              <w:rPr>
                <w:rFonts w:eastAsia="MS Mincho"/>
                <w:color w:val="FFFFFF"/>
                <w:sz w:val="21"/>
                <w:szCs w:val="21"/>
                <w:lang w:eastAsia="ja-JP"/>
              </w:rPr>
              <w:t>Allowance</w:t>
            </w:r>
          </w:p>
        </w:tc>
        <w:tc>
          <w:tcPr>
            <w:tcW w:w="0" w:type="auto"/>
            <w:tcBorders>
              <w:top w:val="nil"/>
              <w:left w:val="nil"/>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20EC58A2" w14:textId="77777777" w:rsidR="001C6C25" w:rsidRPr="001C6C25" w:rsidRDefault="001C6C25" w:rsidP="001C6C25">
            <w:pPr>
              <w:overflowPunct/>
              <w:autoSpaceDE/>
              <w:autoSpaceDN/>
              <w:adjustRightInd/>
              <w:spacing w:after="0" w:line="300" w:lineRule="atLeast"/>
              <w:ind w:left="0"/>
              <w:jc w:val="left"/>
              <w:rPr>
                <w:rFonts w:eastAsia="MS Mincho"/>
                <w:color w:val="FFFFFF"/>
                <w:sz w:val="21"/>
                <w:szCs w:val="21"/>
                <w:lang w:eastAsia="ja-JP"/>
              </w:rPr>
            </w:pPr>
            <w:r w:rsidRPr="001C6C25">
              <w:rPr>
                <w:rFonts w:eastAsia="MS Mincho"/>
                <w:color w:val="FFFFFF"/>
                <w:sz w:val="21"/>
                <w:szCs w:val="21"/>
                <w:lang w:eastAsia="ja-JP"/>
              </w:rPr>
              <w:t>Details</w:t>
            </w:r>
          </w:p>
        </w:tc>
        <w:tc>
          <w:tcPr>
            <w:tcW w:w="0" w:type="auto"/>
            <w:tcBorders>
              <w:top w:val="nil"/>
              <w:left w:val="nil"/>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2610F09B" w14:textId="77777777" w:rsidR="001C6C25" w:rsidRPr="001C6C25" w:rsidRDefault="001C6C25" w:rsidP="001C6C25">
            <w:pPr>
              <w:overflowPunct/>
              <w:autoSpaceDE/>
              <w:autoSpaceDN/>
              <w:adjustRightInd/>
              <w:spacing w:after="0" w:line="300" w:lineRule="atLeast"/>
              <w:ind w:left="0"/>
              <w:jc w:val="left"/>
              <w:rPr>
                <w:rFonts w:eastAsia="MS Mincho"/>
                <w:color w:val="FFFFFF"/>
                <w:sz w:val="21"/>
                <w:szCs w:val="21"/>
                <w:lang w:eastAsia="ja-JP"/>
              </w:rPr>
            </w:pPr>
            <w:r w:rsidRPr="001C6C25">
              <w:rPr>
                <w:rFonts w:eastAsia="MS Mincho"/>
                <w:color w:val="FFFFFF"/>
                <w:sz w:val="21"/>
                <w:szCs w:val="21"/>
                <w:lang w:eastAsia="ja-JP"/>
              </w:rPr>
              <w:t>Amount</w:t>
            </w:r>
          </w:p>
        </w:tc>
      </w:tr>
      <w:tr w:rsidR="001C6C25" w:rsidRPr="001C6C25" w14:paraId="7176CDB3" w14:textId="77777777" w:rsidTr="000128E2">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4635157"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One Meal Allowance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313462BA"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Where away from home and permanent workplace for more than 5 hours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1BC5788"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proofErr w:type="gramStart"/>
            <w:r w:rsidRPr="001C6C25">
              <w:rPr>
                <w:rFonts w:eastAsia="MS Mincho"/>
                <w:color w:val="000000"/>
                <w:sz w:val="21"/>
                <w:szCs w:val="21"/>
                <w:lang w:eastAsia="ja-JP"/>
              </w:rPr>
              <w:t>up</w:t>
            </w:r>
            <w:proofErr w:type="gramEnd"/>
            <w:r w:rsidRPr="001C6C25">
              <w:rPr>
                <w:rFonts w:eastAsia="MS Mincho"/>
                <w:color w:val="000000"/>
                <w:sz w:val="21"/>
                <w:szCs w:val="21"/>
                <w:lang w:eastAsia="ja-JP"/>
              </w:rPr>
              <w:t xml:space="preserve"> to a maximum of £8.25 from 1 April 2013.</w:t>
            </w:r>
          </w:p>
        </w:tc>
      </w:tr>
      <w:tr w:rsidR="001C6C25" w:rsidRPr="001C6C25" w14:paraId="6E4F88EF" w14:textId="77777777" w:rsidTr="000128E2">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75BE4F4C"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Two Meal Allowance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20F51FCE"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Where away from home and permanent workplace for more than 10 hours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76D1EBCA"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proofErr w:type="gramStart"/>
            <w:r w:rsidRPr="001C6C25">
              <w:rPr>
                <w:rFonts w:eastAsia="MS Mincho"/>
                <w:color w:val="000000"/>
                <w:sz w:val="21"/>
                <w:szCs w:val="21"/>
                <w:lang w:eastAsia="ja-JP"/>
              </w:rPr>
              <w:t>up</w:t>
            </w:r>
            <w:proofErr w:type="gramEnd"/>
            <w:r w:rsidRPr="001C6C25">
              <w:rPr>
                <w:rFonts w:eastAsia="MS Mincho"/>
                <w:color w:val="000000"/>
                <w:sz w:val="21"/>
                <w:szCs w:val="21"/>
                <w:lang w:eastAsia="ja-JP"/>
              </w:rPr>
              <w:t xml:space="preserve"> to a maximum of £17.75 from 1 April 2013.</w:t>
            </w:r>
          </w:p>
        </w:tc>
      </w:tr>
      <w:tr w:rsidR="001C6C25" w:rsidRPr="001C6C25" w14:paraId="0F5D822B" w14:textId="77777777" w:rsidTr="000128E2">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7C453008"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Three Meal Allowance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550A2D0"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Where away from home and permanent workplace for more than 13 hours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182BB71"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proofErr w:type="gramStart"/>
            <w:r w:rsidRPr="001C6C25">
              <w:rPr>
                <w:rFonts w:eastAsia="MS Mincho"/>
                <w:color w:val="000000"/>
                <w:sz w:val="21"/>
                <w:szCs w:val="21"/>
                <w:lang w:eastAsia="ja-JP"/>
              </w:rPr>
              <w:t>up</w:t>
            </w:r>
            <w:proofErr w:type="gramEnd"/>
            <w:r w:rsidRPr="001C6C25">
              <w:rPr>
                <w:rFonts w:eastAsia="MS Mincho"/>
                <w:color w:val="000000"/>
                <w:sz w:val="21"/>
                <w:szCs w:val="21"/>
                <w:lang w:eastAsia="ja-JP"/>
              </w:rPr>
              <w:t xml:space="preserve"> to a maximum of £26.00 from 1 April 2013.</w:t>
            </w:r>
          </w:p>
        </w:tc>
      </w:tr>
      <w:tr w:rsidR="001C6C25" w:rsidRPr="001C6C25" w14:paraId="3E117686" w14:textId="77777777" w:rsidTr="000128E2">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1157743B"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Unplanned late working</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312BAC9"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 xml:space="preserve">Where you have to buy a meal when you are unexpectedly required to work after 20:00 hours in addition to your normal day </w:t>
            </w:r>
            <w:r w:rsidRPr="001C6C25">
              <w:rPr>
                <w:rFonts w:eastAsia="MS Mincho"/>
                <w:b/>
                <w:bCs/>
                <w:color w:val="000000"/>
                <w:sz w:val="21"/>
                <w:szCs w:val="21"/>
                <w:lang w:eastAsia="ja-JP"/>
              </w:rPr>
              <w:t>and</w:t>
            </w:r>
            <w:r w:rsidRPr="001C6C25">
              <w:rPr>
                <w:rFonts w:eastAsia="MS Mincho"/>
                <w:color w:val="000000"/>
                <w:sz w:val="21"/>
                <w:szCs w:val="21"/>
                <w:lang w:eastAsia="ja-JP"/>
              </w:rPr>
              <w:t xml:space="preserve"> more than 3 hours after the end of your normal day</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0948DD1"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proofErr w:type="gramStart"/>
            <w:r w:rsidRPr="001C6C25">
              <w:rPr>
                <w:rFonts w:eastAsia="MS Mincho"/>
                <w:color w:val="000000"/>
                <w:sz w:val="21"/>
                <w:szCs w:val="21"/>
                <w:lang w:eastAsia="ja-JP"/>
              </w:rPr>
              <w:t>up</w:t>
            </w:r>
            <w:proofErr w:type="gramEnd"/>
            <w:r w:rsidRPr="001C6C25">
              <w:rPr>
                <w:rFonts w:eastAsia="MS Mincho"/>
                <w:color w:val="000000"/>
                <w:sz w:val="21"/>
                <w:szCs w:val="21"/>
                <w:lang w:eastAsia="ja-JP"/>
              </w:rPr>
              <w:t xml:space="preserve"> to a maximum of £8.25 from 1 April 2013.</w:t>
            </w:r>
          </w:p>
        </w:tc>
      </w:tr>
      <w:tr w:rsidR="001C6C25" w:rsidRPr="001C6C25" w14:paraId="4979D12B" w14:textId="77777777" w:rsidTr="000128E2">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3EFCC63A"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Refreshments for business contacts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24D66DB"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Where you are required to meet a non-HMRC customer or business contact outside HMRC premises and consider it is appropriate to offer and purchase refreshments such as a cup of tea/coffee</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E6F937B"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up to a maximum of £5.00 per customer/business contact per day</w:t>
            </w:r>
          </w:p>
        </w:tc>
      </w:tr>
    </w:tbl>
    <w:p w14:paraId="615A365C" w14:textId="77777777" w:rsidR="001C6C25" w:rsidRPr="001C6C25" w:rsidRDefault="001C6C25" w:rsidP="001C6C25">
      <w:pPr>
        <w:keepNext/>
        <w:overflowPunct/>
        <w:autoSpaceDE/>
        <w:autoSpaceDN/>
        <w:adjustRightInd/>
        <w:spacing w:before="120" w:after="0"/>
        <w:ind w:left="567" w:hanging="567"/>
        <w:jc w:val="left"/>
        <w:textAlignment w:val="auto"/>
        <w:outlineLvl w:val="1"/>
        <w:rPr>
          <w:rFonts w:eastAsia="MS Mincho"/>
          <w:b/>
          <w:bCs/>
          <w:iCs/>
          <w:sz w:val="21"/>
          <w:szCs w:val="21"/>
          <w:lang w:val="en" w:eastAsia="ja-JP"/>
        </w:rPr>
      </w:pPr>
      <w:bookmarkStart w:id="4" w:name="short"/>
      <w:bookmarkEnd w:id="4"/>
    </w:p>
    <w:p w14:paraId="5CE45C29" w14:textId="77777777" w:rsidR="001C6C25" w:rsidRPr="001C6C25" w:rsidRDefault="001C6C25" w:rsidP="001C6C25">
      <w:pPr>
        <w:overflowPunct/>
        <w:autoSpaceDE/>
        <w:autoSpaceDN/>
        <w:adjustRightInd/>
        <w:spacing w:after="0"/>
        <w:ind w:left="0"/>
        <w:jc w:val="left"/>
        <w:textAlignment w:val="auto"/>
        <w:rPr>
          <w:rFonts w:eastAsia="MS Mincho" w:cs="Times New Roman"/>
          <w:szCs w:val="24"/>
          <w:lang w:val="en" w:eastAsia="ja-JP"/>
        </w:rPr>
      </w:pPr>
    </w:p>
    <w:p w14:paraId="3FB06A96" w14:textId="77777777" w:rsidR="001C6C25" w:rsidRPr="001C6C25" w:rsidRDefault="001C6C25" w:rsidP="001C6C25">
      <w:pPr>
        <w:keepNext/>
        <w:numPr>
          <w:ilvl w:val="0"/>
          <w:numId w:val="20"/>
        </w:numPr>
        <w:overflowPunct/>
        <w:autoSpaceDE/>
        <w:autoSpaceDN/>
        <w:adjustRightInd/>
        <w:spacing w:before="120" w:after="0"/>
        <w:jc w:val="left"/>
        <w:textAlignment w:val="auto"/>
        <w:outlineLvl w:val="1"/>
        <w:rPr>
          <w:rFonts w:eastAsia="MS Mincho"/>
          <w:b/>
          <w:bCs/>
          <w:iCs/>
          <w:sz w:val="21"/>
          <w:szCs w:val="21"/>
          <w:lang w:val="en" w:eastAsia="ja-JP"/>
        </w:rPr>
      </w:pPr>
      <w:r w:rsidRPr="001C6C25">
        <w:rPr>
          <w:rFonts w:eastAsia="MS Mincho"/>
          <w:b/>
          <w:bCs/>
          <w:iCs/>
          <w:sz w:val="21"/>
          <w:szCs w:val="21"/>
          <w:lang w:val="en" w:eastAsia="ja-JP"/>
        </w:rPr>
        <w:t>Short-term Night Subsistence Allowances</w:t>
      </w:r>
    </w:p>
    <w:p w14:paraId="6DF5C03A" w14:textId="77777777" w:rsidR="001C6C25" w:rsidRPr="001C6C25" w:rsidRDefault="001C6C25" w:rsidP="001C6C25">
      <w:pPr>
        <w:overflowPunct/>
        <w:autoSpaceDE/>
        <w:autoSpaceDN/>
        <w:adjustRightInd/>
        <w:spacing w:after="150"/>
        <w:ind w:left="0"/>
        <w:jc w:val="left"/>
        <w:rPr>
          <w:sz w:val="21"/>
          <w:szCs w:val="21"/>
          <w:lang w:val="en" w:eastAsia="en-GB"/>
        </w:rPr>
      </w:pPr>
      <w:r w:rsidRPr="001C6C25">
        <w:rPr>
          <w:b/>
          <w:bCs/>
          <w:sz w:val="21"/>
          <w:szCs w:val="21"/>
          <w:lang w:val="en" w:eastAsia="en-GB"/>
        </w:rPr>
        <w:t>Hotel Bed and Breakfast Capped Rates</w:t>
      </w:r>
    </w:p>
    <w:p w14:paraId="07DC52B5" w14:textId="77777777" w:rsidR="001C6C25" w:rsidRPr="001C6C25" w:rsidRDefault="001C6C25" w:rsidP="001C6C25">
      <w:pPr>
        <w:overflowPunct/>
        <w:autoSpaceDE/>
        <w:autoSpaceDN/>
        <w:adjustRightInd/>
        <w:spacing w:after="150"/>
        <w:ind w:left="0"/>
        <w:jc w:val="left"/>
        <w:rPr>
          <w:sz w:val="21"/>
          <w:szCs w:val="21"/>
          <w:lang w:val="en" w:eastAsia="en-GB"/>
        </w:rPr>
      </w:pPr>
      <w:r w:rsidRPr="001C6C25">
        <w:rPr>
          <w:sz w:val="21"/>
          <w:szCs w:val="21"/>
          <w:lang w:val="en" w:eastAsia="en-GB"/>
        </w:rPr>
        <w:t>At the following locations, actual expenditure incurred within these limits.</w:t>
      </w:r>
    </w:p>
    <w:tbl>
      <w:tblPr>
        <w:tblW w:w="5000" w:type="pct"/>
        <w:tblCellSpacing w:w="15" w:type="dxa"/>
        <w:tblCellMar>
          <w:left w:w="0" w:type="dxa"/>
          <w:right w:w="0" w:type="dxa"/>
        </w:tblCellMar>
        <w:tblLook w:val="04A0" w:firstRow="1" w:lastRow="0" w:firstColumn="1" w:lastColumn="0" w:noHBand="0" w:noVBand="1"/>
        <w:tblDescription w:val="The following table lists Location followed by Hotel B&amp;B capped limit"/>
      </w:tblPr>
      <w:tblGrid>
        <w:gridCol w:w="5922"/>
        <w:gridCol w:w="3120"/>
      </w:tblGrid>
      <w:tr w:rsidR="001C6C25" w:rsidRPr="001C6C25" w14:paraId="0752B922" w14:textId="77777777" w:rsidTr="000128E2">
        <w:trPr>
          <w:tblHeader/>
          <w:tblCellSpacing w:w="15" w:type="dxa"/>
        </w:trPr>
        <w:tc>
          <w:tcPr>
            <w:tcW w:w="0" w:type="auto"/>
            <w:tcBorders>
              <w:top w:val="nil"/>
              <w:left w:val="nil"/>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2A5D90F1" w14:textId="77777777" w:rsidR="001C6C25" w:rsidRPr="001C6C25" w:rsidRDefault="001C6C25" w:rsidP="001C6C25">
            <w:pPr>
              <w:overflowPunct/>
              <w:autoSpaceDE/>
              <w:autoSpaceDN/>
              <w:adjustRightInd/>
              <w:spacing w:after="0" w:line="300" w:lineRule="atLeast"/>
              <w:ind w:left="0"/>
              <w:jc w:val="left"/>
              <w:rPr>
                <w:rFonts w:eastAsia="MS Mincho"/>
                <w:color w:val="FFFFFF"/>
                <w:sz w:val="21"/>
                <w:szCs w:val="21"/>
                <w:lang w:eastAsia="ja-JP"/>
              </w:rPr>
            </w:pPr>
            <w:r w:rsidRPr="001C6C25">
              <w:rPr>
                <w:rFonts w:eastAsia="MS Mincho"/>
                <w:color w:val="FFFFFF"/>
                <w:sz w:val="21"/>
                <w:szCs w:val="21"/>
                <w:lang w:eastAsia="ja-JP"/>
              </w:rPr>
              <w:t>Location</w:t>
            </w:r>
          </w:p>
        </w:tc>
        <w:tc>
          <w:tcPr>
            <w:tcW w:w="0" w:type="auto"/>
            <w:tcBorders>
              <w:top w:val="nil"/>
              <w:left w:val="nil"/>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628E4750" w14:textId="77777777" w:rsidR="001C6C25" w:rsidRPr="001C6C25" w:rsidRDefault="001C6C25" w:rsidP="001C6C25">
            <w:pPr>
              <w:overflowPunct/>
              <w:autoSpaceDE/>
              <w:autoSpaceDN/>
              <w:adjustRightInd/>
              <w:spacing w:after="0" w:line="300" w:lineRule="atLeast"/>
              <w:ind w:left="0"/>
              <w:jc w:val="left"/>
              <w:rPr>
                <w:rFonts w:eastAsia="MS Mincho"/>
                <w:color w:val="FFFFFF"/>
                <w:sz w:val="21"/>
                <w:szCs w:val="21"/>
                <w:lang w:eastAsia="ja-JP"/>
              </w:rPr>
            </w:pPr>
            <w:r w:rsidRPr="001C6C25">
              <w:rPr>
                <w:rFonts w:eastAsia="MS Mincho"/>
                <w:color w:val="FFFFFF"/>
                <w:sz w:val="21"/>
                <w:szCs w:val="21"/>
                <w:lang w:eastAsia="ja-JP"/>
              </w:rPr>
              <w:t>Hotel B&amp;B capped limit:</w:t>
            </w:r>
          </w:p>
        </w:tc>
      </w:tr>
      <w:tr w:rsidR="001C6C25" w:rsidRPr="001C6C25" w14:paraId="4D14FBF8" w14:textId="77777777" w:rsidTr="000128E2">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B950481"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London / within M25 (excluding Heathrow Airport)</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EDA7059"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£130 (from 01/04/17)</w:t>
            </w:r>
          </w:p>
        </w:tc>
      </w:tr>
      <w:tr w:rsidR="001C6C25" w:rsidRPr="001C6C25" w14:paraId="1F210B78" w14:textId="77777777" w:rsidTr="000128E2">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391339D4"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Bristol; Heathrow Airport</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319E4099"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£100 (from 01/04/17)</w:t>
            </w:r>
          </w:p>
        </w:tc>
      </w:tr>
      <w:tr w:rsidR="001C6C25" w:rsidRPr="001C6C25" w14:paraId="1FBBABA9" w14:textId="77777777" w:rsidTr="000128E2">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1C1C4EC"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Oxford; Portsmouth</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11AC72C5"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£95 (from 01/04/17)</w:t>
            </w:r>
          </w:p>
        </w:tc>
      </w:tr>
      <w:tr w:rsidR="001C6C25" w:rsidRPr="001C6C25" w14:paraId="6D910A21" w14:textId="77777777" w:rsidTr="000128E2">
        <w:trPr>
          <w:tblCellSpacing w:w="15" w:type="dxa"/>
        </w:trPr>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7DB53FCB"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Elsewhere in UK</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2D5D40F0" w14:textId="77777777" w:rsidR="001C6C25" w:rsidRPr="001C6C25" w:rsidRDefault="001C6C25" w:rsidP="001C6C25">
            <w:pPr>
              <w:overflowPunct/>
              <w:autoSpaceDE/>
              <w:autoSpaceDN/>
              <w:adjustRightInd/>
              <w:spacing w:after="0" w:line="300" w:lineRule="atLeast"/>
              <w:ind w:left="0"/>
              <w:jc w:val="left"/>
              <w:rPr>
                <w:rFonts w:eastAsia="MS Mincho"/>
                <w:color w:val="000000"/>
                <w:sz w:val="21"/>
                <w:szCs w:val="21"/>
                <w:lang w:eastAsia="ja-JP"/>
              </w:rPr>
            </w:pPr>
            <w:r w:rsidRPr="001C6C25">
              <w:rPr>
                <w:rFonts w:eastAsia="MS Mincho"/>
                <w:color w:val="000000"/>
                <w:sz w:val="21"/>
                <w:szCs w:val="21"/>
                <w:lang w:eastAsia="ja-JP"/>
              </w:rPr>
              <w:t>£90 (from 01/04/17)</w:t>
            </w:r>
          </w:p>
        </w:tc>
      </w:tr>
    </w:tbl>
    <w:p w14:paraId="703E971C" w14:textId="77777777" w:rsidR="001C6C25" w:rsidRDefault="001C6C25" w:rsidP="001C6C25">
      <w:pPr>
        <w:overflowPunct/>
        <w:autoSpaceDE/>
        <w:autoSpaceDN/>
        <w:adjustRightInd/>
        <w:spacing w:after="0"/>
        <w:ind w:left="0"/>
        <w:jc w:val="left"/>
        <w:rPr>
          <w:b/>
          <w:bCs/>
          <w:sz w:val="21"/>
          <w:szCs w:val="21"/>
          <w:bdr w:val="none" w:sz="0" w:space="0" w:color="auto" w:frame="1"/>
          <w:lang w:val="en" w:eastAsia="en-GB"/>
        </w:rPr>
      </w:pPr>
    </w:p>
    <w:p w14:paraId="71F302CC" w14:textId="77777777" w:rsidR="00E2455B" w:rsidRDefault="00E2455B" w:rsidP="001C6C25">
      <w:pPr>
        <w:overflowPunct/>
        <w:autoSpaceDE/>
        <w:autoSpaceDN/>
        <w:adjustRightInd/>
        <w:spacing w:after="0"/>
        <w:ind w:left="0"/>
        <w:jc w:val="left"/>
        <w:rPr>
          <w:b/>
          <w:bCs/>
          <w:sz w:val="21"/>
          <w:szCs w:val="21"/>
          <w:bdr w:val="none" w:sz="0" w:space="0" w:color="auto" w:frame="1"/>
          <w:lang w:val="en" w:eastAsia="en-GB"/>
        </w:rPr>
      </w:pPr>
    </w:p>
    <w:p w14:paraId="12BF3948" w14:textId="77777777" w:rsidR="00E2455B" w:rsidRDefault="00E2455B" w:rsidP="001C6C25">
      <w:pPr>
        <w:overflowPunct/>
        <w:autoSpaceDE/>
        <w:autoSpaceDN/>
        <w:adjustRightInd/>
        <w:spacing w:after="0"/>
        <w:ind w:left="0"/>
        <w:jc w:val="left"/>
        <w:rPr>
          <w:b/>
          <w:bCs/>
          <w:sz w:val="21"/>
          <w:szCs w:val="21"/>
          <w:bdr w:val="none" w:sz="0" w:space="0" w:color="auto" w:frame="1"/>
          <w:lang w:val="en" w:eastAsia="en-GB"/>
        </w:rPr>
      </w:pPr>
    </w:p>
    <w:p w14:paraId="4D054BA8" w14:textId="77777777" w:rsidR="00E2455B" w:rsidRDefault="00E2455B" w:rsidP="001C6C25">
      <w:pPr>
        <w:overflowPunct/>
        <w:autoSpaceDE/>
        <w:autoSpaceDN/>
        <w:adjustRightInd/>
        <w:spacing w:after="0"/>
        <w:ind w:left="0"/>
        <w:jc w:val="left"/>
        <w:rPr>
          <w:b/>
          <w:bCs/>
          <w:sz w:val="21"/>
          <w:szCs w:val="21"/>
          <w:bdr w:val="none" w:sz="0" w:space="0" w:color="auto" w:frame="1"/>
          <w:lang w:val="en" w:eastAsia="en-GB"/>
        </w:rPr>
      </w:pPr>
    </w:p>
    <w:p w14:paraId="5F345754" w14:textId="77777777" w:rsidR="00E2455B" w:rsidRDefault="00E2455B" w:rsidP="001C6C25">
      <w:pPr>
        <w:overflowPunct/>
        <w:autoSpaceDE/>
        <w:autoSpaceDN/>
        <w:adjustRightInd/>
        <w:spacing w:after="0"/>
        <w:ind w:left="0"/>
        <w:jc w:val="left"/>
        <w:rPr>
          <w:b/>
          <w:bCs/>
          <w:sz w:val="21"/>
          <w:szCs w:val="21"/>
          <w:bdr w:val="none" w:sz="0" w:space="0" w:color="auto" w:frame="1"/>
          <w:lang w:val="en" w:eastAsia="en-GB"/>
        </w:rPr>
      </w:pPr>
    </w:p>
    <w:p w14:paraId="76070F8C" w14:textId="04D973DC" w:rsidR="00E2455B" w:rsidRDefault="00E2455B" w:rsidP="001C6C25">
      <w:pPr>
        <w:overflowPunct/>
        <w:autoSpaceDE/>
        <w:autoSpaceDN/>
        <w:adjustRightInd/>
        <w:spacing w:after="0"/>
        <w:ind w:left="0"/>
        <w:jc w:val="left"/>
        <w:rPr>
          <w:b/>
          <w:bCs/>
          <w:sz w:val="21"/>
          <w:szCs w:val="21"/>
          <w:bdr w:val="none" w:sz="0" w:space="0" w:color="auto" w:frame="1"/>
          <w:lang w:val="en" w:eastAsia="en-GB"/>
        </w:rPr>
      </w:pPr>
      <w:r>
        <w:rPr>
          <w:b/>
          <w:bCs/>
          <w:sz w:val="21"/>
          <w:szCs w:val="21"/>
          <w:bdr w:val="none" w:sz="0" w:space="0" w:color="auto" w:frame="1"/>
          <w:lang w:val="en" w:eastAsia="en-GB"/>
        </w:rPr>
        <w:t>Appendix B</w:t>
      </w:r>
    </w:p>
    <w:p w14:paraId="253E76E5" w14:textId="77777777" w:rsidR="00E2455B" w:rsidRDefault="00E2455B" w:rsidP="001C6C25">
      <w:pPr>
        <w:overflowPunct/>
        <w:autoSpaceDE/>
        <w:autoSpaceDN/>
        <w:adjustRightInd/>
        <w:spacing w:after="0"/>
        <w:ind w:left="0"/>
        <w:jc w:val="left"/>
        <w:rPr>
          <w:b/>
          <w:bCs/>
          <w:sz w:val="21"/>
          <w:szCs w:val="21"/>
          <w:bdr w:val="none" w:sz="0" w:space="0" w:color="auto" w:frame="1"/>
          <w:lang w:val="en" w:eastAsia="en-GB"/>
        </w:rPr>
      </w:pPr>
    </w:p>
    <w:p w14:paraId="184183FA"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r w:rsidRPr="00E2455B">
        <w:rPr>
          <w:rFonts w:asciiTheme="minorHAnsi" w:eastAsiaTheme="minorHAnsi" w:hAnsiTheme="minorHAnsi" w:cstheme="minorBidi"/>
          <w:b/>
        </w:rPr>
        <w:t>Charges, Payment and Recovery of Sums Due</w:t>
      </w:r>
    </w:p>
    <w:p w14:paraId="2470D11C" w14:textId="10BD37C1"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1</w:t>
      </w:r>
      <w:r w:rsidR="00E2455B" w:rsidRPr="00E2455B">
        <w:rPr>
          <w:rFonts w:asciiTheme="minorHAnsi" w:eastAsiaTheme="minorHAnsi" w:hAnsiTheme="minorHAnsi" w:cstheme="minorBidi"/>
        </w:rPr>
        <w:t>.1</w:t>
      </w:r>
      <w:r w:rsidR="00E2455B" w:rsidRPr="00E2455B">
        <w:rPr>
          <w:rFonts w:asciiTheme="minorHAnsi" w:eastAsiaTheme="minorHAnsi" w:hAnsiTheme="minorHAnsi" w:cstheme="minorBidi"/>
        </w:rPr>
        <w:tab/>
        <w:t xml:space="preserve">The Supplier shall invoice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as specified in the </w:t>
      </w:r>
      <w:r w:rsidR="000329D6">
        <w:rPr>
          <w:rFonts w:asciiTheme="minorHAnsi" w:eastAsiaTheme="minorHAnsi" w:hAnsiTheme="minorHAnsi" w:cstheme="minorBidi"/>
        </w:rPr>
        <w:t xml:space="preserve">Section B Clause 6 of this Call </w:t>
      </w:r>
      <w:proofErr w:type="gramStart"/>
      <w:r w:rsidR="000329D6">
        <w:rPr>
          <w:rFonts w:asciiTheme="minorHAnsi" w:eastAsiaTheme="minorHAnsi" w:hAnsiTheme="minorHAnsi" w:cstheme="minorBidi"/>
        </w:rPr>
        <w:t>Off</w:t>
      </w:r>
      <w:proofErr w:type="gramEnd"/>
      <w:r w:rsidR="000329D6">
        <w:rPr>
          <w:rFonts w:asciiTheme="minorHAnsi" w:eastAsiaTheme="minorHAnsi" w:hAnsiTheme="minorHAnsi" w:cstheme="minorBidi"/>
        </w:rPr>
        <w:t xml:space="preserve"> Order Form</w:t>
      </w:r>
      <w:r w:rsidR="00E2455B" w:rsidRPr="00E2455B">
        <w:rPr>
          <w:rFonts w:asciiTheme="minorHAnsi" w:eastAsiaTheme="minorHAnsi" w:hAnsiTheme="minorHAnsi" w:cstheme="minorBidi"/>
        </w:rPr>
        <w:t xml:space="preserve">.  Each invoice shall include such supporting information required by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to verify the accuracy of the invoice (“</w:t>
      </w:r>
      <w:r w:rsidR="00E2455B" w:rsidRPr="00E2455B">
        <w:rPr>
          <w:rFonts w:asciiTheme="minorHAnsi" w:eastAsiaTheme="minorHAnsi" w:hAnsiTheme="minorHAnsi" w:cstheme="minorBidi"/>
          <w:b/>
        </w:rPr>
        <w:t>Supporting Documentation</w:t>
      </w:r>
      <w:r w:rsidR="00E2455B" w:rsidRPr="00E2455B">
        <w:rPr>
          <w:rFonts w:asciiTheme="minorHAnsi" w:eastAsiaTheme="minorHAnsi" w:hAnsiTheme="minorHAnsi" w:cstheme="minorBidi"/>
        </w:rPr>
        <w:t xml:space="preserve">”), including the relevant Purchase Order Number (and CD Reference) and a breakdown of the Services supplied in the invoice period.  </w:t>
      </w:r>
    </w:p>
    <w:p w14:paraId="1712D6FF" w14:textId="052A0E7D"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1</w:t>
      </w:r>
      <w:r w:rsidR="00E2455B" w:rsidRPr="00E2455B">
        <w:rPr>
          <w:rFonts w:asciiTheme="minorHAnsi" w:eastAsiaTheme="minorHAnsi" w:hAnsiTheme="minorHAnsi" w:cstheme="minorBidi"/>
        </w:rPr>
        <w:t>.2</w:t>
      </w:r>
      <w:r w:rsidR="00E2455B" w:rsidRPr="00E2455B">
        <w:rPr>
          <w:rFonts w:asciiTheme="minorHAnsi" w:eastAsiaTheme="minorHAnsi" w:hAnsiTheme="minorHAnsi" w:cstheme="minorBidi"/>
        </w:rPr>
        <w:tab/>
        <w:t xml:space="preserve">To facilitate payment, the Supplier shall use an electronic transaction system chosen by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and shall:</w:t>
      </w:r>
    </w:p>
    <w:p w14:paraId="48CEB47A" w14:textId="2DC718F0"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1</w:t>
      </w:r>
      <w:r w:rsidR="00E2455B" w:rsidRPr="00E2455B">
        <w:rPr>
          <w:rFonts w:asciiTheme="minorHAnsi" w:eastAsiaTheme="minorHAnsi" w:hAnsiTheme="minorHAnsi" w:cstheme="minorBidi"/>
        </w:rPr>
        <w:t>.2.1</w:t>
      </w:r>
      <w:r w:rsidR="00E2455B" w:rsidRPr="00E2455B">
        <w:rPr>
          <w:rFonts w:asciiTheme="minorHAnsi" w:eastAsiaTheme="minorHAnsi" w:hAnsiTheme="minorHAnsi" w:cstheme="minorBidi"/>
        </w:rPr>
        <w:tab/>
      </w:r>
      <w:proofErr w:type="gramStart"/>
      <w:r w:rsidR="00E2455B" w:rsidRPr="00E2455B">
        <w:rPr>
          <w:rFonts w:asciiTheme="minorHAnsi" w:eastAsiaTheme="minorHAnsi" w:hAnsiTheme="minorHAnsi" w:cstheme="minorBidi"/>
        </w:rPr>
        <w:t>register</w:t>
      </w:r>
      <w:proofErr w:type="gramEnd"/>
      <w:r w:rsidR="00E2455B" w:rsidRPr="00E2455B">
        <w:rPr>
          <w:rFonts w:asciiTheme="minorHAnsi" w:eastAsiaTheme="minorHAnsi" w:hAnsiTheme="minorHAnsi" w:cstheme="minorBidi"/>
        </w:rPr>
        <w:t xml:space="preserve"> for the electronic transaction system in accordance with the instructions of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w:t>
      </w:r>
    </w:p>
    <w:p w14:paraId="3CEE7CDE" w14:textId="0F21D701"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1</w:t>
      </w:r>
      <w:r w:rsidR="00E2455B" w:rsidRPr="00E2455B">
        <w:rPr>
          <w:rFonts w:asciiTheme="minorHAnsi" w:eastAsiaTheme="minorHAnsi" w:hAnsiTheme="minorHAnsi" w:cstheme="minorBidi"/>
        </w:rPr>
        <w:t>.2.2</w:t>
      </w:r>
      <w:r w:rsidR="00E2455B" w:rsidRPr="00E2455B">
        <w:rPr>
          <w:rFonts w:asciiTheme="minorHAnsi" w:eastAsiaTheme="minorHAnsi" w:hAnsiTheme="minorHAnsi" w:cstheme="minorBidi"/>
        </w:rPr>
        <w:tab/>
      </w:r>
      <w:proofErr w:type="gramStart"/>
      <w:r w:rsidR="00E2455B" w:rsidRPr="00E2455B">
        <w:rPr>
          <w:rFonts w:asciiTheme="minorHAnsi" w:eastAsiaTheme="minorHAnsi" w:hAnsiTheme="minorHAnsi" w:cstheme="minorBidi"/>
        </w:rPr>
        <w:t>allow</w:t>
      </w:r>
      <w:proofErr w:type="gramEnd"/>
      <w:r w:rsidR="00E2455B" w:rsidRPr="00E2455B">
        <w:rPr>
          <w:rFonts w:asciiTheme="minorHAnsi" w:eastAsiaTheme="minorHAnsi" w:hAnsiTheme="minorHAnsi" w:cstheme="minorBidi"/>
        </w:rPr>
        <w:t xml:space="preserve"> the electronic transmission of purchase orders and submitting of electronic invoices via the electronic transaction system; </w:t>
      </w:r>
    </w:p>
    <w:p w14:paraId="2439349B" w14:textId="1FCA71B7"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1</w:t>
      </w:r>
      <w:r w:rsidR="00E2455B" w:rsidRPr="00E2455B">
        <w:rPr>
          <w:rFonts w:asciiTheme="minorHAnsi" w:eastAsiaTheme="minorHAnsi" w:hAnsiTheme="minorHAnsi" w:cstheme="minorBidi"/>
        </w:rPr>
        <w:t>.2.3</w:t>
      </w:r>
      <w:r w:rsidR="00E2455B" w:rsidRPr="00E2455B">
        <w:rPr>
          <w:rFonts w:asciiTheme="minorHAnsi" w:eastAsiaTheme="minorHAnsi" w:hAnsiTheme="minorHAnsi" w:cstheme="minorBidi"/>
        </w:rPr>
        <w:tab/>
      </w:r>
      <w:proofErr w:type="gramStart"/>
      <w:r w:rsidR="00E2455B" w:rsidRPr="00E2455B">
        <w:rPr>
          <w:rFonts w:asciiTheme="minorHAnsi" w:eastAsiaTheme="minorHAnsi" w:hAnsiTheme="minorHAnsi" w:cstheme="minorBidi"/>
        </w:rPr>
        <w:t>designate</w:t>
      </w:r>
      <w:proofErr w:type="gramEnd"/>
      <w:r w:rsidR="00E2455B" w:rsidRPr="00E2455B">
        <w:rPr>
          <w:rFonts w:asciiTheme="minorHAnsi" w:eastAsiaTheme="minorHAnsi" w:hAnsiTheme="minorHAnsi" w:cstheme="minorBidi"/>
        </w:rPr>
        <w:t xml:space="preserve"> a Supplier representative as the first point of contact with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for system issues; and</w:t>
      </w:r>
    </w:p>
    <w:p w14:paraId="41A3DDA0" w14:textId="2BA3F7CD"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1</w:t>
      </w:r>
      <w:r w:rsidR="00E2455B" w:rsidRPr="00E2455B">
        <w:rPr>
          <w:rFonts w:asciiTheme="minorHAnsi" w:eastAsiaTheme="minorHAnsi" w:hAnsiTheme="minorHAnsi" w:cstheme="minorBidi"/>
        </w:rPr>
        <w:t>.2.4</w:t>
      </w:r>
      <w:r w:rsidR="00E2455B" w:rsidRPr="00E2455B">
        <w:rPr>
          <w:rFonts w:asciiTheme="minorHAnsi" w:eastAsiaTheme="minorHAnsi" w:hAnsiTheme="minorHAnsi" w:cstheme="minorBidi"/>
        </w:rPr>
        <w:tab/>
      </w:r>
      <w:proofErr w:type="gramStart"/>
      <w:r w:rsidR="00E2455B" w:rsidRPr="00E2455B">
        <w:rPr>
          <w:rFonts w:asciiTheme="minorHAnsi" w:eastAsiaTheme="minorHAnsi" w:hAnsiTheme="minorHAnsi" w:cstheme="minorBidi"/>
        </w:rPr>
        <w:t>provide</w:t>
      </w:r>
      <w:proofErr w:type="gramEnd"/>
      <w:r w:rsidR="00E2455B" w:rsidRPr="00E2455B">
        <w:rPr>
          <w:rFonts w:asciiTheme="minorHAnsi" w:eastAsiaTheme="minorHAnsi" w:hAnsiTheme="minorHAnsi" w:cstheme="minorBidi"/>
        </w:rPr>
        <w:t xml:space="preserve"> such data to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as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reasonably deems necessary for the operation of the system including, but not limited to, electronic catalogue information.</w:t>
      </w:r>
    </w:p>
    <w:p w14:paraId="467A0942" w14:textId="54B1305B"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1</w:t>
      </w:r>
      <w:r w:rsidR="00E2455B" w:rsidRPr="00E2455B">
        <w:rPr>
          <w:rFonts w:asciiTheme="minorHAnsi" w:eastAsiaTheme="minorHAnsi" w:hAnsiTheme="minorHAnsi" w:cstheme="minorBidi"/>
        </w:rPr>
        <w:t>.3</w:t>
      </w:r>
      <w:r w:rsidR="00E2455B" w:rsidRPr="00E2455B">
        <w:rPr>
          <w:rFonts w:asciiTheme="minorHAnsi" w:eastAsiaTheme="minorHAnsi" w:hAnsiTheme="minorHAnsi" w:cstheme="minorBidi"/>
        </w:rPr>
        <w:tab/>
        <w:t xml:space="preserve">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is in the process of implementing its electronic transaction system. Each invoice and any Supporting Documentation required to be submitted in accordance with this Clause </w:t>
      </w:r>
      <w:r>
        <w:rPr>
          <w:rFonts w:asciiTheme="minorHAnsi" w:eastAsiaTheme="minorHAnsi" w:hAnsiTheme="minorHAnsi" w:cstheme="minorBidi"/>
        </w:rPr>
        <w:t>1</w:t>
      </w:r>
      <w:r w:rsidR="00E2455B" w:rsidRPr="000329D6">
        <w:rPr>
          <w:rFonts w:asciiTheme="minorHAnsi" w:eastAsiaTheme="minorHAnsi" w:hAnsiTheme="minorHAnsi" w:cstheme="minorBidi"/>
        </w:rPr>
        <w:t xml:space="preserve"> s</w:t>
      </w:r>
      <w:r w:rsidR="00E2455B" w:rsidRPr="00E2455B">
        <w:rPr>
          <w:rFonts w:asciiTheme="minorHAnsi" w:eastAsiaTheme="minorHAnsi" w:hAnsiTheme="minorHAnsi" w:cstheme="minorBidi"/>
        </w:rPr>
        <w:t xml:space="preserve">hall be submitted by the Supplier, as directed by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from time to time, either:</w:t>
      </w:r>
    </w:p>
    <w:p w14:paraId="52C2036A" w14:textId="027FDCD3" w:rsidR="00E2455B" w:rsidRPr="000329D6"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HAnsi"/>
        </w:rPr>
      </w:pPr>
      <w:r>
        <w:rPr>
          <w:rFonts w:asciiTheme="minorHAnsi" w:eastAsiaTheme="minorHAnsi" w:hAnsiTheme="minorHAnsi" w:cstheme="minorBidi"/>
        </w:rPr>
        <w:t>1</w:t>
      </w:r>
      <w:r w:rsidR="00E2455B" w:rsidRPr="00E2455B">
        <w:rPr>
          <w:rFonts w:asciiTheme="minorHAnsi" w:eastAsiaTheme="minorHAnsi" w:hAnsiTheme="minorHAnsi" w:cstheme="minorBidi"/>
        </w:rPr>
        <w:t>.3.1</w:t>
      </w:r>
      <w:r w:rsidR="00E2455B" w:rsidRPr="00E2455B">
        <w:rPr>
          <w:rFonts w:asciiTheme="minorHAnsi" w:eastAsiaTheme="minorHAnsi" w:hAnsiTheme="minorHAnsi" w:cstheme="minorBidi"/>
        </w:rPr>
        <w:tab/>
      </w:r>
      <w:proofErr w:type="gramStart"/>
      <w:r w:rsidR="00E2455B" w:rsidRPr="00E2455B">
        <w:rPr>
          <w:rFonts w:asciiTheme="minorHAnsi" w:eastAsiaTheme="minorHAnsi" w:hAnsiTheme="minorHAnsi" w:cstheme="minorBidi"/>
        </w:rPr>
        <w:t>via</w:t>
      </w:r>
      <w:proofErr w:type="gramEnd"/>
      <w:r w:rsidR="00E2455B" w:rsidRPr="00E2455B">
        <w:rPr>
          <w:rFonts w:asciiTheme="minorHAnsi" w:eastAsiaTheme="minorHAnsi" w:hAnsiTheme="minorHAnsi" w:cstheme="minorBidi"/>
        </w:rPr>
        <w:t xml:space="preserve">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’s electronic transaction </w:t>
      </w:r>
      <w:r w:rsidR="00E2455B" w:rsidRPr="000329D6">
        <w:rPr>
          <w:rFonts w:asciiTheme="minorHAnsi" w:eastAsiaTheme="minorHAnsi" w:hAnsiTheme="minorHAnsi" w:cstheme="minorHAnsi"/>
        </w:rPr>
        <w:t>system; or</w:t>
      </w:r>
    </w:p>
    <w:p w14:paraId="7809DC8F" w14:textId="0E2FE947" w:rsidR="00E2455B" w:rsidRPr="000329D6"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HAnsi"/>
        </w:rPr>
      </w:pPr>
      <w:r>
        <w:rPr>
          <w:rFonts w:asciiTheme="minorHAnsi" w:eastAsiaTheme="minorHAnsi" w:hAnsiTheme="minorHAnsi" w:cstheme="minorHAnsi"/>
        </w:rPr>
        <w:t>1</w:t>
      </w:r>
      <w:r w:rsidR="00E2455B" w:rsidRPr="000329D6">
        <w:rPr>
          <w:rFonts w:asciiTheme="minorHAnsi" w:eastAsiaTheme="minorHAnsi" w:hAnsiTheme="minorHAnsi" w:cstheme="minorHAnsi"/>
        </w:rPr>
        <w:t>.3.2</w:t>
      </w:r>
      <w:r w:rsidR="00E2455B" w:rsidRPr="000329D6">
        <w:rPr>
          <w:rFonts w:asciiTheme="minorHAnsi" w:eastAsiaTheme="minorHAnsi" w:hAnsiTheme="minorHAnsi" w:cstheme="minorHAnsi"/>
        </w:rPr>
        <w:tab/>
      </w:r>
      <w:proofErr w:type="gramStart"/>
      <w:r w:rsidR="00E2455B" w:rsidRPr="000329D6">
        <w:rPr>
          <w:rFonts w:asciiTheme="minorHAnsi" w:eastAsiaTheme="minorHAnsi" w:hAnsiTheme="minorHAnsi" w:cstheme="minorHAnsi"/>
        </w:rPr>
        <w:t>to</w:t>
      </w:r>
      <w:proofErr w:type="gramEnd"/>
      <w:r w:rsidR="00E2455B" w:rsidRPr="000329D6">
        <w:rPr>
          <w:rFonts w:asciiTheme="minorHAnsi" w:eastAsiaTheme="minorHAnsi" w:hAnsiTheme="minorHAnsi" w:cstheme="minorHAnsi"/>
        </w:rPr>
        <w:t xml:space="preserve"> the </w:t>
      </w:r>
      <w:hyperlink r:id="rId23" w:history="1">
        <w:r w:rsidR="000329D6" w:rsidRPr="000329D6">
          <w:rPr>
            <w:rStyle w:val="Hyperlink"/>
            <w:rFonts w:asciiTheme="minorHAnsi" w:eastAsia="Helvetica Neue" w:hAnsiTheme="minorHAnsi" w:cstheme="minorHAnsi"/>
          </w:rPr>
          <w:t>payments.team@hmrc.gsi.gov.uk</w:t>
        </w:r>
      </w:hyperlink>
      <w:r w:rsidR="000329D6" w:rsidRPr="000329D6">
        <w:rPr>
          <w:rFonts w:asciiTheme="minorHAnsi" w:eastAsia="Helvetica Neue" w:hAnsiTheme="minorHAnsi" w:cstheme="minorHAnsi"/>
        </w:rPr>
        <w:t xml:space="preserve"> email address </w:t>
      </w:r>
      <w:r w:rsidR="00E2455B" w:rsidRPr="000329D6">
        <w:rPr>
          <w:rFonts w:asciiTheme="minorHAnsi" w:eastAsiaTheme="minorHAnsi" w:hAnsiTheme="minorHAnsi" w:cstheme="minorHAnsi"/>
        </w:rPr>
        <w:t>(or such other pers</w:t>
      </w:r>
      <w:r w:rsidR="000329D6" w:rsidRPr="000329D6">
        <w:rPr>
          <w:rFonts w:asciiTheme="minorHAnsi" w:eastAsiaTheme="minorHAnsi" w:hAnsiTheme="minorHAnsi" w:cstheme="minorHAnsi"/>
        </w:rPr>
        <w:t>on notified to the Supplier in w</w:t>
      </w:r>
      <w:r w:rsidR="00E2455B" w:rsidRPr="000329D6">
        <w:rPr>
          <w:rFonts w:asciiTheme="minorHAnsi" w:eastAsiaTheme="minorHAnsi" w:hAnsiTheme="minorHAnsi" w:cstheme="minorHAnsi"/>
        </w:rPr>
        <w:t xml:space="preserve">riting by the </w:t>
      </w:r>
      <w:r w:rsidR="00BD4ACD" w:rsidRPr="000329D6">
        <w:rPr>
          <w:rFonts w:asciiTheme="minorHAnsi" w:eastAsiaTheme="minorHAnsi" w:hAnsiTheme="minorHAnsi" w:cstheme="minorHAnsi"/>
        </w:rPr>
        <w:t>Customer</w:t>
      </w:r>
      <w:r w:rsidR="00E2455B" w:rsidRPr="000329D6">
        <w:rPr>
          <w:rFonts w:asciiTheme="minorHAnsi" w:eastAsiaTheme="minorHAnsi" w:hAnsiTheme="minorHAnsi" w:cstheme="minorHAnsi"/>
        </w:rPr>
        <w:t xml:space="preserve">) by email in pdf format or, if agreed with the </w:t>
      </w:r>
      <w:r w:rsidR="00BD4ACD" w:rsidRPr="000329D6">
        <w:rPr>
          <w:rFonts w:asciiTheme="minorHAnsi" w:eastAsiaTheme="minorHAnsi" w:hAnsiTheme="minorHAnsi" w:cstheme="minorHAnsi"/>
        </w:rPr>
        <w:t>Customer</w:t>
      </w:r>
      <w:r w:rsidR="00E2455B" w:rsidRPr="000329D6">
        <w:rPr>
          <w:rFonts w:asciiTheme="minorHAnsi" w:eastAsiaTheme="minorHAnsi" w:hAnsiTheme="minorHAnsi" w:cstheme="minorHAnsi"/>
        </w:rPr>
        <w:t xml:space="preserve">, in hard copy by post. </w:t>
      </w:r>
    </w:p>
    <w:p w14:paraId="2D5F5F19" w14:textId="44A5A326"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1</w:t>
      </w:r>
      <w:r w:rsidR="00E2455B" w:rsidRPr="00E2455B">
        <w:rPr>
          <w:rFonts w:asciiTheme="minorHAnsi" w:eastAsiaTheme="minorHAnsi" w:hAnsiTheme="minorHAnsi" w:cstheme="minorBidi"/>
        </w:rPr>
        <w:t>.4</w:t>
      </w:r>
      <w:r w:rsidR="00E2455B" w:rsidRPr="00E2455B">
        <w:rPr>
          <w:rFonts w:asciiTheme="minorHAnsi" w:eastAsiaTheme="minorHAnsi" w:hAnsiTheme="minorHAnsi" w:cstheme="minorBidi"/>
        </w:rPr>
        <w:tab/>
        <w:t xml:space="preserve">The Supplier acknowledges and agrees that should it commence Services without a Purchase Order Number: </w:t>
      </w:r>
    </w:p>
    <w:p w14:paraId="3ED01361" w14:textId="0015AC87"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1</w:t>
      </w:r>
      <w:r w:rsidR="00E2455B" w:rsidRPr="00E2455B">
        <w:rPr>
          <w:rFonts w:asciiTheme="minorHAnsi" w:eastAsiaTheme="minorHAnsi" w:hAnsiTheme="minorHAnsi" w:cstheme="minorBidi"/>
        </w:rPr>
        <w:t>.4.1</w:t>
      </w:r>
      <w:r w:rsidR="00E2455B" w:rsidRPr="00E2455B">
        <w:rPr>
          <w:rFonts w:asciiTheme="minorHAnsi" w:eastAsiaTheme="minorHAnsi" w:hAnsiTheme="minorHAnsi" w:cstheme="minorBidi"/>
        </w:rPr>
        <w:tab/>
      </w:r>
      <w:proofErr w:type="gramStart"/>
      <w:r w:rsidR="00E2455B" w:rsidRPr="00E2455B">
        <w:rPr>
          <w:rFonts w:asciiTheme="minorHAnsi" w:eastAsiaTheme="minorHAnsi" w:hAnsiTheme="minorHAnsi" w:cstheme="minorBidi"/>
        </w:rPr>
        <w:t>the</w:t>
      </w:r>
      <w:proofErr w:type="gramEnd"/>
      <w:r w:rsidR="00E2455B" w:rsidRPr="00E2455B">
        <w:rPr>
          <w:rFonts w:asciiTheme="minorHAnsi" w:eastAsiaTheme="minorHAnsi" w:hAnsiTheme="minorHAnsi" w:cstheme="minorBidi"/>
        </w:rPr>
        <w:t xml:space="preserve"> Supplier does so at its own risk; and</w:t>
      </w:r>
    </w:p>
    <w:p w14:paraId="4F844D26" w14:textId="557E0093"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1.</w:t>
      </w:r>
      <w:r w:rsidR="00E2455B" w:rsidRPr="00E2455B">
        <w:rPr>
          <w:rFonts w:asciiTheme="minorHAnsi" w:eastAsiaTheme="minorHAnsi" w:hAnsiTheme="minorHAnsi" w:cstheme="minorBidi"/>
        </w:rPr>
        <w:t>4.2</w:t>
      </w:r>
      <w:r w:rsidR="00E2455B" w:rsidRPr="00E2455B">
        <w:rPr>
          <w:rFonts w:asciiTheme="minorHAnsi" w:eastAsiaTheme="minorHAnsi" w:hAnsiTheme="minorHAnsi" w:cstheme="minorBidi"/>
        </w:rPr>
        <w:tab/>
      </w:r>
      <w:proofErr w:type="gramStart"/>
      <w:r w:rsidR="00E2455B" w:rsidRPr="00E2455B">
        <w:rPr>
          <w:rFonts w:asciiTheme="minorHAnsi" w:eastAsiaTheme="minorHAnsi" w:hAnsiTheme="minorHAnsi" w:cstheme="minorBidi"/>
        </w:rPr>
        <w:t>the</w:t>
      </w:r>
      <w:proofErr w:type="gramEnd"/>
      <w:r w:rsidR="00E2455B" w:rsidRPr="00E2455B">
        <w:rPr>
          <w:rFonts w:asciiTheme="minorHAnsi" w:eastAsiaTheme="minorHAnsi" w:hAnsiTheme="minorHAnsi" w:cstheme="minorBidi"/>
        </w:rPr>
        <w:t xml:space="preserv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shall not be obliged to pay the Charges </w:t>
      </w:r>
      <w:r>
        <w:rPr>
          <w:rFonts w:asciiTheme="minorHAnsi" w:eastAsiaTheme="minorHAnsi" w:hAnsiTheme="minorHAnsi" w:cstheme="minorBidi"/>
        </w:rPr>
        <w:t>without a valid Purchase Order N</w:t>
      </w:r>
      <w:r w:rsidR="00E2455B" w:rsidRPr="00E2455B">
        <w:rPr>
          <w:rFonts w:asciiTheme="minorHAnsi" w:eastAsiaTheme="minorHAnsi" w:hAnsiTheme="minorHAnsi" w:cstheme="minorBidi"/>
        </w:rPr>
        <w:t>umber having been provided to the Supplier.</w:t>
      </w:r>
    </w:p>
    <w:p w14:paraId="21908DA3" w14:textId="49D97BE9"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1</w:t>
      </w:r>
      <w:r w:rsidR="00E2455B" w:rsidRPr="00E2455B">
        <w:rPr>
          <w:rFonts w:asciiTheme="minorHAnsi" w:eastAsiaTheme="minorHAnsi" w:hAnsiTheme="minorHAnsi" w:cstheme="minorBidi"/>
        </w:rPr>
        <w:t>.5</w:t>
      </w:r>
      <w:r w:rsidR="00E2455B" w:rsidRPr="00E2455B">
        <w:rPr>
          <w:rFonts w:asciiTheme="minorHAnsi" w:eastAsiaTheme="minorHAnsi" w:hAnsiTheme="minorHAnsi" w:cstheme="minorBidi"/>
        </w:rPr>
        <w:tab/>
        <w:t xml:space="preserve">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shall regard an invoice as valid only if it complies with the provisions of this Clause 1.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shall promptly return any non-compliant invoice to the Supplier and the Supplier shall promptly issue a replacement, compliant invoice.</w:t>
      </w:r>
    </w:p>
    <w:p w14:paraId="41967018" w14:textId="64897D8D"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1</w:t>
      </w:r>
      <w:r w:rsidR="00E2455B" w:rsidRPr="00E2455B">
        <w:rPr>
          <w:rFonts w:asciiTheme="minorHAnsi" w:eastAsiaTheme="minorHAnsi" w:hAnsiTheme="minorHAnsi" w:cstheme="minorBidi"/>
        </w:rPr>
        <w:t>.6</w:t>
      </w:r>
      <w:r w:rsidR="00E2455B" w:rsidRPr="00E2455B">
        <w:rPr>
          <w:rFonts w:asciiTheme="minorHAnsi" w:eastAsiaTheme="minorHAnsi" w:hAnsiTheme="minorHAnsi" w:cstheme="minorBidi"/>
        </w:rPr>
        <w:tab/>
        <w:t xml:space="preserve">In consideration of the supply of the Services by the Supplier,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shall pay the Supplier the invoiced amounts no later than 30 days after receipt of a valid invoice which includes a valid Purchase Order Number.</w:t>
      </w:r>
    </w:p>
    <w:p w14:paraId="4357264E" w14:textId="391E865E"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1</w:t>
      </w:r>
      <w:r w:rsidR="00E2455B" w:rsidRPr="00E2455B">
        <w:rPr>
          <w:rFonts w:asciiTheme="minorHAnsi" w:eastAsiaTheme="minorHAnsi" w:hAnsiTheme="minorHAnsi" w:cstheme="minorBidi"/>
        </w:rPr>
        <w:t>.7</w:t>
      </w:r>
      <w:r w:rsidR="00E2455B" w:rsidRPr="00E2455B">
        <w:rPr>
          <w:rFonts w:asciiTheme="minorHAnsi" w:eastAsiaTheme="minorHAnsi" w:hAnsiTheme="minorHAnsi" w:cstheme="minorBidi"/>
        </w:rPr>
        <w:tab/>
        <w:t xml:space="preserve">If a payment of an undisputed amount is not made by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by the due date, then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shall pay the Supplier interest at the interest rate specified in the Late Payment of Commercial Debts (Interest) Act 1998.  </w:t>
      </w:r>
    </w:p>
    <w:p w14:paraId="01655329" w14:textId="50439A1B"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1</w:t>
      </w:r>
      <w:r w:rsidR="00E2455B" w:rsidRPr="00E2455B">
        <w:rPr>
          <w:rFonts w:asciiTheme="minorHAnsi" w:eastAsiaTheme="minorHAnsi" w:hAnsiTheme="minorHAnsi" w:cstheme="minorBidi"/>
        </w:rPr>
        <w:t>.8</w:t>
      </w:r>
      <w:r w:rsidR="00E2455B" w:rsidRPr="00E2455B">
        <w:rPr>
          <w:rFonts w:asciiTheme="minorHAnsi" w:eastAsiaTheme="minorHAnsi" w:hAnsiTheme="minorHAnsi" w:cstheme="minorBidi"/>
        </w:rPr>
        <w:tab/>
        <w:t xml:space="preserve">If any sum of money is recoverable from or payable by the Supplier under the Agreement (including any sum which the Supplier is liable to pay to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in respect of any breach of the Agreement), that sum may be deducted unilaterally by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from any sum then due, or which may come due, to the Supplier under the Agreement or under any other agreement or contract with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The Supplier shall not be entitled to assert any credit, set-off or counterclaim against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in order to justify withholding payment of any such amount in whole or in part. </w:t>
      </w:r>
    </w:p>
    <w:p w14:paraId="2733F0B0" w14:textId="7CA599AF"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p>
    <w:tbl>
      <w:tblPr>
        <w:tblW w:w="0" w:type="auto"/>
        <w:tblInd w:w="108" w:type="dxa"/>
        <w:tblLook w:val="01E0" w:firstRow="1" w:lastRow="1" w:firstColumn="1" w:lastColumn="1" w:noHBand="0" w:noVBand="0"/>
      </w:tblPr>
      <w:tblGrid>
        <w:gridCol w:w="1741"/>
        <w:gridCol w:w="7177"/>
      </w:tblGrid>
      <w:tr w:rsidR="00E2455B" w:rsidRPr="00E2455B" w14:paraId="244C44DD" w14:textId="77777777" w:rsidTr="00E2455B">
        <w:tc>
          <w:tcPr>
            <w:tcW w:w="1741" w:type="dxa"/>
          </w:tcPr>
          <w:p w14:paraId="0EA54A89"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r w:rsidRPr="00E2455B">
              <w:rPr>
                <w:rFonts w:asciiTheme="minorHAnsi" w:eastAsiaTheme="minorHAnsi" w:hAnsiTheme="minorHAnsi" w:cstheme="minorBidi"/>
                <w:b/>
              </w:rPr>
              <w:t xml:space="preserve">“Agreement” </w:t>
            </w:r>
          </w:p>
        </w:tc>
        <w:tc>
          <w:tcPr>
            <w:tcW w:w="7177" w:type="dxa"/>
          </w:tcPr>
          <w:p w14:paraId="76292A64" w14:textId="381E1D3D"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sidRPr="00E2455B">
              <w:rPr>
                <w:rFonts w:asciiTheme="minorHAnsi" w:eastAsiaTheme="minorHAnsi" w:hAnsiTheme="minorHAnsi" w:cstheme="minorBidi"/>
              </w:rPr>
              <w:t>the contract between (</w:t>
            </w:r>
            <w:proofErr w:type="spellStart"/>
            <w:r w:rsidRPr="00E2455B">
              <w:rPr>
                <w:rFonts w:asciiTheme="minorHAnsi" w:eastAsiaTheme="minorHAnsi" w:hAnsiTheme="minorHAnsi" w:cstheme="minorBidi"/>
              </w:rPr>
              <w:t>i</w:t>
            </w:r>
            <w:proofErr w:type="spellEnd"/>
            <w:r w:rsidRPr="00E2455B">
              <w:rPr>
                <w:rFonts w:asciiTheme="minorHAnsi" w:eastAsiaTheme="minorHAnsi" w:hAnsiTheme="minorHAnsi" w:cstheme="minorBidi"/>
              </w:rPr>
              <w:t xml:space="preserve">) the </w:t>
            </w:r>
            <w:r w:rsidR="00BD4ACD">
              <w:rPr>
                <w:rFonts w:asciiTheme="minorHAnsi" w:eastAsiaTheme="minorHAnsi" w:hAnsiTheme="minorHAnsi" w:cstheme="minorBidi"/>
              </w:rPr>
              <w:t>Customer</w:t>
            </w:r>
            <w:r w:rsidRPr="00E2455B">
              <w:rPr>
                <w:rFonts w:asciiTheme="minorHAnsi" w:eastAsiaTheme="minorHAnsi" w:hAnsiTheme="minorHAnsi" w:cstheme="minorBidi"/>
              </w:rPr>
              <w:t xml:space="preserve"> acting as part of the Crown and (ii) the Supplier;</w:t>
            </w:r>
          </w:p>
        </w:tc>
      </w:tr>
      <w:tr w:rsidR="00E2455B" w:rsidRPr="00E2455B" w14:paraId="14706257" w14:textId="77777777" w:rsidTr="00E2455B">
        <w:tc>
          <w:tcPr>
            <w:tcW w:w="1741" w:type="dxa"/>
          </w:tcPr>
          <w:p w14:paraId="1CFA9E31"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r w:rsidRPr="00E2455B">
              <w:rPr>
                <w:rFonts w:asciiTheme="minorHAnsi" w:eastAsiaTheme="minorHAnsi" w:hAnsiTheme="minorHAnsi" w:cstheme="minorBidi"/>
                <w:b/>
              </w:rPr>
              <w:t>“Purchase Order Number”</w:t>
            </w:r>
          </w:p>
        </w:tc>
        <w:tc>
          <w:tcPr>
            <w:tcW w:w="7177" w:type="dxa"/>
          </w:tcPr>
          <w:p w14:paraId="5593715A" w14:textId="21BDD45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sidRPr="00E2455B">
              <w:rPr>
                <w:rFonts w:asciiTheme="minorHAnsi" w:eastAsiaTheme="minorHAnsi" w:hAnsiTheme="minorHAnsi" w:cstheme="minorBidi"/>
              </w:rPr>
              <w:t xml:space="preserve">the </w:t>
            </w:r>
            <w:r w:rsidR="00BD4ACD">
              <w:rPr>
                <w:rFonts w:asciiTheme="minorHAnsi" w:eastAsiaTheme="minorHAnsi" w:hAnsiTheme="minorHAnsi" w:cstheme="minorBidi"/>
              </w:rPr>
              <w:t>Customer</w:t>
            </w:r>
            <w:r w:rsidRPr="00E2455B">
              <w:rPr>
                <w:rFonts w:asciiTheme="minorHAnsi" w:eastAsiaTheme="minorHAnsi" w:hAnsiTheme="minorHAnsi" w:cstheme="minorBidi"/>
              </w:rPr>
              <w:t xml:space="preserve">’s unique number relating to the supply of the Services; </w:t>
            </w:r>
          </w:p>
        </w:tc>
      </w:tr>
      <w:tr w:rsidR="00E2455B" w:rsidRPr="00E2455B" w14:paraId="4B483208" w14:textId="77777777" w:rsidTr="00E2455B">
        <w:tc>
          <w:tcPr>
            <w:tcW w:w="1741" w:type="dxa"/>
          </w:tcPr>
          <w:p w14:paraId="36795283"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r w:rsidRPr="00E2455B">
              <w:rPr>
                <w:rFonts w:asciiTheme="minorHAnsi" w:eastAsiaTheme="minorHAnsi" w:hAnsiTheme="minorHAnsi" w:cstheme="minorBidi"/>
                <w:b/>
              </w:rPr>
              <w:t>“Services”</w:t>
            </w:r>
          </w:p>
        </w:tc>
        <w:tc>
          <w:tcPr>
            <w:tcW w:w="7177" w:type="dxa"/>
          </w:tcPr>
          <w:p w14:paraId="675F3A30" w14:textId="18C1695E"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sidRPr="00E2455B">
              <w:rPr>
                <w:rFonts w:asciiTheme="minorHAnsi" w:eastAsiaTheme="minorHAnsi" w:hAnsiTheme="minorHAnsi" w:cstheme="minorBidi"/>
              </w:rPr>
              <w:t xml:space="preserve">the services to be supplied by the Supplier to the </w:t>
            </w:r>
            <w:r w:rsidR="00BD4ACD">
              <w:rPr>
                <w:rFonts w:asciiTheme="minorHAnsi" w:eastAsiaTheme="minorHAnsi" w:hAnsiTheme="minorHAnsi" w:cstheme="minorBidi"/>
              </w:rPr>
              <w:t>Customer</w:t>
            </w:r>
            <w:r w:rsidRPr="00E2455B">
              <w:rPr>
                <w:rFonts w:asciiTheme="minorHAnsi" w:eastAsiaTheme="minorHAnsi" w:hAnsiTheme="minorHAnsi" w:cstheme="minorBidi"/>
              </w:rPr>
              <w:t xml:space="preserve"> under the Agreement, including the provision of any Goods;  </w:t>
            </w:r>
          </w:p>
        </w:tc>
      </w:tr>
      <w:tr w:rsidR="00E2455B" w:rsidRPr="00E2455B" w14:paraId="2C8D0E28" w14:textId="77777777" w:rsidTr="00E2455B">
        <w:tc>
          <w:tcPr>
            <w:tcW w:w="1741" w:type="dxa"/>
          </w:tcPr>
          <w:p w14:paraId="2BB43AA5"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r w:rsidRPr="00E2455B">
              <w:rPr>
                <w:rFonts w:asciiTheme="minorHAnsi" w:eastAsiaTheme="minorHAnsi" w:hAnsiTheme="minorHAnsi" w:cstheme="minorBidi"/>
                <w:b/>
              </w:rPr>
              <w:t>“Charges”</w:t>
            </w:r>
          </w:p>
        </w:tc>
        <w:tc>
          <w:tcPr>
            <w:tcW w:w="7177" w:type="dxa"/>
          </w:tcPr>
          <w:p w14:paraId="3C3A8856" w14:textId="56DA67BA" w:rsidR="00E2455B" w:rsidRPr="00E2455B" w:rsidRDefault="00E2455B" w:rsidP="00D36794">
            <w:pPr>
              <w:overflowPunct/>
              <w:autoSpaceDE/>
              <w:autoSpaceDN/>
              <w:adjustRightInd/>
              <w:spacing w:after="160" w:line="259" w:lineRule="auto"/>
              <w:ind w:left="0"/>
              <w:jc w:val="left"/>
              <w:textAlignment w:val="auto"/>
              <w:rPr>
                <w:rFonts w:asciiTheme="minorHAnsi" w:eastAsiaTheme="minorHAnsi" w:hAnsiTheme="minorHAnsi" w:cstheme="minorBidi"/>
              </w:rPr>
            </w:pPr>
            <w:r w:rsidRPr="00E2455B">
              <w:rPr>
                <w:rFonts w:asciiTheme="minorHAnsi" w:eastAsiaTheme="minorHAnsi" w:hAnsiTheme="minorHAnsi" w:cstheme="minorBidi"/>
              </w:rPr>
              <w:t>the charges fo</w:t>
            </w:r>
            <w:r w:rsidR="00D36794">
              <w:rPr>
                <w:rFonts w:asciiTheme="minorHAnsi" w:eastAsiaTheme="minorHAnsi" w:hAnsiTheme="minorHAnsi" w:cstheme="minorBidi"/>
              </w:rPr>
              <w:t>r the Services as specified in Clause 6 of Section B of this Call Off Order Form</w:t>
            </w:r>
            <w:r w:rsidRPr="00E2455B">
              <w:rPr>
                <w:rFonts w:asciiTheme="minorHAnsi" w:eastAsiaTheme="minorHAnsi" w:hAnsiTheme="minorHAnsi" w:cstheme="minorBidi"/>
              </w:rPr>
              <w:t xml:space="preserve">; </w:t>
            </w:r>
          </w:p>
        </w:tc>
      </w:tr>
    </w:tbl>
    <w:p w14:paraId="654A983A"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p>
    <w:p w14:paraId="79BEE6DF"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r w:rsidRPr="00E2455B">
        <w:rPr>
          <w:rFonts w:asciiTheme="minorHAnsi" w:eastAsiaTheme="minorHAnsi" w:hAnsiTheme="minorHAnsi" w:cstheme="minorBidi"/>
          <w:b/>
        </w:rPr>
        <w:t>Warranties</w:t>
      </w:r>
    </w:p>
    <w:p w14:paraId="2BABF83E" w14:textId="47B359F7"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2</w:t>
      </w:r>
      <w:r w:rsidR="00E2455B" w:rsidRPr="00E2455B">
        <w:rPr>
          <w:rFonts w:asciiTheme="minorHAnsi" w:eastAsiaTheme="minorHAnsi" w:hAnsiTheme="minorHAnsi" w:cstheme="minorBidi"/>
        </w:rPr>
        <w:t>.1</w:t>
      </w:r>
      <w:r w:rsidR="00E2455B" w:rsidRPr="00E2455B">
        <w:rPr>
          <w:rFonts w:asciiTheme="minorHAnsi" w:eastAsiaTheme="minorHAnsi" w:hAnsiTheme="minorHAnsi" w:cstheme="minorBidi"/>
        </w:rPr>
        <w:tab/>
        <w:t>The Supplier represents and warrants that:</w:t>
      </w:r>
    </w:p>
    <w:p w14:paraId="7F5F267B" w14:textId="7FB62FA5"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2</w:t>
      </w:r>
      <w:r w:rsidR="00E2455B" w:rsidRPr="00E2455B">
        <w:rPr>
          <w:rFonts w:asciiTheme="minorHAnsi" w:eastAsiaTheme="minorHAnsi" w:hAnsiTheme="minorHAnsi" w:cstheme="minorBidi"/>
        </w:rPr>
        <w:t>.1.1</w:t>
      </w:r>
      <w:r w:rsidR="00E2455B" w:rsidRPr="00E2455B">
        <w:rPr>
          <w:rFonts w:asciiTheme="minorHAnsi" w:eastAsiaTheme="minorHAnsi" w:hAnsiTheme="minorHAnsi" w:cstheme="minorBidi"/>
        </w:rPr>
        <w:tab/>
      </w:r>
      <w:proofErr w:type="gramStart"/>
      <w:r w:rsidR="00E2455B" w:rsidRPr="00E2455B">
        <w:rPr>
          <w:rFonts w:asciiTheme="minorHAnsi" w:eastAsiaTheme="minorHAnsi" w:hAnsiTheme="minorHAnsi" w:cstheme="minorBidi"/>
        </w:rPr>
        <w:t>in</w:t>
      </w:r>
      <w:proofErr w:type="gramEnd"/>
      <w:r w:rsidR="00E2455B" w:rsidRPr="00E2455B">
        <w:rPr>
          <w:rFonts w:asciiTheme="minorHAnsi" w:eastAsiaTheme="minorHAnsi" w:hAnsiTheme="minorHAnsi" w:cstheme="minorBidi"/>
        </w:rPr>
        <w:t xml:space="preserve"> the three years prior to the Effective Date, it has been in full compliance with all applicable securities and Tax Laws and regulations in the United Kingdom and in the jurisdiction in which it is established;</w:t>
      </w:r>
    </w:p>
    <w:p w14:paraId="00543339" w14:textId="69ECED14"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2</w:t>
      </w:r>
      <w:r w:rsidR="00E2455B" w:rsidRPr="00E2455B">
        <w:rPr>
          <w:rFonts w:asciiTheme="minorHAnsi" w:eastAsiaTheme="minorHAnsi" w:hAnsiTheme="minorHAnsi" w:cstheme="minorBidi"/>
        </w:rPr>
        <w:t>.1.2</w:t>
      </w:r>
      <w:r w:rsidR="00E2455B" w:rsidRPr="00E2455B">
        <w:rPr>
          <w:rFonts w:asciiTheme="minorHAnsi" w:eastAsiaTheme="minorHAnsi" w:hAnsiTheme="minorHAnsi" w:cstheme="minorBidi"/>
        </w:rPr>
        <w:tab/>
        <w:t xml:space="preserve">it has notified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in writing of any Occasions of Tax Non Compliance  and any litigation, enquiry or investigation in which it or its Subcontractors is/are (as appropriate) involved that is in connection with, or which may lead to any Occasion of Tax Non Compliance; and</w:t>
      </w:r>
    </w:p>
    <w:p w14:paraId="393DD2F8" w14:textId="37323780"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2</w:t>
      </w:r>
      <w:r w:rsidR="00E2455B" w:rsidRPr="00E2455B">
        <w:rPr>
          <w:rFonts w:asciiTheme="minorHAnsi" w:eastAsiaTheme="minorHAnsi" w:hAnsiTheme="minorHAnsi" w:cstheme="minorBidi"/>
        </w:rPr>
        <w:t>.1.3</w:t>
      </w:r>
      <w:r w:rsidR="00E2455B" w:rsidRPr="00E2455B">
        <w:rPr>
          <w:rFonts w:asciiTheme="minorHAnsi" w:eastAsiaTheme="minorHAnsi" w:hAnsiTheme="minorHAnsi" w:cstheme="minorBidi"/>
        </w:rPr>
        <w:tab/>
        <w:t>no profit warnings,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13D355F4" w14:textId="7FD9E83C"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2</w:t>
      </w:r>
      <w:r w:rsidR="00E2455B" w:rsidRPr="00E2455B">
        <w:rPr>
          <w:rFonts w:asciiTheme="minorHAnsi" w:eastAsiaTheme="minorHAnsi" w:hAnsiTheme="minorHAnsi" w:cstheme="minorBidi"/>
        </w:rPr>
        <w:t>.1.4</w:t>
      </w:r>
      <w:r w:rsidR="00E2455B" w:rsidRPr="00E2455B">
        <w:rPr>
          <w:rFonts w:asciiTheme="minorHAnsi" w:eastAsiaTheme="minorHAnsi" w:hAnsiTheme="minorHAnsi" w:cstheme="minorBidi"/>
        </w:rPr>
        <w:tab/>
        <w:t xml:space="preserve">If at any time the Supplier becomes aware that a representation or warranty given by it under </w:t>
      </w:r>
      <w:r w:rsidR="00E2455B" w:rsidRPr="00D36794">
        <w:rPr>
          <w:rFonts w:asciiTheme="minorHAnsi" w:eastAsiaTheme="minorHAnsi" w:hAnsiTheme="minorHAnsi" w:cstheme="minorBidi"/>
        </w:rPr>
        <w:t xml:space="preserve">Clause </w:t>
      </w:r>
      <w:r>
        <w:rPr>
          <w:rFonts w:asciiTheme="minorHAnsi" w:eastAsiaTheme="minorHAnsi" w:hAnsiTheme="minorHAnsi" w:cstheme="minorBidi"/>
        </w:rPr>
        <w:t>2</w:t>
      </w:r>
      <w:r w:rsidR="00E2455B" w:rsidRPr="00D36794">
        <w:rPr>
          <w:rFonts w:asciiTheme="minorHAnsi" w:eastAsiaTheme="minorHAnsi" w:hAnsiTheme="minorHAnsi" w:cstheme="minorBidi"/>
        </w:rPr>
        <w:t xml:space="preserve">.1.1, </w:t>
      </w:r>
      <w:r>
        <w:rPr>
          <w:rFonts w:asciiTheme="minorHAnsi" w:eastAsiaTheme="minorHAnsi" w:hAnsiTheme="minorHAnsi" w:cstheme="minorBidi"/>
        </w:rPr>
        <w:t>2</w:t>
      </w:r>
      <w:r w:rsidR="00E2455B" w:rsidRPr="00D36794">
        <w:rPr>
          <w:rFonts w:asciiTheme="minorHAnsi" w:eastAsiaTheme="minorHAnsi" w:hAnsiTheme="minorHAnsi" w:cstheme="minorBidi"/>
        </w:rPr>
        <w:t xml:space="preserve">.1.2 or </w:t>
      </w:r>
      <w:r>
        <w:rPr>
          <w:rFonts w:asciiTheme="minorHAnsi" w:eastAsiaTheme="minorHAnsi" w:hAnsiTheme="minorHAnsi" w:cstheme="minorBidi"/>
        </w:rPr>
        <w:t>2</w:t>
      </w:r>
      <w:r w:rsidR="00E2455B" w:rsidRPr="00D36794">
        <w:rPr>
          <w:rFonts w:asciiTheme="minorHAnsi" w:eastAsiaTheme="minorHAnsi" w:hAnsiTheme="minorHAnsi" w:cstheme="minorBidi"/>
        </w:rPr>
        <w:t>.1.3</w:t>
      </w:r>
      <w:r w:rsidR="00E2455B" w:rsidRPr="00E2455B">
        <w:rPr>
          <w:rFonts w:asciiTheme="minorHAnsi" w:eastAsiaTheme="minorHAnsi" w:hAnsiTheme="minorHAnsi" w:cstheme="minorBidi"/>
        </w:rPr>
        <w:t xml:space="preserve"> has been breached, is untrue, or is misleading, it shall immediately notify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of the relevant occurrence in sufficient detail to enable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to make an accurate assessment of the situation.  </w:t>
      </w:r>
    </w:p>
    <w:p w14:paraId="512D59FF" w14:textId="77777777" w:rsid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p>
    <w:p w14:paraId="4EEA07DC" w14:textId="77777777" w:rsidR="00D36794" w:rsidRDefault="00D36794"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p>
    <w:p w14:paraId="033C5040" w14:textId="77777777" w:rsidR="00D36794" w:rsidRDefault="00D36794"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p>
    <w:p w14:paraId="3BDF6C1C" w14:textId="77777777" w:rsidR="00D36794" w:rsidRPr="00E2455B" w:rsidRDefault="00D36794"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p>
    <w:p w14:paraId="53E269F8"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r w:rsidRPr="00E2455B">
        <w:rPr>
          <w:rFonts w:asciiTheme="minorHAnsi" w:eastAsiaTheme="minorHAnsi" w:hAnsiTheme="minorHAnsi" w:cstheme="minorBidi"/>
          <w:b/>
        </w:rPr>
        <w:t>Promoting Tax Compliance</w:t>
      </w:r>
    </w:p>
    <w:p w14:paraId="3008433C" w14:textId="0DBEBAF7"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3</w:t>
      </w:r>
      <w:r w:rsidR="00E2455B" w:rsidRPr="00E2455B">
        <w:rPr>
          <w:rFonts w:asciiTheme="minorHAnsi" w:eastAsiaTheme="minorHAnsi" w:hAnsiTheme="minorHAnsi" w:cstheme="minorBidi"/>
        </w:rPr>
        <w:t xml:space="preserve">.1 All amounts stated are exclusive of VAT which shall be charged at the prevailing rate.  The Customer shall, following the receipt of a valid VAT invoice, pay to the Supplier a sum equal to the VAT chargeable in respect of the Services. </w:t>
      </w:r>
    </w:p>
    <w:p w14:paraId="48081D1A" w14:textId="3B637ED1"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3</w:t>
      </w:r>
      <w:r w:rsidR="00E2455B" w:rsidRPr="00E2455B">
        <w:rPr>
          <w:rFonts w:asciiTheme="minorHAnsi" w:eastAsiaTheme="minorHAnsi" w:hAnsiTheme="minorHAnsi" w:cstheme="minorBidi"/>
        </w:rPr>
        <w:t>.2 The Supplier shall at all times comply with all other Laws and regulations relating to Tax.</w:t>
      </w:r>
    </w:p>
    <w:p w14:paraId="7A515325" w14:textId="1FBE9DBF"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3</w:t>
      </w:r>
      <w:r w:rsidR="00E2455B" w:rsidRPr="00E2455B">
        <w:rPr>
          <w:rFonts w:asciiTheme="minorHAnsi" w:eastAsiaTheme="minorHAnsi" w:hAnsiTheme="minorHAnsi" w:cstheme="minorBidi"/>
        </w:rPr>
        <w:t xml:space="preserve">.3 The Supplier shall provide to the Customer the name and, as applicable, the Value Added Tax registration number, PAYE collection number and either the Corporation Tax or self-assessment reference of any agent, supplier or Subcontractor of the Supplier prior to the commencement of any work under this Agreement by that agent, supplier or Subcontractor.  Upon a request by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the Supplier shall not employ or will cease to employ any agent, supplier or Subcontractor or Subcontractor.</w:t>
      </w:r>
    </w:p>
    <w:p w14:paraId="1CEFB771" w14:textId="6A024480"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3</w:t>
      </w:r>
      <w:r w:rsidR="00E2455B" w:rsidRPr="00E2455B">
        <w:rPr>
          <w:rFonts w:asciiTheme="minorHAnsi" w:eastAsiaTheme="minorHAnsi" w:hAnsiTheme="minorHAnsi" w:cstheme="minorBidi"/>
        </w:rPr>
        <w:t xml:space="preserve">.4 Where an amount of Tax, including any assessed amount, is due from the Supplier an equivalent amount may be deducted by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from the amount of any sum due to the Supplier under this Agreement.</w:t>
      </w:r>
    </w:p>
    <w:p w14:paraId="335D2D6A" w14:textId="5D6C0A4F"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3</w:t>
      </w:r>
      <w:r w:rsidR="00E2455B" w:rsidRPr="00E2455B">
        <w:rPr>
          <w:rFonts w:asciiTheme="minorHAnsi" w:eastAsiaTheme="minorHAnsi" w:hAnsiTheme="minorHAnsi" w:cstheme="minorBidi"/>
        </w:rPr>
        <w:t>.5 If, at any point during the Term, an Occasion of Tax Non Compliance occurs and or any litigation, enquiry or investigation in which it or its Subcontractors is/are (as appropriate) involved that is in connection with, or which may lead to, any Occasion of Tax Non-Compliance, the Supplier shall:</w:t>
      </w:r>
    </w:p>
    <w:p w14:paraId="18A3FA4D" w14:textId="3007CE76"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3</w:t>
      </w:r>
      <w:r w:rsidR="00E2455B" w:rsidRPr="00E2455B">
        <w:rPr>
          <w:rFonts w:asciiTheme="minorHAnsi" w:eastAsiaTheme="minorHAnsi" w:hAnsiTheme="minorHAnsi" w:cstheme="minorBidi"/>
        </w:rPr>
        <w:t>.5.1</w:t>
      </w:r>
      <w:r w:rsidR="00E2455B" w:rsidRPr="00E2455B">
        <w:rPr>
          <w:rFonts w:asciiTheme="minorHAnsi" w:eastAsiaTheme="minorHAnsi" w:hAnsiTheme="minorHAnsi" w:cstheme="minorBidi"/>
        </w:rPr>
        <w:tab/>
      </w:r>
      <w:proofErr w:type="gramStart"/>
      <w:r w:rsidR="00E2455B" w:rsidRPr="00E2455B">
        <w:rPr>
          <w:rFonts w:asciiTheme="minorHAnsi" w:eastAsiaTheme="minorHAnsi" w:hAnsiTheme="minorHAnsi" w:cstheme="minorBidi"/>
        </w:rPr>
        <w:t>notify</w:t>
      </w:r>
      <w:proofErr w:type="gramEnd"/>
      <w:r w:rsidR="00E2455B" w:rsidRPr="00E2455B">
        <w:rPr>
          <w:rFonts w:asciiTheme="minorHAnsi" w:eastAsiaTheme="minorHAnsi" w:hAnsiTheme="minorHAnsi" w:cstheme="minorBidi"/>
        </w:rPr>
        <w:t xml:space="preserve">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in writing of such fact within five (5) Working Days of its occurrence; and</w:t>
      </w:r>
    </w:p>
    <w:p w14:paraId="65C617B0" w14:textId="27D160FF"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3</w:t>
      </w:r>
      <w:r w:rsidR="00E2455B" w:rsidRPr="00E2455B">
        <w:rPr>
          <w:rFonts w:asciiTheme="minorHAnsi" w:eastAsiaTheme="minorHAnsi" w:hAnsiTheme="minorHAnsi" w:cstheme="minorBidi"/>
        </w:rPr>
        <w:t>.5.2</w:t>
      </w:r>
      <w:r w:rsidR="00E2455B" w:rsidRPr="00E2455B">
        <w:rPr>
          <w:rFonts w:asciiTheme="minorHAnsi" w:eastAsiaTheme="minorHAnsi" w:hAnsiTheme="minorHAnsi" w:cstheme="minorBidi"/>
        </w:rPr>
        <w:tab/>
      </w:r>
      <w:proofErr w:type="gramStart"/>
      <w:r w:rsidR="00E2455B" w:rsidRPr="00E2455B">
        <w:rPr>
          <w:rFonts w:asciiTheme="minorHAnsi" w:eastAsiaTheme="minorHAnsi" w:hAnsiTheme="minorHAnsi" w:cstheme="minorBidi"/>
        </w:rPr>
        <w:t>promptly</w:t>
      </w:r>
      <w:proofErr w:type="gramEnd"/>
      <w:r w:rsidR="00E2455B" w:rsidRPr="00E2455B">
        <w:rPr>
          <w:rFonts w:asciiTheme="minorHAnsi" w:eastAsiaTheme="minorHAnsi" w:hAnsiTheme="minorHAnsi" w:cstheme="minorBidi"/>
        </w:rPr>
        <w:t xml:space="preserve"> provide to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w:t>
      </w:r>
    </w:p>
    <w:p w14:paraId="7B87B238"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sidRPr="00E2455B">
        <w:rPr>
          <w:rFonts w:asciiTheme="minorHAnsi" w:eastAsiaTheme="minorHAnsi" w:hAnsiTheme="minorHAnsi" w:cstheme="minorBidi"/>
        </w:rPr>
        <w:t>(a)</w:t>
      </w:r>
      <w:r w:rsidRPr="00E2455B">
        <w:rPr>
          <w:rFonts w:asciiTheme="minorHAnsi" w:eastAsiaTheme="minorHAnsi" w:hAnsiTheme="minorHAnsi" w:cstheme="minorBidi"/>
        </w:rPr>
        <w:tab/>
        <w:t xml:space="preserve">details of the steps which the Supplier is taking to address the Occasion of Tax Non Compliance and to prevent the same from recurring, together with any mitigating factors that it considers relevant; and </w:t>
      </w:r>
    </w:p>
    <w:p w14:paraId="1FCD1524" w14:textId="2F444868"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sidRPr="00E2455B">
        <w:rPr>
          <w:rFonts w:asciiTheme="minorHAnsi" w:eastAsiaTheme="minorHAnsi" w:hAnsiTheme="minorHAnsi" w:cstheme="minorBidi"/>
        </w:rPr>
        <w:t>(b)</w:t>
      </w:r>
      <w:r w:rsidRPr="00E2455B">
        <w:rPr>
          <w:rFonts w:asciiTheme="minorHAnsi" w:eastAsiaTheme="minorHAnsi" w:hAnsiTheme="minorHAnsi" w:cstheme="minorBidi"/>
        </w:rPr>
        <w:tab/>
      </w:r>
      <w:proofErr w:type="gramStart"/>
      <w:r w:rsidRPr="00E2455B">
        <w:rPr>
          <w:rFonts w:asciiTheme="minorHAnsi" w:eastAsiaTheme="minorHAnsi" w:hAnsiTheme="minorHAnsi" w:cstheme="minorBidi"/>
        </w:rPr>
        <w:t>such</w:t>
      </w:r>
      <w:proofErr w:type="gramEnd"/>
      <w:r w:rsidRPr="00E2455B">
        <w:rPr>
          <w:rFonts w:asciiTheme="minorHAnsi" w:eastAsiaTheme="minorHAnsi" w:hAnsiTheme="minorHAnsi" w:cstheme="minorBidi"/>
        </w:rPr>
        <w:t xml:space="preserve"> other information in relation to the Occasion of Tax Non Compliance as the </w:t>
      </w:r>
      <w:r w:rsidR="00BD4ACD">
        <w:rPr>
          <w:rFonts w:asciiTheme="minorHAnsi" w:eastAsiaTheme="minorHAnsi" w:hAnsiTheme="minorHAnsi" w:cstheme="minorBidi"/>
        </w:rPr>
        <w:t>Customer</w:t>
      </w:r>
      <w:r w:rsidRPr="00E2455B">
        <w:rPr>
          <w:rFonts w:asciiTheme="minorHAnsi" w:eastAsiaTheme="minorHAnsi" w:hAnsiTheme="minorHAnsi" w:cstheme="minorBidi"/>
        </w:rPr>
        <w:t xml:space="preserve"> may reasonably require.</w:t>
      </w:r>
    </w:p>
    <w:p w14:paraId="19B0D73A" w14:textId="07F44E22" w:rsidR="00E2455B" w:rsidRPr="00D36794"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3</w:t>
      </w:r>
      <w:r w:rsidR="00E2455B" w:rsidRPr="00E2455B">
        <w:rPr>
          <w:rFonts w:asciiTheme="minorHAnsi" w:eastAsiaTheme="minorHAnsi" w:hAnsiTheme="minorHAnsi" w:cstheme="minorBidi"/>
        </w:rPr>
        <w:t xml:space="preserve">.6 The Supplier shall indemnify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on a continuing basis against any liability, including any interest, penalties or costs incurred, that is levied, demanded or assessed on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at any time in respect of the Supplier's failure to account for or to pay any Tax relating to payments made to the Supplier under this Agreement.  Any amounts due under this Cl</w:t>
      </w:r>
      <w:r w:rsidR="00E2455B" w:rsidRPr="00D36794">
        <w:rPr>
          <w:rFonts w:asciiTheme="minorHAnsi" w:eastAsiaTheme="minorHAnsi" w:hAnsiTheme="minorHAnsi" w:cstheme="minorBidi"/>
        </w:rPr>
        <w:t xml:space="preserve">ause </w:t>
      </w:r>
      <w:r w:rsidR="00D36794" w:rsidRPr="00D36794">
        <w:rPr>
          <w:rFonts w:asciiTheme="minorHAnsi" w:eastAsiaTheme="minorHAnsi" w:hAnsiTheme="minorHAnsi" w:cstheme="minorBidi"/>
        </w:rPr>
        <w:t>6</w:t>
      </w:r>
      <w:r w:rsidR="00E2455B" w:rsidRPr="00D36794">
        <w:rPr>
          <w:rFonts w:asciiTheme="minorHAnsi" w:eastAsiaTheme="minorHAnsi" w:hAnsiTheme="minorHAnsi" w:cstheme="minorBidi"/>
        </w:rPr>
        <w:t xml:space="preserve">.6 shall be paid in cleared funds by the Supplier to the </w:t>
      </w:r>
      <w:r w:rsidR="00BD4ACD" w:rsidRPr="00D36794">
        <w:rPr>
          <w:rFonts w:asciiTheme="minorHAnsi" w:eastAsiaTheme="minorHAnsi" w:hAnsiTheme="minorHAnsi" w:cstheme="minorBidi"/>
        </w:rPr>
        <w:t>Customer</w:t>
      </w:r>
      <w:r w:rsidR="00E2455B" w:rsidRPr="00D36794">
        <w:rPr>
          <w:rFonts w:asciiTheme="minorHAnsi" w:eastAsiaTheme="minorHAnsi" w:hAnsiTheme="minorHAnsi" w:cstheme="minorBidi"/>
        </w:rPr>
        <w:t xml:space="preserve"> not less than five (5) Working Days before the date upon which the Tax or other liability is payable by the </w:t>
      </w:r>
      <w:r w:rsidR="00BD4ACD" w:rsidRPr="00D36794">
        <w:rPr>
          <w:rFonts w:asciiTheme="minorHAnsi" w:eastAsiaTheme="minorHAnsi" w:hAnsiTheme="minorHAnsi" w:cstheme="minorBidi"/>
        </w:rPr>
        <w:t>Customer</w:t>
      </w:r>
      <w:r w:rsidR="00E2455B" w:rsidRPr="00D36794">
        <w:rPr>
          <w:rFonts w:asciiTheme="minorHAnsi" w:eastAsiaTheme="minorHAnsi" w:hAnsiTheme="minorHAnsi" w:cstheme="minorBidi"/>
        </w:rPr>
        <w:t xml:space="preserve">.  </w:t>
      </w:r>
    </w:p>
    <w:p w14:paraId="303D9B0C" w14:textId="659F377E" w:rsidR="00E2455B" w:rsidRPr="00D36794"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3</w:t>
      </w:r>
      <w:r w:rsidR="00E2455B" w:rsidRPr="00D36794">
        <w:rPr>
          <w:rFonts w:asciiTheme="minorHAnsi" w:eastAsiaTheme="minorHAnsi" w:hAnsiTheme="minorHAnsi" w:cstheme="minorBidi"/>
        </w:rPr>
        <w:t xml:space="preserve">.7 The Supplier shall provide (promptly or within such other period notified by the </w:t>
      </w:r>
      <w:r w:rsidR="00BD4ACD" w:rsidRPr="00D36794">
        <w:rPr>
          <w:rFonts w:asciiTheme="minorHAnsi" w:eastAsiaTheme="minorHAnsi" w:hAnsiTheme="minorHAnsi" w:cstheme="minorBidi"/>
        </w:rPr>
        <w:t>Customer</w:t>
      </w:r>
      <w:r w:rsidR="00E2455B" w:rsidRPr="00D36794">
        <w:rPr>
          <w:rFonts w:asciiTheme="minorHAnsi" w:eastAsiaTheme="minorHAnsi" w:hAnsiTheme="minorHAnsi" w:cstheme="minorBidi"/>
        </w:rPr>
        <w:t>) information which demonstrates how the Supplier complies with its Tax obligations.</w:t>
      </w:r>
    </w:p>
    <w:p w14:paraId="4671E012" w14:textId="0D51D0F2" w:rsidR="00E2455B" w:rsidRPr="00D36794"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3</w:t>
      </w:r>
      <w:r w:rsidR="00D36794" w:rsidRPr="00D36794">
        <w:rPr>
          <w:rFonts w:asciiTheme="minorHAnsi" w:eastAsiaTheme="minorHAnsi" w:hAnsiTheme="minorHAnsi" w:cstheme="minorBidi"/>
        </w:rPr>
        <w:t>.</w:t>
      </w:r>
      <w:r w:rsidR="00E2455B" w:rsidRPr="00D36794">
        <w:rPr>
          <w:rFonts w:asciiTheme="minorHAnsi" w:eastAsiaTheme="minorHAnsi" w:hAnsiTheme="minorHAnsi" w:cstheme="minorBidi"/>
        </w:rPr>
        <w:t>8 If the Supplier fails to:</w:t>
      </w:r>
    </w:p>
    <w:p w14:paraId="19ADDBAC" w14:textId="4FEDEFE0"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3</w:t>
      </w:r>
      <w:r w:rsidR="00E2455B" w:rsidRPr="00D36794">
        <w:rPr>
          <w:rFonts w:asciiTheme="minorHAnsi" w:eastAsiaTheme="minorHAnsi" w:hAnsiTheme="minorHAnsi" w:cstheme="minorBidi"/>
        </w:rPr>
        <w:t xml:space="preserve">.8.1 </w:t>
      </w:r>
      <w:proofErr w:type="gramStart"/>
      <w:r w:rsidR="00E2455B" w:rsidRPr="00D36794">
        <w:rPr>
          <w:rFonts w:asciiTheme="minorHAnsi" w:eastAsiaTheme="minorHAnsi" w:hAnsiTheme="minorHAnsi" w:cstheme="minorBidi"/>
        </w:rPr>
        <w:t>comply</w:t>
      </w:r>
      <w:proofErr w:type="gramEnd"/>
      <w:r w:rsidR="00E2455B" w:rsidRPr="00D36794">
        <w:rPr>
          <w:rFonts w:asciiTheme="minorHAnsi" w:eastAsiaTheme="minorHAnsi" w:hAnsiTheme="minorHAnsi" w:cstheme="minorBidi"/>
        </w:rPr>
        <w:t xml:space="preserve"> (or if the </w:t>
      </w:r>
      <w:r w:rsidR="00BD4ACD" w:rsidRPr="00D36794">
        <w:rPr>
          <w:rFonts w:asciiTheme="minorHAnsi" w:eastAsiaTheme="minorHAnsi" w:hAnsiTheme="minorHAnsi" w:cstheme="minorBidi"/>
        </w:rPr>
        <w:t>Customer</w:t>
      </w:r>
      <w:r w:rsidR="00E2455B" w:rsidRPr="00D36794">
        <w:rPr>
          <w:rFonts w:asciiTheme="minorHAnsi" w:eastAsiaTheme="minorHAnsi" w:hAnsiTheme="minorHAnsi" w:cstheme="minorBidi"/>
        </w:rPr>
        <w:t xml:space="preserve"> receives information which demonstrates that the Supplier has failed to comply) with any of the provisions in Clauses </w:t>
      </w:r>
      <w:r w:rsidR="00D36794" w:rsidRPr="00D36794">
        <w:rPr>
          <w:rFonts w:asciiTheme="minorHAnsi" w:eastAsiaTheme="minorHAnsi" w:hAnsiTheme="minorHAnsi" w:cstheme="minorBidi"/>
        </w:rPr>
        <w:t>6</w:t>
      </w:r>
      <w:r w:rsidR="00E2455B" w:rsidRPr="00D36794">
        <w:rPr>
          <w:rFonts w:asciiTheme="minorHAnsi" w:eastAsiaTheme="minorHAnsi" w:hAnsiTheme="minorHAnsi" w:cstheme="minorBidi"/>
        </w:rPr>
        <w:t xml:space="preserve">.2 to </w:t>
      </w:r>
      <w:r w:rsidR="00D36794" w:rsidRPr="00D36794">
        <w:rPr>
          <w:rFonts w:asciiTheme="minorHAnsi" w:eastAsiaTheme="minorHAnsi" w:hAnsiTheme="minorHAnsi" w:cstheme="minorBidi"/>
        </w:rPr>
        <w:t>6</w:t>
      </w:r>
      <w:r w:rsidR="00E2455B" w:rsidRPr="00D36794">
        <w:rPr>
          <w:rFonts w:asciiTheme="minorHAnsi" w:eastAsiaTheme="minorHAnsi" w:hAnsiTheme="minorHAnsi" w:cstheme="minorBidi"/>
        </w:rPr>
        <w:t>.7</w:t>
      </w:r>
      <w:r w:rsidR="00E2455B" w:rsidRPr="00E2455B">
        <w:rPr>
          <w:rFonts w:asciiTheme="minorHAnsi" w:eastAsiaTheme="minorHAnsi" w:hAnsiTheme="minorHAnsi" w:cstheme="minorBidi"/>
        </w:rPr>
        <w:t xml:space="preserve"> (inclusive); and/or</w:t>
      </w:r>
    </w:p>
    <w:p w14:paraId="3DD113C0" w14:textId="6351928F"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proofErr w:type="gramStart"/>
      <w:r>
        <w:rPr>
          <w:rFonts w:asciiTheme="minorHAnsi" w:eastAsiaTheme="minorHAnsi" w:hAnsiTheme="minorHAnsi" w:cstheme="minorBidi"/>
        </w:rPr>
        <w:t>3</w:t>
      </w:r>
      <w:r w:rsidR="00E2455B" w:rsidRPr="00E2455B">
        <w:rPr>
          <w:rFonts w:asciiTheme="minorHAnsi" w:eastAsiaTheme="minorHAnsi" w:hAnsiTheme="minorHAnsi" w:cstheme="minorBidi"/>
        </w:rPr>
        <w:t>.8.2  fails</w:t>
      </w:r>
      <w:proofErr w:type="gramEnd"/>
      <w:r w:rsidR="00E2455B" w:rsidRPr="00E2455B">
        <w:rPr>
          <w:rFonts w:asciiTheme="minorHAnsi" w:eastAsiaTheme="minorHAnsi" w:hAnsiTheme="minorHAnsi" w:cstheme="minorBidi"/>
        </w:rPr>
        <w:t xml:space="preserve"> to provide details of steps being taken and mitigating factors pursuant to </w:t>
      </w:r>
      <w:r w:rsidR="00E2455B" w:rsidRPr="00D36794">
        <w:rPr>
          <w:rFonts w:asciiTheme="minorHAnsi" w:eastAsiaTheme="minorHAnsi" w:hAnsiTheme="minorHAnsi" w:cstheme="minorBidi"/>
        </w:rPr>
        <w:t xml:space="preserve">Clause </w:t>
      </w:r>
      <w:r>
        <w:rPr>
          <w:rFonts w:asciiTheme="minorHAnsi" w:eastAsiaTheme="minorHAnsi" w:hAnsiTheme="minorHAnsi" w:cstheme="minorBidi"/>
        </w:rPr>
        <w:t>3</w:t>
      </w:r>
      <w:r w:rsidR="00E2455B" w:rsidRPr="00D36794">
        <w:rPr>
          <w:rFonts w:asciiTheme="minorHAnsi" w:eastAsiaTheme="minorHAnsi" w:hAnsiTheme="minorHAnsi" w:cstheme="minorBidi"/>
        </w:rPr>
        <w:t>.5</w:t>
      </w:r>
      <w:r w:rsidR="00E2455B" w:rsidRPr="00E2455B">
        <w:rPr>
          <w:rFonts w:asciiTheme="minorHAnsi" w:eastAsiaTheme="minorHAnsi" w:hAnsiTheme="minorHAnsi" w:cstheme="minorBidi"/>
        </w:rPr>
        <w:t xml:space="preserve"> which in the reasonable opinion of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are acceptable,</w:t>
      </w:r>
    </w:p>
    <w:p w14:paraId="18EF846B" w14:textId="7C42AF35"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proofErr w:type="gramStart"/>
      <w:r w:rsidRPr="00E2455B">
        <w:rPr>
          <w:rFonts w:asciiTheme="minorHAnsi" w:eastAsiaTheme="minorHAnsi" w:hAnsiTheme="minorHAnsi" w:cstheme="minorBidi"/>
        </w:rPr>
        <w:t>this</w:t>
      </w:r>
      <w:proofErr w:type="gramEnd"/>
      <w:r w:rsidRPr="00E2455B">
        <w:rPr>
          <w:rFonts w:asciiTheme="minorHAnsi" w:eastAsiaTheme="minorHAnsi" w:hAnsiTheme="minorHAnsi" w:cstheme="minorBidi"/>
        </w:rPr>
        <w:t xml:space="preserve"> shall allow the </w:t>
      </w:r>
      <w:r w:rsidR="00BD4ACD">
        <w:rPr>
          <w:rFonts w:asciiTheme="minorHAnsi" w:eastAsiaTheme="minorHAnsi" w:hAnsiTheme="minorHAnsi" w:cstheme="minorBidi"/>
        </w:rPr>
        <w:t>Customer</w:t>
      </w:r>
      <w:r w:rsidRPr="00E2455B">
        <w:rPr>
          <w:rFonts w:asciiTheme="minorHAnsi" w:eastAsiaTheme="minorHAnsi" w:hAnsiTheme="minorHAnsi" w:cstheme="minorBidi"/>
        </w:rPr>
        <w:t xml:space="preserve"> to terminate the Agreement pursuan</w:t>
      </w:r>
      <w:r w:rsidR="005B2247">
        <w:rPr>
          <w:rFonts w:asciiTheme="minorHAnsi" w:eastAsiaTheme="minorHAnsi" w:hAnsiTheme="minorHAnsi" w:cstheme="minorBidi"/>
        </w:rPr>
        <w:t>t to Clause 8 in Section B of this Call Off Order Form</w:t>
      </w:r>
      <w:r w:rsidRPr="00E2455B">
        <w:rPr>
          <w:rFonts w:asciiTheme="minorHAnsi" w:eastAsiaTheme="minorHAnsi" w:hAnsiTheme="minorHAnsi" w:cstheme="minorBidi"/>
        </w:rPr>
        <w:t>.</w:t>
      </w:r>
    </w:p>
    <w:p w14:paraId="37B7C447" w14:textId="61821B54"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3</w:t>
      </w:r>
      <w:r w:rsidR="00E2455B" w:rsidRPr="00E2455B">
        <w:rPr>
          <w:rFonts w:asciiTheme="minorHAnsi" w:eastAsiaTheme="minorHAnsi" w:hAnsiTheme="minorHAnsi" w:cstheme="minorBidi"/>
        </w:rPr>
        <w:t xml:space="preserve">.9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may internally share any information which it receives under Clauses </w:t>
      </w:r>
      <w:r>
        <w:rPr>
          <w:rFonts w:asciiTheme="minorHAnsi" w:eastAsiaTheme="minorHAnsi" w:hAnsiTheme="minorHAnsi" w:cstheme="minorBidi"/>
        </w:rPr>
        <w:t>3</w:t>
      </w:r>
      <w:r w:rsidR="00E2455B" w:rsidRPr="005B2247">
        <w:rPr>
          <w:rFonts w:asciiTheme="minorHAnsi" w:eastAsiaTheme="minorHAnsi" w:hAnsiTheme="minorHAnsi" w:cstheme="minorBidi"/>
        </w:rPr>
        <w:t xml:space="preserve">.3 to </w:t>
      </w:r>
      <w:r>
        <w:rPr>
          <w:rFonts w:asciiTheme="minorHAnsi" w:eastAsiaTheme="minorHAnsi" w:hAnsiTheme="minorHAnsi" w:cstheme="minorBidi"/>
        </w:rPr>
        <w:t>3</w:t>
      </w:r>
      <w:r w:rsidR="00E2455B" w:rsidRPr="005B2247">
        <w:rPr>
          <w:rFonts w:asciiTheme="minorHAnsi" w:eastAsiaTheme="minorHAnsi" w:hAnsiTheme="minorHAnsi" w:cstheme="minorBidi"/>
        </w:rPr>
        <w:t xml:space="preserve">.5 (inclusive) and </w:t>
      </w:r>
      <w:r>
        <w:rPr>
          <w:rFonts w:asciiTheme="minorHAnsi" w:eastAsiaTheme="minorHAnsi" w:hAnsiTheme="minorHAnsi" w:cstheme="minorBidi"/>
        </w:rPr>
        <w:t>3</w:t>
      </w:r>
      <w:r w:rsidR="00E2455B" w:rsidRPr="005B2247">
        <w:rPr>
          <w:rFonts w:asciiTheme="minorHAnsi" w:eastAsiaTheme="minorHAnsi" w:hAnsiTheme="minorHAnsi" w:cstheme="minorBidi"/>
        </w:rPr>
        <w:t>.7.</w:t>
      </w:r>
      <w:r w:rsidR="00E2455B" w:rsidRPr="00E2455B">
        <w:rPr>
          <w:rFonts w:asciiTheme="minorHAnsi" w:eastAsiaTheme="minorHAnsi" w:hAnsiTheme="minorHAnsi" w:cstheme="minorBidi"/>
        </w:rPr>
        <w:t xml:space="preserve"> </w:t>
      </w:r>
    </w:p>
    <w:p w14:paraId="1FF1B59B" w14:textId="103410EB"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469"/>
      </w:tblGrid>
      <w:tr w:rsidR="00E2455B" w:rsidRPr="00E2455B" w14:paraId="07AB1884" w14:textId="77777777" w:rsidTr="00E2455B">
        <w:tc>
          <w:tcPr>
            <w:tcW w:w="2547" w:type="dxa"/>
          </w:tcPr>
          <w:p w14:paraId="16D0BEAC" w14:textId="77777777" w:rsidR="00E2455B" w:rsidRPr="00E2455B" w:rsidRDefault="00E2455B" w:rsidP="00E2455B">
            <w:pPr>
              <w:overflowPunct/>
              <w:autoSpaceDE/>
              <w:autoSpaceDN/>
              <w:adjustRightInd/>
              <w:spacing w:after="0"/>
              <w:ind w:left="0"/>
              <w:textAlignment w:val="auto"/>
              <w:rPr>
                <w:rFonts w:asciiTheme="minorHAnsi" w:eastAsiaTheme="minorHAnsi" w:hAnsiTheme="minorHAnsi" w:cstheme="minorHAnsi"/>
              </w:rPr>
            </w:pPr>
            <w:r w:rsidRPr="00E2455B">
              <w:rPr>
                <w:rFonts w:asciiTheme="minorHAnsi" w:eastAsiaTheme="minorHAnsi" w:hAnsiTheme="minorHAnsi" w:cstheme="minorHAnsi"/>
              </w:rPr>
              <w:t>“DOTAS”</w:t>
            </w:r>
          </w:p>
        </w:tc>
        <w:tc>
          <w:tcPr>
            <w:tcW w:w="6469" w:type="dxa"/>
          </w:tcPr>
          <w:p w14:paraId="612F8B46" w14:textId="77777777" w:rsidR="00E2455B" w:rsidRPr="00E2455B" w:rsidRDefault="00E2455B" w:rsidP="00E2455B">
            <w:pPr>
              <w:overflowPunct/>
              <w:autoSpaceDE/>
              <w:autoSpaceDN/>
              <w:adjustRightInd/>
              <w:spacing w:after="0"/>
              <w:ind w:left="0"/>
              <w:textAlignment w:val="auto"/>
              <w:rPr>
                <w:rFonts w:asciiTheme="minorHAnsi" w:eastAsiaTheme="minorHAnsi" w:hAnsiTheme="minorHAnsi" w:cstheme="minorHAnsi"/>
              </w:rPr>
            </w:pPr>
            <w:r w:rsidRPr="00E2455B">
              <w:rPr>
                <w:rFonts w:asciiTheme="minorHAnsi" w:eastAsiaTheme="minorHAnsi" w:hAnsiTheme="minorHAnsi" w:cstheme="minorHAnsi"/>
              </w:rPr>
              <w:t>the Disclosure of Tax Avoidance Schemes rules which require a promoter of tax schemes or those who use them to tell HMRC of any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and in Schedule 11A to the Value Added Tax Act 1994 (as amended by Schedule 1 to the Finance (no. 2) Act 2005;</w:t>
            </w:r>
          </w:p>
          <w:p w14:paraId="77FEDE82" w14:textId="77777777" w:rsidR="00E2455B" w:rsidRPr="00E2455B" w:rsidRDefault="00E2455B" w:rsidP="00E2455B">
            <w:pPr>
              <w:overflowPunct/>
              <w:autoSpaceDE/>
              <w:autoSpaceDN/>
              <w:adjustRightInd/>
              <w:spacing w:after="0"/>
              <w:ind w:left="0"/>
              <w:textAlignment w:val="auto"/>
              <w:rPr>
                <w:rFonts w:asciiTheme="minorHAnsi" w:eastAsiaTheme="minorHAnsi" w:hAnsiTheme="minorHAnsi" w:cstheme="minorHAnsi"/>
              </w:rPr>
            </w:pPr>
          </w:p>
        </w:tc>
      </w:tr>
      <w:tr w:rsidR="00E2455B" w:rsidRPr="00E2455B" w14:paraId="3B017B95" w14:textId="77777777" w:rsidTr="00E2455B">
        <w:tc>
          <w:tcPr>
            <w:tcW w:w="2547" w:type="dxa"/>
          </w:tcPr>
          <w:p w14:paraId="49D83A06" w14:textId="77777777" w:rsidR="00E2455B" w:rsidRPr="00E2455B" w:rsidRDefault="00E2455B" w:rsidP="00E2455B">
            <w:pPr>
              <w:overflowPunct/>
              <w:autoSpaceDE/>
              <w:autoSpaceDN/>
              <w:adjustRightInd/>
              <w:spacing w:after="0"/>
              <w:ind w:left="0"/>
              <w:jc w:val="left"/>
              <w:textAlignment w:val="auto"/>
              <w:rPr>
                <w:rFonts w:asciiTheme="minorHAnsi" w:eastAsiaTheme="minorHAnsi" w:hAnsiTheme="minorHAnsi" w:cstheme="minorHAnsi"/>
              </w:rPr>
            </w:pPr>
            <w:r w:rsidRPr="00E2455B">
              <w:rPr>
                <w:rFonts w:asciiTheme="minorHAnsi" w:eastAsiaTheme="minorHAnsi" w:hAnsiTheme="minorHAnsi" w:cstheme="minorHAnsi"/>
              </w:rPr>
              <w:t>“General Anti Abuse Rule”</w:t>
            </w:r>
          </w:p>
        </w:tc>
        <w:tc>
          <w:tcPr>
            <w:tcW w:w="6469" w:type="dxa"/>
          </w:tcPr>
          <w:p w14:paraId="0736C942" w14:textId="77777777" w:rsidR="00E2455B" w:rsidRPr="00E2455B" w:rsidRDefault="00E2455B" w:rsidP="00E2455B">
            <w:pPr>
              <w:overflowPunct/>
              <w:autoSpaceDE/>
              <w:autoSpaceDN/>
              <w:adjustRightInd/>
              <w:spacing w:after="0"/>
              <w:ind w:left="0"/>
              <w:jc w:val="left"/>
              <w:textAlignment w:val="auto"/>
              <w:rPr>
                <w:rFonts w:asciiTheme="minorHAnsi" w:eastAsiaTheme="minorHAnsi" w:hAnsiTheme="minorHAnsi" w:cstheme="minorHAnsi"/>
              </w:rPr>
            </w:pPr>
            <w:r w:rsidRPr="00E2455B">
              <w:rPr>
                <w:rFonts w:asciiTheme="minorHAnsi" w:eastAsiaTheme="minorHAnsi" w:hAnsiTheme="minorHAnsi" w:cstheme="minorHAnsi"/>
              </w:rPr>
              <w:t>means</w:t>
            </w:r>
          </w:p>
          <w:p w14:paraId="5BD38A9E" w14:textId="77777777" w:rsidR="00E2455B" w:rsidRPr="00E2455B" w:rsidRDefault="00E2455B" w:rsidP="00E2455B">
            <w:pPr>
              <w:overflowPunct/>
              <w:autoSpaceDE/>
              <w:autoSpaceDN/>
              <w:adjustRightInd/>
              <w:spacing w:after="0"/>
              <w:ind w:left="0"/>
              <w:jc w:val="left"/>
              <w:textAlignment w:val="auto"/>
              <w:rPr>
                <w:rFonts w:asciiTheme="minorHAnsi" w:eastAsiaTheme="minorHAnsi" w:hAnsiTheme="minorHAnsi" w:cstheme="minorHAnsi"/>
              </w:rPr>
            </w:pPr>
            <w:r w:rsidRPr="00E2455B">
              <w:rPr>
                <w:rFonts w:asciiTheme="minorHAnsi" w:eastAsiaTheme="minorHAnsi" w:hAnsiTheme="minorHAnsi" w:cstheme="minorHAnsi"/>
              </w:rPr>
              <w:t>(a)</w:t>
            </w:r>
            <w:r w:rsidRPr="00E2455B">
              <w:rPr>
                <w:rFonts w:asciiTheme="minorHAnsi" w:eastAsiaTheme="minorHAnsi" w:hAnsiTheme="minorHAnsi" w:cstheme="minorHAnsi"/>
              </w:rPr>
              <w:tab/>
              <w:t xml:space="preserve">the legislation in Part 5 of the Finance Act 2013; </w:t>
            </w:r>
          </w:p>
          <w:p w14:paraId="5D79BE97" w14:textId="77777777" w:rsidR="00E2455B" w:rsidRPr="00E2455B" w:rsidRDefault="00E2455B" w:rsidP="00E2455B">
            <w:pPr>
              <w:overflowPunct/>
              <w:autoSpaceDE/>
              <w:autoSpaceDN/>
              <w:adjustRightInd/>
              <w:spacing w:after="0"/>
              <w:ind w:left="0"/>
              <w:jc w:val="left"/>
              <w:textAlignment w:val="auto"/>
              <w:rPr>
                <w:rFonts w:asciiTheme="minorHAnsi" w:eastAsiaTheme="minorHAnsi" w:hAnsiTheme="minorHAnsi" w:cstheme="minorHAnsi"/>
              </w:rPr>
            </w:pPr>
            <w:r w:rsidRPr="00E2455B">
              <w:rPr>
                <w:rFonts w:asciiTheme="minorHAnsi" w:eastAsiaTheme="minorHAnsi" w:hAnsiTheme="minorHAnsi" w:cstheme="minorHAnsi"/>
              </w:rPr>
              <w:t>(b)</w:t>
            </w:r>
            <w:r w:rsidRPr="00E2455B">
              <w:rPr>
                <w:rFonts w:asciiTheme="minorHAnsi" w:eastAsiaTheme="minorHAnsi" w:hAnsiTheme="minorHAnsi" w:cstheme="minorHAnsi"/>
              </w:rPr>
              <w:tab/>
              <w:t>the legislation in sections 10 and 11 of the National Insurance Contributions Act 2014; and</w:t>
            </w:r>
          </w:p>
          <w:p w14:paraId="229195FA" w14:textId="77777777" w:rsidR="00E2455B" w:rsidRPr="00E2455B" w:rsidRDefault="00E2455B" w:rsidP="00E2455B">
            <w:pPr>
              <w:overflowPunct/>
              <w:autoSpaceDE/>
              <w:autoSpaceDN/>
              <w:adjustRightInd/>
              <w:spacing w:after="0"/>
              <w:ind w:left="0"/>
              <w:jc w:val="left"/>
              <w:textAlignment w:val="auto"/>
              <w:rPr>
                <w:rFonts w:asciiTheme="minorHAnsi" w:eastAsiaTheme="minorHAnsi" w:hAnsiTheme="minorHAnsi" w:cstheme="minorHAnsi"/>
              </w:rPr>
            </w:pPr>
            <w:r w:rsidRPr="00E2455B">
              <w:rPr>
                <w:rFonts w:asciiTheme="minorHAnsi" w:eastAsiaTheme="minorHAnsi" w:hAnsiTheme="minorHAnsi" w:cstheme="minorHAnsi"/>
              </w:rPr>
              <w:t>(c)</w:t>
            </w:r>
            <w:r w:rsidRPr="00E2455B">
              <w:rPr>
                <w:rFonts w:asciiTheme="minorHAnsi" w:eastAsiaTheme="minorHAnsi" w:hAnsiTheme="minorHAnsi" w:cstheme="minorHAnsi"/>
              </w:rPr>
              <w:tab/>
              <w:t>any future legislation introduced into Parliament to counteract tax advantages arising from abusive arrangements to avoid any Tax;</w:t>
            </w:r>
          </w:p>
          <w:p w14:paraId="4633599B" w14:textId="77777777" w:rsidR="00E2455B" w:rsidRPr="00E2455B" w:rsidRDefault="00E2455B" w:rsidP="00E2455B">
            <w:pPr>
              <w:overflowPunct/>
              <w:autoSpaceDE/>
              <w:autoSpaceDN/>
              <w:adjustRightInd/>
              <w:spacing w:after="0"/>
              <w:ind w:left="0"/>
              <w:jc w:val="left"/>
              <w:textAlignment w:val="auto"/>
              <w:rPr>
                <w:rFonts w:asciiTheme="minorHAnsi" w:eastAsiaTheme="minorHAnsi" w:hAnsiTheme="minorHAnsi" w:cstheme="minorHAnsi"/>
              </w:rPr>
            </w:pPr>
          </w:p>
        </w:tc>
      </w:tr>
      <w:tr w:rsidR="00E2455B" w:rsidRPr="00E2455B" w14:paraId="04186580" w14:textId="77777777" w:rsidTr="00E2455B">
        <w:tc>
          <w:tcPr>
            <w:tcW w:w="2547" w:type="dxa"/>
          </w:tcPr>
          <w:p w14:paraId="42EEC8AA" w14:textId="77777777" w:rsidR="00E2455B" w:rsidRPr="00E2455B" w:rsidRDefault="00E2455B" w:rsidP="00E2455B">
            <w:pPr>
              <w:overflowPunct/>
              <w:autoSpaceDE/>
              <w:autoSpaceDN/>
              <w:adjustRightInd/>
              <w:spacing w:after="0"/>
              <w:ind w:left="0"/>
              <w:jc w:val="left"/>
              <w:textAlignment w:val="auto"/>
              <w:rPr>
                <w:rFonts w:asciiTheme="minorHAnsi" w:eastAsiaTheme="minorHAnsi" w:hAnsiTheme="minorHAnsi" w:cstheme="minorHAnsi"/>
              </w:rPr>
            </w:pPr>
            <w:r w:rsidRPr="00E2455B">
              <w:rPr>
                <w:rFonts w:asciiTheme="minorHAnsi" w:eastAsiaTheme="minorHAnsi" w:hAnsiTheme="minorHAnsi" w:cstheme="minorHAnsi"/>
              </w:rPr>
              <w:t>“Halifax Abuse Principle”</w:t>
            </w:r>
          </w:p>
        </w:tc>
        <w:tc>
          <w:tcPr>
            <w:tcW w:w="6469" w:type="dxa"/>
          </w:tcPr>
          <w:p w14:paraId="5D94EAD0" w14:textId="77777777" w:rsidR="00E2455B" w:rsidRPr="00E2455B" w:rsidRDefault="00E2455B" w:rsidP="00E2455B">
            <w:pPr>
              <w:overflowPunct/>
              <w:autoSpaceDE/>
              <w:autoSpaceDN/>
              <w:adjustRightInd/>
              <w:spacing w:after="0"/>
              <w:ind w:left="0"/>
              <w:jc w:val="left"/>
              <w:textAlignment w:val="auto"/>
              <w:rPr>
                <w:rFonts w:asciiTheme="minorHAnsi" w:eastAsiaTheme="minorHAnsi" w:hAnsiTheme="minorHAnsi" w:cstheme="minorHAnsi"/>
              </w:rPr>
            </w:pPr>
            <w:r w:rsidRPr="00E2455B">
              <w:rPr>
                <w:rFonts w:asciiTheme="minorHAnsi" w:eastAsiaTheme="minorHAnsi" w:hAnsiTheme="minorHAnsi" w:cstheme="minorHAnsi"/>
              </w:rPr>
              <w:t>the principle explained in the CJEU Case C 255/02 Halifax and others;</w:t>
            </w:r>
          </w:p>
          <w:p w14:paraId="35010B39" w14:textId="77777777" w:rsidR="00E2455B" w:rsidRPr="00E2455B" w:rsidRDefault="00E2455B" w:rsidP="00E2455B">
            <w:pPr>
              <w:overflowPunct/>
              <w:autoSpaceDE/>
              <w:autoSpaceDN/>
              <w:adjustRightInd/>
              <w:spacing w:after="0"/>
              <w:ind w:left="0"/>
              <w:jc w:val="left"/>
              <w:textAlignment w:val="auto"/>
              <w:rPr>
                <w:rFonts w:asciiTheme="minorHAnsi" w:eastAsiaTheme="minorHAnsi" w:hAnsiTheme="minorHAnsi" w:cstheme="minorHAnsi"/>
              </w:rPr>
            </w:pPr>
          </w:p>
        </w:tc>
      </w:tr>
      <w:tr w:rsidR="00E2455B" w:rsidRPr="00E2455B" w14:paraId="5B790D6B" w14:textId="77777777" w:rsidTr="00E2455B">
        <w:tc>
          <w:tcPr>
            <w:tcW w:w="2547" w:type="dxa"/>
          </w:tcPr>
          <w:p w14:paraId="36FA802B" w14:textId="77777777" w:rsidR="00E2455B" w:rsidRPr="00E2455B" w:rsidRDefault="00E2455B" w:rsidP="00E2455B">
            <w:pPr>
              <w:overflowPunct/>
              <w:autoSpaceDE/>
              <w:autoSpaceDN/>
              <w:adjustRightInd/>
              <w:spacing w:after="0"/>
              <w:ind w:left="0"/>
              <w:jc w:val="left"/>
              <w:textAlignment w:val="auto"/>
              <w:rPr>
                <w:rFonts w:asciiTheme="minorHAnsi" w:eastAsiaTheme="minorHAnsi" w:hAnsiTheme="minorHAnsi" w:cstheme="minorHAnsi"/>
              </w:rPr>
            </w:pPr>
            <w:r w:rsidRPr="00E2455B">
              <w:rPr>
                <w:rFonts w:asciiTheme="minorHAnsi" w:eastAsiaTheme="minorHAnsi" w:hAnsiTheme="minorHAnsi" w:cstheme="minorHAnsi"/>
              </w:rPr>
              <w:t>“Occasion of Tax Non-Compliance”</w:t>
            </w:r>
          </w:p>
        </w:tc>
        <w:tc>
          <w:tcPr>
            <w:tcW w:w="6469" w:type="dxa"/>
          </w:tcPr>
          <w:p w14:paraId="4313D2F4" w14:textId="180974FA" w:rsidR="00E2455B" w:rsidRPr="00E2455B" w:rsidRDefault="00E2455B" w:rsidP="00E2455B">
            <w:pPr>
              <w:overflowPunct/>
              <w:autoSpaceDE/>
              <w:autoSpaceDN/>
              <w:adjustRightInd/>
              <w:spacing w:after="0"/>
              <w:ind w:left="0"/>
              <w:jc w:val="left"/>
              <w:textAlignment w:val="auto"/>
              <w:rPr>
                <w:rFonts w:asciiTheme="minorHAnsi" w:eastAsiaTheme="minorHAnsi" w:hAnsiTheme="minorHAnsi" w:cstheme="minorHAnsi"/>
              </w:rPr>
            </w:pPr>
            <w:r w:rsidRPr="00E2455B">
              <w:rPr>
                <w:rFonts w:asciiTheme="minorHAnsi" w:eastAsiaTheme="minorHAnsi" w:hAnsiTheme="minorHAnsi" w:cstheme="minorHAnsi"/>
              </w:rPr>
              <w:t>(a)</w:t>
            </w:r>
            <w:r w:rsidRPr="00E2455B">
              <w:rPr>
                <w:rFonts w:asciiTheme="minorHAnsi" w:eastAsiaTheme="minorHAnsi" w:hAnsiTheme="minorHAnsi" w:cstheme="minorHAnsi"/>
              </w:rPr>
              <w:tab/>
              <w:t xml:space="preserve">any Tax return of the Supplier and/or its Subcontractor and/or any  non-submission of a Tax return (whether deliberate or by omission) by the Supplier and/or its Subcontractor to the Relevant Tax </w:t>
            </w:r>
            <w:r w:rsidR="00BD4ACD">
              <w:rPr>
                <w:rFonts w:asciiTheme="minorHAnsi" w:eastAsiaTheme="minorHAnsi" w:hAnsiTheme="minorHAnsi" w:cstheme="minorHAnsi"/>
              </w:rPr>
              <w:t>Customer</w:t>
            </w:r>
            <w:r w:rsidRPr="00E2455B">
              <w:rPr>
                <w:rFonts w:asciiTheme="minorHAnsi" w:eastAsiaTheme="minorHAnsi" w:hAnsiTheme="minorHAnsi" w:cstheme="minorHAnsi"/>
              </w:rPr>
              <w:t xml:space="preserve"> on or after 1 October 2012 is found to be incorrect as a result of:</w:t>
            </w:r>
          </w:p>
          <w:p w14:paraId="6A90B29B" w14:textId="77777777" w:rsidR="00E2455B" w:rsidRPr="00E2455B" w:rsidRDefault="00E2455B" w:rsidP="00E2455B">
            <w:pPr>
              <w:overflowPunct/>
              <w:autoSpaceDE/>
              <w:autoSpaceDN/>
              <w:adjustRightInd/>
              <w:spacing w:after="0"/>
              <w:ind w:left="0"/>
              <w:jc w:val="left"/>
              <w:textAlignment w:val="auto"/>
              <w:rPr>
                <w:rFonts w:asciiTheme="minorHAnsi" w:eastAsiaTheme="minorHAnsi" w:hAnsiTheme="minorHAnsi" w:cstheme="minorHAnsi"/>
              </w:rPr>
            </w:pPr>
            <w:r w:rsidRPr="00E2455B">
              <w:rPr>
                <w:rFonts w:asciiTheme="minorHAnsi" w:eastAsiaTheme="minorHAnsi" w:hAnsiTheme="minorHAnsi" w:cstheme="minorHAnsi"/>
              </w:rPr>
              <w:t>(</w:t>
            </w:r>
            <w:proofErr w:type="spellStart"/>
            <w:r w:rsidRPr="00E2455B">
              <w:rPr>
                <w:rFonts w:asciiTheme="minorHAnsi" w:eastAsiaTheme="minorHAnsi" w:hAnsiTheme="minorHAnsi" w:cstheme="minorHAnsi"/>
              </w:rPr>
              <w:t>i</w:t>
            </w:r>
            <w:proofErr w:type="spellEnd"/>
            <w:r w:rsidRPr="00E2455B">
              <w:rPr>
                <w:rFonts w:asciiTheme="minorHAnsi" w:eastAsiaTheme="minorHAnsi" w:hAnsiTheme="minorHAnsi" w:cstheme="minorHAnsi"/>
              </w:rPr>
              <w:t>)</w:t>
            </w:r>
            <w:r w:rsidRPr="00E2455B">
              <w:rPr>
                <w:rFonts w:asciiTheme="minorHAnsi" w:eastAsiaTheme="minorHAnsi" w:hAnsiTheme="minorHAnsi" w:cstheme="minorHAnsi"/>
              </w:rPr>
              <w:tab/>
              <w:t xml:space="preserve">a Relevant Tax Authority successfully challenging the Supplier or relevant Subcontractor under the General Anti Abuse Rule or the Halifax Abuse Principle or TAAR or under any Tax rules or legislation in any jurisdiction that have an effect equivalent or similar to the General Anti Abuse Rule or the Halifax Abuse Principle or TAAR; </w:t>
            </w:r>
          </w:p>
          <w:p w14:paraId="4C20C797" w14:textId="77777777" w:rsidR="00E2455B" w:rsidRPr="00E2455B" w:rsidRDefault="00E2455B" w:rsidP="00E2455B">
            <w:pPr>
              <w:overflowPunct/>
              <w:autoSpaceDE/>
              <w:autoSpaceDN/>
              <w:adjustRightInd/>
              <w:spacing w:after="0"/>
              <w:ind w:left="0"/>
              <w:jc w:val="left"/>
              <w:textAlignment w:val="auto"/>
              <w:rPr>
                <w:rFonts w:asciiTheme="minorHAnsi" w:eastAsiaTheme="minorHAnsi" w:hAnsiTheme="minorHAnsi" w:cstheme="minorHAnsi"/>
              </w:rPr>
            </w:pPr>
            <w:r w:rsidRPr="00E2455B">
              <w:rPr>
                <w:rFonts w:asciiTheme="minorHAnsi" w:eastAsiaTheme="minorHAnsi" w:hAnsiTheme="minorHAnsi" w:cstheme="minorHAnsi"/>
              </w:rPr>
              <w:t>(ii)</w:t>
            </w:r>
            <w:r w:rsidRPr="00E2455B">
              <w:rPr>
                <w:rFonts w:asciiTheme="minorHAnsi" w:eastAsiaTheme="minorHAnsi" w:hAnsiTheme="minorHAnsi" w:cstheme="minorHAnsi"/>
              </w:rPr>
              <w:tab/>
              <w:t>the failure of an avoidance scheme which the Supplier or relevant Subcontractor was involved in, and which was, or should have been, notified to a Relevant Tax Authority under the DOTAS or any equivalent or similar regime in any jurisdiction; and/or</w:t>
            </w:r>
          </w:p>
          <w:p w14:paraId="2095B92F" w14:textId="77777777" w:rsidR="00E2455B" w:rsidRPr="00E2455B" w:rsidRDefault="00E2455B" w:rsidP="00E2455B">
            <w:pPr>
              <w:overflowPunct/>
              <w:autoSpaceDE/>
              <w:autoSpaceDN/>
              <w:adjustRightInd/>
              <w:spacing w:after="0"/>
              <w:ind w:left="0"/>
              <w:jc w:val="left"/>
              <w:textAlignment w:val="auto"/>
              <w:rPr>
                <w:rFonts w:asciiTheme="minorHAnsi" w:eastAsiaTheme="minorHAnsi" w:hAnsiTheme="minorHAnsi" w:cstheme="minorHAnsi"/>
              </w:rPr>
            </w:pPr>
            <w:r w:rsidRPr="00E2455B">
              <w:rPr>
                <w:rFonts w:asciiTheme="minorHAnsi" w:eastAsiaTheme="minorHAnsi" w:hAnsiTheme="minorHAnsi" w:cstheme="minorHAnsi"/>
              </w:rPr>
              <w:t>(b)</w:t>
            </w:r>
            <w:r w:rsidRPr="00E2455B">
              <w:rPr>
                <w:rFonts w:asciiTheme="minorHAnsi" w:eastAsiaTheme="minorHAnsi" w:hAnsiTheme="minorHAnsi" w:cstheme="minorHAnsi"/>
              </w:rPr>
              <w:tab/>
              <w:t xml:space="preserve">the Tax affairs of the Supplier or any of its Subcontractors have given rise to a criminal conviction in any jurisdiction for Tax related offences within the last five (5) years which is not spent at the date the Call-Off Contract is entered into or to a civil penalty for fraud or evasion within the last three (3) years; </w:t>
            </w:r>
          </w:p>
          <w:p w14:paraId="2AEE04EF" w14:textId="77777777" w:rsidR="00E2455B" w:rsidRPr="00E2455B" w:rsidRDefault="00E2455B" w:rsidP="00E2455B">
            <w:pPr>
              <w:overflowPunct/>
              <w:autoSpaceDE/>
              <w:autoSpaceDN/>
              <w:adjustRightInd/>
              <w:spacing w:after="0"/>
              <w:ind w:left="0"/>
              <w:jc w:val="left"/>
              <w:textAlignment w:val="auto"/>
              <w:rPr>
                <w:rFonts w:asciiTheme="minorHAnsi" w:eastAsiaTheme="minorHAnsi" w:hAnsiTheme="minorHAnsi" w:cstheme="minorHAnsi"/>
              </w:rPr>
            </w:pPr>
            <w:r w:rsidRPr="00E2455B">
              <w:rPr>
                <w:rFonts w:asciiTheme="minorHAnsi" w:eastAsiaTheme="minorHAnsi" w:hAnsiTheme="minorHAnsi" w:cstheme="minorHAnsi"/>
              </w:rPr>
              <w:t>(c)</w:t>
            </w:r>
            <w:r w:rsidRPr="00E2455B">
              <w:rPr>
                <w:rFonts w:asciiTheme="minorHAnsi" w:eastAsiaTheme="minorHAnsi" w:hAnsiTheme="minorHAnsi" w:cstheme="minorHAnsi"/>
              </w:rPr>
              <w:tab/>
              <w:t>For these purposes :</w:t>
            </w:r>
          </w:p>
          <w:p w14:paraId="08401BE5" w14:textId="77777777" w:rsidR="00E2455B" w:rsidRPr="00E2455B" w:rsidRDefault="00E2455B" w:rsidP="00E2455B">
            <w:pPr>
              <w:overflowPunct/>
              <w:autoSpaceDE/>
              <w:autoSpaceDN/>
              <w:adjustRightInd/>
              <w:spacing w:after="0"/>
              <w:ind w:left="0"/>
              <w:jc w:val="left"/>
              <w:textAlignment w:val="auto"/>
              <w:rPr>
                <w:rFonts w:asciiTheme="minorHAnsi" w:eastAsiaTheme="minorHAnsi" w:hAnsiTheme="minorHAnsi" w:cstheme="minorHAnsi"/>
              </w:rPr>
            </w:pPr>
            <w:r w:rsidRPr="00E2455B">
              <w:rPr>
                <w:rFonts w:asciiTheme="minorHAnsi" w:eastAsiaTheme="minorHAnsi" w:hAnsiTheme="minorHAnsi" w:cstheme="minorHAnsi"/>
              </w:rPr>
              <w:t>(</w:t>
            </w:r>
            <w:proofErr w:type="spellStart"/>
            <w:r w:rsidRPr="00E2455B">
              <w:rPr>
                <w:rFonts w:asciiTheme="minorHAnsi" w:eastAsiaTheme="minorHAnsi" w:hAnsiTheme="minorHAnsi" w:cstheme="minorHAnsi"/>
              </w:rPr>
              <w:t>i</w:t>
            </w:r>
            <w:proofErr w:type="spellEnd"/>
            <w:r w:rsidRPr="00E2455B">
              <w:rPr>
                <w:rFonts w:asciiTheme="minorHAnsi" w:eastAsiaTheme="minorHAnsi" w:hAnsiTheme="minorHAnsi" w:cstheme="minorHAnsi"/>
              </w:rPr>
              <w:t>)</w:t>
            </w:r>
            <w:r w:rsidRPr="00E2455B">
              <w:rPr>
                <w:rFonts w:asciiTheme="minorHAnsi" w:eastAsiaTheme="minorHAnsi" w:hAnsiTheme="minorHAnsi" w:cstheme="minorHAnsi"/>
              </w:rPr>
              <w:tab/>
              <w:t>a return is "submitted" when it is first submitted to the Relevant Tax Authority and any subsequent amendments or re-submissions are to be ignored; and</w:t>
            </w:r>
          </w:p>
          <w:p w14:paraId="1E7AD638" w14:textId="77777777" w:rsidR="00E2455B" w:rsidRPr="00E2455B" w:rsidRDefault="00E2455B" w:rsidP="00E2455B">
            <w:pPr>
              <w:overflowPunct/>
              <w:autoSpaceDE/>
              <w:autoSpaceDN/>
              <w:adjustRightInd/>
              <w:spacing w:after="0"/>
              <w:ind w:left="0"/>
              <w:jc w:val="left"/>
              <w:textAlignment w:val="auto"/>
              <w:rPr>
                <w:rFonts w:asciiTheme="minorHAnsi" w:eastAsiaTheme="minorHAnsi" w:hAnsiTheme="minorHAnsi" w:cstheme="minorHAnsi"/>
              </w:rPr>
            </w:pPr>
            <w:r w:rsidRPr="00E2455B">
              <w:rPr>
                <w:rFonts w:asciiTheme="minorHAnsi" w:eastAsiaTheme="minorHAnsi" w:hAnsiTheme="minorHAnsi" w:cstheme="minorHAnsi"/>
              </w:rPr>
              <w:t>(ii)</w:t>
            </w:r>
            <w:r w:rsidRPr="00E2455B">
              <w:rPr>
                <w:rFonts w:asciiTheme="minorHAnsi" w:eastAsiaTheme="minorHAnsi" w:hAnsiTheme="minorHAnsi" w:cstheme="minorHAnsi"/>
              </w:rPr>
              <w:tab/>
            </w:r>
            <w:proofErr w:type="gramStart"/>
            <w:r w:rsidRPr="00E2455B">
              <w:rPr>
                <w:rFonts w:asciiTheme="minorHAnsi" w:eastAsiaTheme="minorHAnsi" w:hAnsiTheme="minorHAnsi" w:cstheme="minorHAnsi"/>
              </w:rPr>
              <w:t>a</w:t>
            </w:r>
            <w:proofErr w:type="gramEnd"/>
            <w:r w:rsidRPr="00E2455B">
              <w:rPr>
                <w:rFonts w:asciiTheme="minorHAnsi" w:eastAsiaTheme="minorHAnsi" w:hAnsiTheme="minorHAnsi" w:cstheme="minorHAnsi"/>
              </w:rPr>
              <w:t xml:space="preserve"> Relevant Tax Authority will not be deemed to have "successfully challenged" the Supplier or a Subcontractor until an appeal against such challenge is no longer possible.</w:t>
            </w:r>
          </w:p>
          <w:p w14:paraId="6978D465" w14:textId="77777777" w:rsidR="00E2455B" w:rsidRPr="00E2455B" w:rsidRDefault="00E2455B" w:rsidP="00E2455B">
            <w:pPr>
              <w:overflowPunct/>
              <w:autoSpaceDE/>
              <w:autoSpaceDN/>
              <w:adjustRightInd/>
              <w:spacing w:after="0"/>
              <w:ind w:left="0"/>
              <w:jc w:val="left"/>
              <w:textAlignment w:val="auto"/>
              <w:rPr>
                <w:rFonts w:asciiTheme="minorHAnsi" w:eastAsiaTheme="minorHAnsi" w:hAnsiTheme="minorHAnsi" w:cstheme="minorHAnsi"/>
              </w:rPr>
            </w:pPr>
          </w:p>
        </w:tc>
      </w:tr>
      <w:tr w:rsidR="00E2455B" w:rsidRPr="00E2455B" w14:paraId="06652933" w14:textId="77777777" w:rsidTr="00E2455B">
        <w:tc>
          <w:tcPr>
            <w:tcW w:w="2547" w:type="dxa"/>
          </w:tcPr>
          <w:p w14:paraId="4E049CD5" w14:textId="77777777" w:rsidR="00E2455B" w:rsidRPr="00E2455B" w:rsidRDefault="00E2455B" w:rsidP="00E2455B">
            <w:pPr>
              <w:overflowPunct/>
              <w:autoSpaceDE/>
              <w:autoSpaceDN/>
              <w:adjustRightInd/>
              <w:spacing w:after="0"/>
              <w:ind w:left="0"/>
              <w:jc w:val="left"/>
              <w:textAlignment w:val="auto"/>
              <w:rPr>
                <w:rFonts w:asciiTheme="minorHAnsi" w:eastAsiaTheme="minorHAnsi" w:hAnsiTheme="minorHAnsi" w:cstheme="minorHAnsi"/>
              </w:rPr>
            </w:pPr>
            <w:r w:rsidRPr="00E2455B">
              <w:rPr>
                <w:rFonts w:asciiTheme="minorHAnsi" w:eastAsiaTheme="minorHAnsi" w:hAnsiTheme="minorHAnsi" w:cstheme="minorHAnsi"/>
              </w:rPr>
              <w:t>“Relevant Tax Authority”</w:t>
            </w:r>
          </w:p>
        </w:tc>
        <w:tc>
          <w:tcPr>
            <w:tcW w:w="6469" w:type="dxa"/>
          </w:tcPr>
          <w:p w14:paraId="220184DA" w14:textId="77777777" w:rsidR="00E2455B" w:rsidRPr="00E2455B" w:rsidRDefault="00E2455B" w:rsidP="00E2455B">
            <w:pPr>
              <w:overflowPunct/>
              <w:autoSpaceDE/>
              <w:autoSpaceDN/>
              <w:adjustRightInd/>
              <w:spacing w:after="0"/>
              <w:ind w:left="0"/>
              <w:jc w:val="left"/>
              <w:textAlignment w:val="auto"/>
              <w:rPr>
                <w:rFonts w:asciiTheme="minorHAnsi" w:eastAsiaTheme="minorHAnsi" w:hAnsiTheme="minorHAnsi" w:cstheme="minorHAnsi"/>
              </w:rPr>
            </w:pPr>
            <w:r w:rsidRPr="00E2455B">
              <w:rPr>
                <w:rFonts w:asciiTheme="minorHAnsi" w:eastAsiaTheme="minorHAnsi" w:hAnsiTheme="minorHAnsi" w:cstheme="minorHAnsi"/>
              </w:rPr>
              <w:t>HMRC, or, if applicable, a tax authority in the jurisdiction in which the Supplier is established, resident or liable to any Tax;</w:t>
            </w:r>
          </w:p>
          <w:p w14:paraId="2F526122" w14:textId="77777777" w:rsidR="00E2455B" w:rsidRPr="00E2455B" w:rsidRDefault="00E2455B" w:rsidP="00E2455B">
            <w:pPr>
              <w:overflowPunct/>
              <w:autoSpaceDE/>
              <w:autoSpaceDN/>
              <w:adjustRightInd/>
              <w:spacing w:after="0"/>
              <w:ind w:left="0"/>
              <w:jc w:val="left"/>
              <w:textAlignment w:val="auto"/>
              <w:rPr>
                <w:rFonts w:asciiTheme="minorHAnsi" w:eastAsiaTheme="minorHAnsi" w:hAnsiTheme="minorHAnsi" w:cstheme="minorHAnsi"/>
              </w:rPr>
            </w:pPr>
          </w:p>
        </w:tc>
      </w:tr>
      <w:tr w:rsidR="00E2455B" w:rsidRPr="00E2455B" w14:paraId="2C8F5F6A" w14:textId="77777777" w:rsidTr="00E2455B">
        <w:tc>
          <w:tcPr>
            <w:tcW w:w="2547" w:type="dxa"/>
          </w:tcPr>
          <w:p w14:paraId="71EA46D1" w14:textId="77777777" w:rsidR="00E2455B" w:rsidRPr="00E2455B" w:rsidRDefault="00E2455B" w:rsidP="00E2455B">
            <w:pPr>
              <w:overflowPunct/>
              <w:autoSpaceDE/>
              <w:autoSpaceDN/>
              <w:adjustRightInd/>
              <w:spacing w:before="120" w:after="120"/>
              <w:ind w:left="-142"/>
              <w:jc w:val="left"/>
              <w:textAlignment w:val="auto"/>
              <w:rPr>
                <w:rFonts w:asciiTheme="minorHAnsi" w:eastAsiaTheme="minorHAnsi" w:hAnsiTheme="minorHAnsi" w:cstheme="minorBidi"/>
              </w:rPr>
            </w:pPr>
            <w:r w:rsidRPr="00E2455B">
              <w:rPr>
                <w:rFonts w:asciiTheme="minorHAnsi" w:eastAsiaTheme="minorHAnsi" w:hAnsiTheme="minorHAnsi" w:cstheme="minorBidi"/>
              </w:rPr>
              <w:t>“Subcontract”</w:t>
            </w:r>
          </w:p>
        </w:tc>
        <w:tc>
          <w:tcPr>
            <w:tcW w:w="6469" w:type="dxa"/>
          </w:tcPr>
          <w:p w14:paraId="43ABB018" w14:textId="77777777" w:rsidR="00E2455B" w:rsidRPr="00E2455B" w:rsidRDefault="00E2455B" w:rsidP="00E2455B">
            <w:pPr>
              <w:overflowPunct/>
              <w:autoSpaceDE/>
              <w:autoSpaceDN/>
              <w:adjustRightInd/>
              <w:spacing w:before="120" w:after="120"/>
              <w:ind w:left="-101"/>
              <w:jc w:val="left"/>
              <w:textAlignment w:val="auto"/>
              <w:rPr>
                <w:rFonts w:asciiTheme="minorHAnsi" w:eastAsiaTheme="minorHAnsi" w:hAnsiTheme="minorHAnsi" w:cstheme="minorBidi"/>
              </w:rPr>
            </w:pPr>
            <w:r w:rsidRPr="00E2455B">
              <w:rPr>
                <w:rFonts w:asciiTheme="minorHAnsi" w:eastAsiaTheme="minorHAnsi" w:hAnsiTheme="minorHAnsi" w:cstheme="minorBid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E2455B" w:rsidRPr="00E2455B" w14:paraId="1F0B055E" w14:textId="77777777" w:rsidTr="00E2455B">
        <w:tc>
          <w:tcPr>
            <w:tcW w:w="2547" w:type="dxa"/>
          </w:tcPr>
          <w:p w14:paraId="134C1F0E" w14:textId="77777777" w:rsidR="00E2455B" w:rsidRPr="00E2455B" w:rsidRDefault="00E2455B" w:rsidP="00E2455B">
            <w:pPr>
              <w:overflowPunct/>
              <w:autoSpaceDE/>
              <w:autoSpaceDN/>
              <w:adjustRightInd/>
              <w:spacing w:before="120" w:after="120"/>
              <w:ind w:left="-34"/>
              <w:jc w:val="left"/>
              <w:textAlignment w:val="auto"/>
              <w:rPr>
                <w:rFonts w:asciiTheme="minorHAnsi" w:eastAsiaTheme="minorHAnsi" w:hAnsiTheme="minorHAnsi" w:cstheme="minorBidi"/>
                <w:spacing w:val="-2"/>
              </w:rPr>
            </w:pPr>
            <w:r w:rsidRPr="00E2455B">
              <w:rPr>
                <w:rFonts w:asciiTheme="minorHAnsi" w:eastAsiaTheme="minorHAnsi" w:hAnsiTheme="minorHAnsi" w:cstheme="minorBidi"/>
              </w:rPr>
              <w:t>“</w:t>
            </w:r>
            <w:r w:rsidRPr="00E2455B">
              <w:rPr>
                <w:rFonts w:asciiTheme="minorHAnsi" w:eastAsiaTheme="minorHAnsi" w:hAnsiTheme="minorHAnsi" w:cstheme="minorBidi"/>
                <w:spacing w:val="-2"/>
              </w:rPr>
              <w:t>Subcontractor</w:t>
            </w:r>
            <w:r w:rsidRPr="00E2455B">
              <w:rPr>
                <w:rFonts w:asciiTheme="minorHAnsi" w:eastAsiaTheme="minorHAnsi" w:hAnsiTheme="minorHAnsi" w:cstheme="minorBidi"/>
              </w:rPr>
              <w:t>”</w:t>
            </w:r>
          </w:p>
        </w:tc>
        <w:tc>
          <w:tcPr>
            <w:tcW w:w="6469" w:type="dxa"/>
          </w:tcPr>
          <w:p w14:paraId="6A5022BE" w14:textId="77777777" w:rsidR="00E2455B" w:rsidRPr="00E2455B" w:rsidRDefault="00E2455B" w:rsidP="00E2455B">
            <w:pPr>
              <w:widowControl w:val="0"/>
              <w:overflowPunct/>
              <w:autoSpaceDE/>
              <w:autoSpaceDN/>
              <w:adjustRightInd/>
              <w:spacing w:before="120" w:after="120"/>
              <w:ind w:left="0"/>
              <w:jc w:val="left"/>
              <w:textAlignment w:val="auto"/>
              <w:rPr>
                <w:rFonts w:asciiTheme="minorHAnsi" w:eastAsiaTheme="minorHAnsi" w:hAnsiTheme="minorHAnsi" w:cstheme="minorBidi"/>
              </w:rPr>
            </w:pPr>
            <w:r w:rsidRPr="00E2455B">
              <w:rPr>
                <w:rFonts w:asciiTheme="minorHAnsi" w:eastAsiaTheme="minorHAnsi" w:hAnsiTheme="minorHAnsi" w:cstheme="minorBidi"/>
              </w:rPr>
              <w:t>any third party with whom:</w:t>
            </w:r>
          </w:p>
          <w:p w14:paraId="1F51B7E1" w14:textId="77777777" w:rsidR="00E2455B" w:rsidRPr="00E2455B" w:rsidRDefault="00E2455B" w:rsidP="00E2455B">
            <w:pPr>
              <w:numPr>
                <w:ilvl w:val="0"/>
                <w:numId w:val="26"/>
              </w:numPr>
              <w:tabs>
                <w:tab w:val="left" w:pos="-75"/>
              </w:tabs>
              <w:overflowPunct/>
              <w:autoSpaceDE/>
              <w:autoSpaceDN/>
              <w:adjustRightInd/>
              <w:spacing w:before="120" w:after="120"/>
              <w:ind w:left="507" w:hanging="507"/>
              <w:jc w:val="left"/>
              <w:textAlignment w:val="auto"/>
              <w:rPr>
                <w:rFonts w:asciiTheme="minorHAnsi" w:eastAsiaTheme="minorHAnsi" w:hAnsiTheme="minorHAnsi" w:cstheme="minorBidi"/>
              </w:rPr>
            </w:pPr>
            <w:r w:rsidRPr="00E2455B">
              <w:rPr>
                <w:rFonts w:asciiTheme="minorHAnsi" w:eastAsiaTheme="minorHAnsi" w:hAnsiTheme="minorHAnsi" w:cstheme="minorBidi"/>
              </w:rPr>
              <w:t xml:space="preserve">the Supplier enters into a Subcontract; or </w:t>
            </w:r>
          </w:p>
          <w:p w14:paraId="1D07F8F3" w14:textId="77777777" w:rsidR="00E2455B" w:rsidRPr="00E2455B" w:rsidRDefault="00E2455B" w:rsidP="00E2455B">
            <w:pPr>
              <w:numPr>
                <w:ilvl w:val="0"/>
                <w:numId w:val="26"/>
              </w:numPr>
              <w:tabs>
                <w:tab w:val="left" w:pos="-75"/>
              </w:tabs>
              <w:overflowPunct/>
              <w:autoSpaceDE/>
              <w:autoSpaceDN/>
              <w:adjustRightInd/>
              <w:spacing w:before="120" w:after="120"/>
              <w:ind w:left="507" w:hanging="507"/>
              <w:jc w:val="left"/>
              <w:textAlignment w:val="auto"/>
              <w:rPr>
                <w:rFonts w:asciiTheme="minorHAnsi" w:eastAsiaTheme="minorHAnsi" w:hAnsiTheme="minorHAnsi" w:cstheme="minorBidi"/>
              </w:rPr>
            </w:pPr>
            <w:r w:rsidRPr="00E2455B">
              <w:rPr>
                <w:rFonts w:asciiTheme="minorHAnsi" w:eastAsiaTheme="minorHAnsi" w:hAnsiTheme="minorHAnsi" w:cstheme="minorBidi"/>
              </w:rPr>
              <w:t>a third party under (a) above enters into a Subcontract,</w:t>
            </w:r>
          </w:p>
          <w:p w14:paraId="55E63D52" w14:textId="77777777" w:rsidR="00E2455B" w:rsidRPr="00E2455B" w:rsidRDefault="00E2455B" w:rsidP="00E2455B">
            <w:pPr>
              <w:widowControl w:val="0"/>
              <w:overflowPunct/>
              <w:autoSpaceDE/>
              <w:autoSpaceDN/>
              <w:adjustRightInd/>
              <w:spacing w:before="120" w:after="120"/>
              <w:ind w:left="-15"/>
              <w:jc w:val="left"/>
              <w:textAlignment w:val="auto"/>
              <w:outlineLvl w:val="2"/>
              <w:rPr>
                <w:rFonts w:asciiTheme="minorHAnsi" w:eastAsiaTheme="minorHAnsi" w:hAnsiTheme="minorHAnsi"/>
                <w:bCs/>
                <w:spacing w:val="-2"/>
              </w:rPr>
            </w:pPr>
            <w:r w:rsidRPr="00E2455B">
              <w:rPr>
                <w:rFonts w:asciiTheme="minorHAnsi" w:eastAsiaTheme="minorHAnsi" w:hAnsiTheme="minorHAnsi"/>
                <w:bCs/>
                <w:spacing w:val="-2"/>
              </w:rPr>
              <w:t>or the servants or agents of that third party;</w:t>
            </w:r>
          </w:p>
          <w:p w14:paraId="7CCB51B8" w14:textId="77777777" w:rsidR="00E2455B" w:rsidRPr="00E2455B" w:rsidRDefault="00E2455B" w:rsidP="00E2455B">
            <w:pPr>
              <w:widowControl w:val="0"/>
              <w:overflowPunct/>
              <w:autoSpaceDE/>
              <w:autoSpaceDN/>
              <w:adjustRightInd/>
              <w:spacing w:before="120" w:after="120"/>
              <w:ind w:left="-15"/>
              <w:jc w:val="left"/>
              <w:textAlignment w:val="auto"/>
              <w:outlineLvl w:val="2"/>
              <w:rPr>
                <w:rFonts w:asciiTheme="minorHAnsi" w:eastAsiaTheme="minorHAnsi" w:hAnsiTheme="minorHAnsi"/>
                <w:bCs/>
                <w:spacing w:val="-2"/>
              </w:rPr>
            </w:pPr>
          </w:p>
        </w:tc>
      </w:tr>
      <w:tr w:rsidR="00E2455B" w:rsidRPr="00E2455B" w14:paraId="6A08AE03" w14:textId="77777777" w:rsidTr="00E2455B">
        <w:tc>
          <w:tcPr>
            <w:tcW w:w="2547" w:type="dxa"/>
          </w:tcPr>
          <w:p w14:paraId="04D9B501" w14:textId="77777777" w:rsidR="00E2455B" w:rsidRPr="00E2455B" w:rsidRDefault="00E2455B" w:rsidP="00E2455B">
            <w:pPr>
              <w:overflowPunct/>
              <w:autoSpaceDE/>
              <w:autoSpaceDN/>
              <w:adjustRightInd/>
              <w:spacing w:after="0"/>
              <w:ind w:left="0"/>
              <w:jc w:val="left"/>
              <w:textAlignment w:val="auto"/>
              <w:rPr>
                <w:rFonts w:asciiTheme="minorHAnsi" w:eastAsiaTheme="minorHAnsi" w:hAnsiTheme="minorHAnsi" w:cstheme="minorHAnsi"/>
              </w:rPr>
            </w:pPr>
            <w:r w:rsidRPr="00E2455B">
              <w:rPr>
                <w:rFonts w:asciiTheme="minorHAnsi" w:eastAsiaTheme="minorHAnsi" w:hAnsiTheme="minorHAnsi" w:cstheme="minorHAnsi"/>
              </w:rPr>
              <w:t>“VAT”</w:t>
            </w:r>
          </w:p>
        </w:tc>
        <w:tc>
          <w:tcPr>
            <w:tcW w:w="6469" w:type="dxa"/>
          </w:tcPr>
          <w:p w14:paraId="2F019047" w14:textId="77777777" w:rsidR="00E2455B" w:rsidRPr="00E2455B" w:rsidRDefault="00E2455B" w:rsidP="00E2455B">
            <w:pPr>
              <w:overflowPunct/>
              <w:autoSpaceDE/>
              <w:autoSpaceDN/>
              <w:adjustRightInd/>
              <w:spacing w:after="0"/>
              <w:ind w:left="0"/>
              <w:jc w:val="left"/>
              <w:textAlignment w:val="auto"/>
              <w:rPr>
                <w:rFonts w:asciiTheme="minorHAnsi" w:eastAsiaTheme="minorHAnsi" w:hAnsiTheme="minorHAnsi" w:cstheme="minorHAnsi"/>
              </w:rPr>
            </w:pPr>
            <w:proofErr w:type="gramStart"/>
            <w:r w:rsidRPr="00E2455B">
              <w:rPr>
                <w:rFonts w:asciiTheme="minorHAnsi" w:eastAsiaTheme="minorHAnsi" w:hAnsiTheme="minorHAnsi" w:cstheme="minorHAnsi"/>
              </w:rPr>
              <w:t>value</w:t>
            </w:r>
            <w:proofErr w:type="gramEnd"/>
            <w:r w:rsidRPr="00E2455B">
              <w:rPr>
                <w:rFonts w:asciiTheme="minorHAnsi" w:eastAsiaTheme="minorHAnsi" w:hAnsiTheme="minorHAnsi" w:cstheme="minorHAnsi"/>
              </w:rPr>
              <w:t xml:space="preserve"> added tax as provided for in the Value Added Tax Act 1994.</w:t>
            </w:r>
          </w:p>
        </w:tc>
      </w:tr>
    </w:tbl>
    <w:p w14:paraId="6A088819"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lang w:val="en-US"/>
        </w:rPr>
      </w:pPr>
    </w:p>
    <w:p w14:paraId="645A0D35"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lang w:val="en-US"/>
        </w:rPr>
      </w:pPr>
      <w:r w:rsidRPr="00E2455B">
        <w:rPr>
          <w:rFonts w:asciiTheme="minorHAnsi" w:eastAsiaTheme="minorHAnsi" w:hAnsiTheme="minorHAnsi" w:cstheme="minorBidi"/>
          <w:b/>
          <w:lang w:val="en-US"/>
        </w:rPr>
        <w:t>Use of Off-shore Tax Structures</w:t>
      </w:r>
    </w:p>
    <w:p w14:paraId="6DB99A32" w14:textId="006F654C" w:rsidR="00E2455B" w:rsidRPr="00E2455B" w:rsidRDefault="002C0F87" w:rsidP="005B2247">
      <w:pPr>
        <w:overflowPunct/>
        <w:autoSpaceDE/>
        <w:autoSpaceDN/>
        <w:adjustRightInd/>
        <w:spacing w:after="160" w:line="259" w:lineRule="auto"/>
        <w:ind w:left="0"/>
        <w:contextualSpacing/>
        <w:jc w:val="left"/>
        <w:textAlignment w:val="auto"/>
        <w:rPr>
          <w:rFonts w:asciiTheme="minorHAnsi" w:eastAsiaTheme="minorHAnsi" w:hAnsiTheme="minorHAnsi" w:cstheme="minorBidi"/>
          <w:bCs/>
          <w:iCs/>
        </w:rPr>
      </w:pPr>
      <w:r>
        <w:rPr>
          <w:rFonts w:asciiTheme="minorHAnsi" w:eastAsiaTheme="minorHAnsi" w:hAnsiTheme="minorHAnsi" w:cstheme="minorBidi"/>
          <w:bCs/>
          <w:iCs/>
        </w:rPr>
        <w:t>4</w:t>
      </w:r>
      <w:r w:rsidR="005B2247">
        <w:rPr>
          <w:rFonts w:asciiTheme="minorHAnsi" w:eastAsiaTheme="minorHAnsi" w:hAnsiTheme="minorHAnsi" w:cstheme="minorBidi"/>
          <w:bCs/>
          <w:iCs/>
        </w:rPr>
        <w:t>.1</w:t>
      </w:r>
      <w:r w:rsidR="005B2247">
        <w:rPr>
          <w:rFonts w:asciiTheme="minorHAnsi" w:eastAsiaTheme="minorHAnsi" w:hAnsiTheme="minorHAnsi" w:cstheme="minorBidi"/>
          <w:bCs/>
          <w:iCs/>
        </w:rPr>
        <w:tab/>
      </w:r>
      <w:r w:rsidR="00E2455B" w:rsidRPr="00E2455B">
        <w:rPr>
          <w:rFonts w:asciiTheme="minorHAnsi" w:eastAsiaTheme="minorHAnsi" w:hAnsiTheme="minorHAnsi" w:cstheme="minorBidi"/>
          <w:bCs/>
          <w:iCs/>
        </w:rPr>
        <w:t xml:space="preserve">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w:t>
      </w:r>
      <w:r w:rsidR="00BD4ACD">
        <w:rPr>
          <w:rFonts w:asciiTheme="minorHAnsi" w:eastAsiaTheme="minorHAnsi" w:hAnsiTheme="minorHAnsi" w:cstheme="minorBidi"/>
          <w:bCs/>
          <w:iCs/>
        </w:rPr>
        <w:t>Customer</w:t>
      </w:r>
      <w:r w:rsidR="00E2455B" w:rsidRPr="00E2455B">
        <w:rPr>
          <w:rFonts w:asciiTheme="minorHAnsi" w:eastAsiaTheme="minorHAnsi" w:hAnsiTheme="minorHAnsi" w:cstheme="minorBidi"/>
          <w:bCs/>
          <w:iCs/>
        </w:rPr>
        <w:t xml:space="preserve">)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w:t>
      </w:r>
      <w:r w:rsidR="00BD4ACD">
        <w:rPr>
          <w:rFonts w:asciiTheme="minorHAnsi" w:eastAsiaTheme="minorHAnsi" w:hAnsiTheme="minorHAnsi" w:cstheme="minorBidi"/>
          <w:bCs/>
          <w:iCs/>
        </w:rPr>
        <w:t>Customer</w:t>
      </w:r>
      <w:r w:rsidR="00E2455B" w:rsidRPr="00E2455B">
        <w:rPr>
          <w:rFonts w:asciiTheme="minorHAnsi" w:eastAsiaTheme="minorHAnsi" w:hAnsiTheme="minorHAnsi" w:cstheme="minorBidi"/>
          <w:bCs/>
          <w:iCs/>
        </w:rPr>
        <w:t xml:space="preserve">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00E2455B" w:rsidRPr="00E2455B">
        <w:rPr>
          <w:rFonts w:asciiTheme="minorHAnsi" w:eastAsiaTheme="minorHAnsi" w:hAnsiTheme="minorHAnsi" w:cstheme="minorBidi"/>
          <w:b/>
          <w:bCs/>
          <w:iCs/>
        </w:rPr>
        <w:t>“Prohibited Transactions”</w:t>
      </w:r>
      <w:r w:rsidR="00E2455B" w:rsidRPr="00E2455B">
        <w:rPr>
          <w:rFonts w:asciiTheme="minorHAnsi" w:eastAsiaTheme="minorHAnsi" w:hAnsiTheme="minorHAnsi" w:cstheme="minorBidi"/>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p>
    <w:p w14:paraId="045D583E" w14:textId="77777777" w:rsidR="00E2455B" w:rsidRPr="00E2455B" w:rsidRDefault="00E2455B" w:rsidP="00E2455B">
      <w:pPr>
        <w:overflowPunct/>
        <w:autoSpaceDE/>
        <w:autoSpaceDN/>
        <w:adjustRightInd/>
        <w:spacing w:after="160" w:line="259" w:lineRule="auto"/>
        <w:ind w:left="360"/>
        <w:contextualSpacing/>
        <w:jc w:val="left"/>
        <w:textAlignment w:val="auto"/>
        <w:rPr>
          <w:rFonts w:asciiTheme="minorHAnsi" w:eastAsiaTheme="minorHAnsi" w:hAnsiTheme="minorHAnsi" w:cstheme="minorBidi"/>
          <w:bCs/>
          <w:iCs/>
        </w:rPr>
      </w:pPr>
    </w:p>
    <w:p w14:paraId="0C0F018B" w14:textId="76CBBF74" w:rsidR="00E2455B" w:rsidRDefault="002C0F87" w:rsidP="005B2247">
      <w:pPr>
        <w:overflowPunct/>
        <w:autoSpaceDE/>
        <w:autoSpaceDN/>
        <w:adjustRightInd/>
        <w:spacing w:after="160" w:line="259" w:lineRule="auto"/>
        <w:ind w:left="0"/>
        <w:contextualSpacing/>
        <w:jc w:val="left"/>
        <w:textAlignment w:val="auto"/>
        <w:rPr>
          <w:rFonts w:asciiTheme="minorHAnsi" w:eastAsiaTheme="minorHAnsi" w:hAnsiTheme="minorHAnsi" w:cstheme="minorBidi"/>
          <w:bCs/>
          <w:iCs/>
        </w:rPr>
      </w:pPr>
      <w:r>
        <w:rPr>
          <w:rFonts w:asciiTheme="minorHAnsi" w:eastAsiaTheme="minorHAnsi" w:hAnsiTheme="minorHAnsi" w:cstheme="minorBidi"/>
          <w:bCs/>
          <w:iCs/>
        </w:rPr>
        <w:t>4</w:t>
      </w:r>
      <w:r w:rsidR="005B2247">
        <w:rPr>
          <w:rFonts w:asciiTheme="minorHAnsi" w:eastAsiaTheme="minorHAnsi" w:hAnsiTheme="minorHAnsi" w:cstheme="minorBidi"/>
          <w:bCs/>
          <w:iCs/>
        </w:rPr>
        <w:t>.2</w:t>
      </w:r>
      <w:r w:rsidR="005B2247">
        <w:rPr>
          <w:rFonts w:asciiTheme="minorHAnsi" w:eastAsiaTheme="minorHAnsi" w:hAnsiTheme="minorHAnsi" w:cstheme="minorBidi"/>
          <w:bCs/>
          <w:iCs/>
        </w:rPr>
        <w:tab/>
      </w:r>
      <w:r w:rsidR="00E2455B" w:rsidRPr="00E2455B">
        <w:rPr>
          <w:rFonts w:asciiTheme="minorHAnsi" w:eastAsiaTheme="minorHAnsi" w:hAnsiTheme="minorHAnsi" w:cstheme="minorBidi"/>
          <w:bCs/>
          <w:iCs/>
        </w:rPr>
        <w:t xml:space="preserve">The Supplier shall notify the </w:t>
      </w:r>
      <w:r w:rsidR="00BD4ACD">
        <w:rPr>
          <w:rFonts w:asciiTheme="minorHAnsi" w:eastAsiaTheme="minorHAnsi" w:hAnsiTheme="minorHAnsi" w:cstheme="minorBidi"/>
          <w:bCs/>
          <w:iCs/>
        </w:rPr>
        <w:t>Customer</w:t>
      </w:r>
      <w:r w:rsidR="00E2455B" w:rsidRPr="00E2455B">
        <w:rPr>
          <w:rFonts w:asciiTheme="minorHAnsi" w:eastAsiaTheme="minorHAnsi" w:hAnsiTheme="minorHAnsi" w:cstheme="minorBidi"/>
          <w:bCs/>
          <w:iCs/>
        </w:rPr>
        <w:t xml:space="preserve"> in writing (with reasonable supporting detail) of any proposal for the Supplier or any of its Connected Companies, or for a Key Subcontractor (or any of its Connected Companies), to enter into any Prohibited Transaction. The Supplier shall notify the </w:t>
      </w:r>
      <w:r w:rsidR="00BD4ACD">
        <w:rPr>
          <w:rFonts w:asciiTheme="minorHAnsi" w:eastAsiaTheme="minorHAnsi" w:hAnsiTheme="minorHAnsi" w:cstheme="minorBidi"/>
          <w:bCs/>
          <w:iCs/>
        </w:rPr>
        <w:t>Customer</w:t>
      </w:r>
      <w:r w:rsidR="00E2455B" w:rsidRPr="00E2455B">
        <w:rPr>
          <w:rFonts w:asciiTheme="minorHAnsi" w:eastAsiaTheme="minorHAnsi" w:hAnsiTheme="minorHAnsi" w:cstheme="minorBidi"/>
          <w:bCs/>
          <w:iCs/>
        </w:rPr>
        <w:t xml:space="preserve"> within a reasonable time to allow the </w:t>
      </w:r>
      <w:r w:rsidR="00BD4ACD">
        <w:rPr>
          <w:rFonts w:asciiTheme="minorHAnsi" w:eastAsiaTheme="minorHAnsi" w:hAnsiTheme="minorHAnsi" w:cstheme="minorBidi"/>
          <w:bCs/>
          <w:iCs/>
        </w:rPr>
        <w:t>Customer</w:t>
      </w:r>
      <w:r w:rsidR="00E2455B" w:rsidRPr="00E2455B">
        <w:rPr>
          <w:rFonts w:asciiTheme="minorHAnsi" w:eastAsiaTheme="minorHAnsi" w:hAnsiTheme="minorHAnsi" w:cstheme="minorBidi"/>
          <w:bCs/>
          <w:iCs/>
        </w:rPr>
        <w:t xml:space="preserve"> to consider the proposed Prohibited Transaction before it is due to be put in place.</w:t>
      </w:r>
    </w:p>
    <w:p w14:paraId="6361A93E" w14:textId="77777777" w:rsidR="005B2247" w:rsidRPr="00E2455B" w:rsidRDefault="005B2247" w:rsidP="005B2247">
      <w:pPr>
        <w:overflowPunct/>
        <w:autoSpaceDE/>
        <w:autoSpaceDN/>
        <w:adjustRightInd/>
        <w:spacing w:after="160" w:line="259" w:lineRule="auto"/>
        <w:ind w:left="0"/>
        <w:contextualSpacing/>
        <w:jc w:val="left"/>
        <w:textAlignment w:val="auto"/>
        <w:rPr>
          <w:rFonts w:asciiTheme="minorHAnsi" w:eastAsiaTheme="minorHAnsi" w:hAnsiTheme="minorHAnsi" w:cstheme="minorBidi"/>
          <w:bCs/>
          <w:iCs/>
        </w:rPr>
      </w:pPr>
    </w:p>
    <w:p w14:paraId="36BADBC2" w14:textId="72A2B250" w:rsidR="00E2455B" w:rsidRPr="005B2247" w:rsidRDefault="002C0F87" w:rsidP="005B2247">
      <w:pPr>
        <w:overflowPunct/>
        <w:autoSpaceDE/>
        <w:autoSpaceDN/>
        <w:adjustRightInd/>
        <w:spacing w:after="160" w:line="259" w:lineRule="auto"/>
        <w:ind w:left="0"/>
        <w:jc w:val="left"/>
        <w:textAlignment w:val="auto"/>
        <w:rPr>
          <w:rFonts w:asciiTheme="minorHAnsi" w:eastAsiaTheme="minorHAnsi" w:hAnsiTheme="minorHAnsi" w:cstheme="minorBidi"/>
          <w:bCs/>
          <w:iCs/>
        </w:rPr>
      </w:pPr>
      <w:r>
        <w:rPr>
          <w:rFonts w:asciiTheme="minorHAnsi" w:eastAsiaTheme="minorHAnsi" w:hAnsiTheme="minorHAnsi" w:cstheme="minorBidi"/>
          <w:bCs/>
          <w:iCs/>
        </w:rPr>
        <w:t>4</w:t>
      </w:r>
      <w:r w:rsidR="005B2247">
        <w:rPr>
          <w:rFonts w:asciiTheme="minorHAnsi" w:eastAsiaTheme="minorHAnsi" w:hAnsiTheme="minorHAnsi" w:cstheme="minorBidi"/>
          <w:bCs/>
          <w:iCs/>
        </w:rPr>
        <w:t>.3</w:t>
      </w:r>
      <w:r w:rsidR="005B2247">
        <w:rPr>
          <w:rFonts w:asciiTheme="minorHAnsi" w:eastAsiaTheme="minorHAnsi" w:hAnsiTheme="minorHAnsi" w:cstheme="minorBidi"/>
          <w:bCs/>
          <w:iCs/>
        </w:rPr>
        <w:tab/>
      </w:r>
      <w:r w:rsidR="00E2455B" w:rsidRPr="00E2455B">
        <w:rPr>
          <w:rFonts w:asciiTheme="minorHAnsi" w:eastAsiaTheme="minorHAnsi" w:hAnsiTheme="minorHAnsi" w:cstheme="minorBidi"/>
          <w:bCs/>
          <w:iCs/>
        </w:rPr>
        <w:t xml:space="preserve">In the event of a Prohibited Transaction being entered into in breach of Clause </w:t>
      </w:r>
      <w:r>
        <w:rPr>
          <w:rFonts w:asciiTheme="minorHAnsi" w:eastAsiaTheme="minorHAnsi" w:hAnsiTheme="minorHAnsi" w:cstheme="minorBidi"/>
          <w:bCs/>
          <w:iCs/>
        </w:rPr>
        <w:t>4</w:t>
      </w:r>
      <w:r w:rsidR="005B2247">
        <w:rPr>
          <w:rFonts w:asciiTheme="minorHAnsi" w:eastAsiaTheme="minorHAnsi" w:hAnsiTheme="minorHAnsi" w:cstheme="minorBidi"/>
          <w:bCs/>
          <w:iCs/>
        </w:rPr>
        <w:t>.1</w:t>
      </w:r>
      <w:r w:rsidR="00E2455B" w:rsidRPr="00E2455B">
        <w:rPr>
          <w:rFonts w:asciiTheme="minorHAnsi" w:eastAsiaTheme="minorHAnsi" w:hAnsiTheme="minorHAnsi" w:cstheme="minorBidi"/>
          <w:bCs/>
          <w:iCs/>
        </w:rPr>
        <w:t xml:space="preserve"> above, or in the event that circumstances arise which may result in such a breach, the Supplier and/or the Key Subcontractor (as applicable) shall discuss the situation with the </w:t>
      </w:r>
      <w:r w:rsidR="00BD4ACD">
        <w:rPr>
          <w:rFonts w:asciiTheme="minorHAnsi" w:eastAsiaTheme="minorHAnsi" w:hAnsiTheme="minorHAnsi" w:cstheme="minorBidi"/>
          <w:bCs/>
          <w:iCs/>
        </w:rPr>
        <w:t>Customer</w:t>
      </w:r>
      <w:r w:rsidR="00E2455B" w:rsidRPr="00E2455B">
        <w:rPr>
          <w:rFonts w:asciiTheme="minorHAnsi" w:eastAsiaTheme="minorHAnsi" w:hAnsiTheme="minorHAnsi" w:cstheme="minorBidi"/>
          <w:bCs/>
          <w:iCs/>
        </w:rPr>
        <w:t xml:space="preserve"> and, in order to ensure future compliance </w:t>
      </w:r>
      <w:r w:rsidR="00E2455B" w:rsidRPr="005B2247">
        <w:rPr>
          <w:rFonts w:asciiTheme="minorHAnsi" w:eastAsiaTheme="minorHAnsi" w:hAnsiTheme="minorHAnsi" w:cstheme="minorBidi"/>
          <w:bCs/>
          <w:iCs/>
        </w:rPr>
        <w:t xml:space="preserve">with the requirements of Clauses </w:t>
      </w:r>
      <w:r>
        <w:rPr>
          <w:rFonts w:asciiTheme="minorHAnsi" w:eastAsiaTheme="minorHAnsi" w:hAnsiTheme="minorHAnsi" w:cstheme="minorBidi"/>
          <w:bCs/>
          <w:iCs/>
        </w:rPr>
        <w:t>4.1</w:t>
      </w:r>
      <w:r w:rsidR="00E2455B" w:rsidRPr="005B2247">
        <w:rPr>
          <w:rFonts w:asciiTheme="minorHAnsi" w:eastAsiaTheme="minorHAnsi" w:hAnsiTheme="minorHAnsi" w:cstheme="minorBidi"/>
          <w:bCs/>
          <w:iCs/>
        </w:rPr>
        <w:t xml:space="preserve"> and </w:t>
      </w:r>
      <w:r>
        <w:rPr>
          <w:rFonts w:asciiTheme="minorHAnsi" w:eastAsiaTheme="minorHAnsi" w:hAnsiTheme="minorHAnsi" w:cstheme="minorBidi"/>
          <w:bCs/>
          <w:iCs/>
        </w:rPr>
        <w:t>4</w:t>
      </w:r>
      <w:r w:rsidR="005B2247" w:rsidRPr="005B2247">
        <w:rPr>
          <w:rFonts w:asciiTheme="minorHAnsi" w:eastAsiaTheme="minorHAnsi" w:hAnsiTheme="minorHAnsi" w:cstheme="minorBidi"/>
          <w:bCs/>
          <w:iCs/>
        </w:rPr>
        <w:t>.2</w:t>
      </w:r>
      <w:r w:rsidR="00E2455B" w:rsidRPr="005B2247">
        <w:rPr>
          <w:rFonts w:asciiTheme="minorHAnsi" w:eastAsiaTheme="minorHAnsi" w:hAnsiTheme="minorHAnsi" w:cstheme="minorBidi"/>
          <w:bCs/>
          <w:iCs/>
        </w:rPr>
        <w:t xml:space="preserve">, the Parties (and the Supplier shall procure that the Key Subcontractor, where applicable) shall agree (at no cost to the </w:t>
      </w:r>
      <w:r w:rsidR="00BD4ACD" w:rsidRPr="005B2247">
        <w:rPr>
          <w:rFonts w:asciiTheme="minorHAnsi" w:eastAsiaTheme="minorHAnsi" w:hAnsiTheme="minorHAnsi" w:cstheme="minorBidi"/>
          <w:bCs/>
          <w:iCs/>
        </w:rPr>
        <w:t>Customer</w:t>
      </w:r>
      <w:r w:rsidR="00E2455B" w:rsidRPr="005B2247">
        <w:rPr>
          <w:rFonts w:asciiTheme="minorHAnsi" w:eastAsiaTheme="minorHAnsi" w:hAnsiTheme="minorHAnsi" w:cstheme="minorBidi"/>
          <w:bCs/>
          <w:iCs/>
        </w:rPr>
        <w:t>) timely and appropriate changes to any such arrangements by the undertakings concerned, resolving the matter (if required) through the Escalation Process.</w:t>
      </w:r>
    </w:p>
    <w:p w14:paraId="398D6609" w14:textId="1C95F2EF" w:rsidR="00E2455B" w:rsidRPr="00E2455B" w:rsidRDefault="002C0F87" w:rsidP="005B2247">
      <w:pPr>
        <w:overflowPunct/>
        <w:autoSpaceDE/>
        <w:autoSpaceDN/>
        <w:adjustRightInd/>
        <w:spacing w:after="160" w:line="259" w:lineRule="auto"/>
        <w:ind w:left="0"/>
        <w:jc w:val="left"/>
        <w:textAlignment w:val="auto"/>
        <w:rPr>
          <w:rFonts w:asciiTheme="minorHAnsi" w:eastAsiaTheme="minorHAnsi" w:hAnsiTheme="minorHAnsi" w:cstheme="minorBidi"/>
          <w:b/>
        </w:rPr>
      </w:pPr>
      <w:r>
        <w:rPr>
          <w:rFonts w:asciiTheme="minorHAnsi" w:eastAsiaTheme="minorHAnsi" w:hAnsiTheme="minorHAnsi" w:cstheme="minorBidi"/>
          <w:bCs/>
          <w:iCs/>
        </w:rPr>
        <w:t>4</w:t>
      </w:r>
      <w:r w:rsidR="005B2247" w:rsidRPr="005B2247">
        <w:rPr>
          <w:rFonts w:asciiTheme="minorHAnsi" w:eastAsiaTheme="minorHAnsi" w:hAnsiTheme="minorHAnsi" w:cstheme="minorBidi"/>
          <w:bCs/>
          <w:iCs/>
        </w:rPr>
        <w:t>.4</w:t>
      </w:r>
      <w:r w:rsidR="005B2247" w:rsidRPr="005B2247">
        <w:rPr>
          <w:rFonts w:asciiTheme="minorHAnsi" w:eastAsiaTheme="minorHAnsi" w:hAnsiTheme="minorHAnsi" w:cstheme="minorBidi"/>
          <w:bCs/>
          <w:iCs/>
        </w:rPr>
        <w:tab/>
      </w:r>
      <w:r w:rsidR="00E2455B" w:rsidRPr="005B2247">
        <w:rPr>
          <w:rFonts w:asciiTheme="minorHAnsi" w:eastAsiaTheme="minorHAnsi" w:hAnsiTheme="minorHAnsi" w:cstheme="minorBidi"/>
          <w:bCs/>
          <w:iCs/>
        </w:rPr>
        <w:t xml:space="preserve">Failure by the Supplier (or a Key Subcontractor) to comply with the obligations set out in Clauses </w:t>
      </w:r>
      <w:r w:rsidR="00E2455B" w:rsidRPr="005B2247">
        <w:rPr>
          <w:rFonts w:asciiTheme="minorHAnsi" w:eastAsiaTheme="minorHAnsi" w:hAnsiTheme="minorHAnsi" w:cstheme="minorBidi"/>
          <w:bCs/>
          <w:iCs/>
        </w:rPr>
        <w:fldChar w:fldCharType="begin"/>
      </w:r>
      <w:r w:rsidR="00E2455B" w:rsidRPr="005B2247">
        <w:rPr>
          <w:rFonts w:asciiTheme="minorHAnsi" w:eastAsiaTheme="minorHAnsi" w:hAnsiTheme="minorHAnsi" w:cstheme="minorBidi"/>
          <w:bCs/>
          <w:iCs/>
        </w:rPr>
        <w:instrText xml:space="preserve"> REF _Ref454350421 \r \h  \* MERGEFORMAT </w:instrText>
      </w:r>
      <w:r w:rsidR="00E2455B" w:rsidRPr="005B2247">
        <w:rPr>
          <w:rFonts w:asciiTheme="minorHAnsi" w:eastAsiaTheme="minorHAnsi" w:hAnsiTheme="minorHAnsi" w:cstheme="minorBidi"/>
          <w:bCs/>
          <w:iCs/>
        </w:rPr>
      </w:r>
      <w:r w:rsidR="00E2455B" w:rsidRPr="005B2247">
        <w:rPr>
          <w:rFonts w:asciiTheme="minorHAnsi" w:eastAsiaTheme="minorHAnsi" w:hAnsiTheme="minorHAnsi" w:cstheme="minorBidi"/>
          <w:bCs/>
          <w:iCs/>
        </w:rPr>
        <w:fldChar w:fldCharType="separate"/>
      </w:r>
      <w:r>
        <w:rPr>
          <w:rFonts w:asciiTheme="minorHAnsi" w:eastAsiaTheme="minorHAnsi" w:hAnsiTheme="minorHAnsi" w:cstheme="minorBidi"/>
          <w:bCs/>
          <w:iCs/>
        </w:rPr>
        <w:t>4</w:t>
      </w:r>
      <w:r w:rsidR="00E2455B" w:rsidRPr="005B2247">
        <w:rPr>
          <w:rFonts w:asciiTheme="minorHAnsi" w:eastAsiaTheme="minorHAnsi" w:hAnsiTheme="minorHAnsi" w:cstheme="minorBidi"/>
          <w:bCs/>
          <w:iCs/>
        </w:rPr>
        <w:t>.2</w:t>
      </w:r>
      <w:r w:rsidR="00E2455B" w:rsidRPr="005B2247">
        <w:rPr>
          <w:rFonts w:asciiTheme="minorHAnsi" w:eastAsiaTheme="minorHAnsi" w:hAnsiTheme="minorHAnsi" w:cstheme="minorBidi"/>
        </w:rPr>
        <w:fldChar w:fldCharType="end"/>
      </w:r>
      <w:r w:rsidR="00E2455B" w:rsidRPr="005B2247">
        <w:rPr>
          <w:rFonts w:asciiTheme="minorHAnsi" w:eastAsiaTheme="minorHAnsi" w:hAnsiTheme="minorHAnsi" w:cstheme="minorBidi"/>
          <w:bCs/>
          <w:iCs/>
        </w:rPr>
        <w:t xml:space="preserve"> and </w:t>
      </w:r>
      <w:r>
        <w:rPr>
          <w:rFonts w:asciiTheme="minorHAnsi" w:eastAsiaTheme="minorHAnsi" w:hAnsiTheme="minorHAnsi" w:cstheme="minorBidi"/>
          <w:bCs/>
          <w:iCs/>
        </w:rPr>
        <w:t>4.3</w:t>
      </w:r>
      <w:r w:rsidR="00E2455B" w:rsidRPr="005B2247">
        <w:rPr>
          <w:rFonts w:asciiTheme="minorHAnsi" w:eastAsiaTheme="minorHAnsi" w:hAnsiTheme="minorHAnsi" w:cstheme="minorBidi"/>
          <w:bCs/>
          <w:iCs/>
        </w:rPr>
        <w:t xml:space="preserve"> shall</w:t>
      </w:r>
      <w:r w:rsidR="00E2455B" w:rsidRPr="00E2455B">
        <w:rPr>
          <w:rFonts w:asciiTheme="minorHAnsi" w:eastAsiaTheme="minorHAnsi" w:hAnsiTheme="minorHAnsi" w:cstheme="minorBidi"/>
          <w:bCs/>
          <w:iCs/>
        </w:rPr>
        <w:t xml:space="preserve"> allow the </w:t>
      </w:r>
      <w:r w:rsidR="00BD4ACD">
        <w:rPr>
          <w:rFonts w:asciiTheme="minorHAnsi" w:eastAsiaTheme="minorHAnsi" w:hAnsiTheme="minorHAnsi" w:cstheme="minorBidi"/>
          <w:bCs/>
          <w:iCs/>
        </w:rPr>
        <w:t>Customer</w:t>
      </w:r>
      <w:r w:rsidR="00E2455B" w:rsidRPr="00E2455B">
        <w:rPr>
          <w:rFonts w:asciiTheme="minorHAnsi" w:eastAsiaTheme="minorHAnsi" w:hAnsiTheme="minorHAnsi" w:cstheme="minorBidi"/>
          <w:bCs/>
          <w:iCs/>
        </w:rPr>
        <w:t xml:space="preserve"> to terminate th</w:t>
      </w:r>
      <w:r w:rsidR="005B2247">
        <w:rPr>
          <w:rFonts w:asciiTheme="minorHAnsi" w:eastAsiaTheme="minorHAnsi" w:hAnsiTheme="minorHAnsi" w:cstheme="minorBidi"/>
          <w:bCs/>
          <w:iCs/>
        </w:rPr>
        <w:t xml:space="preserve">e Agreement pursuant to Clause 8 in Section B of this Call </w:t>
      </w:r>
      <w:proofErr w:type="gramStart"/>
      <w:r w:rsidR="005B2247">
        <w:rPr>
          <w:rFonts w:asciiTheme="minorHAnsi" w:eastAsiaTheme="minorHAnsi" w:hAnsiTheme="minorHAnsi" w:cstheme="minorBidi"/>
          <w:bCs/>
          <w:iCs/>
        </w:rPr>
        <w:t>Off</w:t>
      </w:r>
      <w:proofErr w:type="gramEnd"/>
      <w:r w:rsidR="005B2247">
        <w:rPr>
          <w:rFonts w:asciiTheme="minorHAnsi" w:eastAsiaTheme="minorHAnsi" w:hAnsiTheme="minorHAnsi" w:cstheme="minorBidi"/>
          <w:bCs/>
          <w:iCs/>
        </w:rPr>
        <w:t xml:space="preserve"> Order Form</w:t>
      </w:r>
      <w:r w:rsidR="00E2455B" w:rsidRPr="00E2455B">
        <w:rPr>
          <w:rFonts w:asciiTheme="minorHAnsi" w:eastAsiaTheme="minorHAnsi" w:hAnsiTheme="minorHAnsi" w:cstheme="minorBidi"/>
          <w:bCs/>
          <w:iCs/>
        </w:rPr>
        <w:t>.</w:t>
      </w:r>
    </w:p>
    <w:p w14:paraId="009048D5" w14:textId="5DC7F693"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r w:rsidRPr="00E2455B">
        <w:rPr>
          <w:rFonts w:asciiTheme="minorHAnsi" w:eastAsiaTheme="minorHAnsi" w:hAnsiTheme="minorHAnsi" w:cstheme="minorBidi"/>
          <w:b/>
          <w:highlight w:val="yellow"/>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469"/>
      </w:tblGrid>
      <w:tr w:rsidR="00E2455B" w:rsidRPr="00E2455B" w14:paraId="105162EA" w14:textId="77777777" w:rsidTr="00E2455B">
        <w:tc>
          <w:tcPr>
            <w:tcW w:w="2547" w:type="dxa"/>
          </w:tcPr>
          <w:p w14:paraId="3A46B386" w14:textId="77777777" w:rsidR="00E2455B" w:rsidRPr="00E2455B" w:rsidRDefault="00E2455B" w:rsidP="00E2455B">
            <w:pPr>
              <w:overflowPunct/>
              <w:autoSpaceDE/>
              <w:autoSpaceDN/>
              <w:adjustRightInd/>
              <w:spacing w:after="0"/>
              <w:ind w:left="0"/>
              <w:jc w:val="left"/>
              <w:textAlignment w:val="auto"/>
              <w:rPr>
                <w:rFonts w:asciiTheme="minorHAnsi" w:eastAsiaTheme="minorHAnsi" w:hAnsiTheme="minorHAnsi" w:cstheme="minorHAnsi"/>
              </w:rPr>
            </w:pPr>
            <w:r w:rsidRPr="00E2455B">
              <w:rPr>
                <w:rFonts w:asciiTheme="minorHAnsi" w:eastAsiaTheme="minorHAnsi" w:hAnsiTheme="minorHAnsi" w:cstheme="minorHAnsi"/>
              </w:rPr>
              <w:t>“Connected Company”</w:t>
            </w:r>
          </w:p>
        </w:tc>
        <w:tc>
          <w:tcPr>
            <w:tcW w:w="6469" w:type="dxa"/>
          </w:tcPr>
          <w:p w14:paraId="4561F299" w14:textId="77777777" w:rsidR="00E2455B" w:rsidRPr="00E2455B" w:rsidRDefault="00E2455B" w:rsidP="00E2455B">
            <w:pPr>
              <w:overflowPunct/>
              <w:autoSpaceDE/>
              <w:autoSpaceDN/>
              <w:adjustRightInd/>
              <w:spacing w:after="0"/>
              <w:ind w:left="720"/>
              <w:contextualSpacing/>
              <w:textAlignment w:val="auto"/>
              <w:rPr>
                <w:rFonts w:asciiTheme="minorHAnsi" w:hAnsiTheme="minorHAnsi" w:cstheme="minorHAnsi"/>
              </w:rPr>
            </w:pPr>
            <w:r w:rsidRPr="00E2455B">
              <w:rPr>
                <w:rFonts w:asciiTheme="minorHAnsi" w:hAnsiTheme="minorHAnsi" w:cstheme="minorHAnsi"/>
              </w:rPr>
              <w:t>means, in relation to a company, entity or other person, the Affiliates of that company, entity or other person or any other person associated with such company, entity or other person</w:t>
            </w:r>
          </w:p>
          <w:p w14:paraId="59A4B17F" w14:textId="77777777" w:rsidR="00E2455B" w:rsidRPr="00E2455B" w:rsidRDefault="00E2455B" w:rsidP="00E2455B">
            <w:pPr>
              <w:overflowPunct/>
              <w:autoSpaceDE/>
              <w:autoSpaceDN/>
              <w:adjustRightInd/>
              <w:spacing w:after="0"/>
              <w:ind w:left="720"/>
              <w:contextualSpacing/>
              <w:textAlignment w:val="auto"/>
              <w:rPr>
                <w:rFonts w:asciiTheme="minorHAnsi" w:hAnsiTheme="minorHAnsi" w:cstheme="minorHAnsi"/>
              </w:rPr>
            </w:pPr>
          </w:p>
          <w:p w14:paraId="1E3A2DC7" w14:textId="77777777" w:rsidR="00E2455B" w:rsidRPr="00E2455B" w:rsidRDefault="00E2455B" w:rsidP="00E2455B">
            <w:pPr>
              <w:overflowPunct/>
              <w:autoSpaceDE/>
              <w:autoSpaceDN/>
              <w:adjustRightInd/>
              <w:spacing w:after="0"/>
              <w:ind w:left="720"/>
              <w:contextualSpacing/>
              <w:textAlignment w:val="auto"/>
              <w:rPr>
                <w:rFonts w:asciiTheme="minorHAnsi" w:hAnsiTheme="minorHAnsi" w:cstheme="minorHAnsi"/>
              </w:rPr>
            </w:pPr>
          </w:p>
          <w:p w14:paraId="38FB0090" w14:textId="77777777" w:rsidR="00E2455B" w:rsidRPr="00E2455B" w:rsidRDefault="00E2455B" w:rsidP="00E2455B">
            <w:pPr>
              <w:overflowPunct/>
              <w:autoSpaceDE/>
              <w:autoSpaceDN/>
              <w:adjustRightInd/>
              <w:spacing w:after="0"/>
              <w:ind w:left="720"/>
              <w:contextualSpacing/>
              <w:textAlignment w:val="auto"/>
              <w:rPr>
                <w:rFonts w:asciiTheme="minorHAnsi" w:eastAsiaTheme="minorHAnsi" w:hAnsiTheme="minorHAnsi" w:cstheme="minorHAnsi"/>
              </w:rPr>
            </w:pPr>
          </w:p>
        </w:tc>
      </w:tr>
      <w:tr w:rsidR="00E2455B" w:rsidRPr="00E2455B" w14:paraId="1F3A5F39" w14:textId="77777777" w:rsidTr="00E2455B">
        <w:tc>
          <w:tcPr>
            <w:tcW w:w="2547" w:type="dxa"/>
          </w:tcPr>
          <w:p w14:paraId="1D4C733E" w14:textId="77777777" w:rsidR="00E2455B" w:rsidRPr="00E2455B" w:rsidRDefault="00E2455B" w:rsidP="00E2455B">
            <w:pPr>
              <w:overflowPunct/>
              <w:autoSpaceDE/>
              <w:autoSpaceDN/>
              <w:adjustRightInd/>
              <w:spacing w:after="0"/>
              <w:ind w:left="0"/>
              <w:jc w:val="left"/>
              <w:textAlignment w:val="auto"/>
              <w:rPr>
                <w:rFonts w:asciiTheme="minorHAnsi" w:eastAsiaTheme="minorHAnsi" w:hAnsiTheme="minorHAnsi" w:cstheme="minorHAnsi"/>
              </w:rPr>
            </w:pPr>
            <w:r w:rsidRPr="00E2455B">
              <w:rPr>
                <w:rFonts w:asciiTheme="minorHAnsi" w:eastAsiaTheme="minorHAnsi" w:hAnsiTheme="minorHAnsi" w:cstheme="minorHAnsi"/>
              </w:rPr>
              <w:t>“Key Subcontractor”</w:t>
            </w:r>
          </w:p>
        </w:tc>
        <w:tc>
          <w:tcPr>
            <w:tcW w:w="6469" w:type="dxa"/>
          </w:tcPr>
          <w:p w14:paraId="18EDC8E6" w14:textId="77777777" w:rsidR="00E2455B" w:rsidRPr="00E2455B" w:rsidRDefault="00E2455B" w:rsidP="00E2455B">
            <w:pPr>
              <w:overflowPunct/>
              <w:autoSpaceDE/>
              <w:autoSpaceDN/>
              <w:adjustRightInd/>
              <w:spacing w:after="0"/>
              <w:ind w:left="720"/>
              <w:contextualSpacing/>
              <w:textAlignment w:val="auto"/>
              <w:rPr>
                <w:rFonts w:asciiTheme="minorHAnsi" w:hAnsiTheme="minorHAnsi" w:cstheme="minorHAnsi"/>
              </w:rPr>
            </w:pPr>
            <w:r w:rsidRPr="00E2455B">
              <w:rPr>
                <w:rFonts w:asciiTheme="minorHAnsi" w:hAnsiTheme="minorHAnsi" w:cstheme="minorHAnsi"/>
              </w:rPr>
              <w:t>any Subcontractor:</w:t>
            </w:r>
          </w:p>
          <w:p w14:paraId="7540DBF2" w14:textId="77777777" w:rsidR="00E2455B" w:rsidRPr="00E2455B" w:rsidRDefault="00E2455B" w:rsidP="00E2455B">
            <w:pPr>
              <w:overflowPunct/>
              <w:autoSpaceDE/>
              <w:autoSpaceDN/>
              <w:adjustRightInd/>
              <w:spacing w:after="0"/>
              <w:ind w:left="720"/>
              <w:contextualSpacing/>
              <w:textAlignment w:val="auto"/>
              <w:rPr>
                <w:rFonts w:asciiTheme="minorHAnsi" w:hAnsiTheme="minorHAnsi" w:cstheme="minorHAnsi"/>
              </w:rPr>
            </w:pPr>
            <w:r w:rsidRPr="00E2455B">
              <w:rPr>
                <w:rFonts w:asciiTheme="minorHAnsi" w:hAnsiTheme="minorHAnsi" w:cstheme="minorHAnsi"/>
              </w:rPr>
              <w:t>(a)</w:t>
            </w:r>
            <w:r w:rsidRPr="00E2455B">
              <w:rPr>
                <w:rFonts w:asciiTheme="minorHAnsi" w:hAnsiTheme="minorHAnsi" w:cstheme="minorHAnsi"/>
              </w:rPr>
              <w:tab/>
              <w:t>which, in the opinion of the Buyer, performs (or would perform if appointed) a critical role in the provision of all or any part of the Services; and/or</w:t>
            </w:r>
          </w:p>
          <w:p w14:paraId="5442BC30" w14:textId="77777777" w:rsidR="00E2455B" w:rsidRPr="00E2455B" w:rsidRDefault="00E2455B" w:rsidP="00E2455B">
            <w:pPr>
              <w:overflowPunct/>
              <w:autoSpaceDE/>
              <w:autoSpaceDN/>
              <w:adjustRightInd/>
              <w:spacing w:after="0"/>
              <w:ind w:left="720"/>
              <w:contextualSpacing/>
              <w:textAlignment w:val="auto"/>
              <w:rPr>
                <w:rFonts w:asciiTheme="minorHAnsi" w:hAnsiTheme="minorHAnsi" w:cstheme="minorHAnsi"/>
              </w:rPr>
            </w:pPr>
            <w:r w:rsidRPr="00E2455B">
              <w:rPr>
                <w:rFonts w:asciiTheme="minorHAnsi" w:hAnsiTheme="minorHAnsi" w:cstheme="minorHAnsi"/>
              </w:rPr>
              <w:t>(b)</w:t>
            </w:r>
            <w:r w:rsidRPr="00E2455B">
              <w:rPr>
                <w:rFonts w:asciiTheme="minorHAnsi" w:hAnsiTheme="minorHAnsi" w:cstheme="minorHAnsi"/>
              </w:rPr>
              <w:tab/>
              <w:t>with a Subcontract with a contract value which at the time of appointment exceeds (or would exceed if appointed) ten per cent (10%) of the aggregate Charges forecast to be payable under this Call-Off Contract;</w:t>
            </w:r>
          </w:p>
        </w:tc>
      </w:tr>
    </w:tbl>
    <w:p w14:paraId="1D63C2C2"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p>
    <w:p w14:paraId="17335708"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r w:rsidRPr="00E2455B">
        <w:rPr>
          <w:rFonts w:asciiTheme="minorHAnsi" w:eastAsiaTheme="minorHAnsi" w:hAnsiTheme="minorHAnsi" w:cstheme="minorBidi"/>
          <w:b/>
        </w:rPr>
        <w:t>Income Tax and National Insurance Contributions</w:t>
      </w:r>
    </w:p>
    <w:p w14:paraId="279E9D7B" w14:textId="65C32E77"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r>
        <w:rPr>
          <w:rFonts w:asciiTheme="minorHAnsi" w:eastAsiaTheme="minorHAnsi" w:hAnsiTheme="minorHAnsi" w:cstheme="minorBidi"/>
        </w:rPr>
        <w:t>5</w:t>
      </w:r>
      <w:r w:rsidR="00E2455B" w:rsidRPr="00E2455B">
        <w:rPr>
          <w:rFonts w:asciiTheme="minorHAnsi" w:eastAsiaTheme="minorHAnsi" w:hAnsiTheme="minorHAnsi" w:cstheme="minorBidi"/>
        </w:rPr>
        <w:t>.1 Where the Supplier or any Supplier Personnel are liable to Tax in the UK or to pay national insurance contributions in respect of consideration received under this Agreement, the Supplier shall:</w:t>
      </w:r>
    </w:p>
    <w:p w14:paraId="0B0C4DC8" w14:textId="58D0C241"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5</w:t>
      </w:r>
      <w:r w:rsidR="00E2455B" w:rsidRPr="00E2455B">
        <w:rPr>
          <w:rFonts w:asciiTheme="minorHAnsi" w:eastAsiaTheme="minorHAnsi" w:hAnsiTheme="minorHAnsi" w:cstheme="minorBidi"/>
        </w:rPr>
        <w:t>.1.1 at all times comply with the Income Tax (Earnings and Pensions) Act 2003 and all other Laws and regulations relating to income tax, and the Social Security Contributions and Benefits Act 1992 and all other Laws and regulations relating to national insurance contributions, in respect of that consideration;</w:t>
      </w:r>
    </w:p>
    <w:p w14:paraId="721099D1" w14:textId="69B0B4D7"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5</w:t>
      </w:r>
      <w:r w:rsidR="00E2455B" w:rsidRPr="00E2455B">
        <w:rPr>
          <w:rFonts w:asciiTheme="minorHAnsi" w:eastAsiaTheme="minorHAnsi" w:hAnsiTheme="minorHAnsi" w:cstheme="minorBidi"/>
        </w:rPr>
        <w:t xml:space="preserve">.1.2 indemnify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against any income tax, national insurance and social security contributions and any other liability, deduction, contribution, assessment or claim arising from or made in connection with the provision of the Services by the Supplier or any Supplier Personnel for which the Supplier is not primarily liable to account to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under the relevant Laws and regulations; and</w:t>
      </w:r>
    </w:p>
    <w:p w14:paraId="01E9CE8E" w14:textId="17FDB496" w:rsidR="00E2455B" w:rsidRPr="00525E4C"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5</w:t>
      </w:r>
      <w:r w:rsidR="00E2455B" w:rsidRPr="00E2455B">
        <w:rPr>
          <w:rFonts w:asciiTheme="minorHAnsi" w:eastAsiaTheme="minorHAnsi" w:hAnsiTheme="minorHAnsi" w:cstheme="minorBidi"/>
        </w:rPr>
        <w:t xml:space="preserve">.1.3 </w:t>
      </w:r>
      <w:proofErr w:type="gramStart"/>
      <w:r w:rsidR="00E2455B" w:rsidRPr="00E2455B">
        <w:rPr>
          <w:rFonts w:asciiTheme="minorHAnsi" w:eastAsiaTheme="minorHAnsi" w:hAnsiTheme="minorHAnsi" w:cstheme="minorBidi"/>
        </w:rPr>
        <w:t>provide</w:t>
      </w:r>
      <w:proofErr w:type="gramEnd"/>
      <w:r w:rsidR="00E2455B" w:rsidRPr="00E2455B">
        <w:rPr>
          <w:rFonts w:asciiTheme="minorHAnsi" w:eastAsiaTheme="minorHAnsi" w:hAnsiTheme="minorHAnsi" w:cstheme="minorBidi"/>
        </w:rPr>
        <w:t xml:space="preserve"> (promptly or within such other period </w:t>
      </w:r>
      <w:r w:rsidR="00E2455B" w:rsidRPr="00525E4C">
        <w:rPr>
          <w:rFonts w:asciiTheme="minorHAnsi" w:eastAsiaTheme="minorHAnsi" w:hAnsiTheme="minorHAnsi" w:cstheme="minorBidi"/>
        </w:rPr>
        <w:t xml:space="preserve">notified by the </w:t>
      </w:r>
      <w:r w:rsidR="00BD4ACD" w:rsidRPr="00525E4C">
        <w:rPr>
          <w:rFonts w:asciiTheme="minorHAnsi" w:eastAsiaTheme="minorHAnsi" w:hAnsiTheme="minorHAnsi" w:cstheme="minorBidi"/>
        </w:rPr>
        <w:t>Customer</w:t>
      </w:r>
      <w:r w:rsidR="00E2455B" w:rsidRPr="00525E4C">
        <w:rPr>
          <w:rFonts w:asciiTheme="minorHAnsi" w:eastAsiaTheme="minorHAnsi" w:hAnsiTheme="minorHAnsi" w:cstheme="minorBidi"/>
        </w:rPr>
        <w:t xml:space="preserve">) information which demonstrates how the Supplier complies with Clause </w:t>
      </w:r>
      <w:r>
        <w:rPr>
          <w:rFonts w:asciiTheme="minorHAnsi" w:eastAsiaTheme="minorHAnsi" w:hAnsiTheme="minorHAnsi" w:cstheme="minorBidi"/>
        </w:rPr>
        <w:t>5</w:t>
      </w:r>
      <w:r w:rsidR="00E2455B" w:rsidRPr="00525E4C">
        <w:rPr>
          <w:rFonts w:asciiTheme="minorHAnsi" w:eastAsiaTheme="minorHAnsi" w:hAnsiTheme="minorHAnsi" w:cstheme="minorBidi"/>
        </w:rPr>
        <w:t xml:space="preserve">.1.1 or why Clause </w:t>
      </w:r>
      <w:r>
        <w:rPr>
          <w:rFonts w:asciiTheme="minorHAnsi" w:eastAsiaTheme="minorHAnsi" w:hAnsiTheme="minorHAnsi" w:cstheme="minorBidi"/>
        </w:rPr>
        <w:t>5</w:t>
      </w:r>
      <w:r w:rsidR="00E2455B" w:rsidRPr="00525E4C">
        <w:rPr>
          <w:rFonts w:asciiTheme="minorHAnsi" w:eastAsiaTheme="minorHAnsi" w:hAnsiTheme="minorHAnsi" w:cstheme="minorBidi"/>
        </w:rPr>
        <w:t xml:space="preserve">.1.1 does not apply to the Supplier (including such specific information as the </w:t>
      </w:r>
      <w:r w:rsidR="00BD4ACD" w:rsidRPr="00525E4C">
        <w:rPr>
          <w:rFonts w:asciiTheme="minorHAnsi" w:eastAsiaTheme="minorHAnsi" w:hAnsiTheme="minorHAnsi" w:cstheme="minorBidi"/>
        </w:rPr>
        <w:t>Customer</w:t>
      </w:r>
      <w:r w:rsidR="00E2455B" w:rsidRPr="00525E4C">
        <w:rPr>
          <w:rFonts w:asciiTheme="minorHAnsi" w:eastAsiaTheme="minorHAnsi" w:hAnsiTheme="minorHAnsi" w:cstheme="minorBidi"/>
        </w:rPr>
        <w:t xml:space="preserve"> may request),</w:t>
      </w:r>
    </w:p>
    <w:p w14:paraId="01A5D928" w14:textId="3A1FEF52" w:rsidR="00E2455B" w:rsidRPr="00525E4C"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sidRPr="00525E4C">
        <w:rPr>
          <w:rFonts w:asciiTheme="minorHAnsi" w:eastAsiaTheme="minorHAnsi" w:hAnsiTheme="minorHAnsi" w:cstheme="minorBidi"/>
        </w:rPr>
        <w:t xml:space="preserve">and if the Supplier fails to comply (or if the </w:t>
      </w:r>
      <w:r w:rsidR="00BD4ACD" w:rsidRPr="00525E4C">
        <w:rPr>
          <w:rFonts w:asciiTheme="minorHAnsi" w:eastAsiaTheme="minorHAnsi" w:hAnsiTheme="minorHAnsi" w:cstheme="minorBidi"/>
        </w:rPr>
        <w:t>Customer</w:t>
      </w:r>
      <w:r w:rsidRPr="00525E4C">
        <w:rPr>
          <w:rFonts w:asciiTheme="minorHAnsi" w:eastAsiaTheme="minorHAnsi" w:hAnsiTheme="minorHAnsi" w:cstheme="minorBidi"/>
        </w:rPr>
        <w:t xml:space="preserve"> receives information which demonstrates that the Supplier has failed to comply) with any of the </w:t>
      </w:r>
      <w:r w:rsidR="00525E4C" w:rsidRPr="00525E4C">
        <w:rPr>
          <w:rFonts w:asciiTheme="minorHAnsi" w:eastAsiaTheme="minorHAnsi" w:hAnsiTheme="minorHAnsi" w:cstheme="minorBidi"/>
        </w:rPr>
        <w:t>provisions above in this Clause 8</w:t>
      </w:r>
      <w:r w:rsidRPr="00525E4C">
        <w:rPr>
          <w:rFonts w:asciiTheme="minorHAnsi" w:eastAsiaTheme="minorHAnsi" w:hAnsiTheme="minorHAnsi" w:cstheme="minorBidi"/>
        </w:rPr>
        <w:t xml:space="preserve">.1 then this shall allow the </w:t>
      </w:r>
      <w:r w:rsidR="00BD4ACD" w:rsidRPr="00525E4C">
        <w:rPr>
          <w:rFonts w:asciiTheme="minorHAnsi" w:eastAsiaTheme="minorHAnsi" w:hAnsiTheme="minorHAnsi" w:cstheme="minorBidi"/>
        </w:rPr>
        <w:t>Customer</w:t>
      </w:r>
      <w:r w:rsidRPr="00525E4C">
        <w:rPr>
          <w:rFonts w:asciiTheme="minorHAnsi" w:eastAsiaTheme="minorHAnsi" w:hAnsiTheme="minorHAnsi" w:cstheme="minorBidi"/>
        </w:rPr>
        <w:t xml:space="preserve"> to terminate the Agreement p</w:t>
      </w:r>
      <w:r w:rsidR="00525E4C" w:rsidRPr="00525E4C">
        <w:rPr>
          <w:rFonts w:asciiTheme="minorHAnsi" w:eastAsiaTheme="minorHAnsi" w:hAnsiTheme="minorHAnsi" w:cstheme="minorBidi"/>
        </w:rPr>
        <w:t>ursuant to Clause 8 of Section B of this Call Off Order Form.</w:t>
      </w:r>
    </w:p>
    <w:p w14:paraId="52889685" w14:textId="24C04C08"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5.2</w:t>
      </w:r>
      <w:r w:rsidR="00E2455B" w:rsidRPr="00525E4C">
        <w:rPr>
          <w:rFonts w:asciiTheme="minorHAnsi" w:eastAsiaTheme="minorHAnsi" w:hAnsiTheme="minorHAnsi" w:cstheme="minorBidi"/>
        </w:rPr>
        <w:t xml:space="preserve"> The </w:t>
      </w:r>
      <w:r w:rsidR="00BD4ACD" w:rsidRPr="00525E4C">
        <w:rPr>
          <w:rFonts w:asciiTheme="minorHAnsi" w:eastAsiaTheme="minorHAnsi" w:hAnsiTheme="minorHAnsi" w:cstheme="minorBidi"/>
        </w:rPr>
        <w:t>Customer</w:t>
      </w:r>
      <w:r w:rsidR="00E2455B" w:rsidRPr="00525E4C">
        <w:rPr>
          <w:rFonts w:asciiTheme="minorHAnsi" w:eastAsiaTheme="minorHAnsi" w:hAnsiTheme="minorHAnsi" w:cstheme="minorBidi"/>
        </w:rPr>
        <w:t xml:space="preserve"> may internally share any information which it receives under Clause </w:t>
      </w:r>
      <w:r>
        <w:rPr>
          <w:rFonts w:asciiTheme="minorHAnsi" w:eastAsiaTheme="minorHAnsi" w:hAnsiTheme="minorHAnsi" w:cstheme="minorBidi"/>
        </w:rPr>
        <w:t>5</w:t>
      </w:r>
      <w:r w:rsidR="00E2455B" w:rsidRPr="00525E4C">
        <w:rPr>
          <w:rFonts w:asciiTheme="minorHAnsi" w:eastAsiaTheme="minorHAnsi" w:hAnsiTheme="minorHAnsi" w:cstheme="minorBidi"/>
        </w:rPr>
        <w:t>.1.3.</w:t>
      </w:r>
      <w:r w:rsidR="00E2455B" w:rsidRPr="00E2455B">
        <w:rPr>
          <w:rFonts w:asciiTheme="minorHAnsi" w:eastAsiaTheme="minorHAnsi" w:hAnsiTheme="minorHAnsi" w:cstheme="minorBidi"/>
        </w:rPr>
        <w:t xml:space="preserve">  </w:t>
      </w:r>
    </w:p>
    <w:p w14:paraId="5D0345A0" w14:textId="6AA87A9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p>
    <w:tbl>
      <w:tblPr>
        <w:tblW w:w="0" w:type="auto"/>
        <w:tblInd w:w="108" w:type="dxa"/>
        <w:tblLook w:val="01E0" w:firstRow="1" w:lastRow="1" w:firstColumn="1" w:lastColumn="1" w:noHBand="0" w:noVBand="0"/>
      </w:tblPr>
      <w:tblGrid>
        <w:gridCol w:w="1747"/>
        <w:gridCol w:w="7171"/>
      </w:tblGrid>
      <w:tr w:rsidR="00E2455B" w:rsidRPr="00E2455B" w14:paraId="6CF766D2" w14:textId="77777777" w:rsidTr="00E2455B">
        <w:tc>
          <w:tcPr>
            <w:tcW w:w="1747" w:type="dxa"/>
          </w:tcPr>
          <w:p w14:paraId="6192E5A3"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r w:rsidRPr="00E2455B">
              <w:rPr>
                <w:rFonts w:asciiTheme="minorHAnsi" w:eastAsiaTheme="minorHAnsi" w:hAnsiTheme="minorHAnsi" w:cstheme="minorBidi"/>
                <w:b/>
              </w:rPr>
              <w:t>“Supplier Personnel”</w:t>
            </w:r>
          </w:p>
        </w:tc>
        <w:tc>
          <w:tcPr>
            <w:tcW w:w="7171" w:type="dxa"/>
          </w:tcPr>
          <w:p w14:paraId="5B80883D"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sidRPr="00E2455B">
              <w:rPr>
                <w:rFonts w:asciiTheme="minorHAnsi" w:eastAsiaTheme="minorHAnsi" w:hAnsiTheme="minorHAnsi" w:cstheme="minorBidi"/>
              </w:rPr>
              <w:t xml:space="preserve">all directors, officers, employees, agents, consultants and contractors of the Supplier and/or of any subcontractor of the Supplier engaged in the performance of the Supplier’s obligations under the Agreement; </w:t>
            </w:r>
          </w:p>
        </w:tc>
      </w:tr>
      <w:tr w:rsidR="00E2455B" w:rsidRPr="00E2455B" w14:paraId="3410DA8F" w14:textId="77777777" w:rsidTr="00E2455B">
        <w:tc>
          <w:tcPr>
            <w:tcW w:w="1747" w:type="dxa"/>
          </w:tcPr>
          <w:p w14:paraId="6A307E3F"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r w:rsidRPr="00E2455B">
              <w:rPr>
                <w:rFonts w:asciiTheme="minorHAnsi" w:eastAsiaTheme="minorHAnsi" w:hAnsiTheme="minorHAnsi" w:cstheme="minorBidi"/>
                <w:b/>
              </w:rPr>
              <w:t>“Tax”</w:t>
            </w:r>
          </w:p>
        </w:tc>
        <w:tc>
          <w:tcPr>
            <w:tcW w:w="7171" w:type="dxa"/>
          </w:tcPr>
          <w:p w14:paraId="61682FBF"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sidRPr="00E2455B">
              <w:rPr>
                <w:rFonts w:asciiTheme="minorHAnsi" w:eastAsiaTheme="minorHAnsi" w:hAnsiTheme="minorHAnsi" w:cstheme="minorBidi"/>
              </w:rPr>
              <w:t>means:</w:t>
            </w:r>
          </w:p>
          <w:p w14:paraId="74FC8BB3"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sidRPr="00E2455B">
              <w:rPr>
                <w:rFonts w:asciiTheme="minorHAnsi" w:eastAsiaTheme="minorHAnsi" w:hAnsiTheme="minorHAnsi" w:cstheme="minorBidi"/>
              </w:rPr>
              <w:t>(a)</w:t>
            </w:r>
            <w:r w:rsidRPr="00E2455B">
              <w:rPr>
                <w:rFonts w:asciiTheme="minorHAnsi" w:eastAsiaTheme="minorHAnsi" w:hAnsiTheme="minorHAnsi" w:cstheme="minorBidi"/>
              </w:rPr>
              <w:tab/>
              <w:t>all forms of tax whether direct or indirect;</w:t>
            </w:r>
          </w:p>
          <w:p w14:paraId="17883FA6"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sidRPr="00E2455B">
              <w:rPr>
                <w:rFonts w:asciiTheme="minorHAnsi" w:eastAsiaTheme="minorHAnsi" w:hAnsiTheme="minorHAnsi" w:cstheme="minorBidi"/>
              </w:rPr>
              <w:t>(b)</w:t>
            </w:r>
            <w:r w:rsidRPr="00E2455B">
              <w:rPr>
                <w:rFonts w:asciiTheme="minorHAnsi" w:eastAsiaTheme="minorHAnsi" w:hAnsiTheme="minorHAnsi" w:cstheme="minorBidi"/>
              </w:rPr>
              <w:tab/>
              <w:t>national insurance contributions in the United Kingdom and similar contributions or obligations in any other jurisdiction;</w:t>
            </w:r>
          </w:p>
          <w:p w14:paraId="60FE9340"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sidRPr="00E2455B">
              <w:rPr>
                <w:rFonts w:asciiTheme="minorHAnsi" w:eastAsiaTheme="minorHAnsi" w:hAnsiTheme="minorHAnsi" w:cstheme="minorBidi"/>
              </w:rPr>
              <w:t>(c)</w:t>
            </w:r>
            <w:r w:rsidRPr="00E2455B">
              <w:rPr>
                <w:rFonts w:asciiTheme="minorHAnsi" w:eastAsiaTheme="minorHAnsi" w:hAnsiTheme="minorHAnsi" w:cstheme="minorBidi"/>
              </w:rPr>
              <w:tab/>
              <w:t>all statutory, governmental, state, federal, provincial, local government or municipal charges, duties, imports, contributions, levies or liabilities (other than in return  for goods or services supplied or performed or to be performed) and withholdings; and</w:t>
            </w:r>
          </w:p>
          <w:p w14:paraId="2163F730"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sidRPr="00E2455B">
              <w:rPr>
                <w:rFonts w:asciiTheme="minorHAnsi" w:eastAsiaTheme="minorHAnsi" w:hAnsiTheme="minorHAnsi" w:cstheme="minorBidi"/>
              </w:rPr>
              <w:t>(d)</w:t>
            </w:r>
            <w:r w:rsidRPr="00E2455B">
              <w:rPr>
                <w:rFonts w:asciiTheme="minorHAnsi" w:eastAsiaTheme="minorHAnsi" w:hAnsiTheme="minorHAnsi" w:cstheme="minorBidi"/>
              </w:rPr>
              <w:tab/>
              <w:t>any penalty, fine, surcharge, interest, charges or costs relating to any of the above,</w:t>
            </w:r>
          </w:p>
          <w:p w14:paraId="130EA65C"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sidRPr="00E2455B">
              <w:rPr>
                <w:rFonts w:asciiTheme="minorHAnsi" w:eastAsiaTheme="minorHAnsi" w:hAnsiTheme="minorHAnsi" w:cstheme="minorBidi"/>
              </w:rPr>
              <w:t>in each case wherever chargeable and whether of the United Kingdom and any other jurisdiction;</w:t>
            </w:r>
          </w:p>
        </w:tc>
      </w:tr>
      <w:tr w:rsidR="00E2455B" w:rsidRPr="00E2455B" w14:paraId="2DE45C79" w14:textId="77777777" w:rsidTr="00E2455B">
        <w:tc>
          <w:tcPr>
            <w:tcW w:w="1747" w:type="dxa"/>
          </w:tcPr>
          <w:p w14:paraId="059D7034"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r w:rsidRPr="00E2455B">
              <w:rPr>
                <w:rFonts w:asciiTheme="minorHAnsi" w:eastAsiaTheme="minorHAnsi" w:hAnsiTheme="minorHAnsi" w:cstheme="minorBidi"/>
                <w:b/>
              </w:rPr>
              <w:t>“Law”</w:t>
            </w:r>
          </w:p>
        </w:tc>
        <w:tc>
          <w:tcPr>
            <w:tcW w:w="7171" w:type="dxa"/>
          </w:tcPr>
          <w:p w14:paraId="03E61C9D"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sidRPr="00E2455B">
              <w:rPr>
                <w:rFonts w:asciiTheme="minorHAnsi" w:eastAsiaTheme="minorHAnsi" w:hAnsiTheme="minorHAnsi" w:cstheme="minorBidi"/>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bl>
    <w:p w14:paraId="2CBC5298"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p>
    <w:p w14:paraId="4FB95361" w14:textId="77777777" w:rsidR="00E2455B" w:rsidRPr="00E2455B" w:rsidRDefault="00E2455B" w:rsidP="00E2455B">
      <w:pPr>
        <w:keepLines/>
        <w:overflowPunct/>
        <w:autoSpaceDE/>
        <w:autoSpaceDN/>
        <w:adjustRightInd/>
        <w:ind w:left="0"/>
        <w:textAlignment w:val="auto"/>
        <w:rPr>
          <w:rFonts w:asciiTheme="minorHAnsi" w:hAnsiTheme="minorHAnsi" w:cstheme="minorHAnsi"/>
          <w:b/>
          <w:spacing w:val="-3"/>
          <w:lang w:val="en-US"/>
        </w:rPr>
      </w:pPr>
      <w:r w:rsidRPr="00E2455B">
        <w:rPr>
          <w:rFonts w:asciiTheme="minorHAnsi" w:hAnsiTheme="minorHAnsi" w:cstheme="minorHAnsi"/>
          <w:b/>
          <w:spacing w:val="-3"/>
          <w:lang w:val="en-US"/>
        </w:rPr>
        <w:t>Data Protection and off-shoring</w:t>
      </w:r>
    </w:p>
    <w:p w14:paraId="13C098FE" w14:textId="211F38DC" w:rsidR="00E2455B" w:rsidRPr="00E2455B" w:rsidRDefault="002C0F87" w:rsidP="00E2455B">
      <w:pPr>
        <w:keepLines/>
        <w:overflowPunct/>
        <w:autoSpaceDE/>
        <w:autoSpaceDN/>
        <w:adjustRightInd/>
        <w:ind w:left="0"/>
        <w:textAlignment w:val="auto"/>
        <w:rPr>
          <w:rFonts w:asciiTheme="minorHAnsi" w:hAnsiTheme="minorHAnsi" w:cstheme="minorHAnsi"/>
          <w:spacing w:val="-3"/>
          <w:lang w:val="en-US"/>
        </w:rPr>
      </w:pPr>
      <w:r>
        <w:rPr>
          <w:rFonts w:asciiTheme="minorHAnsi" w:hAnsiTheme="minorHAnsi" w:cstheme="minorHAnsi"/>
          <w:spacing w:val="-3"/>
          <w:lang w:val="en-US"/>
        </w:rPr>
        <w:t>6</w:t>
      </w:r>
      <w:r w:rsidR="00E2455B" w:rsidRPr="00E2455B">
        <w:rPr>
          <w:rFonts w:asciiTheme="minorHAnsi" w:hAnsiTheme="minorHAnsi" w:cstheme="minorHAnsi"/>
          <w:spacing w:val="-3"/>
          <w:lang w:val="en-US"/>
        </w:rPr>
        <w:t>.1</w:t>
      </w:r>
      <w:r w:rsidR="00E2455B" w:rsidRPr="00E2455B">
        <w:rPr>
          <w:rFonts w:asciiTheme="minorHAnsi" w:hAnsiTheme="minorHAnsi" w:cstheme="minorHAnsi"/>
          <w:spacing w:val="-3"/>
          <w:lang w:val="en-US"/>
        </w:rPr>
        <w:tab/>
        <w:t>The Processor shall, in relation to any Personal Data processed in connection with its obligations under this Agreement:</w:t>
      </w:r>
    </w:p>
    <w:p w14:paraId="5EB9F933" w14:textId="1C683E42" w:rsidR="00E2455B" w:rsidRPr="00E2455B" w:rsidRDefault="002C0F87" w:rsidP="00E2455B">
      <w:pPr>
        <w:keepLines/>
        <w:overflowPunct/>
        <w:autoSpaceDE/>
        <w:autoSpaceDN/>
        <w:adjustRightInd/>
        <w:ind w:left="709"/>
        <w:textAlignment w:val="auto"/>
        <w:rPr>
          <w:rFonts w:asciiTheme="minorHAnsi" w:hAnsiTheme="minorHAnsi" w:cstheme="minorHAnsi"/>
          <w:spacing w:val="-3"/>
          <w:lang w:val="en-US"/>
        </w:rPr>
      </w:pPr>
      <w:r>
        <w:rPr>
          <w:rFonts w:asciiTheme="minorHAnsi" w:hAnsiTheme="minorHAnsi" w:cstheme="minorHAnsi"/>
          <w:spacing w:val="-3"/>
          <w:lang w:val="en-US"/>
        </w:rPr>
        <w:t>6</w:t>
      </w:r>
      <w:r w:rsidR="00E2455B" w:rsidRPr="00E2455B">
        <w:rPr>
          <w:rFonts w:asciiTheme="minorHAnsi" w:hAnsiTheme="minorHAnsi" w:cstheme="minorHAnsi"/>
          <w:spacing w:val="-3"/>
          <w:lang w:val="en-US"/>
        </w:rPr>
        <w:t>.1.1</w:t>
      </w:r>
      <w:r w:rsidR="00E2455B" w:rsidRPr="00E2455B">
        <w:rPr>
          <w:rFonts w:asciiTheme="minorHAnsi" w:hAnsiTheme="minorHAnsi" w:cstheme="minorHAnsi"/>
          <w:spacing w:val="-3"/>
          <w:lang w:val="en-US"/>
        </w:rPr>
        <w:tab/>
      </w:r>
      <w:proofErr w:type="gramStart"/>
      <w:r w:rsidR="00E2455B" w:rsidRPr="00E2455B">
        <w:rPr>
          <w:rFonts w:asciiTheme="minorHAnsi" w:hAnsiTheme="minorHAnsi" w:cstheme="minorHAnsi"/>
          <w:spacing w:val="-3"/>
          <w:lang w:val="en-US"/>
        </w:rPr>
        <w:t>not</w:t>
      </w:r>
      <w:proofErr w:type="gramEnd"/>
      <w:r w:rsidR="00E2455B" w:rsidRPr="00E2455B">
        <w:rPr>
          <w:rFonts w:asciiTheme="minorHAnsi" w:hAnsiTheme="minorHAnsi" w:cstheme="minorHAnsi"/>
          <w:spacing w:val="-3"/>
          <w:lang w:val="en-US"/>
        </w:rPr>
        <w:t xml:space="preserve"> transfer Personal Data outside of the UK unless the prior written consent of the Controller has been obtained and the following conditions are fulfilled:</w:t>
      </w:r>
    </w:p>
    <w:p w14:paraId="1F9A0AD2" w14:textId="77777777" w:rsidR="00E2455B" w:rsidRPr="00E2455B" w:rsidRDefault="00E2455B" w:rsidP="00E2455B">
      <w:pPr>
        <w:keepLines/>
        <w:overflowPunct/>
        <w:autoSpaceDE/>
        <w:autoSpaceDN/>
        <w:adjustRightInd/>
        <w:ind w:left="709"/>
        <w:textAlignment w:val="auto"/>
        <w:rPr>
          <w:rFonts w:asciiTheme="minorHAnsi" w:hAnsiTheme="minorHAnsi" w:cstheme="minorHAnsi"/>
          <w:spacing w:val="-3"/>
          <w:lang w:val="en-US"/>
        </w:rPr>
      </w:pPr>
      <w:r w:rsidRPr="00E2455B">
        <w:rPr>
          <w:rFonts w:asciiTheme="minorHAnsi" w:hAnsiTheme="minorHAnsi" w:cstheme="minorHAnsi"/>
          <w:spacing w:val="-3"/>
          <w:lang w:val="en-US"/>
        </w:rPr>
        <w:t>(a)</w:t>
      </w:r>
      <w:r w:rsidRPr="00E2455B">
        <w:rPr>
          <w:rFonts w:asciiTheme="minorHAnsi" w:hAnsiTheme="minorHAnsi" w:cstheme="minorHAnsi"/>
          <w:spacing w:val="-3"/>
          <w:lang w:val="en-US"/>
        </w:rPr>
        <w:tab/>
      </w:r>
      <w:proofErr w:type="gramStart"/>
      <w:r w:rsidRPr="00E2455B">
        <w:rPr>
          <w:rFonts w:asciiTheme="minorHAnsi" w:hAnsiTheme="minorHAnsi" w:cstheme="minorHAnsi"/>
          <w:spacing w:val="-3"/>
          <w:lang w:val="en-US"/>
        </w:rPr>
        <w:t>the</w:t>
      </w:r>
      <w:proofErr w:type="gramEnd"/>
      <w:r w:rsidRPr="00E2455B">
        <w:rPr>
          <w:rFonts w:asciiTheme="minorHAnsi" w:hAnsiTheme="minorHAnsi" w:cstheme="minorHAnsi"/>
          <w:spacing w:val="-3"/>
          <w:lang w:val="en-US"/>
        </w:rPr>
        <w:t xml:space="preserve"> Controller or the Processor has provided appropriate safeguards in relation to the transfer (whether in accordance with GDPR Article 46 or LED Article 37) as determined by the Controller;</w:t>
      </w:r>
    </w:p>
    <w:p w14:paraId="739DE657" w14:textId="77777777" w:rsidR="00E2455B" w:rsidRPr="00E2455B" w:rsidRDefault="00E2455B" w:rsidP="00E2455B">
      <w:pPr>
        <w:keepLines/>
        <w:overflowPunct/>
        <w:autoSpaceDE/>
        <w:autoSpaceDN/>
        <w:adjustRightInd/>
        <w:ind w:left="709"/>
        <w:textAlignment w:val="auto"/>
        <w:rPr>
          <w:rFonts w:asciiTheme="minorHAnsi" w:hAnsiTheme="minorHAnsi" w:cstheme="minorHAnsi"/>
          <w:spacing w:val="-3"/>
          <w:lang w:val="en-US"/>
        </w:rPr>
      </w:pPr>
      <w:r w:rsidRPr="00E2455B">
        <w:rPr>
          <w:rFonts w:asciiTheme="minorHAnsi" w:hAnsiTheme="minorHAnsi" w:cstheme="minorHAnsi"/>
          <w:spacing w:val="-3"/>
          <w:lang w:val="en-US"/>
        </w:rPr>
        <w:t>(b)</w:t>
      </w:r>
      <w:r w:rsidRPr="00E2455B">
        <w:rPr>
          <w:rFonts w:asciiTheme="minorHAnsi" w:hAnsiTheme="minorHAnsi" w:cstheme="minorHAnsi"/>
          <w:spacing w:val="-3"/>
          <w:lang w:val="en-US"/>
        </w:rPr>
        <w:tab/>
      </w:r>
      <w:proofErr w:type="gramStart"/>
      <w:r w:rsidRPr="00E2455B">
        <w:rPr>
          <w:rFonts w:asciiTheme="minorHAnsi" w:hAnsiTheme="minorHAnsi" w:cstheme="minorHAnsi"/>
          <w:spacing w:val="-3"/>
          <w:lang w:val="en-US"/>
        </w:rPr>
        <w:t>the</w:t>
      </w:r>
      <w:proofErr w:type="gramEnd"/>
      <w:r w:rsidRPr="00E2455B">
        <w:rPr>
          <w:rFonts w:asciiTheme="minorHAnsi" w:hAnsiTheme="minorHAnsi" w:cstheme="minorHAnsi"/>
          <w:spacing w:val="-3"/>
          <w:lang w:val="en-US"/>
        </w:rPr>
        <w:t xml:space="preserve"> Data Subject has enforceable rights and effective legal remedies;</w:t>
      </w:r>
    </w:p>
    <w:p w14:paraId="0B9A7F76" w14:textId="77777777" w:rsidR="00E2455B" w:rsidRPr="00E2455B" w:rsidRDefault="00E2455B" w:rsidP="00E2455B">
      <w:pPr>
        <w:keepLines/>
        <w:overflowPunct/>
        <w:autoSpaceDE/>
        <w:autoSpaceDN/>
        <w:adjustRightInd/>
        <w:ind w:left="709"/>
        <w:textAlignment w:val="auto"/>
        <w:rPr>
          <w:rFonts w:asciiTheme="minorHAnsi" w:hAnsiTheme="minorHAnsi" w:cstheme="minorHAnsi"/>
          <w:spacing w:val="-3"/>
          <w:lang w:val="en-US"/>
        </w:rPr>
      </w:pPr>
      <w:r w:rsidRPr="00E2455B">
        <w:rPr>
          <w:rFonts w:asciiTheme="minorHAnsi" w:hAnsiTheme="minorHAnsi" w:cstheme="minorHAnsi"/>
          <w:spacing w:val="-3"/>
          <w:lang w:val="en-US"/>
        </w:rPr>
        <w:t>(c)</w:t>
      </w:r>
      <w:r w:rsidRPr="00E2455B">
        <w:rPr>
          <w:rFonts w:asciiTheme="minorHAnsi" w:hAnsiTheme="minorHAnsi" w:cstheme="minorHAnsi"/>
          <w:spacing w:val="-3"/>
          <w:lang w:val="en-US"/>
        </w:rPr>
        <w:tab/>
        <w:t xml:space="preserve">the Processor complies with its obligations under the Data Protection Legislation by providing an adequate level of protection to any Personal Data that is transferred (or, if it is not so bound, uses its best </w:t>
      </w:r>
      <w:proofErr w:type="spellStart"/>
      <w:r w:rsidRPr="00E2455B">
        <w:rPr>
          <w:rFonts w:asciiTheme="minorHAnsi" w:hAnsiTheme="minorHAnsi" w:cstheme="minorHAnsi"/>
          <w:spacing w:val="-3"/>
          <w:lang w:val="en-US"/>
        </w:rPr>
        <w:t>endeavours</w:t>
      </w:r>
      <w:proofErr w:type="spellEnd"/>
      <w:r w:rsidRPr="00E2455B">
        <w:rPr>
          <w:rFonts w:asciiTheme="minorHAnsi" w:hAnsiTheme="minorHAnsi" w:cstheme="minorHAnsi"/>
          <w:spacing w:val="-3"/>
          <w:lang w:val="en-US"/>
        </w:rPr>
        <w:t xml:space="preserve"> to assist the Controller in meeting its obligations); and</w:t>
      </w:r>
    </w:p>
    <w:p w14:paraId="41187C0D" w14:textId="77777777" w:rsidR="00E2455B" w:rsidRPr="00E2455B" w:rsidRDefault="00E2455B" w:rsidP="00E2455B">
      <w:pPr>
        <w:keepLines/>
        <w:overflowPunct/>
        <w:autoSpaceDE/>
        <w:autoSpaceDN/>
        <w:adjustRightInd/>
        <w:ind w:left="709"/>
        <w:textAlignment w:val="auto"/>
        <w:rPr>
          <w:rFonts w:asciiTheme="minorHAnsi" w:hAnsiTheme="minorHAnsi" w:cstheme="minorHAnsi"/>
          <w:spacing w:val="-3"/>
          <w:lang w:val="en-US"/>
        </w:rPr>
      </w:pPr>
      <w:r w:rsidRPr="00E2455B">
        <w:rPr>
          <w:rFonts w:asciiTheme="minorHAnsi" w:hAnsiTheme="minorHAnsi" w:cstheme="minorHAnsi"/>
          <w:spacing w:val="-3"/>
          <w:lang w:val="en-US"/>
        </w:rPr>
        <w:t>(d)</w:t>
      </w:r>
      <w:r w:rsidRPr="00E2455B">
        <w:rPr>
          <w:rFonts w:asciiTheme="minorHAnsi" w:hAnsiTheme="minorHAnsi" w:cstheme="minorHAnsi"/>
          <w:spacing w:val="-3"/>
          <w:lang w:val="en-US"/>
        </w:rPr>
        <w:tab/>
      </w:r>
      <w:proofErr w:type="gramStart"/>
      <w:r w:rsidRPr="00E2455B">
        <w:rPr>
          <w:rFonts w:asciiTheme="minorHAnsi" w:hAnsiTheme="minorHAnsi" w:cstheme="minorHAnsi"/>
          <w:spacing w:val="-3"/>
          <w:lang w:val="en-US"/>
        </w:rPr>
        <w:t>the</w:t>
      </w:r>
      <w:proofErr w:type="gramEnd"/>
      <w:r w:rsidRPr="00E2455B">
        <w:rPr>
          <w:rFonts w:asciiTheme="minorHAnsi" w:hAnsiTheme="minorHAnsi" w:cstheme="minorHAnsi"/>
          <w:spacing w:val="-3"/>
          <w:lang w:val="en-US"/>
        </w:rPr>
        <w:t xml:space="preserve"> Processor complies with any reasonable instructions notified to it in advance by the Controller with respect to the processing of the Personal Data;</w:t>
      </w:r>
    </w:p>
    <w:p w14:paraId="635BE2AD" w14:textId="1724D9E8"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p>
    <w:tbl>
      <w:tblPr>
        <w:tblW w:w="0" w:type="auto"/>
        <w:tblInd w:w="675" w:type="dxa"/>
        <w:tblLook w:val="01E0" w:firstRow="1" w:lastRow="1" w:firstColumn="1" w:lastColumn="1" w:noHBand="0" w:noVBand="0"/>
      </w:tblPr>
      <w:tblGrid>
        <w:gridCol w:w="1533"/>
        <w:gridCol w:w="6818"/>
      </w:tblGrid>
      <w:tr w:rsidR="00E2455B" w:rsidRPr="00E2455B" w14:paraId="041741CA" w14:textId="77777777" w:rsidTr="00E2455B">
        <w:tc>
          <w:tcPr>
            <w:tcW w:w="1533" w:type="dxa"/>
          </w:tcPr>
          <w:p w14:paraId="5713EC86"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r w:rsidRPr="00E2455B">
              <w:rPr>
                <w:rFonts w:asciiTheme="minorHAnsi" w:eastAsiaTheme="minorHAnsi" w:hAnsiTheme="minorHAnsi" w:cstheme="minorBidi"/>
                <w:b/>
              </w:rPr>
              <w:t>“Data Protection Legislation”</w:t>
            </w:r>
          </w:p>
        </w:tc>
        <w:tc>
          <w:tcPr>
            <w:tcW w:w="6818" w:type="dxa"/>
          </w:tcPr>
          <w:p w14:paraId="3265BD2D"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sidRPr="00E2455B">
              <w:rPr>
                <w:rFonts w:asciiTheme="minorHAnsi" w:eastAsiaTheme="minorHAnsi" w:hAnsiTheme="minorHAnsi" w:cstheme="minorBidi"/>
              </w:rPr>
              <w:t>(</w:t>
            </w:r>
            <w:proofErr w:type="spellStart"/>
            <w:r w:rsidRPr="00E2455B">
              <w:rPr>
                <w:rFonts w:asciiTheme="minorHAnsi" w:eastAsiaTheme="minorHAnsi" w:hAnsiTheme="minorHAnsi" w:cstheme="minorBidi"/>
              </w:rPr>
              <w:t>i</w:t>
            </w:r>
            <w:proofErr w:type="spellEnd"/>
            <w:r w:rsidRPr="00E2455B">
              <w:rPr>
                <w:rFonts w:asciiTheme="minorHAnsi" w:eastAsiaTheme="minorHAnsi" w:hAnsiTheme="minorHAnsi" w:cstheme="minorBidi"/>
              </w:rPr>
              <w:t>) the GDPR, the LED and any applicable national implementing Laws as amended from time to time (ii) the DPA 2018 to the extent that it relates to processing of personal data and privacy; (</w:t>
            </w:r>
            <w:proofErr w:type="spellStart"/>
            <w:r w:rsidRPr="00E2455B">
              <w:rPr>
                <w:rFonts w:asciiTheme="minorHAnsi" w:eastAsiaTheme="minorHAnsi" w:hAnsiTheme="minorHAnsi" w:cstheme="minorBidi"/>
              </w:rPr>
              <w:t>iiii</w:t>
            </w:r>
            <w:proofErr w:type="spellEnd"/>
            <w:r w:rsidRPr="00E2455B">
              <w:rPr>
                <w:rFonts w:asciiTheme="minorHAnsi" w:eastAsiaTheme="minorHAnsi" w:hAnsiTheme="minorHAnsi" w:cstheme="minorBidi"/>
              </w:rPr>
              <w:t>) all applicable Law about the processing of personal data and privacy;</w:t>
            </w:r>
          </w:p>
        </w:tc>
      </w:tr>
      <w:tr w:rsidR="00E2455B" w:rsidRPr="00E2455B" w14:paraId="2A818329" w14:textId="77777777" w:rsidTr="00E2455B">
        <w:tc>
          <w:tcPr>
            <w:tcW w:w="1533" w:type="dxa"/>
          </w:tcPr>
          <w:p w14:paraId="0B439F14"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r w:rsidRPr="00E2455B">
              <w:rPr>
                <w:rFonts w:asciiTheme="minorHAnsi" w:eastAsiaTheme="minorHAnsi" w:hAnsiTheme="minorHAnsi" w:cstheme="minorBidi"/>
                <w:b/>
              </w:rPr>
              <w:t xml:space="preserve">“Controller”, “Processor”, “Data Subject”, </w:t>
            </w:r>
          </w:p>
        </w:tc>
        <w:tc>
          <w:tcPr>
            <w:tcW w:w="6818" w:type="dxa"/>
          </w:tcPr>
          <w:p w14:paraId="3C3A7AB0"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sidRPr="00E2455B">
              <w:rPr>
                <w:rFonts w:asciiTheme="minorHAnsi" w:eastAsiaTheme="minorHAnsi" w:hAnsiTheme="minorHAnsi" w:cstheme="minorBidi"/>
              </w:rPr>
              <w:t xml:space="preserve">take the meaning given in the GDPR;  </w:t>
            </w:r>
          </w:p>
        </w:tc>
      </w:tr>
    </w:tbl>
    <w:p w14:paraId="459191D6" w14:textId="77777777" w:rsidR="00E2455B" w:rsidRPr="00E2455B" w:rsidRDefault="00E2455B" w:rsidP="00E2455B">
      <w:pPr>
        <w:overflowPunct/>
        <w:autoSpaceDE/>
        <w:autoSpaceDN/>
        <w:adjustRightInd/>
        <w:spacing w:after="160" w:line="259" w:lineRule="auto"/>
        <w:ind w:left="0" w:firstLine="720"/>
        <w:jc w:val="left"/>
        <w:textAlignment w:val="auto"/>
        <w:rPr>
          <w:rFonts w:asciiTheme="minorHAnsi" w:eastAsiaTheme="minorHAnsi" w:hAnsiTheme="minorHAnsi" w:cstheme="minorBidi"/>
        </w:rPr>
      </w:pPr>
      <w:r w:rsidRPr="00E2455B">
        <w:rPr>
          <w:rFonts w:asciiTheme="minorHAnsi" w:eastAsiaTheme="minorHAnsi" w:hAnsiTheme="minorHAnsi" w:cstheme="minorBidi"/>
          <w:b/>
        </w:rPr>
        <w:t>“GDPR”</w:t>
      </w:r>
      <w:r w:rsidRPr="00E2455B">
        <w:rPr>
          <w:rFonts w:asciiTheme="minorHAnsi" w:eastAsiaTheme="minorHAnsi" w:hAnsiTheme="minorHAnsi" w:cstheme="minorBidi"/>
          <w:b/>
        </w:rPr>
        <w:tab/>
      </w:r>
      <w:r w:rsidRPr="00E2455B">
        <w:rPr>
          <w:rFonts w:asciiTheme="minorHAnsi" w:eastAsiaTheme="minorHAnsi" w:hAnsiTheme="minorHAnsi" w:cstheme="minorBidi"/>
          <w:b/>
        </w:rPr>
        <w:tab/>
      </w:r>
      <w:r w:rsidRPr="00E2455B">
        <w:rPr>
          <w:rFonts w:asciiTheme="minorHAnsi" w:eastAsiaTheme="minorHAnsi" w:hAnsiTheme="minorHAnsi" w:cstheme="minorBidi"/>
          <w:b/>
        </w:rPr>
        <w:tab/>
      </w:r>
      <w:r w:rsidRPr="00E2455B">
        <w:rPr>
          <w:rFonts w:asciiTheme="minorHAnsi" w:eastAsiaTheme="minorHAnsi" w:hAnsiTheme="minorHAnsi" w:cstheme="minorBidi"/>
        </w:rPr>
        <w:t>the General Data Protection Regulation (Regulation (EU) 2016/679);</w:t>
      </w:r>
    </w:p>
    <w:p w14:paraId="7C94A5B1" w14:textId="77777777" w:rsidR="00E2455B" w:rsidRPr="00E2455B" w:rsidRDefault="00E2455B" w:rsidP="00E2455B">
      <w:pPr>
        <w:overflowPunct/>
        <w:autoSpaceDE/>
        <w:autoSpaceDN/>
        <w:adjustRightInd/>
        <w:spacing w:after="160" w:line="259" w:lineRule="auto"/>
        <w:ind w:left="0" w:firstLine="720"/>
        <w:jc w:val="left"/>
        <w:textAlignment w:val="auto"/>
        <w:rPr>
          <w:rFonts w:asciiTheme="minorHAnsi" w:eastAsiaTheme="minorHAnsi" w:hAnsiTheme="minorHAnsi" w:cstheme="minorBidi"/>
        </w:rPr>
      </w:pPr>
      <w:r w:rsidRPr="00E2455B">
        <w:rPr>
          <w:rFonts w:asciiTheme="minorHAnsi" w:eastAsiaTheme="minorHAnsi" w:hAnsiTheme="minorHAnsi" w:cstheme="minorBidi"/>
          <w:b/>
        </w:rPr>
        <w:t xml:space="preserve"> “Personal Data”</w:t>
      </w:r>
      <w:r w:rsidRPr="00E2455B">
        <w:rPr>
          <w:rFonts w:asciiTheme="minorHAnsi" w:eastAsiaTheme="minorHAnsi" w:hAnsiTheme="minorHAnsi" w:cstheme="minorBidi"/>
          <w:b/>
        </w:rPr>
        <w:tab/>
      </w:r>
      <w:r w:rsidRPr="00E2455B">
        <w:rPr>
          <w:rFonts w:asciiTheme="minorHAnsi" w:eastAsiaTheme="minorHAnsi" w:hAnsiTheme="minorHAnsi" w:cstheme="minorBidi"/>
        </w:rPr>
        <w:t xml:space="preserve">has the meaning given in the GDPR; </w:t>
      </w:r>
    </w:p>
    <w:p w14:paraId="4CBDF989"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p>
    <w:p w14:paraId="2F1AEB4A"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r w:rsidRPr="00E2455B">
        <w:rPr>
          <w:rFonts w:asciiTheme="minorHAnsi" w:eastAsiaTheme="minorHAnsi" w:hAnsiTheme="minorHAnsi" w:cstheme="minorBidi"/>
          <w:b/>
        </w:rPr>
        <w:t>Official Secrets Acts, Commissioners for Revenue and Customs Act 2005 and related Legislation</w:t>
      </w:r>
    </w:p>
    <w:p w14:paraId="36C14CA7" w14:textId="53B4AD4B"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7</w:t>
      </w:r>
      <w:r w:rsidR="00E2455B" w:rsidRPr="00E2455B">
        <w:rPr>
          <w:rFonts w:asciiTheme="minorHAnsi" w:eastAsiaTheme="minorHAnsi" w:hAnsiTheme="minorHAnsi" w:cstheme="minorBidi"/>
        </w:rPr>
        <w:t>.1</w:t>
      </w:r>
      <w:r w:rsidR="00E2455B" w:rsidRPr="00E2455B">
        <w:rPr>
          <w:rFonts w:asciiTheme="minorHAnsi" w:eastAsiaTheme="minorHAnsi" w:hAnsiTheme="minorHAnsi" w:cstheme="minorBidi"/>
        </w:rPr>
        <w:tab/>
        <w:t xml:space="preserve">The Supplier shall comply with, and shall ensure that it’s Supplier Personnel comply with: </w:t>
      </w:r>
    </w:p>
    <w:p w14:paraId="30A6632F" w14:textId="76A3FAAD"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7</w:t>
      </w:r>
      <w:r w:rsidR="00E2455B" w:rsidRPr="00E2455B">
        <w:rPr>
          <w:rFonts w:asciiTheme="minorHAnsi" w:eastAsiaTheme="minorHAnsi" w:hAnsiTheme="minorHAnsi" w:cstheme="minorBidi"/>
        </w:rPr>
        <w:t>.1.1</w:t>
      </w:r>
      <w:r w:rsidR="00E2455B" w:rsidRPr="00E2455B">
        <w:rPr>
          <w:rFonts w:asciiTheme="minorHAnsi" w:eastAsiaTheme="minorHAnsi" w:hAnsiTheme="minorHAnsi" w:cstheme="minorBidi"/>
        </w:rPr>
        <w:tab/>
      </w:r>
      <w:proofErr w:type="gramStart"/>
      <w:r w:rsidR="00E2455B" w:rsidRPr="00E2455B">
        <w:rPr>
          <w:rFonts w:asciiTheme="minorHAnsi" w:eastAsiaTheme="minorHAnsi" w:hAnsiTheme="minorHAnsi" w:cstheme="minorBidi"/>
        </w:rPr>
        <w:t>the</w:t>
      </w:r>
      <w:proofErr w:type="gramEnd"/>
      <w:r w:rsidR="00E2455B" w:rsidRPr="00E2455B">
        <w:rPr>
          <w:rFonts w:asciiTheme="minorHAnsi" w:eastAsiaTheme="minorHAnsi" w:hAnsiTheme="minorHAnsi" w:cstheme="minorBidi"/>
        </w:rPr>
        <w:t xml:space="preserve"> provisions of the Official Secrets Acts 1911 to 1989; </w:t>
      </w:r>
    </w:p>
    <w:p w14:paraId="7A37C49B" w14:textId="68C5326F"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7</w:t>
      </w:r>
      <w:r w:rsidR="00E2455B" w:rsidRPr="00E2455B">
        <w:rPr>
          <w:rFonts w:asciiTheme="minorHAnsi" w:eastAsiaTheme="minorHAnsi" w:hAnsiTheme="minorHAnsi" w:cstheme="minorBidi"/>
        </w:rPr>
        <w:t>.1.2</w:t>
      </w:r>
      <w:r w:rsidR="00E2455B" w:rsidRPr="00E2455B">
        <w:rPr>
          <w:rFonts w:asciiTheme="minorHAnsi" w:eastAsiaTheme="minorHAnsi" w:hAnsiTheme="minorHAnsi" w:cstheme="minorBidi"/>
        </w:rPr>
        <w:tab/>
      </w:r>
      <w:proofErr w:type="gramStart"/>
      <w:r w:rsidR="00E2455B" w:rsidRPr="00E2455B">
        <w:rPr>
          <w:rFonts w:asciiTheme="minorHAnsi" w:eastAsiaTheme="minorHAnsi" w:hAnsiTheme="minorHAnsi" w:cstheme="minorBidi"/>
        </w:rPr>
        <w:t>the</w:t>
      </w:r>
      <w:proofErr w:type="gramEnd"/>
      <w:r w:rsidR="00E2455B" w:rsidRPr="00E2455B">
        <w:rPr>
          <w:rFonts w:asciiTheme="minorHAnsi" w:eastAsiaTheme="minorHAnsi" w:hAnsiTheme="minorHAnsi" w:cstheme="minorBidi"/>
        </w:rPr>
        <w:t xml:space="preserve"> obligations set out in Section 182 of the Finance Act 1989 and Section 18 of the Commissioners for Revenue and Customs Act 2005 to maintain the confidentiality of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Data.  Further, the Supplier acknowledges that (without prejudice to any other rights and remedies of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a breach of the aforesaid obligations may lead to a prosecution under Section 182 of the Finance Act 1989 and/or Section 19 of the Commissioners for Revenue and Customs Act 2005; and</w:t>
      </w:r>
    </w:p>
    <w:p w14:paraId="487E79E6" w14:textId="7D35B6D1"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7</w:t>
      </w:r>
      <w:r w:rsidR="00E2455B" w:rsidRPr="00E2455B">
        <w:rPr>
          <w:rFonts w:asciiTheme="minorHAnsi" w:eastAsiaTheme="minorHAnsi" w:hAnsiTheme="minorHAnsi" w:cstheme="minorBidi"/>
        </w:rPr>
        <w:t>.1.3</w:t>
      </w:r>
      <w:r w:rsidR="00E2455B" w:rsidRPr="00E2455B">
        <w:rPr>
          <w:rFonts w:asciiTheme="minorHAnsi" w:eastAsiaTheme="minorHAnsi" w:hAnsiTheme="minorHAnsi" w:cstheme="minorBidi"/>
        </w:rPr>
        <w:tab/>
        <w:t xml:space="preserve">Section 123 of the Social Security Administration Act 1992, which may apply to the fulfilment of some or all of the Services.  The Supplier acknowledges that (without prejudice to any other rights and remedies of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a breach of the Supplier’s obligations under Section 123 of the Social Security Administration Act 1992 may lead to a prosecution under that Act.</w:t>
      </w:r>
    </w:p>
    <w:p w14:paraId="371755AE" w14:textId="730B9C8F"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7</w:t>
      </w:r>
      <w:r w:rsidR="00E2455B" w:rsidRPr="00E2455B">
        <w:rPr>
          <w:rFonts w:asciiTheme="minorHAnsi" w:eastAsiaTheme="minorHAnsi" w:hAnsiTheme="minorHAnsi" w:cstheme="minorBidi"/>
        </w:rPr>
        <w:t>.2</w:t>
      </w:r>
      <w:r w:rsidR="00E2455B" w:rsidRPr="00E2455B">
        <w:rPr>
          <w:rFonts w:asciiTheme="minorHAnsi" w:eastAsiaTheme="minorHAnsi" w:hAnsiTheme="minorHAnsi" w:cstheme="minorBidi"/>
        </w:rPr>
        <w:tab/>
        <w:t xml:space="preserve">The Supplier shall regularly (not less than once every six (6) months) remind all Supplier Personnel in writing of the obligations upon Supplier Personnel set out in </w:t>
      </w:r>
      <w:r w:rsidR="00E2455B" w:rsidRPr="00525E4C">
        <w:rPr>
          <w:rFonts w:asciiTheme="minorHAnsi" w:eastAsiaTheme="minorHAnsi" w:hAnsiTheme="minorHAnsi" w:cstheme="minorBidi"/>
        </w:rPr>
        <w:t xml:space="preserve">Clause </w:t>
      </w:r>
      <w:r>
        <w:rPr>
          <w:rFonts w:asciiTheme="minorHAnsi" w:eastAsiaTheme="minorHAnsi" w:hAnsiTheme="minorHAnsi" w:cstheme="minorBidi"/>
        </w:rPr>
        <w:t>7</w:t>
      </w:r>
      <w:r w:rsidR="00E2455B" w:rsidRPr="00525E4C">
        <w:rPr>
          <w:rFonts w:asciiTheme="minorHAnsi" w:eastAsiaTheme="minorHAnsi" w:hAnsiTheme="minorHAnsi" w:cstheme="minorBidi"/>
        </w:rPr>
        <w:t>.1 above</w:t>
      </w:r>
      <w:r w:rsidR="00E2455B" w:rsidRPr="00E2455B">
        <w:rPr>
          <w:rFonts w:asciiTheme="minorHAnsi" w:eastAsiaTheme="minorHAnsi" w:hAnsiTheme="minorHAnsi" w:cstheme="minorBidi"/>
        </w:rPr>
        <w:t>.  The Supplier shall monitor the compliance by Supplier Personnel with such obligations.</w:t>
      </w:r>
    </w:p>
    <w:p w14:paraId="153EC7FC" w14:textId="13BB9819"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7</w:t>
      </w:r>
      <w:r w:rsidR="00E2455B" w:rsidRPr="00E2455B">
        <w:rPr>
          <w:rFonts w:asciiTheme="minorHAnsi" w:eastAsiaTheme="minorHAnsi" w:hAnsiTheme="minorHAnsi" w:cstheme="minorBidi"/>
        </w:rPr>
        <w:t>.3</w:t>
      </w:r>
      <w:r w:rsidR="00E2455B" w:rsidRPr="00E2455B">
        <w:rPr>
          <w:rFonts w:asciiTheme="minorHAnsi" w:eastAsiaTheme="minorHAnsi" w:hAnsiTheme="minorHAnsi" w:cstheme="minorBidi"/>
        </w:rPr>
        <w:tab/>
        <w:t xml:space="preserve">The Supplier shall ensure that all Supplier Personnel who will have access to, or are provided with,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Data sign (or have previously signed) a declaration, in a form acceptable to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acknowledging that they understand and have been informed about the application and effect of Section 18 and 19 of the Commissioners for Revenue and Customs Act 2005.  The Supplier shall provide a copy of each such signed declaration to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upon demand.</w:t>
      </w:r>
    </w:p>
    <w:p w14:paraId="248AC4DF" w14:textId="7FFC0C6F"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7</w:t>
      </w:r>
      <w:r w:rsidR="00E2455B" w:rsidRPr="00E2455B">
        <w:rPr>
          <w:rFonts w:asciiTheme="minorHAnsi" w:eastAsiaTheme="minorHAnsi" w:hAnsiTheme="minorHAnsi" w:cstheme="minorBidi"/>
        </w:rPr>
        <w:t>.4</w:t>
      </w:r>
      <w:r w:rsidR="00E2455B" w:rsidRPr="00E2455B">
        <w:rPr>
          <w:rFonts w:asciiTheme="minorHAnsi" w:eastAsiaTheme="minorHAnsi" w:hAnsiTheme="minorHAnsi" w:cstheme="minorBidi"/>
        </w:rPr>
        <w:tab/>
        <w:t xml:space="preserve">In the event that the Supplier or the Supplier Personnel fail to comply with this clause,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reserves the right to terminate the Agreement under Clause </w:t>
      </w:r>
      <w:r w:rsidR="00525E4C">
        <w:rPr>
          <w:rFonts w:asciiTheme="minorHAnsi" w:eastAsiaTheme="minorHAnsi" w:hAnsiTheme="minorHAnsi" w:cstheme="minorBidi"/>
        </w:rPr>
        <w:t xml:space="preserve">8 in Section B of this Call </w:t>
      </w:r>
      <w:proofErr w:type="gramStart"/>
      <w:r w:rsidR="00525E4C">
        <w:rPr>
          <w:rFonts w:asciiTheme="minorHAnsi" w:eastAsiaTheme="minorHAnsi" w:hAnsiTheme="minorHAnsi" w:cstheme="minorBidi"/>
        </w:rPr>
        <w:t>Off</w:t>
      </w:r>
      <w:proofErr w:type="gramEnd"/>
      <w:r w:rsidR="00525E4C">
        <w:rPr>
          <w:rFonts w:asciiTheme="minorHAnsi" w:eastAsiaTheme="minorHAnsi" w:hAnsiTheme="minorHAnsi" w:cstheme="minorBidi"/>
        </w:rPr>
        <w:t xml:space="preserve"> Order Form </w:t>
      </w:r>
      <w:r w:rsidR="00E2455B" w:rsidRPr="00E2455B">
        <w:rPr>
          <w:rFonts w:asciiTheme="minorHAnsi" w:eastAsiaTheme="minorHAnsi" w:hAnsiTheme="minorHAnsi" w:cstheme="minorBidi"/>
        </w:rPr>
        <w:t>with immediate effect.</w:t>
      </w:r>
    </w:p>
    <w:p w14:paraId="7AAF6CEF" w14:textId="66C76F13"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p>
    <w:tbl>
      <w:tblPr>
        <w:tblW w:w="0" w:type="auto"/>
        <w:tblInd w:w="108" w:type="dxa"/>
        <w:tblLook w:val="01E0" w:firstRow="1" w:lastRow="1" w:firstColumn="1" w:lastColumn="1" w:noHBand="0" w:noVBand="0"/>
      </w:tblPr>
      <w:tblGrid>
        <w:gridCol w:w="1699"/>
        <w:gridCol w:w="7219"/>
      </w:tblGrid>
      <w:tr w:rsidR="00E2455B" w:rsidRPr="00E2455B" w14:paraId="4F267458" w14:textId="77777777" w:rsidTr="00E2455B">
        <w:tc>
          <w:tcPr>
            <w:tcW w:w="1699" w:type="dxa"/>
          </w:tcPr>
          <w:p w14:paraId="36F3096E" w14:textId="63467826"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r w:rsidRPr="00E2455B">
              <w:rPr>
                <w:rFonts w:asciiTheme="minorHAnsi" w:eastAsiaTheme="minorHAnsi" w:hAnsiTheme="minorHAnsi" w:cstheme="minorBidi"/>
                <w:b/>
              </w:rPr>
              <w:t>“</w:t>
            </w:r>
            <w:r w:rsidR="00BD4ACD">
              <w:rPr>
                <w:rFonts w:asciiTheme="minorHAnsi" w:eastAsiaTheme="minorHAnsi" w:hAnsiTheme="minorHAnsi" w:cstheme="minorBidi"/>
                <w:b/>
              </w:rPr>
              <w:t>Customer</w:t>
            </w:r>
            <w:r w:rsidRPr="00E2455B">
              <w:rPr>
                <w:rFonts w:asciiTheme="minorHAnsi" w:eastAsiaTheme="minorHAnsi" w:hAnsiTheme="minorHAnsi" w:cstheme="minorBidi"/>
                <w:b/>
              </w:rPr>
              <w:t xml:space="preserve"> Data”</w:t>
            </w:r>
          </w:p>
        </w:tc>
        <w:tc>
          <w:tcPr>
            <w:tcW w:w="7219" w:type="dxa"/>
          </w:tcPr>
          <w:p w14:paraId="24BD9D80" w14:textId="77777777" w:rsidR="00E2455B" w:rsidRPr="00E2455B" w:rsidRDefault="00E2455B" w:rsidP="00E2455B">
            <w:pPr>
              <w:numPr>
                <w:ilvl w:val="0"/>
                <w:numId w:val="27"/>
              </w:numPr>
              <w:overflowPunct/>
              <w:autoSpaceDE/>
              <w:autoSpaceDN/>
              <w:adjustRightInd/>
              <w:spacing w:after="160" w:line="259" w:lineRule="auto"/>
              <w:jc w:val="left"/>
              <w:textAlignment w:val="auto"/>
              <w:rPr>
                <w:rFonts w:asciiTheme="minorHAnsi" w:eastAsiaTheme="minorHAnsi" w:hAnsiTheme="minorHAnsi" w:cstheme="minorBidi"/>
              </w:rPr>
            </w:pPr>
            <w:r w:rsidRPr="00E2455B">
              <w:rPr>
                <w:rFonts w:asciiTheme="minorHAnsi" w:eastAsiaTheme="minorHAnsi" w:hAnsiTheme="minorHAnsi" w:cstheme="minorBidi"/>
              </w:rPr>
              <w:tab/>
              <w:t>the data, text, drawings, diagrams, images or sounds (together with any database made up of any of these) which are embodied in any electronic, magnetic, optical or tangible media, and which are:</w:t>
            </w:r>
          </w:p>
          <w:p w14:paraId="194FF77E" w14:textId="3666F4F6" w:rsidR="00E2455B" w:rsidRPr="00E2455B" w:rsidRDefault="00E2455B" w:rsidP="00E2455B">
            <w:pPr>
              <w:numPr>
                <w:ilvl w:val="3"/>
                <w:numId w:val="28"/>
              </w:numPr>
              <w:tabs>
                <w:tab w:val="num" w:pos="759"/>
              </w:tabs>
              <w:overflowPunct/>
              <w:autoSpaceDE/>
              <w:autoSpaceDN/>
              <w:adjustRightInd/>
              <w:spacing w:after="160" w:line="259" w:lineRule="auto"/>
              <w:jc w:val="left"/>
              <w:textAlignment w:val="auto"/>
              <w:rPr>
                <w:rFonts w:asciiTheme="minorHAnsi" w:eastAsiaTheme="minorHAnsi" w:hAnsiTheme="minorHAnsi" w:cstheme="minorBidi"/>
              </w:rPr>
            </w:pPr>
            <w:r w:rsidRPr="00E2455B">
              <w:rPr>
                <w:rFonts w:asciiTheme="minorHAnsi" w:eastAsiaTheme="minorHAnsi" w:hAnsiTheme="minorHAnsi" w:cstheme="minorBidi"/>
              </w:rPr>
              <w:t xml:space="preserve">supplied to the Supplier by or on behalf of the </w:t>
            </w:r>
            <w:r w:rsidR="00BD4ACD">
              <w:rPr>
                <w:rFonts w:asciiTheme="minorHAnsi" w:eastAsiaTheme="minorHAnsi" w:hAnsiTheme="minorHAnsi" w:cstheme="minorBidi"/>
              </w:rPr>
              <w:t>Customer</w:t>
            </w:r>
            <w:r w:rsidRPr="00E2455B">
              <w:rPr>
                <w:rFonts w:asciiTheme="minorHAnsi" w:eastAsiaTheme="minorHAnsi" w:hAnsiTheme="minorHAnsi" w:cstheme="minorBidi"/>
              </w:rPr>
              <w:t xml:space="preserve">; and/or </w:t>
            </w:r>
          </w:p>
          <w:p w14:paraId="2BD654E5" w14:textId="77777777" w:rsidR="00E2455B" w:rsidRPr="00E2455B" w:rsidRDefault="00E2455B" w:rsidP="00E2455B">
            <w:pPr>
              <w:numPr>
                <w:ilvl w:val="3"/>
                <w:numId w:val="28"/>
              </w:numPr>
              <w:tabs>
                <w:tab w:val="num" w:pos="759"/>
              </w:tabs>
              <w:overflowPunct/>
              <w:autoSpaceDE/>
              <w:autoSpaceDN/>
              <w:adjustRightInd/>
              <w:spacing w:after="160" w:line="259" w:lineRule="auto"/>
              <w:jc w:val="left"/>
              <w:textAlignment w:val="auto"/>
              <w:rPr>
                <w:rFonts w:asciiTheme="minorHAnsi" w:eastAsiaTheme="minorHAnsi" w:hAnsiTheme="minorHAnsi" w:cstheme="minorBidi"/>
              </w:rPr>
            </w:pPr>
            <w:r w:rsidRPr="00E2455B">
              <w:rPr>
                <w:rFonts w:asciiTheme="minorHAnsi" w:eastAsiaTheme="minorHAnsi" w:hAnsiTheme="minorHAnsi" w:cstheme="minorBidi"/>
              </w:rPr>
              <w:t>which the Supplier is required to generate, process, store or transmit pursuant to this Agreement; or</w:t>
            </w:r>
          </w:p>
          <w:p w14:paraId="5883B0E7" w14:textId="22AC6D67" w:rsidR="00E2455B" w:rsidRPr="00E2455B" w:rsidRDefault="00E2455B" w:rsidP="00E2455B">
            <w:pPr>
              <w:numPr>
                <w:ilvl w:val="0"/>
                <w:numId w:val="27"/>
              </w:numPr>
              <w:overflowPunct/>
              <w:autoSpaceDE/>
              <w:autoSpaceDN/>
              <w:adjustRightInd/>
              <w:spacing w:after="160" w:line="259" w:lineRule="auto"/>
              <w:jc w:val="left"/>
              <w:textAlignment w:val="auto"/>
              <w:rPr>
                <w:rFonts w:asciiTheme="minorHAnsi" w:eastAsiaTheme="minorHAnsi" w:hAnsiTheme="minorHAnsi" w:cstheme="minorBidi"/>
              </w:rPr>
            </w:pPr>
            <w:proofErr w:type="gramStart"/>
            <w:r w:rsidRPr="00E2455B">
              <w:rPr>
                <w:rFonts w:asciiTheme="minorHAnsi" w:eastAsiaTheme="minorHAnsi" w:hAnsiTheme="minorHAnsi" w:cstheme="minorBidi"/>
              </w:rPr>
              <w:t>any</w:t>
            </w:r>
            <w:proofErr w:type="gramEnd"/>
            <w:r w:rsidRPr="00E2455B">
              <w:rPr>
                <w:rFonts w:asciiTheme="minorHAnsi" w:eastAsiaTheme="minorHAnsi" w:hAnsiTheme="minorHAnsi" w:cstheme="minorBidi"/>
              </w:rPr>
              <w:t xml:space="preserve"> Personal Data for which the </w:t>
            </w:r>
            <w:r w:rsidR="00BD4ACD">
              <w:rPr>
                <w:rFonts w:asciiTheme="minorHAnsi" w:eastAsiaTheme="minorHAnsi" w:hAnsiTheme="minorHAnsi" w:cstheme="minorBidi"/>
              </w:rPr>
              <w:t>Customer</w:t>
            </w:r>
            <w:r w:rsidRPr="00E2455B">
              <w:rPr>
                <w:rFonts w:asciiTheme="minorHAnsi" w:eastAsiaTheme="minorHAnsi" w:hAnsiTheme="minorHAnsi" w:cstheme="minorBidi"/>
              </w:rPr>
              <w:t xml:space="preserve"> is the Controller, or any data derived from such Personal Data which has had any </w:t>
            </w:r>
            <w:proofErr w:type="spellStart"/>
            <w:r w:rsidRPr="00E2455B">
              <w:rPr>
                <w:rFonts w:asciiTheme="minorHAnsi" w:eastAsiaTheme="minorHAnsi" w:hAnsiTheme="minorHAnsi" w:cstheme="minorBidi"/>
              </w:rPr>
              <w:t>designatory</w:t>
            </w:r>
            <w:proofErr w:type="spellEnd"/>
            <w:r w:rsidRPr="00E2455B">
              <w:rPr>
                <w:rFonts w:asciiTheme="minorHAnsi" w:eastAsiaTheme="minorHAnsi" w:hAnsiTheme="minorHAnsi" w:cstheme="minorBidi"/>
              </w:rPr>
              <w:t xml:space="preserve"> data identifiers removed so that an individual cannot be identified.</w:t>
            </w:r>
          </w:p>
        </w:tc>
      </w:tr>
    </w:tbl>
    <w:p w14:paraId="114A396D" w14:textId="77777777" w:rsidR="00E2455B" w:rsidRPr="00E2455B" w:rsidRDefault="00E2455B" w:rsidP="00E2455B">
      <w:pPr>
        <w:overflowPunct/>
        <w:autoSpaceDE/>
        <w:autoSpaceDN/>
        <w:adjustRightInd/>
        <w:spacing w:after="160" w:line="259" w:lineRule="auto"/>
        <w:ind w:left="2160" w:hanging="2160"/>
        <w:jc w:val="left"/>
        <w:textAlignment w:val="auto"/>
        <w:rPr>
          <w:rFonts w:asciiTheme="minorHAnsi" w:eastAsiaTheme="minorHAnsi" w:hAnsiTheme="minorHAnsi" w:cstheme="minorBidi"/>
        </w:rPr>
      </w:pPr>
      <w:r w:rsidRPr="00E2455B">
        <w:rPr>
          <w:rFonts w:asciiTheme="minorHAnsi" w:eastAsiaTheme="minorHAnsi" w:hAnsiTheme="minorHAnsi" w:cstheme="minorBidi"/>
          <w:b/>
        </w:rPr>
        <w:t>“Personal Data”</w:t>
      </w:r>
      <w:r w:rsidRPr="00E2455B">
        <w:rPr>
          <w:rFonts w:asciiTheme="minorHAnsi" w:eastAsiaTheme="minorHAnsi" w:hAnsiTheme="minorHAnsi" w:cstheme="minorBidi"/>
          <w:b/>
        </w:rPr>
        <w:tab/>
      </w:r>
      <w:r w:rsidRPr="00E2455B">
        <w:rPr>
          <w:rFonts w:asciiTheme="minorHAnsi" w:eastAsiaTheme="minorHAnsi" w:hAnsiTheme="minorHAnsi" w:cstheme="minorBidi"/>
        </w:rPr>
        <w:t xml:space="preserve">has the meaning given in the General Data Protection Regulation (Regulation (EU) 2016/679). </w:t>
      </w:r>
    </w:p>
    <w:p w14:paraId="6789BBD3"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p>
    <w:p w14:paraId="29F77475" w14:textId="4F1CCDAB"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r w:rsidRPr="00E2455B">
        <w:rPr>
          <w:rFonts w:asciiTheme="minorHAnsi" w:eastAsiaTheme="minorHAnsi" w:hAnsiTheme="minorHAnsi" w:cstheme="minorBidi"/>
          <w:b/>
        </w:rPr>
        <w:t>Confidentiality, Transparency and Publicity</w:t>
      </w:r>
    </w:p>
    <w:p w14:paraId="153B6813" w14:textId="66F6B2F5"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8</w:t>
      </w:r>
      <w:r w:rsidR="00E2455B" w:rsidRPr="00E2455B">
        <w:rPr>
          <w:rFonts w:asciiTheme="minorHAnsi" w:eastAsiaTheme="minorHAnsi" w:hAnsiTheme="minorHAnsi" w:cstheme="minorBidi"/>
        </w:rPr>
        <w:t>.</w:t>
      </w:r>
      <w:r w:rsidR="00525E4C">
        <w:rPr>
          <w:rFonts w:asciiTheme="minorHAnsi" w:eastAsiaTheme="minorHAnsi" w:hAnsiTheme="minorHAnsi" w:cstheme="minorBidi"/>
        </w:rPr>
        <w:t>1</w:t>
      </w:r>
      <w:r w:rsidR="00E2455B" w:rsidRPr="00E2455B">
        <w:rPr>
          <w:rFonts w:asciiTheme="minorHAnsi" w:eastAsiaTheme="minorHAnsi" w:hAnsiTheme="minorHAnsi" w:cstheme="minorBidi"/>
        </w:rPr>
        <w:tab/>
        <w:t>The Supplier shall not, and shall take reasonable steps to ensure that the Supplier Personnel shall not:</w:t>
      </w:r>
    </w:p>
    <w:p w14:paraId="231463E4" w14:textId="1F3FBB6B"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8</w:t>
      </w:r>
      <w:r w:rsidR="00525E4C">
        <w:rPr>
          <w:rFonts w:asciiTheme="minorHAnsi" w:eastAsiaTheme="minorHAnsi" w:hAnsiTheme="minorHAnsi" w:cstheme="minorBidi"/>
        </w:rPr>
        <w:t>.1.</w:t>
      </w:r>
      <w:r w:rsidR="00E2455B" w:rsidRPr="00E2455B">
        <w:rPr>
          <w:rFonts w:asciiTheme="minorHAnsi" w:eastAsiaTheme="minorHAnsi" w:hAnsiTheme="minorHAnsi" w:cstheme="minorBidi"/>
        </w:rPr>
        <w:t>1</w:t>
      </w:r>
      <w:r w:rsidR="00E2455B" w:rsidRPr="00E2455B">
        <w:rPr>
          <w:rFonts w:asciiTheme="minorHAnsi" w:eastAsiaTheme="minorHAnsi" w:hAnsiTheme="minorHAnsi" w:cstheme="minorBidi"/>
        </w:rPr>
        <w:tab/>
        <w:t xml:space="preserve"> </w:t>
      </w:r>
      <w:proofErr w:type="gramStart"/>
      <w:r w:rsidR="00E2455B" w:rsidRPr="00E2455B">
        <w:rPr>
          <w:rFonts w:asciiTheme="minorHAnsi" w:eastAsiaTheme="minorHAnsi" w:hAnsiTheme="minorHAnsi" w:cstheme="minorBidi"/>
        </w:rPr>
        <w:t>make</w:t>
      </w:r>
      <w:proofErr w:type="gramEnd"/>
      <w:r w:rsidR="00E2455B" w:rsidRPr="00E2455B">
        <w:rPr>
          <w:rFonts w:asciiTheme="minorHAnsi" w:eastAsiaTheme="minorHAnsi" w:hAnsiTheme="minorHAnsi" w:cstheme="minorBidi"/>
        </w:rPr>
        <w:t xml:space="preserve"> any press announcement or publicise the Agreement or any part of the Agreement in any way; or</w:t>
      </w:r>
    </w:p>
    <w:p w14:paraId="6048E423" w14:textId="55DB6C5D"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8</w:t>
      </w:r>
      <w:r w:rsidR="00E2455B" w:rsidRPr="00E2455B">
        <w:rPr>
          <w:rFonts w:asciiTheme="minorHAnsi" w:eastAsiaTheme="minorHAnsi" w:hAnsiTheme="minorHAnsi" w:cstheme="minorBidi"/>
        </w:rPr>
        <w:t>.</w:t>
      </w:r>
      <w:r w:rsidR="00525E4C">
        <w:rPr>
          <w:rFonts w:asciiTheme="minorHAnsi" w:eastAsiaTheme="minorHAnsi" w:hAnsiTheme="minorHAnsi" w:cstheme="minorBidi"/>
        </w:rPr>
        <w:t>1</w:t>
      </w:r>
      <w:r w:rsidR="00E2455B" w:rsidRPr="00E2455B">
        <w:rPr>
          <w:rFonts w:asciiTheme="minorHAnsi" w:eastAsiaTheme="minorHAnsi" w:hAnsiTheme="minorHAnsi" w:cstheme="minorBidi"/>
        </w:rPr>
        <w:t>.2</w:t>
      </w:r>
      <w:r w:rsidR="00E2455B" w:rsidRPr="00E2455B">
        <w:rPr>
          <w:rFonts w:asciiTheme="minorHAnsi" w:eastAsiaTheme="minorHAnsi" w:hAnsiTheme="minorHAnsi" w:cstheme="minorBidi"/>
        </w:rPr>
        <w:tab/>
      </w:r>
      <w:proofErr w:type="gramStart"/>
      <w:r w:rsidR="00E2455B" w:rsidRPr="00E2455B">
        <w:rPr>
          <w:rFonts w:asciiTheme="minorHAnsi" w:eastAsiaTheme="minorHAnsi" w:hAnsiTheme="minorHAnsi" w:cstheme="minorBidi"/>
        </w:rPr>
        <w:t>use</w:t>
      </w:r>
      <w:proofErr w:type="gramEnd"/>
      <w:r w:rsidR="00E2455B" w:rsidRPr="00E2455B">
        <w:rPr>
          <w:rFonts w:asciiTheme="minorHAnsi" w:eastAsiaTheme="minorHAnsi" w:hAnsiTheme="minorHAnsi" w:cstheme="minorBidi"/>
        </w:rPr>
        <w:t xml:space="preserve">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’s name or brand in any promotion or marketing or announcement of orders,</w:t>
      </w:r>
    </w:p>
    <w:p w14:paraId="67650966" w14:textId="283C76F3"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proofErr w:type="gramStart"/>
      <w:r w:rsidRPr="00E2455B">
        <w:rPr>
          <w:rFonts w:asciiTheme="minorHAnsi" w:eastAsiaTheme="minorHAnsi" w:hAnsiTheme="minorHAnsi" w:cstheme="minorBidi"/>
        </w:rPr>
        <w:t>except</w:t>
      </w:r>
      <w:proofErr w:type="gramEnd"/>
      <w:r w:rsidRPr="00E2455B">
        <w:rPr>
          <w:rFonts w:asciiTheme="minorHAnsi" w:eastAsiaTheme="minorHAnsi" w:hAnsiTheme="minorHAnsi" w:cstheme="minorBidi"/>
        </w:rPr>
        <w:t xml:space="preserve"> with the prior written consent of the </w:t>
      </w:r>
      <w:r w:rsidR="00BD4ACD">
        <w:rPr>
          <w:rFonts w:asciiTheme="minorHAnsi" w:eastAsiaTheme="minorHAnsi" w:hAnsiTheme="minorHAnsi" w:cstheme="minorBidi"/>
        </w:rPr>
        <w:t>Customer</w:t>
      </w:r>
      <w:r w:rsidRPr="00E2455B">
        <w:rPr>
          <w:rFonts w:asciiTheme="minorHAnsi" w:eastAsiaTheme="minorHAnsi" w:hAnsiTheme="minorHAnsi" w:cstheme="minorBidi"/>
        </w:rPr>
        <w:t xml:space="preserve">.  </w:t>
      </w:r>
    </w:p>
    <w:p w14:paraId="2A268378" w14:textId="68EAA61B"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8</w:t>
      </w:r>
      <w:r w:rsidR="00E2455B" w:rsidRPr="00E2455B">
        <w:rPr>
          <w:rFonts w:asciiTheme="minorHAnsi" w:eastAsiaTheme="minorHAnsi" w:hAnsiTheme="minorHAnsi" w:cstheme="minorBidi"/>
        </w:rPr>
        <w:t>.</w:t>
      </w:r>
      <w:r w:rsidR="00525E4C">
        <w:rPr>
          <w:rFonts w:asciiTheme="minorHAnsi" w:eastAsiaTheme="minorHAnsi" w:hAnsiTheme="minorHAnsi" w:cstheme="minorBidi"/>
        </w:rPr>
        <w:t>2</w:t>
      </w:r>
      <w:r w:rsidR="00E2455B" w:rsidRPr="00E2455B">
        <w:rPr>
          <w:rFonts w:asciiTheme="minorHAnsi" w:eastAsiaTheme="minorHAnsi" w:hAnsiTheme="minorHAnsi" w:cstheme="minorBidi"/>
        </w:rPr>
        <w:tab/>
        <w:t>Each Party acknowledges to the other that nothing in this Agreement either expressly or by implication constitutes an endorsement of any products or services of the other Party and each Party agrees not to conduct itself in such a way as to imply or express any such approval or endorsement.</w:t>
      </w:r>
    </w:p>
    <w:p w14:paraId="228E5E46" w14:textId="6D38C920"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8</w:t>
      </w:r>
      <w:r w:rsidR="00E2455B" w:rsidRPr="00E2455B">
        <w:rPr>
          <w:rFonts w:asciiTheme="minorHAnsi" w:eastAsiaTheme="minorHAnsi" w:hAnsiTheme="minorHAnsi" w:cstheme="minorBidi"/>
        </w:rPr>
        <w:t>.</w:t>
      </w:r>
      <w:r w:rsidR="00525E4C">
        <w:rPr>
          <w:rFonts w:asciiTheme="minorHAnsi" w:eastAsiaTheme="minorHAnsi" w:hAnsiTheme="minorHAnsi" w:cstheme="minorBidi"/>
        </w:rPr>
        <w:t>3</w:t>
      </w:r>
      <w:r w:rsidR="00E2455B" w:rsidRPr="00E2455B">
        <w:rPr>
          <w:rFonts w:asciiTheme="minorHAnsi" w:eastAsiaTheme="minorHAnsi" w:hAnsiTheme="minorHAnsi" w:cstheme="minorBidi"/>
        </w:rPr>
        <w:tab/>
        <w:t xml:space="preserve">The Parties acknowledge that, except for any information which is exempt from disclosure in accordance with the provisions of the FOIA, the content of this Agreement is not Confidential Information.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shall be responsible for determining in its absolute discretion whether any of the content of the Agreement is exempt from disclosure in accordance with the provisions of the FOIA.  Notwithstanding any other term of this Agreement, the Supplier hereby gives his consent for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to publish the Agreement in its entirety, (but with any information which is exempt from disclosure in accordance with the provisions of the FOIA redacted) including from time to time agreed changes to the Agreement, to the general public.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may consult with the Supplier to inform its decision regarding any redactions but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shall have the final decision at its absolute discretion.</w:t>
      </w:r>
    </w:p>
    <w:p w14:paraId="4AC36870" w14:textId="3564D8F1"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8</w:t>
      </w:r>
      <w:r w:rsidR="00E2455B" w:rsidRPr="00E2455B">
        <w:rPr>
          <w:rFonts w:asciiTheme="minorHAnsi" w:eastAsiaTheme="minorHAnsi" w:hAnsiTheme="minorHAnsi" w:cstheme="minorBidi"/>
        </w:rPr>
        <w:t>.</w:t>
      </w:r>
      <w:r w:rsidR="00525E4C">
        <w:rPr>
          <w:rFonts w:asciiTheme="minorHAnsi" w:eastAsiaTheme="minorHAnsi" w:hAnsiTheme="minorHAnsi" w:cstheme="minorBidi"/>
        </w:rPr>
        <w:t>4</w:t>
      </w:r>
      <w:r w:rsidR="00E2455B" w:rsidRPr="00E2455B">
        <w:rPr>
          <w:rFonts w:asciiTheme="minorHAnsi" w:eastAsiaTheme="minorHAnsi" w:hAnsiTheme="minorHAnsi" w:cstheme="minorBidi"/>
        </w:rPr>
        <w:tab/>
        <w:t xml:space="preserve">The Supplier shall assist and cooperate with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to enable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to publish this Agreement.</w:t>
      </w:r>
    </w:p>
    <w:p w14:paraId="458A75B1" w14:textId="42C6597C"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b/>
        </w:rPr>
      </w:pPr>
      <w:r w:rsidRPr="00E2455B">
        <w:rPr>
          <w:rFonts w:asciiTheme="minorHAnsi" w:eastAsiaTheme="minorHAnsi" w:hAnsiTheme="minorHAnsi" w:cstheme="minorBidi"/>
          <w:b/>
        </w:rPr>
        <w:t>Compliance</w:t>
      </w:r>
    </w:p>
    <w:p w14:paraId="6BD1DB71" w14:textId="4757CAF5"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9</w:t>
      </w:r>
      <w:r w:rsidR="00E2455B" w:rsidRPr="00E2455B">
        <w:rPr>
          <w:rFonts w:asciiTheme="minorHAnsi" w:eastAsiaTheme="minorHAnsi" w:hAnsiTheme="minorHAnsi" w:cstheme="minorBidi"/>
        </w:rPr>
        <w:t>.</w:t>
      </w:r>
      <w:r w:rsidR="00525E4C">
        <w:rPr>
          <w:rFonts w:asciiTheme="minorHAnsi" w:eastAsiaTheme="minorHAnsi" w:hAnsiTheme="minorHAnsi" w:cstheme="minorBidi"/>
        </w:rPr>
        <w:t>1</w:t>
      </w:r>
      <w:r w:rsidR="00E2455B" w:rsidRPr="00E2455B">
        <w:rPr>
          <w:rFonts w:asciiTheme="minorHAnsi" w:eastAsiaTheme="minorHAnsi" w:hAnsiTheme="minorHAnsi" w:cstheme="minorBidi"/>
        </w:rPr>
        <w:tab/>
        <w:t>The Supplier shall:</w:t>
      </w:r>
    </w:p>
    <w:p w14:paraId="6CDC7D94" w14:textId="631F48CF"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9</w:t>
      </w:r>
      <w:r w:rsidR="00E2455B" w:rsidRPr="00E2455B">
        <w:rPr>
          <w:rFonts w:asciiTheme="minorHAnsi" w:eastAsiaTheme="minorHAnsi" w:hAnsiTheme="minorHAnsi" w:cstheme="minorBidi"/>
        </w:rPr>
        <w:t>.</w:t>
      </w:r>
      <w:r w:rsidR="00525E4C">
        <w:rPr>
          <w:rFonts w:asciiTheme="minorHAnsi" w:eastAsiaTheme="minorHAnsi" w:hAnsiTheme="minorHAnsi" w:cstheme="minorBidi"/>
        </w:rPr>
        <w:t>1</w:t>
      </w:r>
      <w:r w:rsidR="00E2455B" w:rsidRPr="00E2455B">
        <w:rPr>
          <w:rFonts w:asciiTheme="minorHAnsi" w:eastAsiaTheme="minorHAnsi" w:hAnsiTheme="minorHAnsi" w:cstheme="minorBidi"/>
        </w:rPr>
        <w:t>.1</w:t>
      </w:r>
      <w:r w:rsidR="00E2455B" w:rsidRPr="00E2455B">
        <w:rPr>
          <w:rFonts w:asciiTheme="minorHAnsi" w:eastAsiaTheme="minorHAnsi" w:hAnsiTheme="minorHAnsi" w:cstheme="minorBidi"/>
        </w:rPr>
        <w:tab/>
        <w:t xml:space="preserve">perform its obligations under the Agreement in accordance with all applicable equality Law and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’s equality and diversity policy as provided to the Supplier from time to time; and</w:t>
      </w:r>
    </w:p>
    <w:p w14:paraId="61CA7699" w14:textId="598E44D2"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9</w:t>
      </w:r>
      <w:r w:rsidR="00525E4C">
        <w:rPr>
          <w:rFonts w:asciiTheme="minorHAnsi" w:eastAsiaTheme="minorHAnsi" w:hAnsiTheme="minorHAnsi" w:cstheme="minorBidi"/>
        </w:rPr>
        <w:t>.1</w:t>
      </w:r>
      <w:r w:rsidR="00E2455B" w:rsidRPr="00E2455B">
        <w:rPr>
          <w:rFonts w:asciiTheme="minorHAnsi" w:eastAsiaTheme="minorHAnsi" w:hAnsiTheme="minorHAnsi" w:cstheme="minorBidi"/>
        </w:rPr>
        <w:t>.2</w:t>
      </w:r>
      <w:r w:rsidR="00E2455B" w:rsidRPr="00E2455B">
        <w:rPr>
          <w:rFonts w:asciiTheme="minorHAnsi" w:eastAsiaTheme="minorHAnsi" w:hAnsiTheme="minorHAnsi" w:cstheme="minorBidi"/>
        </w:rPr>
        <w:tab/>
      </w:r>
      <w:proofErr w:type="gramStart"/>
      <w:r w:rsidR="00E2455B" w:rsidRPr="00E2455B">
        <w:rPr>
          <w:rFonts w:asciiTheme="minorHAnsi" w:eastAsiaTheme="minorHAnsi" w:hAnsiTheme="minorHAnsi" w:cstheme="minorBidi"/>
        </w:rPr>
        <w:t>take</w:t>
      </w:r>
      <w:proofErr w:type="gramEnd"/>
      <w:r w:rsidR="00E2455B" w:rsidRPr="00E2455B">
        <w:rPr>
          <w:rFonts w:asciiTheme="minorHAnsi" w:eastAsiaTheme="minorHAnsi" w:hAnsiTheme="minorHAnsi" w:cstheme="minorBidi"/>
        </w:rPr>
        <w:t xml:space="preserve"> all reasonable steps to secure the </w:t>
      </w:r>
      <w:r w:rsidR="00E2455B" w:rsidRPr="00525E4C">
        <w:rPr>
          <w:rFonts w:asciiTheme="minorHAnsi" w:eastAsiaTheme="minorHAnsi" w:hAnsiTheme="minorHAnsi" w:cstheme="minorBidi"/>
        </w:rPr>
        <w:t xml:space="preserve">observance of Clause </w:t>
      </w:r>
      <w:r>
        <w:rPr>
          <w:rFonts w:asciiTheme="minorHAnsi" w:eastAsiaTheme="minorHAnsi" w:hAnsiTheme="minorHAnsi" w:cstheme="minorBidi"/>
        </w:rPr>
        <w:t>9</w:t>
      </w:r>
      <w:r w:rsidR="00E2455B" w:rsidRPr="00525E4C">
        <w:rPr>
          <w:rFonts w:asciiTheme="minorHAnsi" w:eastAsiaTheme="minorHAnsi" w:hAnsiTheme="minorHAnsi" w:cstheme="minorBidi"/>
        </w:rPr>
        <w:t>.</w:t>
      </w:r>
      <w:r w:rsidR="00525E4C" w:rsidRPr="00525E4C">
        <w:rPr>
          <w:rFonts w:asciiTheme="minorHAnsi" w:eastAsiaTheme="minorHAnsi" w:hAnsiTheme="minorHAnsi" w:cstheme="minorBidi"/>
        </w:rPr>
        <w:t>1</w:t>
      </w:r>
      <w:r w:rsidR="00E2455B" w:rsidRPr="00525E4C">
        <w:rPr>
          <w:rFonts w:asciiTheme="minorHAnsi" w:eastAsiaTheme="minorHAnsi" w:hAnsiTheme="minorHAnsi" w:cstheme="minorBidi"/>
        </w:rPr>
        <w:t>.1 by</w:t>
      </w:r>
      <w:r w:rsidR="00E2455B" w:rsidRPr="00E2455B">
        <w:rPr>
          <w:rFonts w:asciiTheme="minorHAnsi" w:eastAsiaTheme="minorHAnsi" w:hAnsiTheme="minorHAnsi" w:cstheme="minorBidi"/>
        </w:rPr>
        <w:t xml:space="preserve"> all Supplier Personnel.</w:t>
      </w:r>
    </w:p>
    <w:p w14:paraId="2F34B1B6" w14:textId="23672FDA"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9</w:t>
      </w:r>
      <w:r w:rsidR="00E2455B" w:rsidRPr="00E2455B">
        <w:rPr>
          <w:rFonts w:asciiTheme="minorHAnsi" w:eastAsiaTheme="minorHAnsi" w:hAnsiTheme="minorHAnsi" w:cstheme="minorBidi"/>
        </w:rPr>
        <w:t>.</w:t>
      </w:r>
      <w:r w:rsidR="00525E4C">
        <w:rPr>
          <w:rFonts w:asciiTheme="minorHAnsi" w:eastAsiaTheme="minorHAnsi" w:hAnsiTheme="minorHAnsi" w:cstheme="minorBidi"/>
        </w:rPr>
        <w:t>2</w:t>
      </w:r>
      <w:r w:rsidR="00E2455B" w:rsidRPr="00E2455B">
        <w:rPr>
          <w:rFonts w:asciiTheme="minorHAnsi" w:eastAsiaTheme="minorHAnsi" w:hAnsiTheme="minorHAnsi" w:cstheme="minorBidi"/>
        </w:rPr>
        <w:tab/>
        <w:t xml:space="preserve">The Supplier shall supply the Services in accordance with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’s environmental policy as provided to the Supplier from time to time. </w:t>
      </w:r>
    </w:p>
    <w:p w14:paraId="13925CB3" w14:textId="44158515" w:rsidR="00E2455B" w:rsidRPr="00E2455B" w:rsidRDefault="002C0F87"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9</w:t>
      </w:r>
      <w:r w:rsidR="00525E4C">
        <w:rPr>
          <w:rFonts w:asciiTheme="minorHAnsi" w:eastAsiaTheme="minorHAnsi" w:hAnsiTheme="minorHAnsi" w:cstheme="minorBidi"/>
        </w:rPr>
        <w:t>.3</w:t>
      </w:r>
      <w:r w:rsidR="00E2455B" w:rsidRPr="00E2455B">
        <w:rPr>
          <w:rFonts w:asciiTheme="minorHAnsi" w:eastAsiaTheme="minorHAnsi" w:hAnsiTheme="minorHAnsi" w:cstheme="minorBidi"/>
        </w:rPr>
        <w:tab/>
        <w:t>In performing its obligations under the Agreement, the Supplier shall;</w:t>
      </w:r>
    </w:p>
    <w:p w14:paraId="70FB00BD"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sidRPr="00E2455B">
        <w:rPr>
          <w:rFonts w:asciiTheme="minorHAnsi" w:eastAsiaTheme="minorHAnsi" w:hAnsiTheme="minorHAnsi" w:cstheme="minorBidi"/>
        </w:rPr>
        <w:t>(a)</w:t>
      </w:r>
      <w:r w:rsidRPr="00E2455B">
        <w:rPr>
          <w:rFonts w:asciiTheme="minorHAnsi" w:eastAsiaTheme="minorHAnsi" w:hAnsiTheme="minorHAnsi" w:cstheme="minorBidi"/>
        </w:rPr>
        <w:tab/>
      </w:r>
      <w:proofErr w:type="gramStart"/>
      <w:r w:rsidRPr="00E2455B">
        <w:rPr>
          <w:rFonts w:asciiTheme="minorHAnsi" w:eastAsiaTheme="minorHAnsi" w:hAnsiTheme="minorHAnsi" w:cstheme="minorBidi"/>
        </w:rPr>
        <w:t>comply</w:t>
      </w:r>
      <w:proofErr w:type="gramEnd"/>
      <w:r w:rsidRPr="00E2455B">
        <w:rPr>
          <w:rFonts w:asciiTheme="minorHAnsi" w:eastAsiaTheme="minorHAnsi" w:hAnsiTheme="minorHAnsi" w:cstheme="minorBidi"/>
        </w:rPr>
        <w:t xml:space="preserve"> with all applicable anti-slavery and human trafficking laws, statutes, regulations from time to time in force including the Modern Slavery Act 2015;</w:t>
      </w:r>
    </w:p>
    <w:p w14:paraId="685837F6" w14:textId="77777777"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sidRPr="00E2455B">
        <w:rPr>
          <w:rFonts w:asciiTheme="minorHAnsi" w:eastAsiaTheme="minorHAnsi" w:hAnsiTheme="minorHAnsi" w:cstheme="minorBidi"/>
        </w:rPr>
        <w:t>(b)</w:t>
      </w:r>
      <w:r w:rsidRPr="00E2455B">
        <w:rPr>
          <w:rFonts w:asciiTheme="minorHAnsi" w:eastAsiaTheme="minorHAnsi" w:hAnsiTheme="minorHAnsi" w:cstheme="minorBidi"/>
        </w:rPr>
        <w:tab/>
      </w:r>
      <w:proofErr w:type="gramStart"/>
      <w:r w:rsidRPr="00E2455B">
        <w:rPr>
          <w:rFonts w:asciiTheme="minorHAnsi" w:eastAsiaTheme="minorHAnsi" w:hAnsiTheme="minorHAnsi" w:cstheme="minorBidi"/>
        </w:rPr>
        <w:t>not</w:t>
      </w:r>
      <w:proofErr w:type="gramEnd"/>
      <w:r w:rsidRPr="00E2455B">
        <w:rPr>
          <w:rFonts w:asciiTheme="minorHAnsi" w:eastAsiaTheme="minorHAnsi" w:hAnsiTheme="minorHAnsi" w:cstheme="minorBidi"/>
        </w:rPr>
        <w:t xml:space="preserve"> engage in any activity, practice or conduct that would constitute an offence under sections 1, 2 or 4, of the Modern Slavery Act 2015; and</w:t>
      </w:r>
    </w:p>
    <w:p w14:paraId="1B67C863" w14:textId="25150BC6" w:rsidR="00E2455B" w:rsidRPr="00525E4C"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sidRPr="00E2455B">
        <w:rPr>
          <w:rFonts w:asciiTheme="minorHAnsi" w:eastAsiaTheme="minorHAnsi" w:hAnsiTheme="minorHAnsi" w:cstheme="minorBidi"/>
        </w:rPr>
        <w:t>(c)</w:t>
      </w:r>
      <w:r w:rsidRPr="00E2455B">
        <w:rPr>
          <w:rFonts w:asciiTheme="minorHAnsi" w:eastAsiaTheme="minorHAnsi" w:hAnsiTheme="minorHAnsi" w:cstheme="minorBidi"/>
        </w:rPr>
        <w:tab/>
      </w:r>
      <w:proofErr w:type="gramStart"/>
      <w:r w:rsidRPr="00E2455B">
        <w:rPr>
          <w:rFonts w:asciiTheme="minorHAnsi" w:eastAsiaTheme="minorHAnsi" w:hAnsiTheme="minorHAnsi" w:cstheme="minorBidi"/>
        </w:rPr>
        <w:t>notify</w:t>
      </w:r>
      <w:proofErr w:type="gramEnd"/>
      <w:r w:rsidRPr="00E2455B">
        <w:rPr>
          <w:rFonts w:asciiTheme="minorHAnsi" w:eastAsiaTheme="minorHAnsi" w:hAnsiTheme="minorHAnsi" w:cstheme="minorBidi"/>
        </w:rPr>
        <w:t xml:space="preserve"> the </w:t>
      </w:r>
      <w:r w:rsidR="00BD4ACD">
        <w:rPr>
          <w:rFonts w:asciiTheme="minorHAnsi" w:eastAsiaTheme="minorHAnsi" w:hAnsiTheme="minorHAnsi" w:cstheme="minorBidi"/>
        </w:rPr>
        <w:t>Customer</w:t>
      </w:r>
      <w:r w:rsidRPr="00E2455B">
        <w:rPr>
          <w:rFonts w:asciiTheme="minorHAnsi" w:eastAsiaTheme="minorHAnsi" w:hAnsiTheme="minorHAnsi" w:cstheme="minorBidi"/>
        </w:rPr>
        <w:t xml:space="preserve"> as soon as it becomes aware, and in any event within five (5) working days, of any actual or suspected breach of its obligations </w:t>
      </w:r>
      <w:r w:rsidRPr="00525E4C">
        <w:rPr>
          <w:rFonts w:asciiTheme="minorHAnsi" w:eastAsiaTheme="minorHAnsi" w:hAnsiTheme="minorHAnsi" w:cstheme="minorBidi"/>
        </w:rPr>
        <w:t xml:space="preserve">under Clause </w:t>
      </w:r>
      <w:r w:rsidR="00C9279E">
        <w:rPr>
          <w:rFonts w:asciiTheme="minorHAnsi" w:eastAsiaTheme="minorHAnsi" w:hAnsiTheme="minorHAnsi" w:cstheme="minorBidi"/>
        </w:rPr>
        <w:t>9</w:t>
      </w:r>
      <w:r w:rsidRPr="00525E4C">
        <w:rPr>
          <w:rFonts w:asciiTheme="minorHAnsi" w:eastAsiaTheme="minorHAnsi" w:hAnsiTheme="minorHAnsi" w:cstheme="minorBidi"/>
        </w:rPr>
        <w:t>.</w:t>
      </w:r>
      <w:r w:rsidR="00525E4C" w:rsidRPr="00525E4C">
        <w:rPr>
          <w:rFonts w:asciiTheme="minorHAnsi" w:eastAsiaTheme="minorHAnsi" w:hAnsiTheme="minorHAnsi" w:cstheme="minorBidi"/>
        </w:rPr>
        <w:t>3</w:t>
      </w:r>
      <w:r w:rsidRPr="00525E4C">
        <w:rPr>
          <w:rFonts w:asciiTheme="minorHAnsi" w:eastAsiaTheme="minorHAnsi" w:hAnsiTheme="minorHAnsi" w:cstheme="minorBidi"/>
        </w:rPr>
        <w:t>(a) and/ or (b) including details of the breach and the mitigation action it has taken or intends to take in order to:</w:t>
      </w:r>
    </w:p>
    <w:p w14:paraId="777F46A4" w14:textId="77777777" w:rsidR="00E2455B" w:rsidRPr="00525E4C"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sidRPr="00525E4C">
        <w:rPr>
          <w:rFonts w:asciiTheme="minorHAnsi" w:eastAsiaTheme="minorHAnsi" w:hAnsiTheme="minorHAnsi" w:cstheme="minorBidi"/>
        </w:rPr>
        <w:t>(</w:t>
      </w:r>
      <w:proofErr w:type="spellStart"/>
      <w:r w:rsidRPr="00525E4C">
        <w:rPr>
          <w:rFonts w:asciiTheme="minorHAnsi" w:eastAsiaTheme="minorHAnsi" w:hAnsiTheme="minorHAnsi" w:cstheme="minorBidi"/>
        </w:rPr>
        <w:t>i</w:t>
      </w:r>
      <w:proofErr w:type="spellEnd"/>
      <w:r w:rsidRPr="00525E4C">
        <w:rPr>
          <w:rFonts w:asciiTheme="minorHAnsi" w:eastAsiaTheme="minorHAnsi" w:hAnsiTheme="minorHAnsi" w:cstheme="minorBidi"/>
        </w:rPr>
        <w:t>)</w:t>
      </w:r>
      <w:r w:rsidRPr="00525E4C">
        <w:rPr>
          <w:rFonts w:asciiTheme="minorHAnsi" w:eastAsiaTheme="minorHAnsi" w:hAnsiTheme="minorHAnsi" w:cstheme="minorBidi"/>
        </w:rPr>
        <w:tab/>
      </w:r>
      <w:proofErr w:type="gramStart"/>
      <w:r w:rsidRPr="00525E4C">
        <w:rPr>
          <w:rFonts w:asciiTheme="minorHAnsi" w:eastAsiaTheme="minorHAnsi" w:hAnsiTheme="minorHAnsi" w:cstheme="minorBidi"/>
        </w:rPr>
        <w:t>remedy</w:t>
      </w:r>
      <w:proofErr w:type="gramEnd"/>
      <w:r w:rsidRPr="00525E4C">
        <w:rPr>
          <w:rFonts w:asciiTheme="minorHAnsi" w:eastAsiaTheme="minorHAnsi" w:hAnsiTheme="minorHAnsi" w:cstheme="minorBidi"/>
        </w:rPr>
        <w:t xml:space="preserve"> the breach; and </w:t>
      </w:r>
    </w:p>
    <w:p w14:paraId="68C6091F" w14:textId="47D0F3A1" w:rsidR="00E2455B" w:rsidRPr="00E2455B" w:rsidRDefault="00E2455B"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sidRPr="00525E4C">
        <w:rPr>
          <w:rFonts w:asciiTheme="minorHAnsi" w:eastAsiaTheme="minorHAnsi" w:hAnsiTheme="minorHAnsi" w:cstheme="minorBidi"/>
        </w:rPr>
        <w:t>(ii)</w:t>
      </w:r>
      <w:r w:rsidRPr="00525E4C">
        <w:rPr>
          <w:rFonts w:asciiTheme="minorHAnsi" w:eastAsiaTheme="minorHAnsi" w:hAnsiTheme="minorHAnsi" w:cstheme="minorBidi"/>
        </w:rPr>
        <w:tab/>
      </w:r>
      <w:proofErr w:type="gramStart"/>
      <w:r w:rsidRPr="00525E4C">
        <w:rPr>
          <w:rFonts w:asciiTheme="minorHAnsi" w:eastAsiaTheme="minorHAnsi" w:hAnsiTheme="minorHAnsi" w:cstheme="minorBidi"/>
        </w:rPr>
        <w:t>ensure</w:t>
      </w:r>
      <w:proofErr w:type="gramEnd"/>
      <w:r w:rsidRPr="00525E4C">
        <w:rPr>
          <w:rFonts w:asciiTheme="minorHAnsi" w:eastAsiaTheme="minorHAnsi" w:hAnsiTheme="minorHAnsi" w:cstheme="minorBidi"/>
        </w:rPr>
        <w:t xml:space="preserve"> future compliance with Clause </w:t>
      </w:r>
      <w:r w:rsidR="002C0F87">
        <w:rPr>
          <w:rFonts w:asciiTheme="minorHAnsi" w:eastAsiaTheme="minorHAnsi" w:hAnsiTheme="minorHAnsi" w:cstheme="minorBidi"/>
        </w:rPr>
        <w:t>9</w:t>
      </w:r>
      <w:r w:rsidRPr="00525E4C">
        <w:rPr>
          <w:rFonts w:asciiTheme="minorHAnsi" w:eastAsiaTheme="minorHAnsi" w:hAnsiTheme="minorHAnsi" w:cstheme="minorBidi"/>
        </w:rPr>
        <w:t>.</w:t>
      </w:r>
      <w:r w:rsidR="00525E4C" w:rsidRPr="00525E4C">
        <w:rPr>
          <w:rFonts w:asciiTheme="minorHAnsi" w:eastAsiaTheme="minorHAnsi" w:hAnsiTheme="minorHAnsi" w:cstheme="minorBidi"/>
        </w:rPr>
        <w:t>3</w:t>
      </w:r>
      <w:r w:rsidRPr="00525E4C">
        <w:rPr>
          <w:rFonts w:asciiTheme="minorHAnsi" w:eastAsiaTheme="minorHAnsi" w:hAnsiTheme="minorHAnsi" w:cstheme="minorBidi"/>
        </w:rPr>
        <w:t>(a) and (b).</w:t>
      </w:r>
    </w:p>
    <w:p w14:paraId="1058DABB" w14:textId="07192C53" w:rsidR="00E2455B" w:rsidRPr="00E2455B" w:rsidRDefault="00C9279E" w:rsidP="00E2455B">
      <w:pPr>
        <w:overflowPunct/>
        <w:autoSpaceDE/>
        <w:autoSpaceDN/>
        <w:adjustRightInd/>
        <w:spacing w:after="160" w:line="259" w:lineRule="auto"/>
        <w:ind w:left="0"/>
        <w:jc w:val="left"/>
        <w:textAlignment w:val="auto"/>
        <w:rPr>
          <w:rFonts w:asciiTheme="minorHAnsi" w:eastAsiaTheme="minorHAnsi" w:hAnsiTheme="minorHAnsi" w:cstheme="minorBidi"/>
        </w:rPr>
      </w:pPr>
      <w:r>
        <w:rPr>
          <w:rFonts w:asciiTheme="minorHAnsi" w:eastAsiaTheme="minorHAnsi" w:hAnsiTheme="minorHAnsi" w:cstheme="minorBidi"/>
        </w:rPr>
        <w:t>9</w:t>
      </w:r>
      <w:r w:rsidR="00E2455B" w:rsidRPr="00E2455B">
        <w:rPr>
          <w:rFonts w:asciiTheme="minorHAnsi" w:eastAsiaTheme="minorHAnsi" w:hAnsiTheme="minorHAnsi" w:cstheme="minorBidi"/>
        </w:rPr>
        <w:t>.</w:t>
      </w:r>
      <w:r w:rsidR="00525E4C">
        <w:rPr>
          <w:rFonts w:asciiTheme="minorHAnsi" w:eastAsiaTheme="minorHAnsi" w:hAnsiTheme="minorHAnsi" w:cstheme="minorBidi"/>
        </w:rPr>
        <w:t>4</w:t>
      </w:r>
      <w:r w:rsidR="00E2455B" w:rsidRPr="00E2455B">
        <w:rPr>
          <w:rFonts w:asciiTheme="minorHAnsi" w:eastAsiaTheme="minorHAnsi" w:hAnsiTheme="minorHAnsi" w:cstheme="minorBidi"/>
        </w:rPr>
        <w:tab/>
      </w:r>
      <w:r w:rsidR="00E2455B" w:rsidRPr="00525E4C">
        <w:rPr>
          <w:rFonts w:asciiTheme="minorHAnsi" w:eastAsiaTheme="minorHAnsi" w:hAnsiTheme="minorHAnsi" w:cstheme="minorBidi"/>
        </w:rPr>
        <w:t xml:space="preserve">If the Supplier fails to comply (or if the </w:t>
      </w:r>
      <w:r w:rsidR="00BD4ACD" w:rsidRPr="00525E4C">
        <w:rPr>
          <w:rFonts w:asciiTheme="minorHAnsi" w:eastAsiaTheme="minorHAnsi" w:hAnsiTheme="minorHAnsi" w:cstheme="minorBidi"/>
        </w:rPr>
        <w:t>Customer</w:t>
      </w:r>
      <w:r w:rsidR="00E2455B" w:rsidRPr="00525E4C">
        <w:rPr>
          <w:rFonts w:asciiTheme="minorHAnsi" w:eastAsiaTheme="minorHAnsi" w:hAnsiTheme="minorHAnsi" w:cstheme="minorBidi"/>
        </w:rPr>
        <w:t xml:space="preserve"> receives information which demonstrates that the Supplier has failed to comply) with any of the provisions in Clause </w:t>
      </w:r>
      <w:r>
        <w:rPr>
          <w:rFonts w:asciiTheme="minorHAnsi" w:eastAsiaTheme="minorHAnsi" w:hAnsiTheme="minorHAnsi" w:cstheme="minorBidi"/>
        </w:rPr>
        <w:t>9</w:t>
      </w:r>
      <w:r w:rsidR="00E2455B" w:rsidRPr="00525E4C">
        <w:rPr>
          <w:rFonts w:asciiTheme="minorHAnsi" w:eastAsiaTheme="minorHAnsi" w:hAnsiTheme="minorHAnsi" w:cstheme="minorBidi"/>
        </w:rPr>
        <w:t>.</w:t>
      </w:r>
      <w:r w:rsidR="00525E4C" w:rsidRPr="00525E4C">
        <w:rPr>
          <w:rFonts w:asciiTheme="minorHAnsi" w:eastAsiaTheme="minorHAnsi" w:hAnsiTheme="minorHAnsi" w:cstheme="minorBidi"/>
        </w:rPr>
        <w:t>3</w:t>
      </w:r>
      <w:r w:rsidR="00E2455B" w:rsidRPr="00E2455B">
        <w:rPr>
          <w:rFonts w:asciiTheme="minorHAnsi" w:eastAsiaTheme="minorHAnsi" w:hAnsiTheme="minorHAnsi" w:cstheme="minorBidi"/>
        </w:rPr>
        <w:t xml:space="preserve"> then this shall allow the </w:t>
      </w:r>
      <w:r w:rsidR="00BD4ACD">
        <w:rPr>
          <w:rFonts w:asciiTheme="minorHAnsi" w:eastAsiaTheme="minorHAnsi" w:hAnsiTheme="minorHAnsi" w:cstheme="minorBidi"/>
        </w:rPr>
        <w:t>Customer</w:t>
      </w:r>
      <w:r w:rsidR="00E2455B" w:rsidRPr="00E2455B">
        <w:rPr>
          <w:rFonts w:asciiTheme="minorHAnsi" w:eastAsiaTheme="minorHAnsi" w:hAnsiTheme="minorHAnsi" w:cstheme="minorBidi"/>
        </w:rPr>
        <w:t xml:space="preserve"> to terminate the Agreement pursuant to Clause </w:t>
      </w:r>
      <w:r w:rsidR="00525E4C">
        <w:rPr>
          <w:rFonts w:asciiTheme="minorHAnsi" w:eastAsiaTheme="minorHAnsi" w:hAnsiTheme="minorHAnsi" w:cstheme="minorBidi"/>
        </w:rPr>
        <w:t>8 in Section B of this Call Off Order Form.</w:t>
      </w:r>
    </w:p>
    <w:p w14:paraId="6FC8AF82" w14:textId="77777777" w:rsidR="00E2455B" w:rsidRPr="00E2455B" w:rsidRDefault="00E2455B" w:rsidP="00E2455B">
      <w:pPr>
        <w:overflowPunct/>
        <w:autoSpaceDE/>
        <w:autoSpaceDN/>
        <w:adjustRightInd/>
        <w:spacing w:after="160" w:line="259" w:lineRule="auto"/>
        <w:ind w:left="360"/>
        <w:jc w:val="left"/>
        <w:textAlignment w:val="auto"/>
        <w:rPr>
          <w:rFonts w:asciiTheme="minorHAnsi" w:eastAsiaTheme="minorHAnsi" w:hAnsiTheme="minorHAnsi" w:cstheme="minorBidi"/>
          <w:b/>
        </w:rPr>
      </w:pPr>
    </w:p>
    <w:p w14:paraId="6863FCF7" w14:textId="77777777" w:rsidR="00E2455B" w:rsidRPr="00E2455B" w:rsidRDefault="00E2455B" w:rsidP="001C6C25">
      <w:pPr>
        <w:overflowPunct/>
        <w:autoSpaceDE/>
        <w:autoSpaceDN/>
        <w:adjustRightInd/>
        <w:spacing w:after="0"/>
        <w:ind w:left="0"/>
        <w:jc w:val="left"/>
        <w:rPr>
          <w:bCs/>
          <w:sz w:val="21"/>
          <w:szCs w:val="21"/>
          <w:bdr w:val="none" w:sz="0" w:space="0" w:color="auto" w:frame="1"/>
          <w:lang w:val="en" w:eastAsia="en-GB"/>
        </w:rPr>
      </w:pPr>
    </w:p>
    <w:p w14:paraId="472B7D28" w14:textId="67CD55D6" w:rsidR="001C6C25" w:rsidRDefault="001C6C25" w:rsidP="001C6C25">
      <w:pPr>
        <w:rPr>
          <w:lang w:eastAsia="en-GB"/>
        </w:rPr>
      </w:pPr>
    </w:p>
    <w:p w14:paraId="33161A12" w14:textId="77777777" w:rsidR="00E2455B" w:rsidRPr="001C6C25" w:rsidRDefault="00E2455B" w:rsidP="001C6C25">
      <w:pPr>
        <w:rPr>
          <w:lang w:eastAsia="en-GB"/>
        </w:rPr>
      </w:pPr>
    </w:p>
    <w:sectPr w:rsidR="00E2455B" w:rsidRPr="001C6C25">
      <w:headerReference w:type="even" r:id="rId24"/>
      <w:headerReference w:type="default" r:id="rId25"/>
      <w:footerReference w:type="default" r:id="rId26"/>
      <w:footerReference w:type="first" r:id="rId27"/>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2E44A" w14:textId="77777777" w:rsidR="00866A1F" w:rsidRDefault="00866A1F">
      <w:r>
        <w:separator/>
      </w:r>
    </w:p>
    <w:p w14:paraId="57FCBFA0" w14:textId="77777777" w:rsidR="00866A1F" w:rsidRDefault="00866A1F"/>
    <w:p w14:paraId="165047AD" w14:textId="77777777" w:rsidR="00866A1F" w:rsidRDefault="00866A1F"/>
    <w:p w14:paraId="20DA7691" w14:textId="77777777" w:rsidR="00866A1F" w:rsidRDefault="00866A1F"/>
    <w:p w14:paraId="78034D6C" w14:textId="77777777" w:rsidR="00866A1F" w:rsidRDefault="00866A1F"/>
  </w:endnote>
  <w:endnote w:type="continuationSeparator" w:id="0">
    <w:p w14:paraId="666A2AB6" w14:textId="77777777" w:rsidR="00866A1F" w:rsidRDefault="00866A1F">
      <w:r>
        <w:continuationSeparator/>
      </w:r>
    </w:p>
    <w:p w14:paraId="11F563AF" w14:textId="77777777" w:rsidR="00866A1F" w:rsidRDefault="00866A1F"/>
    <w:p w14:paraId="0DFDE2B4" w14:textId="77777777" w:rsidR="00866A1F" w:rsidRDefault="00866A1F"/>
    <w:p w14:paraId="5FEEDAB9" w14:textId="77777777" w:rsidR="00866A1F" w:rsidRDefault="00866A1F"/>
    <w:p w14:paraId="6949C20C" w14:textId="77777777" w:rsidR="00866A1F" w:rsidRDefault="00866A1F"/>
  </w:endnote>
  <w:endnote w:type="continuationNotice" w:id="1">
    <w:p w14:paraId="7C2D93AA" w14:textId="77777777" w:rsidR="00866A1F" w:rsidRDefault="00866A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Helvetica Neue">
    <w:altName w:val="Arial"/>
    <w:charset w:val="00"/>
    <w:family w:val="swiss"/>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6D0A1" w14:textId="77777777" w:rsidR="00866A1F" w:rsidRPr="00D53DEB" w:rsidRDefault="00866A1F"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866A1F" w:rsidRPr="00D53DEB" w:rsidRDefault="00866A1F"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866A1F" w:rsidRDefault="00866A1F"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866A1F" w:rsidRDefault="00866A1F" w:rsidP="00054E54">
    <w:pPr>
      <w:pStyle w:val="Footer"/>
      <w:pBdr>
        <w:top w:val="single" w:sz="6" w:space="1" w:color="auto"/>
      </w:pBdr>
      <w:tabs>
        <w:tab w:val="right" w:pos="8647"/>
      </w:tabs>
      <w:ind w:left="0"/>
      <w:rPr>
        <w:sz w:val="16"/>
        <w:szCs w:val="16"/>
      </w:rPr>
    </w:pPr>
    <w:r>
      <w:rPr>
        <w:sz w:val="16"/>
        <w:szCs w:val="16"/>
      </w:rPr>
      <w:t>© Crown copyright 2018</w:t>
    </w:r>
  </w:p>
  <w:p w14:paraId="08DC505A" w14:textId="53E1F080" w:rsidR="00866A1F" w:rsidRPr="00054E54" w:rsidRDefault="00866A1F">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B81675">
      <w:rPr>
        <w:noProof/>
        <w:sz w:val="16"/>
        <w:szCs w:val="16"/>
      </w:rPr>
      <w:t>21</w:t>
    </w:r>
    <w:r w:rsidRPr="00054E54">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5F1CE" w14:textId="77777777" w:rsidR="00866A1F" w:rsidRDefault="00866A1F"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866A1F" w:rsidRPr="004319D6" w:rsidRDefault="00866A1F"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866A1F" w:rsidRDefault="00866A1F"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866A1F" w:rsidRPr="009968DA" w:rsidRDefault="00866A1F"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866A1F" w:rsidRDefault="00866A1F" w:rsidP="00054E54">
    <w:pPr>
      <w:pStyle w:val="Footer"/>
      <w:pBdr>
        <w:top w:val="single" w:sz="6" w:space="1" w:color="auto"/>
      </w:pBdr>
      <w:tabs>
        <w:tab w:val="right" w:pos="8647"/>
      </w:tabs>
      <w:ind w:left="0"/>
      <w:rPr>
        <w:sz w:val="16"/>
        <w:szCs w:val="16"/>
      </w:rPr>
    </w:pPr>
  </w:p>
  <w:p w14:paraId="73B75459" w14:textId="38D9D51A" w:rsidR="00866A1F" w:rsidRPr="00054E54" w:rsidRDefault="00866A1F"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B81675">
      <w:rPr>
        <w:noProof/>
        <w:sz w:val="16"/>
        <w:szCs w:val="16"/>
      </w:rPr>
      <w:t>1</w:t>
    </w:r>
    <w:r w:rsidRPr="00054E54">
      <w:rPr>
        <w:noProof/>
        <w:sz w:val="16"/>
        <w:szCs w:val="16"/>
      </w:rPr>
      <w:fldChar w:fldCharType="end"/>
    </w:r>
  </w:p>
  <w:p w14:paraId="5B2BBFDC" w14:textId="77777777" w:rsidR="00866A1F" w:rsidRDefault="00866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BDC89" w14:textId="77777777" w:rsidR="00866A1F" w:rsidRDefault="00866A1F">
      <w:r>
        <w:separator/>
      </w:r>
    </w:p>
  </w:footnote>
  <w:footnote w:type="continuationSeparator" w:id="0">
    <w:p w14:paraId="423FAAF5" w14:textId="77777777" w:rsidR="00866A1F" w:rsidRDefault="00866A1F">
      <w:r>
        <w:continuationSeparator/>
      </w:r>
    </w:p>
  </w:footnote>
  <w:footnote w:type="continuationNotice" w:id="1">
    <w:p w14:paraId="2F161C49" w14:textId="77777777" w:rsidR="00866A1F" w:rsidRDefault="00866A1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23FBA" w14:textId="483F7F1B" w:rsidR="00866A1F" w:rsidRDefault="00866A1F">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866A1F" w:rsidRDefault="00866A1F"/>
  <w:p w14:paraId="2A494745" w14:textId="77777777" w:rsidR="00866A1F" w:rsidRDefault="00866A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17C4E" w14:textId="46FC11A4" w:rsidR="00866A1F" w:rsidRDefault="00866A1F">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E2A104A"/>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D36A14"/>
    <w:multiLevelType w:val="hybridMultilevel"/>
    <w:tmpl w:val="04D23726"/>
    <w:lvl w:ilvl="0" w:tplc="94782482">
      <w:start w:val="1"/>
      <w:numFmt w:val="upperLetter"/>
      <w:lvlText w:val="%1."/>
      <w:lvlJc w:val="left"/>
      <w:pPr>
        <w:ind w:left="720" w:hanging="360"/>
      </w:pPr>
      <w:rPr>
        <w:rFonts w:eastAsia="MS Mincho"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AF2FD7"/>
    <w:multiLevelType w:val="hybridMultilevel"/>
    <w:tmpl w:val="A9467462"/>
    <w:lvl w:ilvl="0" w:tplc="212842B0">
      <w:start w:val="1"/>
      <w:numFmt w:val="lowerLetter"/>
      <w:lvlText w:val="%1."/>
      <w:lvlJc w:val="left"/>
      <w:pPr>
        <w:ind w:left="1644" w:hanging="340"/>
      </w:pPr>
      <w:rPr>
        <w:rFonts w:hint="default"/>
      </w:rPr>
    </w:lvl>
    <w:lvl w:ilvl="1" w:tplc="08090019" w:tentative="1">
      <w:start w:val="1"/>
      <w:numFmt w:val="lowerLetter"/>
      <w:lvlText w:val="%2."/>
      <w:lvlJc w:val="left"/>
      <w:pPr>
        <w:ind w:left="2603" w:hanging="360"/>
      </w:pPr>
    </w:lvl>
    <w:lvl w:ilvl="2" w:tplc="0809001B" w:tentative="1">
      <w:start w:val="1"/>
      <w:numFmt w:val="lowerRoman"/>
      <w:lvlText w:val="%3."/>
      <w:lvlJc w:val="right"/>
      <w:pPr>
        <w:ind w:left="3323" w:hanging="180"/>
      </w:pPr>
    </w:lvl>
    <w:lvl w:ilvl="3" w:tplc="0809000F" w:tentative="1">
      <w:start w:val="1"/>
      <w:numFmt w:val="decimal"/>
      <w:lvlText w:val="%4."/>
      <w:lvlJc w:val="left"/>
      <w:pPr>
        <w:ind w:left="4043" w:hanging="360"/>
      </w:pPr>
    </w:lvl>
    <w:lvl w:ilvl="4" w:tplc="08090019" w:tentative="1">
      <w:start w:val="1"/>
      <w:numFmt w:val="lowerLetter"/>
      <w:lvlText w:val="%5."/>
      <w:lvlJc w:val="left"/>
      <w:pPr>
        <w:ind w:left="4763" w:hanging="360"/>
      </w:pPr>
    </w:lvl>
    <w:lvl w:ilvl="5" w:tplc="0809001B" w:tentative="1">
      <w:start w:val="1"/>
      <w:numFmt w:val="lowerRoman"/>
      <w:lvlText w:val="%6."/>
      <w:lvlJc w:val="right"/>
      <w:pPr>
        <w:ind w:left="5483" w:hanging="180"/>
      </w:pPr>
    </w:lvl>
    <w:lvl w:ilvl="6" w:tplc="0809000F" w:tentative="1">
      <w:start w:val="1"/>
      <w:numFmt w:val="decimal"/>
      <w:lvlText w:val="%7."/>
      <w:lvlJc w:val="left"/>
      <w:pPr>
        <w:ind w:left="6203" w:hanging="360"/>
      </w:pPr>
    </w:lvl>
    <w:lvl w:ilvl="7" w:tplc="08090019" w:tentative="1">
      <w:start w:val="1"/>
      <w:numFmt w:val="lowerLetter"/>
      <w:lvlText w:val="%8."/>
      <w:lvlJc w:val="left"/>
      <w:pPr>
        <w:ind w:left="6923" w:hanging="360"/>
      </w:pPr>
    </w:lvl>
    <w:lvl w:ilvl="8" w:tplc="0809001B" w:tentative="1">
      <w:start w:val="1"/>
      <w:numFmt w:val="lowerRoman"/>
      <w:lvlText w:val="%9."/>
      <w:lvlJc w:val="right"/>
      <w:pPr>
        <w:ind w:left="7643" w:hanging="180"/>
      </w:pPr>
    </w:lvl>
  </w:abstractNum>
  <w:abstractNum w:abstractNumId="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23EB21C5"/>
    <w:multiLevelType w:val="hybridMultilevel"/>
    <w:tmpl w:val="24AEA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30A90DCD"/>
    <w:multiLevelType w:val="hybridMultilevel"/>
    <w:tmpl w:val="2DEC0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5"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572A8A"/>
    <w:multiLevelType w:val="hybridMultilevel"/>
    <w:tmpl w:val="636C8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54C600E4"/>
    <w:multiLevelType w:val="hybridMultilevel"/>
    <w:tmpl w:val="6696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7"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1160F0"/>
    <w:multiLevelType w:val="hybridMultilevel"/>
    <w:tmpl w:val="3548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1"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DC5703"/>
    <w:multiLevelType w:val="multilevel"/>
    <w:tmpl w:val="2C5E68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18"/>
  </w:num>
  <w:num w:numId="3">
    <w:abstractNumId w:val="10"/>
  </w:num>
  <w:num w:numId="4">
    <w:abstractNumId w:val="31"/>
  </w:num>
  <w:num w:numId="5">
    <w:abstractNumId w:val="16"/>
  </w:num>
  <w:num w:numId="6">
    <w:abstractNumId w:val="28"/>
  </w:num>
  <w:num w:numId="7">
    <w:abstractNumId w:val="26"/>
  </w:num>
  <w:num w:numId="8">
    <w:abstractNumId w:val="20"/>
  </w:num>
  <w:num w:numId="9">
    <w:abstractNumId w:val="31"/>
  </w:num>
  <w:num w:numId="10">
    <w:abstractNumId w:val="19"/>
  </w:num>
  <w:num w:numId="11">
    <w:abstractNumId w:val="5"/>
  </w:num>
  <w:num w:numId="12">
    <w:abstractNumId w:val="6"/>
  </w:num>
  <w:num w:numId="13">
    <w:abstractNumId w:val="4"/>
  </w:num>
  <w:num w:numId="14">
    <w:abstractNumId w:val="1"/>
  </w:num>
  <w:num w:numId="15">
    <w:abstractNumId w:val="27"/>
  </w:num>
  <w:num w:numId="16">
    <w:abstractNumId w:val="0"/>
  </w:num>
  <w:num w:numId="17">
    <w:abstractNumId w:val="32"/>
  </w:num>
  <w:num w:numId="18">
    <w:abstractNumId w:val="7"/>
  </w:num>
  <w:num w:numId="19">
    <w:abstractNumId w:val="29"/>
  </w:num>
  <w:num w:numId="20">
    <w:abstractNumId w:val="3"/>
  </w:num>
  <w:num w:numId="21">
    <w:abstractNumId w:val="21"/>
  </w:num>
  <w:num w:numId="22">
    <w:abstractNumId w:val="12"/>
  </w:num>
  <w:num w:numId="23">
    <w:abstractNumId w:val="23"/>
  </w:num>
  <w:num w:numId="24">
    <w:abstractNumId w:val="33"/>
  </w:num>
  <w:num w:numId="25">
    <w:abstractNumId w:val="2"/>
  </w:num>
  <w:num w:numId="26">
    <w:abstractNumId w:val="17"/>
  </w:num>
  <w:num w:numId="27">
    <w:abstractNumId w:val="15"/>
  </w:num>
  <w:num w:numId="28">
    <w:abstractNumId w:val="22"/>
  </w:num>
  <w:num w:numId="29">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28E2"/>
    <w:rsid w:val="00017475"/>
    <w:rsid w:val="0002671F"/>
    <w:rsid w:val="000329D6"/>
    <w:rsid w:val="00054E54"/>
    <w:rsid w:val="000638D8"/>
    <w:rsid w:val="000D0701"/>
    <w:rsid w:val="000F4096"/>
    <w:rsid w:val="00100C58"/>
    <w:rsid w:val="00111007"/>
    <w:rsid w:val="001262D1"/>
    <w:rsid w:val="001457FC"/>
    <w:rsid w:val="00146E00"/>
    <w:rsid w:val="00152654"/>
    <w:rsid w:val="001529B7"/>
    <w:rsid w:val="0016156A"/>
    <w:rsid w:val="00183B13"/>
    <w:rsid w:val="0018542B"/>
    <w:rsid w:val="001C0DFC"/>
    <w:rsid w:val="001C6C25"/>
    <w:rsid w:val="001D5E87"/>
    <w:rsid w:val="002047E1"/>
    <w:rsid w:val="00224F1D"/>
    <w:rsid w:val="0023206B"/>
    <w:rsid w:val="0023253F"/>
    <w:rsid w:val="002440C8"/>
    <w:rsid w:val="00272E8F"/>
    <w:rsid w:val="002B00EA"/>
    <w:rsid w:val="002B46DF"/>
    <w:rsid w:val="002C0F87"/>
    <w:rsid w:val="002C177B"/>
    <w:rsid w:val="002F6F3D"/>
    <w:rsid w:val="00306EA9"/>
    <w:rsid w:val="003125B9"/>
    <w:rsid w:val="003228BA"/>
    <w:rsid w:val="00327EA5"/>
    <w:rsid w:val="00337A6A"/>
    <w:rsid w:val="00340AAB"/>
    <w:rsid w:val="00345F2B"/>
    <w:rsid w:val="00397FC8"/>
    <w:rsid w:val="003A2249"/>
    <w:rsid w:val="003A296D"/>
    <w:rsid w:val="003A2CEB"/>
    <w:rsid w:val="003B5D8A"/>
    <w:rsid w:val="003C22DC"/>
    <w:rsid w:val="003D78F3"/>
    <w:rsid w:val="003E3877"/>
    <w:rsid w:val="003F3581"/>
    <w:rsid w:val="00405425"/>
    <w:rsid w:val="00410C77"/>
    <w:rsid w:val="0041175C"/>
    <w:rsid w:val="00440933"/>
    <w:rsid w:val="00457085"/>
    <w:rsid w:val="00471F7C"/>
    <w:rsid w:val="004763C6"/>
    <w:rsid w:val="0048021D"/>
    <w:rsid w:val="00482619"/>
    <w:rsid w:val="00492B7E"/>
    <w:rsid w:val="004944BE"/>
    <w:rsid w:val="004D4A61"/>
    <w:rsid w:val="004D6F66"/>
    <w:rsid w:val="004E05DC"/>
    <w:rsid w:val="004E7B7E"/>
    <w:rsid w:val="00501C41"/>
    <w:rsid w:val="00505CE6"/>
    <w:rsid w:val="00525E4C"/>
    <w:rsid w:val="00537215"/>
    <w:rsid w:val="00560CCB"/>
    <w:rsid w:val="00586E17"/>
    <w:rsid w:val="005B0502"/>
    <w:rsid w:val="005B2247"/>
    <w:rsid w:val="00611C83"/>
    <w:rsid w:val="0061276A"/>
    <w:rsid w:val="0061699B"/>
    <w:rsid w:val="006311F8"/>
    <w:rsid w:val="0065497E"/>
    <w:rsid w:val="0067076D"/>
    <w:rsid w:val="006A0AF3"/>
    <w:rsid w:val="006A50FB"/>
    <w:rsid w:val="006F3D4A"/>
    <w:rsid w:val="00700725"/>
    <w:rsid w:val="00704E3F"/>
    <w:rsid w:val="00753E53"/>
    <w:rsid w:val="00755201"/>
    <w:rsid w:val="00757AC7"/>
    <w:rsid w:val="00771E0B"/>
    <w:rsid w:val="00786287"/>
    <w:rsid w:val="00794C4D"/>
    <w:rsid w:val="007A091B"/>
    <w:rsid w:val="007A44A1"/>
    <w:rsid w:val="007D26F7"/>
    <w:rsid w:val="007D5E27"/>
    <w:rsid w:val="007D6BE1"/>
    <w:rsid w:val="007E1DDC"/>
    <w:rsid w:val="008153FF"/>
    <w:rsid w:val="00850E5C"/>
    <w:rsid w:val="00857878"/>
    <w:rsid w:val="00861833"/>
    <w:rsid w:val="00866A1F"/>
    <w:rsid w:val="008727D1"/>
    <w:rsid w:val="00887A8F"/>
    <w:rsid w:val="008931FF"/>
    <w:rsid w:val="008A0169"/>
    <w:rsid w:val="008B35D4"/>
    <w:rsid w:val="008B58BC"/>
    <w:rsid w:val="008C628F"/>
    <w:rsid w:val="009036BF"/>
    <w:rsid w:val="00921CFF"/>
    <w:rsid w:val="009244B7"/>
    <w:rsid w:val="00957831"/>
    <w:rsid w:val="00963FFF"/>
    <w:rsid w:val="00976F5B"/>
    <w:rsid w:val="009968DA"/>
    <w:rsid w:val="00997414"/>
    <w:rsid w:val="009C2140"/>
    <w:rsid w:val="009C4C50"/>
    <w:rsid w:val="009E5604"/>
    <w:rsid w:val="009F2E61"/>
    <w:rsid w:val="00A03B7B"/>
    <w:rsid w:val="00A0744F"/>
    <w:rsid w:val="00A1763C"/>
    <w:rsid w:val="00A17789"/>
    <w:rsid w:val="00A51103"/>
    <w:rsid w:val="00A64B35"/>
    <w:rsid w:val="00A66292"/>
    <w:rsid w:val="00A70001"/>
    <w:rsid w:val="00A732D5"/>
    <w:rsid w:val="00A941B3"/>
    <w:rsid w:val="00A955D8"/>
    <w:rsid w:val="00AA3353"/>
    <w:rsid w:val="00AA7DB0"/>
    <w:rsid w:val="00AD5365"/>
    <w:rsid w:val="00B02A10"/>
    <w:rsid w:val="00B34C44"/>
    <w:rsid w:val="00B37D39"/>
    <w:rsid w:val="00B64CAD"/>
    <w:rsid w:val="00B770E2"/>
    <w:rsid w:val="00B81675"/>
    <w:rsid w:val="00B82AEE"/>
    <w:rsid w:val="00B91478"/>
    <w:rsid w:val="00BB4A0B"/>
    <w:rsid w:val="00BD4ACD"/>
    <w:rsid w:val="00C17DB9"/>
    <w:rsid w:val="00C26F98"/>
    <w:rsid w:val="00C9279E"/>
    <w:rsid w:val="00CA491C"/>
    <w:rsid w:val="00CB1CC4"/>
    <w:rsid w:val="00CB44F1"/>
    <w:rsid w:val="00CD09BB"/>
    <w:rsid w:val="00CF4F29"/>
    <w:rsid w:val="00CF602C"/>
    <w:rsid w:val="00D2378A"/>
    <w:rsid w:val="00D326AD"/>
    <w:rsid w:val="00D36794"/>
    <w:rsid w:val="00D53DEB"/>
    <w:rsid w:val="00D57D33"/>
    <w:rsid w:val="00D61A90"/>
    <w:rsid w:val="00D66440"/>
    <w:rsid w:val="00D77BAC"/>
    <w:rsid w:val="00DD3D7A"/>
    <w:rsid w:val="00DE1860"/>
    <w:rsid w:val="00E2455B"/>
    <w:rsid w:val="00E32B8F"/>
    <w:rsid w:val="00E45F29"/>
    <w:rsid w:val="00E54047"/>
    <w:rsid w:val="00E6765F"/>
    <w:rsid w:val="00E93D4C"/>
    <w:rsid w:val="00EA30EB"/>
    <w:rsid w:val="00EA5509"/>
    <w:rsid w:val="00EE3CF8"/>
    <w:rsid w:val="00EF289B"/>
    <w:rsid w:val="00F1780F"/>
    <w:rsid w:val="00F224CA"/>
    <w:rsid w:val="00F45CB9"/>
    <w:rsid w:val="00F763AE"/>
    <w:rsid w:val="00F770DB"/>
    <w:rsid w:val="00FB2B54"/>
    <w:rsid w:val="00FD5967"/>
    <w:rsid w:val="00FF7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E245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86896965">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crowncommercial.gov.uk/wp-content/uploads/RM6008%20MCF2%20Call%20off%20terms%20v2.pdf" TargetMode="External"/><Relationship Id="rId13" Type="http://schemas.openxmlformats.org/officeDocument/2006/relationships/hyperlink" Target="https://assets.crowncommercial.gov.uk/wp-content/uploads/RM6008%20MCF2%20Call%20off%20terms%20v2.pdf" TargetMode="External"/><Relationship Id="rId18" Type="http://schemas.openxmlformats.org/officeDocument/2006/relationships/hyperlink" Target="https://ccs-agreements.cabinetoffice.gov.uk/sites/default/files/contracts/RM6008%20MCF2%20Call%20off%20terms%20v2.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ssets.crowncommercial.gov.uk/wp-content/uploads/RM6008%20MCF2%20Call%20off%20terms%20v2.pdf" TargetMode="External"/><Relationship Id="rId7" Type="http://schemas.openxmlformats.org/officeDocument/2006/relationships/endnotes" Target="endnotes.xml"/><Relationship Id="rId12" Type="http://schemas.openxmlformats.org/officeDocument/2006/relationships/hyperlink" Target="https://assets.crowncommercial.gov.uk/wp-content/uploads/RM6008%20MCF2%20Call%20off%20terms%20v2.pdf" TargetMode="External"/><Relationship Id="rId17" Type="http://schemas.openxmlformats.org/officeDocument/2006/relationships/hyperlink" Target="https://assets.crowncommercial.gov.uk/wp-content/uploads/RM6008%20MCF2%20Call%20off%20terms%20v2.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assets.crowncommercial.gov.uk/wp-content/uploads/RM6008%20MCF2%20Call%20off%20terms%20v2.pdf" TargetMode="External"/><Relationship Id="rId20" Type="http://schemas.openxmlformats.org/officeDocument/2006/relationships/hyperlink" Target="https://assets.crowncommercial.gov.uk/wp-content/uploads/RM6008%20MCF2%20Call%20off%20terms%20v2.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crowncommercial.gov.uk/wp-content/uploads/RM6008%20MCF2%20Call%20off%20terms%20v2.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ssets.crowncommercial.gov.uk/wp-content/uploads/RM6008%20MCF2%20Call%20off%20terms%20v2.pdf" TargetMode="External"/><Relationship Id="rId23" Type="http://schemas.openxmlformats.org/officeDocument/2006/relationships/hyperlink" Target="mailto:payments.team@hmrc.gsi.gov.uk" TargetMode="External"/><Relationship Id="rId28" Type="http://schemas.openxmlformats.org/officeDocument/2006/relationships/fontTable" Target="fontTable.xml"/><Relationship Id="rId10" Type="http://schemas.openxmlformats.org/officeDocument/2006/relationships/hyperlink" Target="https://assets.crowncommercial.gov.uk/wp-content/uploads/RM6008%20MCF2%20Call%20off%20terms%20v2.pdf" TargetMode="External"/><Relationship Id="rId19" Type="http://schemas.openxmlformats.org/officeDocument/2006/relationships/hyperlink" Target="https://intranet.prod.dop.corp.hmrc.gov.uk/section/how-do-i/get-help-security/security-information-zone" TargetMode="External"/><Relationship Id="rId4" Type="http://schemas.openxmlformats.org/officeDocument/2006/relationships/settings" Target="settings.xml"/><Relationship Id="rId9" Type="http://schemas.openxmlformats.org/officeDocument/2006/relationships/hyperlink" Target="https://assets.crowncommercial.gov.uk/wp-content/uploads/RM6008%20MCF2%20Call%20off%20terms%20v2.pdf" TargetMode="External"/><Relationship Id="rId14" Type="http://schemas.openxmlformats.org/officeDocument/2006/relationships/hyperlink" Target="https://assets.crowncommercial.gov.uk/wp-content/uploads/RM6008%20MCF2%20Call%20off%20terms%20v2.pdf" TargetMode="External"/><Relationship Id="rId22" Type="http://schemas.openxmlformats.org/officeDocument/2006/relationships/hyperlink" Target="https://assets.crowncommercial.gov.uk/wp-content/uploads/RM6008%20MCF2%20Call%20off%20terms%20v2.pdf"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E772F3-8693-4BA5-A130-CEABAD551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7235</Words>
  <Characters>39653</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46795</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2019-09-16T07:04:00Z</dcterms:created>
  <dcterms:modified xsi:type="dcterms:W3CDTF">2019-10-09T10:03:00Z</dcterms:modified>
</cp:coreProperties>
</file>