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061" w:rsidRDefault="00D37061" w:rsidP="00D37061">
      <w:pPr>
        <w:rPr>
          <w:rFonts w:ascii="Arial" w:hAnsi="Arial" w:cs="Arial"/>
        </w:rPr>
      </w:pPr>
      <w:r>
        <w:rPr>
          <w:noProof/>
          <w:lang w:val="en-GB"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Pr>
          <w:rFonts w:ascii="Arial" w:hAnsi="Arial" w:cs="Arial"/>
        </w:rPr>
        <w:tab/>
      </w:r>
      <w:r>
        <w:rPr>
          <w:rFonts w:ascii="Arial" w:hAnsi="Arial" w:cs="Arial"/>
        </w:rPr>
        <w:tab/>
      </w:r>
    </w:p>
    <w:p w:rsidR="00D37061" w:rsidRDefault="00D37061" w:rsidP="00D37061">
      <w:pPr>
        <w:rPr>
          <w:rFonts w:ascii="Arial" w:hAnsi="Arial" w:cs="Arial"/>
        </w:rPr>
      </w:pPr>
    </w:p>
    <w:p w:rsidR="00D37061" w:rsidRDefault="00D37061" w:rsidP="00D37061">
      <w:pPr>
        <w:rPr>
          <w:rFonts w:ascii="Arial" w:hAnsi="Arial" w:cs="Arial"/>
        </w:rPr>
      </w:pPr>
    </w:p>
    <w:p w:rsidR="00D37061" w:rsidRDefault="00D37061" w:rsidP="00D37061">
      <w:pPr>
        <w:rPr>
          <w:rFonts w:ascii="Arial" w:hAnsi="Arial" w:cs="Arial"/>
        </w:rPr>
      </w:pPr>
    </w:p>
    <w:p w:rsidR="00C823EF" w:rsidRPr="00654BC3" w:rsidRDefault="00C823EF" w:rsidP="00654BC3">
      <w:pPr>
        <w:rPr>
          <w:rFonts w:ascii="Arial" w:eastAsia="Times New Roman" w:hAnsi="Arial" w:cs="Arial"/>
        </w:rPr>
      </w:pPr>
      <w:bookmarkStart w:id="0" w:name="_Toc473298294"/>
      <w:r>
        <w:rPr>
          <w:rFonts w:ascii="Arial" w:hAnsi="Arial" w:cs="Arial"/>
          <w:sz w:val="28"/>
          <w:lang w:eastAsia="en-GB"/>
        </w:rPr>
        <w:t>APPENDIX 1 - Extended access core requirements guidance</w:t>
      </w:r>
      <w:bookmarkEnd w:id="0"/>
      <w:r>
        <w:rPr>
          <w:rFonts w:ascii="Arial" w:hAnsi="Arial" w:cs="Arial"/>
          <w:sz w:val="28"/>
          <w:lang w:eastAsia="en-GB"/>
        </w:rPr>
        <w:t xml:space="preserve">  </w:t>
      </w:r>
    </w:p>
    <w:p w:rsidR="00C823EF" w:rsidRDefault="00C823EF" w:rsidP="00C823EF">
      <w:pPr>
        <w:rPr>
          <w:rFonts w:ascii="Arial" w:hAnsi="Arial" w:cs="Arial"/>
          <w:lang w:eastAsia="en-GB"/>
        </w:rPr>
      </w:pPr>
    </w:p>
    <w:p w:rsidR="00C823EF" w:rsidRDefault="00C823EF" w:rsidP="00C823EF">
      <w:pPr>
        <w:rPr>
          <w:rFonts w:cs="Times New Roman"/>
        </w:rPr>
      </w:pPr>
      <w:r>
        <w:t>All CCGs have been funded to achieve 100% population coverage of extended GP access by end of March 2019.</w:t>
      </w:r>
    </w:p>
    <w:p w:rsidR="00C823EF" w:rsidRDefault="00C823EF" w:rsidP="00C823EF"/>
    <w:p w:rsidR="00C823EF" w:rsidRDefault="00C823EF" w:rsidP="00C823EF">
      <w:r>
        <w:t xml:space="preserve">These core requirements are the minimum and can be added to by CCGs. </w:t>
      </w:r>
    </w:p>
    <w:p w:rsidR="00C823EF" w:rsidRDefault="00C823EF" w:rsidP="00C823EF">
      <w:pPr>
        <w:rPr>
          <w:b/>
        </w:rPr>
      </w:pPr>
    </w:p>
    <w:p w:rsidR="00C823EF" w:rsidRDefault="00C823EF" w:rsidP="00C823EF">
      <w:pPr>
        <w:rPr>
          <w:b/>
        </w:rPr>
      </w:pPr>
      <w:r>
        <w:rPr>
          <w:b/>
        </w:rPr>
        <w:t xml:space="preserve">Timing of appointments: </w:t>
      </w:r>
    </w:p>
    <w:p w:rsidR="00C823EF" w:rsidRDefault="00474FBB" w:rsidP="00C823EF">
      <w:pPr>
        <w:pStyle w:val="ListParagraph"/>
        <w:numPr>
          <w:ilvl w:val="0"/>
          <w:numId w:val="1"/>
        </w:numPr>
      </w:pPr>
      <w:r>
        <w:t>C</w:t>
      </w:r>
      <w:r w:rsidR="00C823EF">
        <w:t>ommission weekday provision of access to pre-bookable and same day appointments to general practice services in evenings (after 6:30pm) – to provide an additional 1.5 hours a day;</w:t>
      </w:r>
    </w:p>
    <w:p w:rsidR="00C823EF" w:rsidRDefault="00474FBB" w:rsidP="00C823EF">
      <w:pPr>
        <w:pStyle w:val="ListParagraph"/>
        <w:numPr>
          <w:ilvl w:val="0"/>
          <w:numId w:val="1"/>
        </w:numPr>
      </w:pPr>
      <w:r>
        <w:t>C</w:t>
      </w:r>
      <w:r w:rsidR="00C823EF">
        <w:t>ommission weekend provision of access to pre-bookable and same day appointments on both Saturdays and Sundays to meet local population needs;</w:t>
      </w:r>
    </w:p>
    <w:p w:rsidR="00C823EF" w:rsidRDefault="00474FBB" w:rsidP="00C823EF">
      <w:pPr>
        <w:pStyle w:val="ListParagraph"/>
        <w:numPr>
          <w:ilvl w:val="0"/>
          <w:numId w:val="1"/>
        </w:numPr>
      </w:pPr>
      <w:r>
        <w:t>P</w:t>
      </w:r>
      <w:r w:rsidR="00C823EF">
        <w:t xml:space="preserve">rovide robust evidence, based on </w:t>
      </w:r>
      <w:proofErr w:type="spellStart"/>
      <w:r w:rsidR="00C823EF">
        <w:t>utilisation</w:t>
      </w:r>
      <w:proofErr w:type="spellEnd"/>
      <w:r w:rsidR="00C823EF">
        <w:t xml:space="preserve"> rates, for the proposed disposition of services throughout the week; and</w:t>
      </w:r>
    </w:p>
    <w:p w:rsidR="00C823EF" w:rsidRDefault="00474FBB" w:rsidP="00C823EF">
      <w:pPr>
        <w:pStyle w:val="ListParagraph"/>
        <w:numPr>
          <w:ilvl w:val="0"/>
          <w:numId w:val="1"/>
        </w:numPr>
      </w:pPr>
      <w:r>
        <w:t>A</w:t>
      </w:r>
      <w:r w:rsidR="00C823EF">
        <w:t>ppointments can be provided on a hub basis with practices working at scale.</w:t>
      </w:r>
    </w:p>
    <w:p w:rsidR="00C823EF" w:rsidRDefault="00C823EF" w:rsidP="00C823EF">
      <w:r>
        <w:t xml:space="preserve"> </w:t>
      </w:r>
    </w:p>
    <w:p w:rsidR="00C823EF" w:rsidRDefault="00C823EF" w:rsidP="00C823EF">
      <w:pPr>
        <w:rPr>
          <w:b/>
        </w:rPr>
      </w:pPr>
      <w:r>
        <w:rPr>
          <w:b/>
        </w:rPr>
        <w:t xml:space="preserve">Capacity: </w:t>
      </w:r>
    </w:p>
    <w:p w:rsidR="00C823EF" w:rsidRDefault="00474FBB" w:rsidP="00C823EF">
      <w:pPr>
        <w:pStyle w:val="ListParagraph"/>
        <w:numPr>
          <w:ilvl w:val="0"/>
          <w:numId w:val="1"/>
        </w:numPr>
      </w:pPr>
      <w:r>
        <w:t>C</w:t>
      </w:r>
      <w:r w:rsidR="00C823EF">
        <w:t>ommission a minimum additional 30 minutes consultation capacity per 1000 population, rising to 45 minutes per 1000 population.</w:t>
      </w:r>
    </w:p>
    <w:p w:rsidR="00C823EF" w:rsidRDefault="00C823EF" w:rsidP="00C823EF">
      <w:r>
        <w:t xml:space="preserve"> </w:t>
      </w:r>
    </w:p>
    <w:p w:rsidR="00C823EF" w:rsidRDefault="00C823EF" w:rsidP="00C823EF">
      <w:pPr>
        <w:rPr>
          <w:b/>
        </w:rPr>
      </w:pPr>
      <w:r>
        <w:rPr>
          <w:b/>
        </w:rPr>
        <w:t xml:space="preserve">Measurement: </w:t>
      </w:r>
    </w:p>
    <w:p w:rsidR="00C823EF" w:rsidRDefault="00474FBB" w:rsidP="00C823EF">
      <w:pPr>
        <w:pStyle w:val="ListParagraph"/>
        <w:numPr>
          <w:ilvl w:val="0"/>
          <w:numId w:val="1"/>
        </w:numPr>
      </w:pPr>
      <w:r>
        <w:t>E</w:t>
      </w:r>
      <w:r w:rsidR="00C823EF">
        <w:t xml:space="preserve">nsure usage of a nationally commissioned new tool to automatically measure appointment activity by all participating practices, both in-hours and in extended hours </w:t>
      </w:r>
    </w:p>
    <w:p w:rsidR="00C823EF" w:rsidRDefault="00C823EF" w:rsidP="00C823EF">
      <w:r>
        <w:t xml:space="preserve"> </w:t>
      </w:r>
    </w:p>
    <w:p w:rsidR="00C823EF" w:rsidRDefault="00C823EF" w:rsidP="00C823EF">
      <w:pPr>
        <w:rPr>
          <w:b/>
        </w:rPr>
      </w:pPr>
      <w:r>
        <w:rPr>
          <w:b/>
        </w:rPr>
        <w:t xml:space="preserve">Advertising and ease of access: </w:t>
      </w:r>
    </w:p>
    <w:p w:rsidR="00C823EF" w:rsidRDefault="00474FBB" w:rsidP="00C823EF">
      <w:pPr>
        <w:pStyle w:val="ListParagraph"/>
        <w:numPr>
          <w:ilvl w:val="0"/>
          <w:numId w:val="1"/>
        </w:numPr>
      </w:pPr>
      <w:r>
        <w:t>E</w:t>
      </w:r>
      <w:r w:rsidR="00C823EF">
        <w:t>nsure services are advertised to patients, including notification on practice websites, notices in local urgent care services and publicity that into the community, so that it is clear to patients how they can access these appointments and associated service;</w:t>
      </w:r>
    </w:p>
    <w:p w:rsidR="00C823EF" w:rsidRDefault="00474FBB" w:rsidP="00C823EF">
      <w:pPr>
        <w:pStyle w:val="ListParagraph"/>
        <w:numPr>
          <w:ilvl w:val="0"/>
          <w:numId w:val="1"/>
        </w:numPr>
      </w:pPr>
      <w:r>
        <w:t>E</w:t>
      </w:r>
      <w:r w:rsidR="00C823EF">
        <w:t>nsure ease of access for patients including:</w:t>
      </w:r>
    </w:p>
    <w:p w:rsidR="00C823EF" w:rsidRPr="009812F5" w:rsidRDefault="009812F5" w:rsidP="00C823EF">
      <w:pPr>
        <w:pStyle w:val="ListParagraph"/>
        <w:numPr>
          <w:ilvl w:val="1"/>
          <w:numId w:val="2"/>
        </w:numPr>
        <w:rPr>
          <w:rFonts w:cs="Arial"/>
        </w:rPr>
      </w:pPr>
      <w:r>
        <w:t>A</w:t>
      </w:r>
      <w:r w:rsidR="00C823EF">
        <w:t xml:space="preserve">ll practice receptionists able to direct patients to the service and offer appointments to </w:t>
      </w:r>
      <w:r w:rsidR="00C823EF" w:rsidRPr="009812F5">
        <w:rPr>
          <w:rFonts w:cs="Arial"/>
        </w:rPr>
        <w:t>extended hours service on the same basis as appointments to non-extended hours services</w:t>
      </w:r>
    </w:p>
    <w:p w:rsidR="00C823EF" w:rsidRPr="009812F5" w:rsidRDefault="009812F5" w:rsidP="00C823EF">
      <w:pPr>
        <w:pStyle w:val="ListParagraph"/>
        <w:numPr>
          <w:ilvl w:val="1"/>
          <w:numId w:val="2"/>
        </w:numPr>
        <w:rPr>
          <w:rFonts w:cs="Arial"/>
        </w:rPr>
      </w:pPr>
      <w:r w:rsidRPr="009812F5">
        <w:rPr>
          <w:rFonts w:cs="Arial"/>
        </w:rPr>
        <w:t>P</w:t>
      </w:r>
      <w:r w:rsidR="00C823EF" w:rsidRPr="009812F5">
        <w:rPr>
          <w:rFonts w:cs="Arial"/>
        </w:rPr>
        <w:t xml:space="preserve">atients should be offered a choice of evening or weekend appointments on an equal footing to core </w:t>
      </w:r>
      <w:proofErr w:type="gramStart"/>
      <w:r w:rsidR="00C823EF" w:rsidRPr="009812F5">
        <w:rPr>
          <w:rFonts w:cs="Arial"/>
        </w:rPr>
        <w:t>hours</w:t>
      </w:r>
      <w:proofErr w:type="gramEnd"/>
      <w:r w:rsidR="00C823EF" w:rsidRPr="009812F5">
        <w:rPr>
          <w:rFonts w:cs="Arial"/>
        </w:rPr>
        <w:t xml:space="preserve"> appointments.</w:t>
      </w:r>
    </w:p>
    <w:p w:rsidR="00C823EF" w:rsidRPr="009812F5" w:rsidRDefault="00C823EF" w:rsidP="00C823EF">
      <w:pPr>
        <w:rPr>
          <w:rFonts w:ascii="Arial" w:hAnsi="Arial" w:cs="Arial"/>
          <w:b/>
        </w:rPr>
      </w:pPr>
      <w:r w:rsidRPr="009812F5">
        <w:rPr>
          <w:rFonts w:ascii="Arial" w:hAnsi="Arial" w:cs="Arial"/>
          <w:b/>
        </w:rPr>
        <w:t xml:space="preserve">Digital: </w:t>
      </w:r>
    </w:p>
    <w:p w:rsidR="00C823EF" w:rsidRPr="009812F5" w:rsidRDefault="00474FBB" w:rsidP="00C823EF">
      <w:pPr>
        <w:pStyle w:val="ListParagraph"/>
        <w:numPr>
          <w:ilvl w:val="0"/>
          <w:numId w:val="1"/>
        </w:numPr>
        <w:rPr>
          <w:rFonts w:cs="Arial"/>
        </w:rPr>
      </w:pPr>
      <w:r w:rsidRPr="009812F5">
        <w:rPr>
          <w:rFonts w:cs="Arial"/>
        </w:rPr>
        <w:t>U</w:t>
      </w:r>
      <w:r w:rsidR="00C823EF" w:rsidRPr="009812F5">
        <w:rPr>
          <w:rFonts w:cs="Arial"/>
        </w:rPr>
        <w:t>se of digital approaches to support new models of care in general practice.</w:t>
      </w:r>
    </w:p>
    <w:p w:rsidR="00C823EF" w:rsidRPr="009812F5" w:rsidRDefault="00C823EF" w:rsidP="00C823EF">
      <w:pPr>
        <w:rPr>
          <w:rFonts w:ascii="Arial" w:hAnsi="Arial" w:cs="Arial"/>
        </w:rPr>
      </w:pPr>
      <w:r w:rsidRPr="009812F5">
        <w:rPr>
          <w:rFonts w:ascii="Arial" w:hAnsi="Arial" w:cs="Arial"/>
        </w:rPr>
        <w:t xml:space="preserve"> </w:t>
      </w:r>
    </w:p>
    <w:p w:rsidR="00C823EF" w:rsidRPr="009812F5" w:rsidRDefault="00C823EF" w:rsidP="00C823EF">
      <w:pPr>
        <w:rPr>
          <w:rFonts w:ascii="Arial" w:hAnsi="Arial" w:cs="Arial"/>
          <w:b/>
        </w:rPr>
      </w:pPr>
      <w:r w:rsidRPr="009812F5">
        <w:rPr>
          <w:rFonts w:ascii="Arial" w:hAnsi="Arial" w:cs="Arial"/>
          <w:b/>
        </w:rPr>
        <w:t xml:space="preserve">Inequalities: </w:t>
      </w:r>
    </w:p>
    <w:p w:rsidR="00C823EF" w:rsidRPr="009812F5" w:rsidRDefault="00474FBB" w:rsidP="00C823EF">
      <w:pPr>
        <w:pStyle w:val="ListParagraph"/>
        <w:numPr>
          <w:ilvl w:val="0"/>
          <w:numId w:val="1"/>
        </w:numPr>
        <w:rPr>
          <w:rFonts w:cs="Arial"/>
        </w:rPr>
      </w:pPr>
      <w:r w:rsidRPr="009812F5">
        <w:rPr>
          <w:rFonts w:cs="Arial"/>
        </w:rPr>
        <w:t>I</w:t>
      </w:r>
      <w:r w:rsidR="00C823EF" w:rsidRPr="009812F5">
        <w:rPr>
          <w:rFonts w:cs="Arial"/>
        </w:rPr>
        <w:t>ssues of inequalities in patients’ experience of accessing general practice identified by local evidence and actions to resolve in place.</w:t>
      </w:r>
    </w:p>
    <w:p w:rsidR="00474FBB" w:rsidRPr="009812F5" w:rsidRDefault="00474FBB" w:rsidP="00474FBB">
      <w:pPr>
        <w:rPr>
          <w:rFonts w:ascii="Arial" w:hAnsi="Arial" w:cs="Arial"/>
          <w:b/>
        </w:rPr>
      </w:pPr>
    </w:p>
    <w:p w:rsidR="00474FBB" w:rsidRPr="009812F5" w:rsidRDefault="00474FBB" w:rsidP="00474FBB">
      <w:pPr>
        <w:rPr>
          <w:rFonts w:ascii="Arial" w:hAnsi="Arial" w:cs="Arial"/>
          <w:b/>
        </w:rPr>
      </w:pPr>
      <w:r w:rsidRPr="009812F5">
        <w:rPr>
          <w:rFonts w:ascii="Arial" w:hAnsi="Arial" w:cs="Arial"/>
          <w:b/>
        </w:rPr>
        <w:t>Leadership &amp; Governance</w:t>
      </w:r>
    </w:p>
    <w:p w:rsidR="00474FBB" w:rsidRPr="009812F5" w:rsidRDefault="00474FBB" w:rsidP="00474FBB">
      <w:pPr>
        <w:pStyle w:val="ListParagraph"/>
        <w:numPr>
          <w:ilvl w:val="0"/>
          <w:numId w:val="1"/>
        </w:numPr>
        <w:rPr>
          <w:rFonts w:cs="Arial"/>
        </w:rPr>
        <w:sectPr w:rsidR="00474FBB" w:rsidRPr="009812F5" w:rsidSect="00474FBB">
          <w:pgSz w:w="12240" w:h="15840"/>
          <w:pgMar w:top="1411" w:right="1467" w:bottom="851" w:left="1411" w:header="720" w:footer="720" w:gutter="0"/>
          <w:cols w:space="720"/>
        </w:sectPr>
      </w:pPr>
      <w:r w:rsidRPr="009812F5">
        <w:rPr>
          <w:rFonts w:cs="Arial"/>
        </w:rPr>
        <w:t xml:space="preserve">Ensure leadership and </w:t>
      </w:r>
      <w:r w:rsidR="00D3340B">
        <w:rPr>
          <w:rFonts w:cs="Arial"/>
        </w:rPr>
        <w:t>governance arrangements in place</w:t>
      </w:r>
    </w:p>
    <w:p w:rsidR="00C823EF" w:rsidRDefault="00C823EF"/>
    <w:sectPr w:rsidR="00C82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3576D"/>
    <w:multiLevelType w:val="hybridMultilevel"/>
    <w:tmpl w:val="B52268DE"/>
    <w:lvl w:ilvl="0" w:tplc="08090001">
      <w:start w:val="1"/>
      <w:numFmt w:val="bullet"/>
      <w:lvlText w:val=""/>
      <w:lvlJc w:val="left"/>
      <w:pPr>
        <w:ind w:left="1080" w:hanging="360"/>
      </w:pPr>
      <w:rPr>
        <w:rFonts w:ascii="Symbol" w:hAnsi="Symbol" w:hint="default"/>
      </w:rPr>
    </w:lvl>
    <w:lvl w:ilvl="1" w:tplc="822AFE90">
      <w:numFmt w:val="bullet"/>
      <w:lvlText w:val="•"/>
      <w:lvlJc w:val="left"/>
      <w:pPr>
        <w:ind w:left="2160" w:hanging="720"/>
      </w:pPr>
      <w:rPr>
        <w:rFonts w:ascii="Arial" w:eastAsia="Times New Roman" w:hAnsi="Arial" w:cs="Aria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BC70264"/>
    <w:multiLevelType w:val="hybridMultilevel"/>
    <w:tmpl w:val="B3BCAF52"/>
    <w:lvl w:ilvl="0" w:tplc="08090001">
      <w:start w:val="1"/>
      <w:numFmt w:val="bullet"/>
      <w:lvlText w:val=""/>
      <w:lvlJc w:val="left"/>
      <w:pPr>
        <w:ind w:left="1080" w:hanging="360"/>
      </w:pPr>
      <w:rPr>
        <w:rFonts w:ascii="Symbol" w:hAnsi="Symbol" w:hint="default"/>
      </w:rPr>
    </w:lvl>
    <w:lvl w:ilvl="1" w:tplc="46F8152A">
      <w:start w:val="1"/>
      <w:numFmt w:val="bullet"/>
      <w:lvlText w:val="–"/>
      <w:lvlJc w:val="left"/>
      <w:pPr>
        <w:ind w:left="2160" w:hanging="72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61"/>
    <w:rsid w:val="00073B46"/>
    <w:rsid w:val="0022302E"/>
    <w:rsid w:val="002778D1"/>
    <w:rsid w:val="00422DCC"/>
    <w:rsid w:val="00437B15"/>
    <w:rsid w:val="00474FBB"/>
    <w:rsid w:val="004B6F46"/>
    <w:rsid w:val="004D56E7"/>
    <w:rsid w:val="00505BBE"/>
    <w:rsid w:val="00636E28"/>
    <w:rsid w:val="00642FDC"/>
    <w:rsid w:val="00654BC3"/>
    <w:rsid w:val="006E1061"/>
    <w:rsid w:val="00703470"/>
    <w:rsid w:val="00711D15"/>
    <w:rsid w:val="007E6E56"/>
    <w:rsid w:val="009812F5"/>
    <w:rsid w:val="00A15DF2"/>
    <w:rsid w:val="00A36839"/>
    <w:rsid w:val="00AC0069"/>
    <w:rsid w:val="00BA59D0"/>
    <w:rsid w:val="00BB4B16"/>
    <w:rsid w:val="00C823EF"/>
    <w:rsid w:val="00D3340B"/>
    <w:rsid w:val="00D37061"/>
    <w:rsid w:val="00DE0A56"/>
    <w:rsid w:val="00EC29ED"/>
    <w:rsid w:val="00ED2D25"/>
    <w:rsid w:val="00F25A68"/>
    <w:rsid w:val="00FA27EB"/>
    <w:rsid w:val="00FD5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2E89F-55E2-4AB7-ABE0-D0368FA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6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9"/>
    <w:qFormat/>
    <w:rsid w:val="00C823EF"/>
    <w:pPr>
      <w:keepNext/>
      <w:spacing w:before="240" w:after="60"/>
      <w:outlineLvl w:val="0"/>
    </w:pPr>
    <w:rPr>
      <w:rFonts w:ascii="Cambria" w:eastAsia="Times New Roman" w:hAnsi="Cambria" w:cs="Times New Roman"/>
      <w:b/>
      <w:bCs/>
      <w:color w:val="000000"/>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D37061"/>
  </w:style>
  <w:style w:type="character" w:styleId="Hyperlink">
    <w:name w:val="Hyperlink"/>
    <w:basedOn w:val="DefaultParagraphFont"/>
    <w:uiPriority w:val="99"/>
    <w:unhideWhenUsed/>
    <w:rsid w:val="00A36839"/>
    <w:rPr>
      <w:color w:val="0563C1" w:themeColor="hyperlink"/>
      <w:u w:val="single"/>
    </w:rPr>
  </w:style>
  <w:style w:type="character" w:customStyle="1" w:styleId="Heading1Char">
    <w:name w:val="Heading 1 Char"/>
    <w:basedOn w:val="DefaultParagraphFont"/>
    <w:link w:val="Heading1"/>
    <w:uiPriority w:val="99"/>
    <w:rsid w:val="00C823EF"/>
    <w:rPr>
      <w:rFonts w:ascii="Cambria" w:eastAsia="Times New Roman" w:hAnsi="Cambria" w:cs="Times New Roman"/>
      <w:b/>
      <w:bCs/>
      <w:color w:val="000000"/>
      <w:kern w:val="32"/>
      <w:sz w:val="32"/>
      <w:szCs w:val="32"/>
    </w:rPr>
  </w:style>
  <w:style w:type="paragraph" w:styleId="ListParagraph">
    <w:name w:val="List Paragraph"/>
    <w:basedOn w:val="Normal"/>
    <w:uiPriority w:val="34"/>
    <w:qFormat/>
    <w:rsid w:val="00C823EF"/>
    <w:pPr>
      <w:ind w:left="720"/>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2028">
      <w:bodyDiv w:val="1"/>
      <w:marLeft w:val="0"/>
      <w:marRight w:val="0"/>
      <w:marTop w:val="0"/>
      <w:marBottom w:val="0"/>
      <w:divBdr>
        <w:top w:val="none" w:sz="0" w:space="0" w:color="auto"/>
        <w:left w:val="none" w:sz="0" w:space="0" w:color="auto"/>
        <w:bottom w:val="none" w:sz="0" w:space="0" w:color="auto"/>
        <w:right w:val="none" w:sz="0" w:space="0" w:color="auto"/>
      </w:divBdr>
    </w:div>
    <w:div w:id="18044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Balogun-Lynch</dc:creator>
  <cp:keywords/>
  <dc:description/>
  <cp:lastModifiedBy>Raj Ragiwala</cp:lastModifiedBy>
  <cp:revision>1</cp:revision>
  <dcterms:created xsi:type="dcterms:W3CDTF">2017-11-17T08:36:00Z</dcterms:created>
  <dcterms:modified xsi:type="dcterms:W3CDTF">2017-11-17T08:36:00Z</dcterms:modified>
</cp:coreProperties>
</file>