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52A3CAA3" w:rsidR="000640C5" w:rsidRPr="00A8045C" w:rsidRDefault="009A57DB" w:rsidP="000640C5">
      <w:pPr>
        <w:pStyle w:val="CoversheetTitle2"/>
        <w:rPr>
          <w:rFonts w:ascii="Arial" w:hAnsi="Arial"/>
          <w:sz w:val="20"/>
        </w:rPr>
      </w:pPr>
      <w:r>
        <w:rPr>
          <w:rFonts w:ascii="Arial" w:hAnsi="Arial"/>
          <w:sz w:val="20"/>
        </w:rPr>
        <w:t>2023</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B8F5FEF" w14:textId="352DF48C" w:rsidR="000640C5" w:rsidRPr="00A8045C" w:rsidRDefault="006C135B" w:rsidP="00876FD2">
      <w:pPr>
        <w:pStyle w:val="CoversheetParagraph"/>
      </w:pPr>
      <w:r>
        <w:t>[</w:t>
      </w:r>
      <w:r w:rsidR="00876FD2">
        <w:t>The Training Provider</w:t>
      </w:r>
      <w:r>
        <w:t>]</w:t>
      </w:r>
    </w:p>
    <w:p w14:paraId="666020B3" w14:textId="77777777" w:rsidR="000640C5" w:rsidRPr="00A8045C" w:rsidRDefault="000640C5" w:rsidP="00876FD2">
      <w:pPr>
        <w:pStyle w:val="CoversheetParagraph"/>
      </w:pPr>
    </w:p>
    <w:p w14:paraId="10D371CF" w14:textId="77777777" w:rsidR="000640C5" w:rsidRPr="00A8045C" w:rsidRDefault="000640C5" w:rsidP="00876FD2">
      <w:pPr>
        <w:pStyle w:val="CoversheetParagraph"/>
      </w:pPr>
    </w:p>
    <w:p w14:paraId="1AC1D291" w14:textId="77777777" w:rsidR="000640C5" w:rsidRPr="00A8045C"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50A2631E"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8D09FB">
        <w:rPr>
          <w:rFonts w:ascii="Arial" w:hAnsi="Arial" w:cs="Arial"/>
          <w:sz w:val="20"/>
        </w:rPr>
        <w:t>202</w:t>
      </w:r>
      <w:r w:rsidR="008D09FB">
        <w:rPr>
          <w:rFonts w:ascii="Arial" w:hAnsi="Arial" w:cs="Arial"/>
          <w:sz w:val="20"/>
        </w:rPr>
        <w:t>3</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73FFF68"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5D35F625"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A30E093"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appropriate</w:t>
      </w:r>
      <w:r>
        <w:rPr>
          <w:rFonts w:cs="Arial"/>
          <w:bCs/>
        </w:rPr>
        <w:t>;</w:t>
      </w:r>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0AA7EB6E" w14:textId="1A61F39A"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w:t>
      </w:r>
      <w:r w:rsidR="00E50B93" w:rsidRPr="00432C98">
        <w:rPr>
          <w:rFonts w:cs="Arial"/>
          <w:bCs/>
        </w:rPr>
        <w:t>1</w:t>
      </w:r>
      <w:r w:rsidR="00E50B93">
        <w:rPr>
          <w:rFonts w:cs="Arial"/>
          <w:bCs/>
        </w:rPr>
        <w:t>0</w:t>
      </w:r>
      <w:r w:rsidR="00E50B93" w:rsidRPr="00432C98">
        <w:rPr>
          <w:rFonts w:cs="Arial"/>
          <w:bCs/>
        </w:rPr>
        <w:t xml:space="preserve">0 </w:t>
      </w:r>
      <w:r w:rsidRPr="00432C98">
        <w:rPr>
          <w:rFonts w:cs="Arial"/>
          <w:bCs/>
        </w:rPr>
        <w:t xml:space="preserve">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lastRenderedPageBreak/>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2B396B13"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all applicable laws, regulations, regulatory policies, guidelines or industry codes which apply to the provision of the Training;</w:t>
      </w:r>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lastRenderedPageBreak/>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as appropriate;</w:t>
      </w:r>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r w:rsidR="00BC3E7A">
        <w:rPr>
          <w:rFonts w:cs="Arial"/>
        </w:rPr>
        <w:t>delivered</w:t>
      </w:r>
      <w:r>
        <w:rPr>
          <w:rFonts w:cs="Arial"/>
        </w:rPr>
        <w:t>;</w:t>
      </w:r>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training details;</w:t>
      </w:r>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of each Learners progress whilst at the Training Provider’s establishment;</w:t>
      </w:r>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5F6512A2"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shall facilitate a Bi-Monthly meeting for employers nominated by the ECITB “the Scholarship </w:t>
      </w:r>
      <w:proofErr w:type="spellStart"/>
      <w:r>
        <w:rPr>
          <w:rFonts w:cs="Arial"/>
        </w:rPr>
        <w:t>SteerCo</w:t>
      </w:r>
      <w:proofErr w:type="spellEnd"/>
      <w:r>
        <w:rPr>
          <w:rFonts w:cs="Arial"/>
        </w:rPr>
        <w:t>” to engage with and, support the recruitment, progress and access to work for the Scholars, full terms of reference will be provided by the ECITB.</w:t>
      </w:r>
    </w:p>
    <w:p w14:paraId="4388B58E" w14:textId="580ED4F5" w:rsidR="00964D32" w:rsidRDefault="00964D32" w:rsidP="000640C5">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lastRenderedPageBreak/>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t xml:space="preserve">Scholarship </w:t>
      </w:r>
      <w:proofErr w:type="spellStart"/>
      <w:r>
        <w:rPr>
          <w:rFonts w:cs="Arial"/>
        </w:rPr>
        <w:t>SteerCo</w:t>
      </w:r>
      <w:proofErr w:type="spellEnd"/>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ECITB shall support the provider with the establishment of and running the employer Scholarship </w:t>
      </w:r>
      <w:proofErr w:type="spellStart"/>
      <w:r>
        <w:rPr>
          <w:rFonts w:cs="Arial"/>
        </w:rPr>
        <w:t>SteerCo</w:t>
      </w:r>
      <w:proofErr w:type="spellEnd"/>
      <w:r>
        <w:rPr>
          <w:rFonts w:cs="Arial"/>
        </w:rPr>
        <w:t>.</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lastRenderedPageBreak/>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00C15091"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GRANTAND REIMBURSEMENT OF TRAINING ALLOWANCES</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51876328" w14:textId="2D2461D0"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1F3C5C7" w14:textId="510F8B33"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w:t>
      </w:r>
      <w:r w:rsidR="00BC3E7A" w:rsidRPr="00CF6DB8">
        <w:rPr>
          <w:rFonts w:cs="Arial"/>
          <w:bCs/>
        </w:rPr>
        <w:t>1</w:t>
      </w:r>
      <w:r w:rsidR="00BC3E7A">
        <w:rPr>
          <w:rFonts w:cs="Arial"/>
          <w:bCs/>
        </w:rPr>
        <w:t>0</w:t>
      </w:r>
      <w:r w:rsidR="00BC3E7A" w:rsidRPr="00CF6DB8">
        <w:rPr>
          <w:rFonts w:cs="Arial"/>
          <w:bCs/>
        </w:rPr>
        <w:t xml:space="preserve">0 </w:t>
      </w:r>
      <w:r w:rsidRPr="00CF6DB8">
        <w:rPr>
          <w:rFonts w:cs="Arial"/>
          <w:bCs/>
        </w:rPr>
        <w:t>per week</w:t>
      </w:r>
      <w:r>
        <w:rPr>
          <w:rFonts w:cs="Arial"/>
          <w:bCs/>
        </w:rPr>
        <w:t xml:space="preserve"> per Learner.</w:t>
      </w:r>
    </w:p>
    <w:p w14:paraId="0FF751BE" w14:textId="4E61DAC3"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1E078F76" w14:textId="133C75EA"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23176681" w14:textId="194DF00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(s) that are publicly funded</w:t>
      </w:r>
      <w:r>
        <w:rPr>
          <w:rFonts w:cs="Arial"/>
        </w:rPr>
        <w:t>;</w:t>
      </w:r>
    </w:p>
    <w:p w14:paraId="53C42506" w14:textId="1DE8D8F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26CD3FEE" w14:textId="08D849CF"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73CA6E8D"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lastRenderedPageBreak/>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The Training Provider shall comply with any obligations to consult with such employees (whether collectively, individually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w:t>
      </w:r>
      <w:r w:rsidRPr="00A8045C">
        <w:rPr>
          <w:rFonts w:cs="Arial"/>
        </w:rPr>
        <w:lastRenderedPageBreak/>
        <w:t xml:space="preserve">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lastRenderedPageBreak/>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4882BEC5"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7C8AA14D"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within two (2) calendar days of the ECITB’s written request, provide a then-current copy of the Training Provider Notice to the ECITB;</w:t>
      </w:r>
    </w:p>
    <w:p w14:paraId="32970975" w14:textId="77777777" w:rsidR="00032B2D" w:rsidRDefault="00032B2D" w:rsidP="00032B2D">
      <w:pPr>
        <w:numPr>
          <w:ilvl w:val="2"/>
          <w:numId w:val="17"/>
        </w:numPr>
      </w:pPr>
      <w:r>
        <w:t xml:space="preserve">notify ECITB in writing fourteen (14) calendar days prior to its publication or disclosure of any changes to the Training Provider Notice where that change relates to the lawful basis on which the </w:t>
      </w:r>
      <w:r>
        <w:lastRenderedPageBreak/>
        <w:t>Training Provider relies to receive, collect or share with ECITB any Shared Data, together with a written explanation for all such changes;</w:t>
      </w:r>
    </w:p>
    <w:p w14:paraId="6752A039"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2A4DF596" w14:textId="77777777" w:rsidR="00CA4745" w:rsidRDefault="00CA4745" w:rsidP="00714AE9">
      <w:pPr>
        <w:numPr>
          <w:ilvl w:val="2"/>
          <w:numId w:val="17"/>
        </w:numPr>
      </w:pPr>
      <w:r>
        <w:lastRenderedPageBreak/>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lastRenderedPageBreak/>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lastRenderedPageBreak/>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4DA81E4D" w:rsidR="000640C5" w:rsidRPr="00D25F38" w:rsidRDefault="000640C5" w:rsidP="000640C5">
      <w:pPr>
        <w:pStyle w:val="Heading1"/>
        <w:numPr>
          <w:ilvl w:val="0"/>
          <w:numId w:val="0"/>
        </w:numPr>
        <w:ind w:left="432" w:hanging="432"/>
        <w:jc w:val="center"/>
      </w:pPr>
      <w:r w:rsidRPr="003C4537">
        <w:t xml:space="preserve">The Commencement Year is </w:t>
      </w:r>
      <w:r w:rsidR="00876FD2">
        <w:t>2023</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27CEE342"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p>
    <w:p w14:paraId="46F1212F" w14:textId="77777777" w:rsidR="00A2494C" w:rsidRDefault="00A2494C" w:rsidP="00DA6CB4">
      <w:pPr>
        <w:ind w:firstLine="142"/>
        <w:rPr>
          <w:rFonts w:cs="Arial"/>
          <w:b/>
        </w:rPr>
      </w:pPr>
    </w:p>
    <w:tbl>
      <w:tblPr>
        <w:tblpPr w:leftFromText="180" w:rightFromText="180" w:vertAnchor="text" w:tblpX="41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921"/>
      </w:tblGrid>
      <w:tr w:rsidR="00A2494C" w14:paraId="11808DD1" w14:textId="77777777" w:rsidTr="009432A6">
        <w:trPr>
          <w:trHeight w:val="827"/>
        </w:trPr>
        <w:tc>
          <w:tcPr>
            <w:tcW w:w="10040" w:type="dxa"/>
            <w:gridSpan w:val="2"/>
            <w:shd w:val="clear" w:color="auto" w:fill="7E7E7E"/>
          </w:tcPr>
          <w:p w14:paraId="6529336F" w14:textId="77777777" w:rsidR="00A2494C" w:rsidRDefault="00A2494C" w:rsidP="009432A6">
            <w:pPr>
              <w:pStyle w:val="TableParagraph"/>
              <w:spacing w:before="9"/>
              <w:rPr>
                <w:sz w:val="23"/>
              </w:rPr>
            </w:pPr>
          </w:p>
          <w:p w14:paraId="78A708DB" w14:textId="77777777" w:rsidR="00A2494C" w:rsidRDefault="00A2494C" w:rsidP="009432A6">
            <w:pPr>
              <w:pStyle w:val="TableParagraph"/>
              <w:ind w:left="107"/>
              <w:rPr>
                <w:b/>
                <w:sz w:val="24"/>
              </w:rPr>
            </w:pPr>
            <w:r>
              <w:rPr>
                <w:b/>
                <w:sz w:val="24"/>
              </w:rPr>
              <w:t>(Two-year model)</w:t>
            </w:r>
          </w:p>
          <w:p w14:paraId="3B0BAA1A" w14:textId="77777777" w:rsidR="00A2494C" w:rsidRDefault="00A2494C" w:rsidP="009432A6">
            <w:pPr>
              <w:pStyle w:val="TableParagraph"/>
              <w:ind w:left="107"/>
              <w:rPr>
                <w:b/>
                <w:sz w:val="24"/>
              </w:rPr>
            </w:pPr>
          </w:p>
          <w:p w14:paraId="49897AB1" w14:textId="77777777" w:rsidR="00A2494C" w:rsidRDefault="00A2494C" w:rsidP="009432A6">
            <w:pPr>
              <w:pStyle w:val="TableParagraph"/>
              <w:ind w:left="107"/>
              <w:rPr>
                <w:b/>
                <w:sz w:val="24"/>
              </w:rPr>
            </w:pPr>
            <w:r>
              <w:rPr>
                <w:b/>
                <w:sz w:val="24"/>
              </w:rPr>
              <w:t>Table 1</w:t>
            </w:r>
            <w:r>
              <w:rPr>
                <w:b/>
                <w:spacing w:val="-1"/>
                <w:sz w:val="24"/>
              </w:rPr>
              <w:t xml:space="preserve"> </w:t>
            </w:r>
            <w:r>
              <w:rPr>
                <w:b/>
                <w:sz w:val="24"/>
              </w:rPr>
              <w:t>-</w:t>
            </w:r>
            <w:r>
              <w:rPr>
                <w:b/>
                <w:spacing w:val="-2"/>
                <w:sz w:val="24"/>
              </w:rPr>
              <w:t xml:space="preserve"> </w:t>
            </w:r>
            <w:r>
              <w:rPr>
                <w:b/>
                <w:sz w:val="24"/>
              </w:rPr>
              <w:t>Programme</w:t>
            </w:r>
            <w:r>
              <w:rPr>
                <w:b/>
                <w:spacing w:val="-3"/>
                <w:sz w:val="24"/>
              </w:rPr>
              <w:t xml:space="preserve"> </w:t>
            </w:r>
            <w:r>
              <w:rPr>
                <w:b/>
                <w:sz w:val="24"/>
              </w:rPr>
              <w:t>Outcomes</w:t>
            </w:r>
            <w:r>
              <w:rPr>
                <w:b/>
                <w:spacing w:val="-1"/>
                <w:sz w:val="24"/>
              </w:rPr>
              <w:t xml:space="preserve"> </w:t>
            </w:r>
            <w:r>
              <w:rPr>
                <w:b/>
                <w:sz w:val="24"/>
              </w:rPr>
              <w:t>(Level</w:t>
            </w:r>
            <w:r>
              <w:rPr>
                <w:b/>
                <w:spacing w:val="-1"/>
                <w:sz w:val="24"/>
              </w:rPr>
              <w:t xml:space="preserve"> </w:t>
            </w:r>
            <w:r>
              <w:rPr>
                <w:b/>
                <w:sz w:val="24"/>
              </w:rPr>
              <w:t>3</w:t>
            </w:r>
            <w:r>
              <w:rPr>
                <w:b/>
                <w:spacing w:val="1"/>
                <w:sz w:val="24"/>
              </w:rPr>
              <w:t xml:space="preserve"> </w:t>
            </w:r>
            <w:r>
              <w:rPr>
                <w:b/>
                <w:sz w:val="24"/>
              </w:rPr>
              <w:t>Technician)</w:t>
            </w:r>
          </w:p>
          <w:p w14:paraId="3A34AA93" w14:textId="77777777" w:rsidR="00A2494C" w:rsidRDefault="00A2494C" w:rsidP="009432A6">
            <w:pPr>
              <w:pStyle w:val="TableParagraph"/>
              <w:ind w:left="107"/>
              <w:rPr>
                <w:b/>
                <w:sz w:val="24"/>
              </w:rPr>
            </w:pPr>
          </w:p>
        </w:tc>
      </w:tr>
      <w:tr w:rsidR="00A2494C" w14:paraId="131806A9" w14:textId="77777777" w:rsidTr="009432A6">
        <w:trPr>
          <w:trHeight w:val="3588"/>
        </w:trPr>
        <w:tc>
          <w:tcPr>
            <w:tcW w:w="3119" w:type="dxa"/>
          </w:tcPr>
          <w:p w14:paraId="0BCD3830" w14:textId="77777777" w:rsidR="00A2494C" w:rsidRPr="008467F7" w:rsidRDefault="00A2494C" w:rsidP="009432A6">
            <w:pPr>
              <w:pStyle w:val="TableParagraph"/>
              <w:rPr>
                <w:sz w:val="26"/>
              </w:rPr>
            </w:pPr>
          </w:p>
          <w:p w14:paraId="5AF131D3" w14:textId="77777777" w:rsidR="00A2494C" w:rsidRPr="008467F7" w:rsidRDefault="00A2494C" w:rsidP="009432A6">
            <w:pPr>
              <w:pStyle w:val="TableParagraph"/>
              <w:rPr>
                <w:sz w:val="26"/>
              </w:rPr>
            </w:pPr>
          </w:p>
          <w:p w14:paraId="721141D1" w14:textId="77777777" w:rsidR="00A2494C" w:rsidRPr="008467F7" w:rsidRDefault="00A2494C" w:rsidP="009432A6">
            <w:pPr>
              <w:pStyle w:val="TableParagraph"/>
              <w:rPr>
                <w:sz w:val="26"/>
              </w:rPr>
            </w:pPr>
          </w:p>
          <w:p w14:paraId="1B16EAC9" w14:textId="77777777" w:rsidR="00A2494C" w:rsidRPr="008467F7" w:rsidRDefault="00A2494C" w:rsidP="009432A6">
            <w:pPr>
              <w:pStyle w:val="TableParagraph"/>
              <w:spacing w:before="4"/>
              <w:rPr>
                <w:sz w:val="31"/>
              </w:rPr>
            </w:pPr>
          </w:p>
          <w:p w14:paraId="5939DE3C" w14:textId="77777777" w:rsidR="00A2494C" w:rsidRDefault="00A2494C" w:rsidP="009432A6">
            <w:pPr>
              <w:pStyle w:val="TableParagraph"/>
              <w:jc w:val="center"/>
              <w:rPr>
                <w:sz w:val="26"/>
              </w:rPr>
            </w:pPr>
            <w:r w:rsidRPr="008467F7">
              <w:rPr>
                <w:b/>
                <w:sz w:val="24"/>
              </w:rPr>
              <w:t xml:space="preserve">Employer </w:t>
            </w:r>
            <w:r>
              <w:rPr>
                <w:b/>
                <w:sz w:val="24"/>
              </w:rPr>
              <w:t>Engagement</w:t>
            </w:r>
          </w:p>
        </w:tc>
        <w:tc>
          <w:tcPr>
            <w:tcW w:w="6921" w:type="dxa"/>
          </w:tcPr>
          <w:p w14:paraId="1C0F8D00" w14:textId="77777777" w:rsidR="00A2494C" w:rsidRPr="008467F7" w:rsidRDefault="00A2494C" w:rsidP="009432A6">
            <w:pPr>
              <w:pStyle w:val="TableParagraph"/>
              <w:spacing w:before="9"/>
              <w:rPr>
                <w:sz w:val="23"/>
              </w:rPr>
            </w:pPr>
          </w:p>
          <w:p w14:paraId="1BA0ED61" w14:textId="77777777" w:rsidR="00A2494C" w:rsidRPr="008467F7" w:rsidRDefault="00A2494C" w:rsidP="009432A6">
            <w:pPr>
              <w:pStyle w:val="TableParagraph"/>
              <w:ind w:left="110" w:right="122"/>
              <w:rPr>
                <w:sz w:val="24"/>
              </w:rPr>
            </w:pPr>
            <w:r w:rsidRPr="008467F7">
              <w:rPr>
                <w:sz w:val="24"/>
              </w:rPr>
              <w:t xml:space="preserve">The provider will arrange and facilitate </w:t>
            </w:r>
            <w:r>
              <w:rPr>
                <w:sz w:val="24"/>
              </w:rPr>
              <w:t>engagement with</w:t>
            </w:r>
            <w:r w:rsidRPr="008467F7">
              <w:rPr>
                <w:sz w:val="24"/>
              </w:rPr>
              <w:t xml:space="preserve"> employer</w:t>
            </w:r>
            <w:r>
              <w:rPr>
                <w:sz w:val="24"/>
              </w:rPr>
              <w:t>s</w:t>
            </w:r>
            <w:r w:rsidRPr="008467F7">
              <w:rPr>
                <w:sz w:val="24"/>
              </w:rPr>
              <w:t xml:space="preserve"> to:</w:t>
            </w:r>
          </w:p>
          <w:p w14:paraId="07BF5472" w14:textId="77777777" w:rsidR="00A2494C" w:rsidRPr="008467F7" w:rsidRDefault="00A2494C" w:rsidP="009432A6">
            <w:pPr>
              <w:pStyle w:val="TableParagraph"/>
              <w:spacing w:before="1"/>
              <w:rPr>
                <w:sz w:val="24"/>
              </w:rPr>
            </w:pPr>
          </w:p>
          <w:p w14:paraId="5217415A" w14:textId="77777777" w:rsidR="00A2494C" w:rsidRPr="008467F7" w:rsidRDefault="00A2494C" w:rsidP="00A2494C">
            <w:pPr>
              <w:pStyle w:val="TableParagraph"/>
              <w:numPr>
                <w:ilvl w:val="0"/>
                <w:numId w:val="47"/>
              </w:numPr>
              <w:tabs>
                <w:tab w:val="left" w:pos="470"/>
                <w:tab w:val="left" w:pos="471"/>
              </w:tabs>
              <w:ind w:right="723"/>
              <w:rPr>
                <w:sz w:val="24"/>
              </w:rPr>
            </w:pPr>
            <w:r w:rsidRPr="008467F7">
              <w:rPr>
                <w:sz w:val="24"/>
              </w:rPr>
              <w:t>Enable employers to put forward potential learners for selection,</w:t>
            </w:r>
          </w:p>
          <w:p w14:paraId="6132EC6A" w14:textId="77777777" w:rsidR="00A2494C" w:rsidRPr="008467F7" w:rsidRDefault="00A2494C" w:rsidP="009432A6">
            <w:pPr>
              <w:pStyle w:val="TableParagraph"/>
              <w:spacing w:before="10"/>
              <w:rPr>
                <w:sz w:val="23"/>
              </w:rPr>
            </w:pPr>
          </w:p>
          <w:p w14:paraId="79A48CB9" w14:textId="77777777" w:rsidR="00A2494C" w:rsidRDefault="00A2494C" w:rsidP="00A2494C">
            <w:pPr>
              <w:pStyle w:val="TableParagraph"/>
              <w:numPr>
                <w:ilvl w:val="0"/>
                <w:numId w:val="47"/>
              </w:numPr>
              <w:tabs>
                <w:tab w:val="left" w:pos="470"/>
                <w:tab w:val="left" w:pos="471"/>
              </w:tabs>
              <w:ind w:right="337"/>
              <w:rPr>
                <w:sz w:val="24"/>
              </w:rPr>
            </w:pPr>
            <w:r w:rsidRPr="008467F7">
              <w:rPr>
                <w:sz w:val="24"/>
              </w:rPr>
              <w:t>Assess the learners in order to identify their suitability for employment either as a direct hire or for progression onto an Apprenticeship.</w:t>
            </w:r>
          </w:p>
          <w:p w14:paraId="02F97DB5" w14:textId="77777777" w:rsidR="00A2494C" w:rsidRDefault="00A2494C" w:rsidP="009432A6">
            <w:pPr>
              <w:pStyle w:val="TableParagraph"/>
              <w:tabs>
                <w:tab w:val="left" w:pos="470"/>
                <w:tab w:val="left" w:pos="471"/>
              </w:tabs>
              <w:ind w:left="155" w:right="337"/>
              <w:rPr>
                <w:sz w:val="24"/>
              </w:rPr>
            </w:pPr>
          </w:p>
          <w:p w14:paraId="77084229" w14:textId="3CCC417F" w:rsidR="00A2494C" w:rsidRDefault="00A2494C" w:rsidP="009432A6">
            <w:pPr>
              <w:pStyle w:val="TableParagraph"/>
              <w:tabs>
                <w:tab w:val="left" w:pos="470"/>
                <w:tab w:val="left" w:pos="471"/>
              </w:tabs>
              <w:ind w:left="155" w:right="337"/>
              <w:rPr>
                <w:sz w:val="24"/>
              </w:rPr>
            </w:pPr>
            <w:r>
              <w:rPr>
                <w:sz w:val="24"/>
              </w:rPr>
              <w:t>Additionally, the employer will host an employer/ECITB meeting to review the learners progress, help facilitate work placement and employment opportunities and the curriculum content relevancy. The meetings will run for the duration of the programme. It is anticipated the meetings will be held bi-monthly, but this will be discussed and agreed at the pre contract meeting.</w:t>
            </w:r>
          </w:p>
          <w:p w14:paraId="12DF143C" w14:textId="77777777" w:rsidR="00A2494C" w:rsidRDefault="00A2494C" w:rsidP="009432A6">
            <w:pPr>
              <w:pStyle w:val="TableParagraph"/>
              <w:ind w:left="109" w:right="405"/>
              <w:rPr>
                <w:sz w:val="24"/>
              </w:rPr>
            </w:pPr>
          </w:p>
        </w:tc>
      </w:tr>
      <w:tr w:rsidR="00A2494C" w14:paraId="7AA5D6B0" w14:textId="77777777" w:rsidTr="00A2494C">
        <w:trPr>
          <w:trHeight w:val="2394"/>
        </w:trPr>
        <w:tc>
          <w:tcPr>
            <w:tcW w:w="3119" w:type="dxa"/>
            <w:vAlign w:val="center"/>
          </w:tcPr>
          <w:p w14:paraId="1BC4321A" w14:textId="77777777" w:rsidR="00A2494C" w:rsidRDefault="00A2494C" w:rsidP="009432A6">
            <w:pPr>
              <w:pStyle w:val="TableParagraph"/>
              <w:jc w:val="center"/>
              <w:rPr>
                <w:b/>
                <w:sz w:val="24"/>
              </w:rPr>
            </w:pPr>
            <w:r w:rsidRPr="008467F7">
              <w:rPr>
                <w:b/>
                <w:sz w:val="24"/>
              </w:rPr>
              <w:t>Supporting the Net Zero Agenda</w:t>
            </w:r>
          </w:p>
          <w:p w14:paraId="50C2C578" w14:textId="77777777" w:rsidR="00A2494C" w:rsidRPr="009C2BE6" w:rsidRDefault="00A2494C" w:rsidP="009432A6"/>
          <w:p w14:paraId="5B1E6502" w14:textId="77777777" w:rsidR="00A2494C" w:rsidRPr="009C2BE6" w:rsidRDefault="00A2494C" w:rsidP="009432A6"/>
          <w:p w14:paraId="7A95568A" w14:textId="77777777" w:rsidR="00A2494C" w:rsidRPr="009C2BE6" w:rsidRDefault="00A2494C" w:rsidP="009432A6"/>
        </w:tc>
        <w:tc>
          <w:tcPr>
            <w:tcW w:w="6921" w:type="dxa"/>
          </w:tcPr>
          <w:p w14:paraId="4E25F626" w14:textId="77777777" w:rsidR="00A2494C" w:rsidRPr="008467F7" w:rsidRDefault="00A2494C" w:rsidP="009432A6">
            <w:pPr>
              <w:pStyle w:val="TableParagraph"/>
              <w:spacing w:before="9"/>
              <w:rPr>
                <w:sz w:val="23"/>
              </w:rPr>
            </w:pPr>
          </w:p>
          <w:p w14:paraId="21610020" w14:textId="77777777" w:rsidR="00A2494C" w:rsidRPr="008467F7" w:rsidRDefault="00A2494C" w:rsidP="009432A6">
            <w:pPr>
              <w:pStyle w:val="TableParagraph"/>
              <w:ind w:left="110"/>
              <w:rPr>
                <w:sz w:val="24"/>
              </w:rPr>
            </w:pPr>
            <w:r w:rsidRPr="008467F7">
              <w:rPr>
                <w:sz w:val="24"/>
              </w:rPr>
              <w:t>Net Zero (Min of 35 Hours)</w:t>
            </w:r>
          </w:p>
          <w:p w14:paraId="214E89D1" w14:textId="77777777" w:rsidR="00A2494C" w:rsidRPr="008467F7" w:rsidRDefault="00A2494C" w:rsidP="009432A6">
            <w:pPr>
              <w:pStyle w:val="TableParagraph"/>
              <w:rPr>
                <w:sz w:val="24"/>
              </w:rPr>
            </w:pPr>
          </w:p>
          <w:p w14:paraId="5D09E79F" w14:textId="77777777" w:rsidR="00A2494C" w:rsidRPr="008467F7" w:rsidRDefault="00A2494C" w:rsidP="009432A6">
            <w:pPr>
              <w:pStyle w:val="TableParagraph"/>
              <w:ind w:left="110" w:right="416"/>
              <w:rPr>
                <w:sz w:val="24"/>
              </w:rPr>
            </w:pPr>
            <w:r w:rsidRPr="008467F7">
              <w:rPr>
                <w:sz w:val="24"/>
              </w:rPr>
              <w:t>ECITB will provide access to the digital platform required for delivery of this component.</w:t>
            </w:r>
          </w:p>
          <w:p w14:paraId="6007B0A7" w14:textId="77777777" w:rsidR="00A2494C" w:rsidRPr="008467F7" w:rsidRDefault="00A2494C" w:rsidP="009432A6">
            <w:pPr>
              <w:pStyle w:val="TableParagraph"/>
              <w:rPr>
                <w:sz w:val="24"/>
              </w:rPr>
            </w:pPr>
          </w:p>
          <w:p w14:paraId="4564E72F" w14:textId="77777777" w:rsidR="00A2494C" w:rsidRDefault="00A2494C" w:rsidP="009432A6">
            <w:pPr>
              <w:pStyle w:val="TableParagraph"/>
              <w:ind w:left="109" w:right="405"/>
              <w:rPr>
                <w:sz w:val="24"/>
              </w:rPr>
            </w:pPr>
            <w:r w:rsidRPr="008467F7">
              <w:rPr>
                <w:sz w:val="24"/>
              </w:rPr>
              <w:t>This will require no development or delivery by the provider.</w:t>
            </w:r>
          </w:p>
          <w:p w14:paraId="2210D41B" w14:textId="2317E002" w:rsidR="00A2494C" w:rsidRPr="00A2494C" w:rsidRDefault="00A2494C" w:rsidP="00A2494C">
            <w:pPr>
              <w:tabs>
                <w:tab w:val="left" w:pos="1953"/>
              </w:tabs>
            </w:pPr>
          </w:p>
        </w:tc>
      </w:tr>
      <w:tr w:rsidR="00A2494C" w14:paraId="2B9B5CA2" w14:textId="77777777" w:rsidTr="009432A6">
        <w:trPr>
          <w:trHeight w:val="2258"/>
        </w:trPr>
        <w:tc>
          <w:tcPr>
            <w:tcW w:w="3119" w:type="dxa"/>
            <w:vAlign w:val="center"/>
          </w:tcPr>
          <w:p w14:paraId="472A17B2" w14:textId="77777777" w:rsidR="00A2494C" w:rsidRDefault="00A2494C" w:rsidP="009432A6">
            <w:pPr>
              <w:pStyle w:val="TableParagraph"/>
              <w:jc w:val="center"/>
              <w:rPr>
                <w:sz w:val="26"/>
              </w:rPr>
            </w:pPr>
            <w:r w:rsidRPr="00831FD2">
              <w:rPr>
                <w:b/>
                <w:sz w:val="24"/>
                <w:szCs w:val="24"/>
              </w:rPr>
              <w:t>Behavioural Based Safety</w:t>
            </w:r>
          </w:p>
        </w:tc>
        <w:tc>
          <w:tcPr>
            <w:tcW w:w="6921" w:type="dxa"/>
            <w:vAlign w:val="center"/>
          </w:tcPr>
          <w:p w14:paraId="34DBE7F3" w14:textId="77777777" w:rsidR="00A2494C" w:rsidRPr="00831FD2" w:rsidRDefault="00A2494C" w:rsidP="009432A6">
            <w:pPr>
              <w:tabs>
                <w:tab w:val="left" w:pos="360"/>
              </w:tabs>
              <w:ind w:left="288"/>
              <w:rPr>
                <w:sz w:val="24"/>
                <w:szCs w:val="24"/>
              </w:rPr>
            </w:pPr>
            <w:r w:rsidRPr="00831FD2">
              <w:rPr>
                <w:sz w:val="24"/>
                <w:szCs w:val="24"/>
              </w:rPr>
              <w:t xml:space="preserve">ECITB will provide access to the digital platform required for delivery of this component. </w:t>
            </w:r>
          </w:p>
          <w:p w14:paraId="7BDB6AC1" w14:textId="77777777" w:rsidR="00A2494C" w:rsidRDefault="00A2494C" w:rsidP="009432A6">
            <w:pPr>
              <w:pStyle w:val="TableParagraph"/>
              <w:ind w:left="297" w:right="405"/>
              <w:rPr>
                <w:sz w:val="24"/>
              </w:rPr>
            </w:pPr>
            <w:r w:rsidRPr="00831FD2">
              <w:rPr>
                <w:sz w:val="24"/>
                <w:szCs w:val="24"/>
              </w:rPr>
              <w:t>This will require no development or delivery by the provider.</w:t>
            </w:r>
          </w:p>
        </w:tc>
      </w:tr>
      <w:tr w:rsidR="00A2494C" w14:paraId="3541D1F3" w14:textId="77777777" w:rsidTr="009432A6">
        <w:trPr>
          <w:trHeight w:val="1544"/>
        </w:trPr>
        <w:tc>
          <w:tcPr>
            <w:tcW w:w="3119" w:type="dxa"/>
            <w:vAlign w:val="center"/>
          </w:tcPr>
          <w:p w14:paraId="023D89B3" w14:textId="77777777" w:rsidR="00A2494C" w:rsidRPr="00831FD2" w:rsidRDefault="00A2494C" w:rsidP="009432A6">
            <w:pPr>
              <w:tabs>
                <w:tab w:val="left" w:pos="360"/>
              </w:tabs>
              <w:jc w:val="center"/>
              <w:rPr>
                <w:b/>
                <w:sz w:val="24"/>
                <w:szCs w:val="24"/>
              </w:rPr>
            </w:pPr>
            <w:r w:rsidRPr="00831FD2">
              <w:rPr>
                <w:b/>
                <w:sz w:val="24"/>
                <w:szCs w:val="24"/>
              </w:rPr>
              <w:t xml:space="preserve">ECITB Digital Passport </w:t>
            </w:r>
          </w:p>
          <w:p w14:paraId="0DD83926" w14:textId="77777777" w:rsidR="00A2494C" w:rsidRDefault="00A2494C" w:rsidP="009432A6">
            <w:pPr>
              <w:pStyle w:val="TableParagraph"/>
              <w:rPr>
                <w:sz w:val="26"/>
              </w:rPr>
            </w:pPr>
          </w:p>
        </w:tc>
        <w:tc>
          <w:tcPr>
            <w:tcW w:w="6921" w:type="dxa"/>
            <w:vAlign w:val="center"/>
          </w:tcPr>
          <w:p w14:paraId="3B152539" w14:textId="77777777" w:rsidR="00A2494C" w:rsidRDefault="00A2494C" w:rsidP="009432A6">
            <w:pPr>
              <w:pStyle w:val="TableParagraph"/>
              <w:ind w:left="109" w:right="405"/>
              <w:rPr>
                <w:sz w:val="24"/>
              </w:rPr>
            </w:pPr>
            <w:r w:rsidRPr="00831FD2">
              <w:rPr>
                <w:sz w:val="24"/>
                <w:szCs w:val="24"/>
              </w:rPr>
              <w:t>The ECITB will provide access to an online platform to enable the learners to undertake and be assessed against an ECITB Digital Passport.</w:t>
            </w:r>
          </w:p>
        </w:tc>
      </w:tr>
      <w:tr w:rsidR="00A2494C" w14:paraId="015CAE00" w14:textId="77777777" w:rsidTr="009432A6">
        <w:trPr>
          <w:trHeight w:val="3588"/>
        </w:trPr>
        <w:tc>
          <w:tcPr>
            <w:tcW w:w="3119" w:type="dxa"/>
          </w:tcPr>
          <w:p w14:paraId="392033BD" w14:textId="77777777" w:rsidR="00A2494C" w:rsidRDefault="00A2494C" w:rsidP="009432A6">
            <w:pPr>
              <w:pStyle w:val="TableParagraph"/>
              <w:rPr>
                <w:sz w:val="26"/>
              </w:rPr>
            </w:pPr>
          </w:p>
          <w:p w14:paraId="236DB90C" w14:textId="77777777" w:rsidR="00A2494C" w:rsidRDefault="00A2494C" w:rsidP="009432A6">
            <w:pPr>
              <w:pStyle w:val="TableParagraph"/>
              <w:rPr>
                <w:sz w:val="26"/>
              </w:rPr>
            </w:pPr>
          </w:p>
          <w:p w14:paraId="4360BD9A" w14:textId="77777777" w:rsidR="00A2494C" w:rsidRDefault="00A2494C" w:rsidP="009432A6">
            <w:pPr>
              <w:pStyle w:val="TableParagraph"/>
              <w:rPr>
                <w:sz w:val="26"/>
              </w:rPr>
            </w:pPr>
          </w:p>
          <w:p w14:paraId="71569848" w14:textId="77777777" w:rsidR="00A2494C" w:rsidRDefault="00A2494C" w:rsidP="009432A6">
            <w:pPr>
              <w:pStyle w:val="TableParagraph"/>
              <w:rPr>
                <w:sz w:val="26"/>
              </w:rPr>
            </w:pPr>
          </w:p>
          <w:p w14:paraId="221CEC1B" w14:textId="77777777" w:rsidR="00A2494C" w:rsidRDefault="00A2494C" w:rsidP="009432A6">
            <w:pPr>
              <w:pStyle w:val="TableParagraph"/>
              <w:rPr>
                <w:sz w:val="26"/>
              </w:rPr>
            </w:pPr>
          </w:p>
          <w:p w14:paraId="4A9A9BA7" w14:textId="77777777" w:rsidR="00A2494C" w:rsidRDefault="00A2494C" w:rsidP="009432A6">
            <w:pPr>
              <w:pStyle w:val="TableParagraph"/>
              <w:spacing w:before="159"/>
              <w:ind w:left="833" w:right="144" w:hanging="675"/>
              <w:rPr>
                <w:b/>
                <w:sz w:val="24"/>
              </w:rPr>
            </w:pPr>
            <w:r>
              <w:rPr>
                <w:b/>
                <w:sz w:val="24"/>
              </w:rPr>
              <w:t>Knowledge</w:t>
            </w:r>
            <w:r>
              <w:rPr>
                <w:b/>
                <w:spacing w:val="-14"/>
                <w:sz w:val="24"/>
              </w:rPr>
              <w:t xml:space="preserve"> </w:t>
            </w:r>
            <w:r>
              <w:rPr>
                <w:b/>
                <w:sz w:val="24"/>
              </w:rPr>
              <w:t>Qualification</w:t>
            </w:r>
            <w:r>
              <w:rPr>
                <w:b/>
                <w:spacing w:val="-64"/>
                <w:sz w:val="24"/>
              </w:rPr>
              <w:t xml:space="preserve"> </w:t>
            </w:r>
            <w:r>
              <w:rPr>
                <w:b/>
                <w:sz w:val="24"/>
              </w:rPr>
              <w:t>(Years 1</w:t>
            </w:r>
            <w:r>
              <w:rPr>
                <w:b/>
                <w:spacing w:val="1"/>
                <w:sz w:val="24"/>
              </w:rPr>
              <w:t xml:space="preserve"> </w:t>
            </w:r>
            <w:r>
              <w:rPr>
                <w:b/>
                <w:sz w:val="24"/>
              </w:rPr>
              <w:t>&amp; 2)</w:t>
            </w:r>
          </w:p>
        </w:tc>
        <w:tc>
          <w:tcPr>
            <w:tcW w:w="6921" w:type="dxa"/>
          </w:tcPr>
          <w:p w14:paraId="28523953" w14:textId="77777777" w:rsidR="00A2494C" w:rsidRDefault="00A2494C" w:rsidP="009432A6">
            <w:pPr>
              <w:pStyle w:val="TableParagraph"/>
              <w:ind w:left="109" w:right="405"/>
              <w:rPr>
                <w:sz w:val="24"/>
              </w:rPr>
            </w:pPr>
            <w:r>
              <w:rPr>
                <w:sz w:val="24"/>
              </w:rPr>
              <w:t>Level 3: The selected qualification must provide the relevant</w:t>
            </w:r>
            <w:r>
              <w:rPr>
                <w:spacing w:val="-65"/>
                <w:sz w:val="24"/>
              </w:rPr>
              <w:t xml:space="preserve"> </w:t>
            </w:r>
            <w:r>
              <w:rPr>
                <w:sz w:val="24"/>
              </w:rPr>
              <w:t>knowledge that underpins the selected level 3 competence</w:t>
            </w:r>
            <w:r>
              <w:rPr>
                <w:spacing w:val="1"/>
                <w:sz w:val="24"/>
              </w:rPr>
              <w:t xml:space="preserve"> </w:t>
            </w:r>
            <w:r>
              <w:rPr>
                <w:sz w:val="24"/>
              </w:rPr>
              <w:t>qualification.</w:t>
            </w:r>
          </w:p>
          <w:p w14:paraId="756DEEF4" w14:textId="77777777" w:rsidR="00A2494C" w:rsidRDefault="00A2494C" w:rsidP="009432A6">
            <w:pPr>
              <w:pStyle w:val="TableParagraph"/>
              <w:spacing w:before="9"/>
              <w:rPr>
                <w:sz w:val="23"/>
              </w:rPr>
            </w:pPr>
          </w:p>
          <w:p w14:paraId="157503A0" w14:textId="77777777" w:rsidR="00A2494C" w:rsidRDefault="00A2494C" w:rsidP="009432A6">
            <w:pPr>
              <w:pStyle w:val="TableParagraph"/>
              <w:ind w:left="109"/>
              <w:rPr>
                <w:b/>
                <w:sz w:val="24"/>
              </w:rPr>
            </w:pPr>
            <w:r>
              <w:rPr>
                <w:b/>
                <w:sz w:val="24"/>
              </w:rPr>
              <w:t>Note:</w:t>
            </w:r>
          </w:p>
          <w:p w14:paraId="4518C3B4" w14:textId="77777777" w:rsidR="00A2494C" w:rsidRDefault="00A2494C" w:rsidP="009432A6">
            <w:pPr>
              <w:pStyle w:val="TableParagraph"/>
              <w:ind w:left="109" w:right="136"/>
              <w:jc w:val="both"/>
              <w:rPr>
                <w:b/>
                <w:sz w:val="24"/>
              </w:rPr>
            </w:pPr>
            <w:r>
              <w:rPr>
                <w:b/>
                <w:sz w:val="24"/>
              </w:rPr>
              <w:t>The</w:t>
            </w:r>
            <w:r>
              <w:rPr>
                <w:b/>
                <w:spacing w:val="-3"/>
                <w:sz w:val="24"/>
              </w:rPr>
              <w:t xml:space="preserve"> </w:t>
            </w:r>
            <w:r>
              <w:rPr>
                <w:b/>
                <w:sz w:val="24"/>
              </w:rPr>
              <w:t>knowledge</w:t>
            </w:r>
            <w:r>
              <w:rPr>
                <w:b/>
                <w:spacing w:val="-2"/>
                <w:sz w:val="24"/>
              </w:rPr>
              <w:t xml:space="preserve"> </w:t>
            </w:r>
            <w:r>
              <w:rPr>
                <w:b/>
                <w:sz w:val="24"/>
              </w:rPr>
              <w:t>qualifications</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achieved</w:t>
            </w:r>
            <w:r>
              <w:rPr>
                <w:b/>
                <w:spacing w:val="-2"/>
                <w:sz w:val="24"/>
              </w:rPr>
              <w:t xml:space="preserve"> </w:t>
            </w:r>
            <w:r>
              <w:rPr>
                <w:b/>
                <w:sz w:val="24"/>
              </w:rPr>
              <w:t>during</w:t>
            </w:r>
            <w:r>
              <w:rPr>
                <w:b/>
                <w:spacing w:val="-3"/>
                <w:sz w:val="24"/>
              </w:rPr>
              <w:t xml:space="preserve"> </w:t>
            </w:r>
            <w:r>
              <w:rPr>
                <w:b/>
                <w:sz w:val="24"/>
              </w:rPr>
              <w:t>the</w:t>
            </w:r>
            <w:r>
              <w:rPr>
                <w:b/>
                <w:spacing w:val="-64"/>
                <w:sz w:val="24"/>
              </w:rPr>
              <w:t xml:space="preserve"> </w:t>
            </w:r>
            <w:r>
              <w:rPr>
                <w:b/>
                <w:sz w:val="24"/>
              </w:rPr>
              <w:t>programme and must be funded through a Public Funding</w:t>
            </w:r>
            <w:r>
              <w:rPr>
                <w:b/>
                <w:spacing w:val="-64"/>
                <w:sz w:val="24"/>
              </w:rPr>
              <w:t xml:space="preserve"> </w:t>
            </w:r>
            <w:r>
              <w:rPr>
                <w:b/>
                <w:sz w:val="24"/>
              </w:rPr>
              <w:t>Contract.</w:t>
            </w:r>
          </w:p>
          <w:p w14:paraId="62189B2B" w14:textId="77777777" w:rsidR="00A2494C" w:rsidRDefault="00A2494C" w:rsidP="009432A6">
            <w:pPr>
              <w:pStyle w:val="TableParagraph"/>
              <w:rPr>
                <w:sz w:val="24"/>
              </w:rPr>
            </w:pPr>
          </w:p>
          <w:p w14:paraId="6505A519" w14:textId="77777777" w:rsidR="00A2494C" w:rsidRDefault="00A2494C" w:rsidP="009432A6">
            <w:pPr>
              <w:pStyle w:val="TableParagraph"/>
              <w:ind w:left="109"/>
              <w:rPr>
                <w:b/>
                <w:sz w:val="24"/>
              </w:rPr>
            </w:pPr>
            <w:r>
              <w:rPr>
                <w:b/>
                <w:sz w:val="24"/>
              </w:rPr>
              <w:t>The provider will select suitable level 3 knowledge</w:t>
            </w:r>
            <w:r>
              <w:rPr>
                <w:b/>
                <w:spacing w:val="1"/>
                <w:sz w:val="24"/>
              </w:rPr>
              <w:t xml:space="preserve"> </w:t>
            </w:r>
            <w:r>
              <w:rPr>
                <w:b/>
                <w:sz w:val="24"/>
              </w:rPr>
              <w:t>qualifications</w:t>
            </w:r>
            <w:r>
              <w:rPr>
                <w:b/>
                <w:spacing w:val="-3"/>
                <w:sz w:val="24"/>
              </w:rPr>
              <w:t xml:space="preserve"> </w:t>
            </w:r>
            <w:r>
              <w:rPr>
                <w:b/>
                <w:sz w:val="24"/>
              </w:rPr>
              <w:t>along</w:t>
            </w:r>
            <w:r>
              <w:rPr>
                <w:b/>
                <w:spacing w:val="-3"/>
                <w:sz w:val="24"/>
              </w:rPr>
              <w:t xml:space="preserve"> </w:t>
            </w:r>
            <w:r>
              <w:rPr>
                <w:b/>
                <w:sz w:val="24"/>
              </w:rPr>
              <w:t>with the</w:t>
            </w:r>
            <w:r>
              <w:rPr>
                <w:b/>
                <w:spacing w:val="-1"/>
                <w:sz w:val="24"/>
              </w:rPr>
              <w:t xml:space="preserve"> </w:t>
            </w:r>
            <w:r>
              <w:rPr>
                <w:b/>
                <w:sz w:val="24"/>
              </w:rPr>
              <w:t>suggested</w:t>
            </w:r>
            <w:r>
              <w:rPr>
                <w:b/>
                <w:spacing w:val="-3"/>
                <w:sz w:val="24"/>
              </w:rPr>
              <w:t xml:space="preserve"> </w:t>
            </w:r>
            <w:r>
              <w:rPr>
                <w:b/>
                <w:sz w:val="24"/>
              </w:rPr>
              <w:t>optional units</w:t>
            </w:r>
          </w:p>
          <w:p w14:paraId="249BA02D" w14:textId="77777777" w:rsidR="00A2494C" w:rsidRDefault="00A2494C" w:rsidP="009432A6">
            <w:pPr>
              <w:pStyle w:val="TableParagraph"/>
              <w:spacing w:line="270" w:lineRule="atLeast"/>
              <w:ind w:left="109" w:right="367"/>
              <w:rPr>
                <w:b/>
                <w:sz w:val="24"/>
              </w:rPr>
            </w:pPr>
            <w:r>
              <w:rPr>
                <w:b/>
                <w:sz w:val="24"/>
              </w:rPr>
              <w:t>which will be specified in the tender and agreed with the</w:t>
            </w:r>
            <w:r>
              <w:rPr>
                <w:b/>
                <w:spacing w:val="-64"/>
                <w:sz w:val="24"/>
              </w:rPr>
              <w:t xml:space="preserve"> </w:t>
            </w:r>
            <w:r>
              <w:rPr>
                <w:b/>
                <w:sz w:val="24"/>
              </w:rPr>
              <w:t>ECITB.</w:t>
            </w:r>
          </w:p>
        </w:tc>
      </w:tr>
      <w:tr w:rsidR="00A2494C" w14:paraId="736435E3" w14:textId="77777777" w:rsidTr="009432A6">
        <w:trPr>
          <w:trHeight w:val="3863"/>
        </w:trPr>
        <w:tc>
          <w:tcPr>
            <w:tcW w:w="3119" w:type="dxa"/>
          </w:tcPr>
          <w:p w14:paraId="5B8BECB2" w14:textId="77777777" w:rsidR="00A2494C" w:rsidRDefault="00A2494C" w:rsidP="009432A6">
            <w:pPr>
              <w:pStyle w:val="TableParagraph"/>
              <w:rPr>
                <w:sz w:val="26"/>
              </w:rPr>
            </w:pPr>
          </w:p>
          <w:p w14:paraId="2204596F" w14:textId="77777777" w:rsidR="00A2494C" w:rsidRDefault="00A2494C" w:rsidP="009432A6">
            <w:pPr>
              <w:pStyle w:val="TableParagraph"/>
              <w:rPr>
                <w:sz w:val="26"/>
              </w:rPr>
            </w:pPr>
          </w:p>
          <w:p w14:paraId="1BE7C46E" w14:textId="77777777" w:rsidR="00A2494C" w:rsidRDefault="00A2494C" w:rsidP="009432A6">
            <w:pPr>
              <w:pStyle w:val="TableParagraph"/>
              <w:rPr>
                <w:sz w:val="26"/>
              </w:rPr>
            </w:pPr>
          </w:p>
          <w:p w14:paraId="25675FEB" w14:textId="77777777" w:rsidR="00A2494C" w:rsidRDefault="00A2494C" w:rsidP="009432A6">
            <w:pPr>
              <w:pStyle w:val="TableParagraph"/>
              <w:spacing w:before="205"/>
              <w:ind w:left="740" w:right="728"/>
              <w:jc w:val="center"/>
              <w:rPr>
                <w:b/>
                <w:sz w:val="24"/>
              </w:rPr>
            </w:pPr>
            <w:r>
              <w:rPr>
                <w:b/>
                <w:sz w:val="24"/>
              </w:rPr>
              <w:t>Skills Training</w:t>
            </w:r>
            <w:r>
              <w:rPr>
                <w:b/>
                <w:spacing w:val="-65"/>
                <w:sz w:val="24"/>
              </w:rPr>
              <w:t xml:space="preserve"> </w:t>
            </w:r>
            <w:r>
              <w:rPr>
                <w:b/>
                <w:sz w:val="24"/>
              </w:rPr>
              <w:t>&amp;</w:t>
            </w:r>
            <w:r>
              <w:rPr>
                <w:b/>
                <w:spacing w:val="1"/>
                <w:sz w:val="24"/>
              </w:rPr>
              <w:t xml:space="preserve"> </w:t>
            </w:r>
            <w:r>
              <w:rPr>
                <w:b/>
                <w:sz w:val="24"/>
              </w:rPr>
              <w:t>Competency</w:t>
            </w:r>
            <w:r>
              <w:rPr>
                <w:b/>
                <w:spacing w:val="1"/>
                <w:sz w:val="24"/>
              </w:rPr>
              <w:t xml:space="preserve"> </w:t>
            </w:r>
            <w:r>
              <w:rPr>
                <w:b/>
                <w:sz w:val="24"/>
              </w:rPr>
              <w:t>Qualifications</w:t>
            </w:r>
            <w:r>
              <w:rPr>
                <w:b/>
                <w:spacing w:val="-64"/>
                <w:sz w:val="24"/>
              </w:rPr>
              <w:t xml:space="preserve"> </w:t>
            </w:r>
            <w:r>
              <w:rPr>
                <w:b/>
                <w:sz w:val="24"/>
              </w:rPr>
              <w:t>(Years 1</w:t>
            </w:r>
            <w:r>
              <w:rPr>
                <w:b/>
                <w:spacing w:val="1"/>
                <w:sz w:val="24"/>
              </w:rPr>
              <w:t xml:space="preserve"> </w:t>
            </w:r>
            <w:r>
              <w:rPr>
                <w:b/>
                <w:sz w:val="24"/>
              </w:rPr>
              <w:t>&amp;</w:t>
            </w:r>
            <w:r>
              <w:rPr>
                <w:b/>
                <w:spacing w:val="-1"/>
                <w:sz w:val="24"/>
              </w:rPr>
              <w:t xml:space="preserve"> </w:t>
            </w:r>
            <w:r>
              <w:rPr>
                <w:b/>
                <w:sz w:val="24"/>
              </w:rPr>
              <w:t>2)</w:t>
            </w:r>
          </w:p>
        </w:tc>
        <w:tc>
          <w:tcPr>
            <w:tcW w:w="6921" w:type="dxa"/>
          </w:tcPr>
          <w:p w14:paraId="09D77771" w14:textId="77777777" w:rsidR="00A2494C" w:rsidRDefault="00A2494C" w:rsidP="009432A6">
            <w:pPr>
              <w:pStyle w:val="TableParagraph"/>
              <w:spacing w:before="9"/>
              <w:rPr>
                <w:sz w:val="23"/>
              </w:rPr>
            </w:pPr>
          </w:p>
          <w:p w14:paraId="2A0DDEF4" w14:textId="77777777" w:rsidR="00A2494C" w:rsidRDefault="00A2494C" w:rsidP="009432A6">
            <w:pPr>
              <w:pStyle w:val="TableParagraph"/>
              <w:ind w:left="109"/>
              <w:rPr>
                <w:sz w:val="24"/>
              </w:rPr>
            </w:pPr>
            <w:r>
              <w:rPr>
                <w:sz w:val="24"/>
              </w:rPr>
              <w:t>A</w:t>
            </w:r>
            <w:r>
              <w:rPr>
                <w:spacing w:val="-3"/>
                <w:sz w:val="24"/>
              </w:rPr>
              <w:t xml:space="preserve"> </w:t>
            </w:r>
            <w:r>
              <w:rPr>
                <w:sz w:val="24"/>
              </w:rPr>
              <w:t>period</w:t>
            </w:r>
            <w:r>
              <w:rPr>
                <w:spacing w:val="-2"/>
                <w:sz w:val="24"/>
              </w:rPr>
              <w:t xml:space="preserve"> </w:t>
            </w:r>
            <w:r>
              <w:rPr>
                <w:sz w:val="24"/>
              </w:rPr>
              <w:t>of</w:t>
            </w:r>
            <w:r>
              <w:rPr>
                <w:spacing w:val="-2"/>
                <w:sz w:val="24"/>
              </w:rPr>
              <w:t xml:space="preserve"> </w:t>
            </w:r>
            <w:r>
              <w:rPr>
                <w:sz w:val="24"/>
              </w:rPr>
              <w:t>engineering</w:t>
            </w:r>
            <w:r>
              <w:rPr>
                <w:spacing w:val="-4"/>
                <w:sz w:val="24"/>
              </w:rPr>
              <w:t xml:space="preserve"> </w:t>
            </w:r>
            <w:r>
              <w:rPr>
                <w:sz w:val="24"/>
              </w:rPr>
              <w:t>foundation practical</w:t>
            </w:r>
            <w:r>
              <w:rPr>
                <w:spacing w:val="-5"/>
                <w:sz w:val="24"/>
              </w:rPr>
              <w:t xml:space="preserve"> </w:t>
            </w:r>
            <w:r>
              <w:rPr>
                <w:sz w:val="24"/>
              </w:rPr>
              <w:t>skills</w:t>
            </w:r>
            <w:r>
              <w:rPr>
                <w:spacing w:val="-2"/>
                <w:sz w:val="24"/>
              </w:rPr>
              <w:t xml:space="preserve"> </w:t>
            </w:r>
            <w:r>
              <w:rPr>
                <w:sz w:val="24"/>
              </w:rPr>
              <w:t>training.</w:t>
            </w:r>
          </w:p>
          <w:p w14:paraId="712EF341" w14:textId="77777777" w:rsidR="00A2494C" w:rsidRDefault="00A2494C" w:rsidP="009432A6">
            <w:pPr>
              <w:pStyle w:val="TableParagraph"/>
              <w:rPr>
                <w:sz w:val="24"/>
              </w:rPr>
            </w:pPr>
          </w:p>
          <w:p w14:paraId="313702CB" w14:textId="77777777" w:rsidR="00A2494C" w:rsidRDefault="00A2494C" w:rsidP="009432A6">
            <w:pPr>
              <w:pStyle w:val="TableParagraph"/>
              <w:ind w:left="109" w:right="405"/>
              <w:rPr>
                <w:sz w:val="24"/>
              </w:rPr>
            </w:pPr>
            <w:r>
              <w:rPr>
                <w:sz w:val="24"/>
              </w:rPr>
              <w:t>A period of occupational level 3 skills training which will</w:t>
            </w:r>
            <w:r>
              <w:rPr>
                <w:spacing w:val="1"/>
                <w:sz w:val="24"/>
              </w:rPr>
              <w:t xml:space="preserve"> </w:t>
            </w:r>
            <w:r>
              <w:rPr>
                <w:sz w:val="24"/>
              </w:rPr>
              <w:t>prepare the learner for entry onto and assessment against the relevant ECITB level 3</w:t>
            </w:r>
            <w:r>
              <w:rPr>
                <w:spacing w:val="-64"/>
                <w:sz w:val="24"/>
              </w:rPr>
              <w:t xml:space="preserve">                                 </w:t>
            </w:r>
            <w:r>
              <w:rPr>
                <w:sz w:val="24"/>
              </w:rPr>
              <w:t>Competency</w:t>
            </w:r>
            <w:r>
              <w:rPr>
                <w:spacing w:val="-3"/>
                <w:sz w:val="24"/>
              </w:rPr>
              <w:t xml:space="preserve"> </w:t>
            </w:r>
            <w:r>
              <w:rPr>
                <w:sz w:val="24"/>
              </w:rPr>
              <w:t>Qualifications:</w:t>
            </w:r>
          </w:p>
          <w:p w14:paraId="2672FB17" w14:textId="77777777" w:rsidR="00A2494C" w:rsidRDefault="00A2494C" w:rsidP="009432A6">
            <w:pPr>
              <w:pStyle w:val="TableParagraph"/>
              <w:rPr>
                <w:sz w:val="24"/>
              </w:rPr>
            </w:pPr>
          </w:p>
          <w:p w14:paraId="241776ED" w14:textId="77777777" w:rsidR="00A2494C" w:rsidRDefault="00A2494C" w:rsidP="009432A6">
            <w:pPr>
              <w:pStyle w:val="TableParagraph"/>
              <w:ind w:left="109" w:right="325"/>
              <w:rPr>
                <w:sz w:val="24"/>
              </w:rPr>
            </w:pPr>
            <w:r>
              <w:rPr>
                <w:sz w:val="24"/>
              </w:rPr>
              <w:t>Level 3 Diploma in Project Controls Practice and Techniques</w:t>
            </w:r>
            <w:r>
              <w:rPr>
                <w:spacing w:val="-65"/>
                <w:sz w:val="24"/>
              </w:rPr>
              <w:t xml:space="preserve"> </w:t>
            </w:r>
            <w:r>
              <w:rPr>
                <w:sz w:val="24"/>
              </w:rPr>
              <w:t>(RQF),</w:t>
            </w:r>
          </w:p>
          <w:p w14:paraId="333A2635" w14:textId="77777777" w:rsidR="00A2494C" w:rsidRDefault="00A2494C" w:rsidP="009432A6">
            <w:pPr>
              <w:pStyle w:val="TableParagraph"/>
              <w:rPr>
                <w:sz w:val="24"/>
              </w:rPr>
            </w:pPr>
          </w:p>
          <w:p w14:paraId="58D89D5D" w14:textId="77777777" w:rsidR="00A2494C" w:rsidRDefault="00A2494C" w:rsidP="009432A6">
            <w:pPr>
              <w:pStyle w:val="TableParagraph"/>
              <w:spacing w:line="258" w:lineRule="exact"/>
              <w:ind w:left="109"/>
              <w:rPr>
                <w:sz w:val="24"/>
              </w:rPr>
            </w:pPr>
            <w:r>
              <w:rPr>
                <w:sz w:val="24"/>
              </w:rPr>
              <w:t>Level</w:t>
            </w:r>
            <w:r>
              <w:rPr>
                <w:spacing w:val="-2"/>
                <w:sz w:val="24"/>
              </w:rPr>
              <w:t xml:space="preserve"> </w:t>
            </w:r>
            <w:r>
              <w:rPr>
                <w:sz w:val="24"/>
              </w:rPr>
              <w:t>3</w:t>
            </w:r>
            <w:r>
              <w:rPr>
                <w:spacing w:val="-2"/>
                <w:sz w:val="24"/>
              </w:rPr>
              <w:t xml:space="preserve"> </w:t>
            </w:r>
            <w:r>
              <w:rPr>
                <w:sz w:val="24"/>
              </w:rPr>
              <w:t>Diploma</w:t>
            </w:r>
            <w:r>
              <w:rPr>
                <w:spacing w:val="-2"/>
                <w:sz w:val="24"/>
              </w:rPr>
              <w:t xml:space="preserve"> </w:t>
            </w:r>
            <w:r>
              <w:rPr>
                <w:sz w:val="24"/>
              </w:rPr>
              <w:t>in</w:t>
            </w:r>
            <w:r>
              <w:rPr>
                <w:spacing w:val="-4"/>
                <w:sz w:val="24"/>
              </w:rPr>
              <w:t xml:space="preserve"> </w:t>
            </w:r>
            <w:r>
              <w:rPr>
                <w:sz w:val="24"/>
              </w:rPr>
              <w:t>Engineering</w:t>
            </w:r>
            <w:r>
              <w:rPr>
                <w:spacing w:val="-3"/>
                <w:sz w:val="24"/>
              </w:rPr>
              <w:t xml:space="preserve"> </w:t>
            </w:r>
            <w:r>
              <w:rPr>
                <w:sz w:val="24"/>
              </w:rPr>
              <w:t>Design</w:t>
            </w:r>
            <w:r>
              <w:rPr>
                <w:spacing w:val="-2"/>
                <w:sz w:val="24"/>
              </w:rPr>
              <w:t xml:space="preserve"> </w:t>
            </w:r>
            <w:r>
              <w:rPr>
                <w:sz w:val="24"/>
              </w:rPr>
              <w:t>and</w:t>
            </w:r>
            <w:r>
              <w:rPr>
                <w:spacing w:val="-4"/>
                <w:sz w:val="24"/>
              </w:rPr>
              <w:t xml:space="preserve"> </w:t>
            </w:r>
            <w:r>
              <w:rPr>
                <w:sz w:val="24"/>
              </w:rPr>
              <w:t>Draughting</w:t>
            </w:r>
            <w:r>
              <w:rPr>
                <w:spacing w:val="-4"/>
                <w:sz w:val="24"/>
              </w:rPr>
              <w:t xml:space="preserve"> </w:t>
            </w:r>
            <w:r>
              <w:rPr>
                <w:sz w:val="24"/>
              </w:rPr>
              <w:t>(RQF).</w:t>
            </w:r>
          </w:p>
          <w:p w14:paraId="0919D806" w14:textId="77777777" w:rsidR="00A2494C" w:rsidRDefault="00A2494C" w:rsidP="009432A6">
            <w:pPr>
              <w:pStyle w:val="TableParagraph"/>
              <w:spacing w:line="258" w:lineRule="exact"/>
              <w:ind w:left="109"/>
              <w:rPr>
                <w:sz w:val="24"/>
              </w:rPr>
            </w:pPr>
          </w:p>
          <w:p w14:paraId="3F810C7C" w14:textId="77777777" w:rsidR="00A2494C" w:rsidRDefault="00A2494C" w:rsidP="009432A6">
            <w:pPr>
              <w:pStyle w:val="TableParagraph"/>
              <w:ind w:left="109"/>
              <w:rPr>
                <w:b/>
                <w:sz w:val="24"/>
              </w:rPr>
            </w:pPr>
            <w:r>
              <w:rPr>
                <w:b/>
                <w:sz w:val="24"/>
              </w:rPr>
              <w:t>Note:</w:t>
            </w:r>
          </w:p>
          <w:p w14:paraId="54C8D4A0" w14:textId="77777777" w:rsidR="00A2494C" w:rsidRDefault="00A2494C" w:rsidP="009432A6">
            <w:pPr>
              <w:pStyle w:val="TableParagraph"/>
              <w:spacing w:before="5"/>
            </w:pPr>
          </w:p>
          <w:p w14:paraId="3791E753" w14:textId="77777777" w:rsidR="00A2494C" w:rsidRDefault="00A2494C" w:rsidP="009432A6">
            <w:pPr>
              <w:pStyle w:val="TableParagraph"/>
              <w:spacing w:line="258" w:lineRule="exact"/>
              <w:ind w:left="109"/>
              <w:rPr>
                <w:sz w:val="24"/>
              </w:rPr>
            </w:pPr>
            <w:r>
              <w:rPr>
                <w:b/>
                <w:sz w:val="24"/>
              </w:rPr>
              <w:t>The delivery of this component of the programme will be</w:t>
            </w:r>
            <w:r>
              <w:rPr>
                <w:b/>
                <w:spacing w:val="-65"/>
                <w:sz w:val="24"/>
              </w:rPr>
              <w:t xml:space="preserve"> </w:t>
            </w:r>
            <w:r>
              <w:rPr>
                <w:b/>
                <w:sz w:val="24"/>
              </w:rPr>
              <w:t>funded</w:t>
            </w:r>
            <w:r>
              <w:rPr>
                <w:b/>
                <w:spacing w:val="-1"/>
                <w:sz w:val="24"/>
              </w:rPr>
              <w:t xml:space="preserve"> </w:t>
            </w:r>
            <w:r>
              <w:rPr>
                <w:b/>
                <w:sz w:val="24"/>
              </w:rPr>
              <w:t>by</w:t>
            </w:r>
            <w:r>
              <w:rPr>
                <w:b/>
                <w:spacing w:val="-4"/>
                <w:sz w:val="24"/>
              </w:rPr>
              <w:t xml:space="preserve"> </w:t>
            </w:r>
            <w:r>
              <w:rPr>
                <w:b/>
                <w:sz w:val="24"/>
              </w:rPr>
              <w:t>the ECITB</w:t>
            </w:r>
          </w:p>
        </w:tc>
      </w:tr>
    </w:tbl>
    <w:p w14:paraId="1570A525" w14:textId="77777777" w:rsidR="00A2494C" w:rsidRPr="008467F7" w:rsidRDefault="00A2494C" w:rsidP="00A2494C">
      <w:pPr>
        <w:pStyle w:val="BodyText"/>
        <w:spacing w:before="195" w:line="276" w:lineRule="auto"/>
        <w:ind w:left="552" w:right="540"/>
      </w:pPr>
    </w:p>
    <w:p w14:paraId="1D7C36BD" w14:textId="77777777" w:rsidR="00A2494C" w:rsidRPr="008467F7" w:rsidRDefault="00A2494C" w:rsidP="00A2494C">
      <w:pPr>
        <w:pStyle w:val="BodyText"/>
        <w:spacing w:before="6"/>
        <w:rPr>
          <w:sz w:val="17"/>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6CABA1B4" w14:textId="179072FA" w:rsidR="000640C5" w:rsidRDefault="00816775" w:rsidP="000640C5">
      <w:pPr>
        <w:jc w:val="left"/>
        <w:rPr>
          <w:rFonts w:cs="Arial"/>
        </w:rPr>
      </w:pPr>
      <w:r>
        <w:rPr>
          <w:rFonts w:cs="Arial"/>
        </w:rPr>
        <w:t>Example payment Schedule for 2</w:t>
      </w:r>
      <w:r w:rsidR="00876FD2">
        <w:rPr>
          <w:rFonts w:cs="Arial"/>
        </w:rPr>
        <w:t>-</w:t>
      </w:r>
      <w:r>
        <w:rPr>
          <w:rFonts w:cs="Arial"/>
        </w:rPr>
        <w:t xml:space="preserve">year Programme with 5 </w:t>
      </w:r>
      <w:r w:rsidR="00876FD2">
        <w:rPr>
          <w:rFonts w:cs="Arial"/>
        </w:rPr>
        <w:t>milestones.</w:t>
      </w:r>
      <w:r>
        <w:rPr>
          <w:rFonts w:cs="Arial"/>
        </w:rPr>
        <w:t xml:space="preserve"> </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0640C5" w14:paraId="1F894059" w14:textId="77777777" w:rsidTr="00AB5502">
        <w:trPr>
          <w:trHeight w:val="1626"/>
        </w:trPr>
        <w:tc>
          <w:tcPr>
            <w:tcW w:w="1277" w:type="dxa"/>
          </w:tcPr>
          <w:p w14:paraId="0F676450" w14:textId="77777777" w:rsidR="000640C5" w:rsidRDefault="000640C5" w:rsidP="00AB5502"/>
          <w:p w14:paraId="0C801686" w14:textId="77777777" w:rsidR="000640C5" w:rsidRDefault="000640C5" w:rsidP="00AB5502">
            <w:pPr>
              <w:jc w:val="center"/>
            </w:pPr>
            <w:r>
              <w:t>Cohort    Size</w:t>
            </w:r>
          </w:p>
        </w:tc>
        <w:tc>
          <w:tcPr>
            <w:tcW w:w="1417" w:type="dxa"/>
          </w:tcPr>
          <w:p w14:paraId="28ECD4C5" w14:textId="43934C21" w:rsidR="000640C5" w:rsidRDefault="000640C5"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w:t>
            </w:r>
            <w:r w:rsidR="000A0E71">
              <w:rPr>
                <w:rFonts w:cs="Arial"/>
              </w:rPr>
              <w:t xml:space="preserve">(YR1) </w:t>
            </w:r>
            <w:r>
              <w:rPr>
                <w:rFonts w:cs="Arial"/>
              </w:rPr>
              <w:t>Register.</w:t>
            </w:r>
          </w:p>
        </w:tc>
        <w:tc>
          <w:tcPr>
            <w:tcW w:w="1560" w:type="dxa"/>
          </w:tcPr>
          <w:p w14:paraId="20AB44FD" w14:textId="47FD62F5" w:rsidR="000640C5" w:rsidRDefault="000640C5" w:rsidP="00AB5502">
            <w:pPr>
              <w:jc w:val="center"/>
            </w:pPr>
            <w:r>
              <w:t>2</w:t>
            </w:r>
            <w:r w:rsidRPr="002F5861">
              <w:rPr>
                <w:vertAlign w:val="superscript"/>
              </w:rPr>
              <w:t>nd</w:t>
            </w:r>
            <w:r>
              <w:t xml:space="preserve"> instalment payable following the submission of all monthly reports up to and including February </w:t>
            </w:r>
            <w:r w:rsidR="000A0E71">
              <w:t>(Yr 2)</w:t>
            </w:r>
            <w:r>
              <w:t>.</w:t>
            </w:r>
          </w:p>
        </w:tc>
        <w:tc>
          <w:tcPr>
            <w:tcW w:w="1417" w:type="dxa"/>
          </w:tcPr>
          <w:p w14:paraId="658252F5" w14:textId="6E8239E1" w:rsidR="000640C5" w:rsidRDefault="000640C5" w:rsidP="00AB5502">
            <w:pPr>
              <w:jc w:val="center"/>
            </w:pPr>
            <w:r>
              <w:t>3</w:t>
            </w:r>
            <w:r w:rsidRPr="006868AE">
              <w:rPr>
                <w:vertAlign w:val="superscript"/>
              </w:rPr>
              <w:t>rd</w:t>
            </w:r>
            <w:r>
              <w:t xml:space="preserve"> instalment payable following the submission of all monthly reports up to and including September </w:t>
            </w:r>
            <w:r w:rsidR="000A0E71">
              <w:t>(YR2)</w:t>
            </w:r>
            <w:r>
              <w:t>.</w:t>
            </w:r>
          </w:p>
        </w:tc>
        <w:tc>
          <w:tcPr>
            <w:tcW w:w="1559" w:type="dxa"/>
          </w:tcPr>
          <w:p w14:paraId="53B571EC" w14:textId="3F353C2A" w:rsidR="000640C5" w:rsidRDefault="000640C5" w:rsidP="00AB5502">
            <w:pPr>
              <w:jc w:val="center"/>
            </w:pPr>
            <w:r>
              <w:t>4</w:t>
            </w:r>
            <w:r w:rsidRPr="006868AE">
              <w:rPr>
                <w:vertAlign w:val="superscript"/>
              </w:rPr>
              <w:t>th</w:t>
            </w:r>
            <w:r>
              <w:t xml:space="preserve"> instalment payable following the submission of all monthly reports up to and including February </w:t>
            </w:r>
            <w:r w:rsidR="000A0E71">
              <w:t>(YR 3)</w:t>
            </w:r>
            <w:r>
              <w:t>.</w:t>
            </w:r>
          </w:p>
        </w:tc>
        <w:tc>
          <w:tcPr>
            <w:tcW w:w="1559" w:type="dxa"/>
          </w:tcPr>
          <w:p w14:paraId="72E03A4E" w14:textId="77777777" w:rsidR="000640C5" w:rsidRDefault="000640C5" w:rsidP="00AB5502">
            <w:pPr>
              <w:jc w:val="center"/>
            </w:pPr>
            <w:r>
              <w:t>Final instalment payable following the successful completion of the Programme</w:t>
            </w:r>
          </w:p>
        </w:tc>
        <w:tc>
          <w:tcPr>
            <w:tcW w:w="1559" w:type="dxa"/>
          </w:tcPr>
          <w:p w14:paraId="1F29BECB" w14:textId="77777777" w:rsidR="000640C5" w:rsidRDefault="000640C5" w:rsidP="00AB5502">
            <w:pPr>
              <w:jc w:val="center"/>
            </w:pPr>
            <w:r>
              <w:t>Total ECITB Grant</w:t>
            </w:r>
          </w:p>
        </w:tc>
      </w:tr>
      <w:tr w:rsidR="000640C5" w14:paraId="0E477B12" w14:textId="77777777" w:rsidTr="00AB5502">
        <w:trPr>
          <w:trHeight w:val="418"/>
        </w:trPr>
        <w:tc>
          <w:tcPr>
            <w:tcW w:w="1277" w:type="dxa"/>
          </w:tcPr>
          <w:p w14:paraId="6F765E8F" w14:textId="77777777" w:rsidR="000640C5" w:rsidRDefault="000640C5" w:rsidP="00AB5502">
            <w:pPr>
              <w:jc w:val="center"/>
            </w:pPr>
            <w:r>
              <w:t>6</w:t>
            </w:r>
          </w:p>
        </w:tc>
        <w:tc>
          <w:tcPr>
            <w:tcW w:w="1417" w:type="dxa"/>
          </w:tcPr>
          <w:p w14:paraId="2B16980D" w14:textId="77777777" w:rsidR="000640C5" w:rsidRDefault="000640C5" w:rsidP="00AB5502">
            <w:pPr>
              <w:jc w:val="center"/>
            </w:pPr>
            <w:r>
              <w:t>£</w:t>
            </w:r>
          </w:p>
        </w:tc>
        <w:tc>
          <w:tcPr>
            <w:tcW w:w="1560" w:type="dxa"/>
          </w:tcPr>
          <w:p w14:paraId="1CD3E731" w14:textId="77777777" w:rsidR="000640C5" w:rsidRDefault="000640C5" w:rsidP="00AB5502">
            <w:pPr>
              <w:jc w:val="center"/>
            </w:pPr>
            <w:r>
              <w:t>£</w:t>
            </w:r>
          </w:p>
        </w:tc>
        <w:tc>
          <w:tcPr>
            <w:tcW w:w="1417" w:type="dxa"/>
          </w:tcPr>
          <w:p w14:paraId="08590CAF" w14:textId="77777777" w:rsidR="000640C5" w:rsidRDefault="000640C5" w:rsidP="00AB5502">
            <w:pPr>
              <w:jc w:val="center"/>
            </w:pPr>
            <w:r w:rsidRPr="0018185E">
              <w:t>£</w:t>
            </w:r>
          </w:p>
        </w:tc>
        <w:tc>
          <w:tcPr>
            <w:tcW w:w="1559" w:type="dxa"/>
          </w:tcPr>
          <w:p w14:paraId="5B484CCC" w14:textId="77777777" w:rsidR="000640C5" w:rsidRPr="0018185E" w:rsidRDefault="000640C5" w:rsidP="00AB5502">
            <w:pPr>
              <w:jc w:val="center"/>
            </w:pPr>
            <w:r>
              <w:t>£</w:t>
            </w:r>
          </w:p>
        </w:tc>
        <w:tc>
          <w:tcPr>
            <w:tcW w:w="1559" w:type="dxa"/>
          </w:tcPr>
          <w:p w14:paraId="7FB702ED" w14:textId="77777777" w:rsidR="000640C5" w:rsidRDefault="000640C5" w:rsidP="00AB5502">
            <w:pPr>
              <w:jc w:val="center"/>
            </w:pPr>
            <w:r>
              <w:t>£</w:t>
            </w:r>
          </w:p>
        </w:tc>
        <w:tc>
          <w:tcPr>
            <w:tcW w:w="1559" w:type="dxa"/>
          </w:tcPr>
          <w:p w14:paraId="2AF82F9E" w14:textId="77777777" w:rsidR="000640C5" w:rsidRDefault="000640C5" w:rsidP="00AB5502">
            <w:pPr>
              <w:jc w:val="center"/>
            </w:pPr>
            <w:r>
              <w:t>£</w:t>
            </w:r>
          </w:p>
        </w:tc>
      </w:tr>
      <w:tr w:rsidR="000640C5" w:rsidRPr="008832A4" w14:paraId="1B02A4D3" w14:textId="77777777" w:rsidTr="00AB5502">
        <w:trPr>
          <w:trHeight w:val="354"/>
        </w:trPr>
        <w:tc>
          <w:tcPr>
            <w:tcW w:w="1277" w:type="dxa"/>
          </w:tcPr>
          <w:p w14:paraId="67491DA1" w14:textId="77777777" w:rsidR="000640C5" w:rsidRPr="007E1A7C" w:rsidRDefault="000640C5" w:rsidP="00AB5502">
            <w:pPr>
              <w:jc w:val="center"/>
            </w:pPr>
            <w:r>
              <w:t>7</w:t>
            </w:r>
          </w:p>
        </w:tc>
        <w:tc>
          <w:tcPr>
            <w:tcW w:w="1417" w:type="dxa"/>
          </w:tcPr>
          <w:p w14:paraId="7B029D40" w14:textId="77777777" w:rsidR="000640C5" w:rsidRPr="008832A4" w:rsidRDefault="000640C5" w:rsidP="00AB5502">
            <w:pPr>
              <w:jc w:val="center"/>
            </w:pPr>
          </w:p>
        </w:tc>
        <w:tc>
          <w:tcPr>
            <w:tcW w:w="1560" w:type="dxa"/>
          </w:tcPr>
          <w:p w14:paraId="2E579271" w14:textId="77777777" w:rsidR="000640C5" w:rsidRPr="008832A4" w:rsidRDefault="000640C5" w:rsidP="00AB5502">
            <w:pPr>
              <w:jc w:val="center"/>
            </w:pPr>
          </w:p>
        </w:tc>
        <w:tc>
          <w:tcPr>
            <w:tcW w:w="1417" w:type="dxa"/>
          </w:tcPr>
          <w:p w14:paraId="7099CBFE" w14:textId="77777777" w:rsidR="000640C5" w:rsidRPr="008832A4" w:rsidRDefault="000640C5" w:rsidP="00AB5502">
            <w:pPr>
              <w:jc w:val="center"/>
            </w:pPr>
          </w:p>
        </w:tc>
        <w:tc>
          <w:tcPr>
            <w:tcW w:w="1559" w:type="dxa"/>
          </w:tcPr>
          <w:p w14:paraId="5733D266" w14:textId="77777777" w:rsidR="000640C5" w:rsidRDefault="000640C5" w:rsidP="00AB5502">
            <w:pPr>
              <w:jc w:val="center"/>
            </w:pPr>
          </w:p>
        </w:tc>
        <w:tc>
          <w:tcPr>
            <w:tcW w:w="1559" w:type="dxa"/>
          </w:tcPr>
          <w:p w14:paraId="7A1B6818" w14:textId="77777777" w:rsidR="000640C5" w:rsidRDefault="000640C5" w:rsidP="00AB5502">
            <w:pPr>
              <w:jc w:val="center"/>
            </w:pPr>
          </w:p>
        </w:tc>
        <w:tc>
          <w:tcPr>
            <w:tcW w:w="1559" w:type="dxa"/>
          </w:tcPr>
          <w:p w14:paraId="08756725" w14:textId="77777777" w:rsidR="000640C5" w:rsidRDefault="000640C5" w:rsidP="00AB5502">
            <w:pPr>
              <w:jc w:val="center"/>
            </w:pPr>
          </w:p>
        </w:tc>
      </w:tr>
      <w:tr w:rsidR="000640C5" w14:paraId="391BDEF7" w14:textId="77777777" w:rsidTr="00AB5502">
        <w:tc>
          <w:tcPr>
            <w:tcW w:w="1277" w:type="dxa"/>
          </w:tcPr>
          <w:p w14:paraId="4F79F6D6" w14:textId="77777777" w:rsidR="000640C5" w:rsidRDefault="000640C5" w:rsidP="00AB5502">
            <w:pPr>
              <w:jc w:val="center"/>
            </w:pPr>
            <w:r>
              <w:t>8</w:t>
            </w:r>
          </w:p>
        </w:tc>
        <w:tc>
          <w:tcPr>
            <w:tcW w:w="1417" w:type="dxa"/>
          </w:tcPr>
          <w:p w14:paraId="14FF54D3" w14:textId="77777777" w:rsidR="000640C5" w:rsidRPr="008832A4" w:rsidRDefault="000640C5" w:rsidP="00AB5502">
            <w:pPr>
              <w:jc w:val="center"/>
            </w:pPr>
          </w:p>
        </w:tc>
        <w:tc>
          <w:tcPr>
            <w:tcW w:w="1560" w:type="dxa"/>
          </w:tcPr>
          <w:p w14:paraId="2265D767" w14:textId="77777777" w:rsidR="000640C5" w:rsidRPr="008832A4" w:rsidRDefault="000640C5" w:rsidP="00AB5502">
            <w:pPr>
              <w:jc w:val="center"/>
            </w:pPr>
          </w:p>
        </w:tc>
        <w:tc>
          <w:tcPr>
            <w:tcW w:w="1417" w:type="dxa"/>
          </w:tcPr>
          <w:p w14:paraId="38055F76" w14:textId="77777777" w:rsidR="000640C5" w:rsidRPr="008832A4" w:rsidRDefault="000640C5" w:rsidP="00AB5502">
            <w:pPr>
              <w:jc w:val="center"/>
            </w:pPr>
          </w:p>
        </w:tc>
        <w:tc>
          <w:tcPr>
            <w:tcW w:w="1559" w:type="dxa"/>
          </w:tcPr>
          <w:p w14:paraId="412C11ED" w14:textId="77777777" w:rsidR="000640C5" w:rsidRDefault="000640C5" w:rsidP="00AB5502">
            <w:pPr>
              <w:jc w:val="center"/>
            </w:pPr>
          </w:p>
        </w:tc>
        <w:tc>
          <w:tcPr>
            <w:tcW w:w="1559" w:type="dxa"/>
          </w:tcPr>
          <w:p w14:paraId="52B885B1" w14:textId="77777777" w:rsidR="000640C5" w:rsidRDefault="000640C5" w:rsidP="00AB5502">
            <w:pPr>
              <w:jc w:val="center"/>
            </w:pPr>
          </w:p>
        </w:tc>
        <w:tc>
          <w:tcPr>
            <w:tcW w:w="1559" w:type="dxa"/>
          </w:tcPr>
          <w:p w14:paraId="0BEDB3EA" w14:textId="77777777" w:rsidR="000640C5" w:rsidRDefault="000640C5" w:rsidP="00AB5502">
            <w:pPr>
              <w:jc w:val="center"/>
            </w:pPr>
          </w:p>
        </w:tc>
      </w:tr>
      <w:tr w:rsidR="000640C5" w14:paraId="1BB2DB1F" w14:textId="77777777" w:rsidTr="00AB5502">
        <w:tc>
          <w:tcPr>
            <w:tcW w:w="1277" w:type="dxa"/>
          </w:tcPr>
          <w:p w14:paraId="7D458417" w14:textId="77777777" w:rsidR="000640C5" w:rsidRDefault="000640C5" w:rsidP="00AB5502">
            <w:pPr>
              <w:jc w:val="center"/>
            </w:pPr>
            <w:r>
              <w:t>9</w:t>
            </w:r>
          </w:p>
        </w:tc>
        <w:tc>
          <w:tcPr>
            <w:tcW w:w="1417" w:type="dxa"/>
          </w:tcPr>
          <w:p w14:paraId="6EE968CE" w14:textId="77777777" w:rsidR="000640C5" w:rsidRPr="008832A4" w:rsidRDefault="000640C5" w:rsidP="00AB5502">
            <w:pPr>
              <w:jc w:val="center"/>
            </w:pPr>
          </w:p>
        </w:tc>
        <w:tc>
          <w:tcPr>
            <w:tcW w:w="1560" w:type="dxa"/>
          </w:tcPr>
          <w:p w14:paraId="0B6689D2" w14:textId="77777777" w:rsidR="000640C5" w:rsidRPr="008832A4" w:rsidRDefault="000640C5" w:rsidP="00AB5502">
            <w:pPr>
              <w:jc w:val="center"/>
            </w:pPr>
          </w:p>
        </w:tc>
        <w:tc>
          <w:tcPr>
            <w:tcW w:w="1417" w:type="dxa"/>
          </w:tcPr>
          <w:p w14:paraId="77C1EED0" w14:textId="77777777" w:rsidR="000640C5" w:rsidRPr="008832A4" w:rsidRDefault="000640C5" w:rsidP="00AB5502">
            <w:pPr>
              <w:jc w:val="center"/>
            </w:pPr>
          </w:p>
        </w:tc>
        <w:tc>
          <w:tcPr>
            <w:tcW w:w="1559" w:type="dxa"/>
          </w:tcPr>
          <w:p w14:paraId="65F3A43C" w14:textId="77777777" w:rsidR="000640C5" w:rsidRDefault="000640C5" w:rsidP="00AB5502">
            <w:pPr>
              <w:jc w:val="center"/>
            </w:pPr>
          </w:p>
        </w:tc>
        <w:tc>
          <w:tcPr>
            <w:tcW w:w="1559" w:type="dxa"/>
          </w:tcPr>
          <w:p w14:paraId="4EF0899B" w14:textId="77777777" w:rsidR="000640C5" w:rsidRDefault="000640C5" w:rsidP="00AB5502">
            <w:pPr>
              <w:jc w:val="center"/>
            </w:pPr>
          </w:p>
        </w:tc>
        <w:tc>
          <w:tcPr>
            <w:tcW w:w="1559" w:type="dxa"/>
          </w:tcPr>
          <w:p w14:paraId="7CDBEA27" w14:textId="77777777" w:rsidR="000640C5" w:rsidRDefault="000640C5" w:rsidP="00AB5502">
            <w:pPr>
              <w:jc w:val="center"/>
            </w:pPr>
          </w:p>
        </w:tc>
      </w:tr>
      <w:tr w:rsidR="000640C5" w14:paraId="6C7DE925" w14:textId="77777777" w:rsidTr="00AB5502">
        <w:tc>
          <w:tcPr>
            <w:tcW w:w="1277" w:type="dxa"/>
          </w:tcPr>
          <w:p w14:paraId="378CFEF7" w14:textId="77777777" w:rsidR="000640C5" w:rsidRDefault="000640C5" w:rsidP="00AB5502">
            <w:pPr>
              <w:jc w:val="center"/>
            </w:pPr>
            <w:r>
              <w:t>10</w:t>
            </w:r>
          </w:p>
        </w:tc>
        <w:tc>
          <w:tcPr>
            <w:tcW w:w="1417" w:type="dxa"/>
          </w:tcPr>
          <w:p w14:paraId="371E273E" w14:textId="77777777" w:rsidR="000640C5" w:rsidRPr="008832A4" w:rsidRDefault="000640C5" w:rsidP="00AB5502">
            <w:pPr>
              <w:jc w:val="center"/>
            </w:pPr>
          </w:p>
        </w:tc>
        <w:tc>
          <w:tcPr>
            <w:tcW w:w="1560" w:type="dxa"/>
          </w:tcPr>
          <w:p w14:paraId="1AD44360" w14:textId="77777777" w:rsidR="000640C5" w:rsidRPr="008832A4" w:rsidRDefault="000640C5" w:rsidP="00AB5502">
            <w:pPr>
              <w:jc w:val="center"/>
            </w:pPr>
          </w:p>
        </w:tc>
        <w:tc>
          <w:tcPr>
            <w:tcW w:w="1417" w:type="dxa"/>
          </w:tcPr>
          <w:p w14:paraId="5C298926" w14:textId="77777777" w:rsidR="000640C5" w:rsidRPr="008832A4" w:rsidRDefault="000640C5" w:rsidP="00AB5502">
            <w:pPr>
              <w:jc w:val="center"/>
            </w:pPr>
          </w:p>
        </w:tc>
        <w:tc>
          <w:tcPr>
            <w:tcW w:w="1559" w:type="dxa"/>
          </w:tcPr>
          <w:p w14:paraId="407F5763" w14:textId="77777777" w:rsidR="000640C5" w:rsidRDefault="000640C5" w:rsidP="00AB5502">
            <w:pPr>
              <w:jc w:val="center"/>
            </w:pPr>
          </w:p>
        </w:tc>
        <w:tc>
          <w:tcPr>
            <w:tcW w:w="1559" w:type="dxa"/>
          </w:tcPr>
          <w:p w14:paraId="70484FF9" w14:textId="77777777" w:rsidR="000640C5" w:rsidRDefault="000640C5" w:rsidP="00AB5502">
            <w:pPr>
              <w:jc w:val="center"/>
            </w:pPr>
          </w:p>
        </w:tc>
        <w:tc>
          <w:tcPr>
            <w:tcW w:w="1559" w:type="dxa"/>
          </w:tcPr>
          <w:p w14:paraId="2130E996" w14:textId="77777777" w:rsidR="000640C5" w:rsidRDefault="000640C5" w:rsidP="00AB5502">
            <w:pPr>
              <w:jc w:val="center"/>
            </w:pPr>
          </w:p>
        </w:tc>
      </w:tr>
      <w:tr w:rsidR="000640C5" w14:paraId="54F8E6DC" w14:textId="77777777" w:rsidTr="00AB5502">
        <w:tc>
          <w:tcPr>
            <w:tcW w:w="1277" w:type="dxa"/>
          </w:tcPr>
          <w:p w14:paraId="35661F7C" w14:textId="77777777" w:rsidR="000640C5" w:rsidRDefault="000640C5" w:rsidP="00AB5502">
            <w:pPr>
              <w:jc w:val="center"/>
            </w:pPr>
            <w:r>
              <w:t>11</w:t>
            </w:r>
          </w:p>
        </w:tc>
        <w:tc>
          <w:tcPr>
            <w:tcW w:w="1417" w:type="dxa"/>
          </w:tcPr>
          <w:p w14:paraId="29D2B961" w14:textId="77777777" w:rsidR="000640C5" w:rsidRPr="008832A4" w:rsidRDefault="000640C5" w:rsidP="00AB5502">
            <w:pPr>
              <w:jc w:val="center"/>
            </w:pPr>
          </w:p>
        </w:tc>
        <w:tc>
          <w:tcPr>
            <w:tcW w:w="1560" w:type="dxa"/>
          </w:tcPr>
          <w:p w14:paraId="141E9635" w14:textId="77777777" w:rsidR="000640C5" w:rsidRPr="008832A4" w:rsidRDefault="000640C5" w:rsidP="00AB5502">
            <w:pPr>
              <w:jc w:val="center"/>
            </w:pPr>
          </w:p>
        </w:tc>
        <w:tc>
          <w:tcPr>
            <w:tcW w:w="1417" w:type="dxa"/>
          </w:tcPr>
          <w:p w14:paraId="74752C2B" w14:textId="77777777" w:rsidR="000640C5" w:rsidRPr="008832A4" w:rsidRDefault="000640C5" w:rsidP="00AB5502">
            <w:pPr>
              <w:jc w:val="center"/>
            </w:pPr>
          </w:p>
        </w:tc>
        <w:tc>
          <w:tcPr>
            <w:tcW w:w="1559" w:type="dxa"/>
          </w:tcPr>
          <w:p w14:paraId="4E2C614F" w14:textId="77777777" w:rsidR="000640C5" w:rsidRDefault="000640C5" w:rsidP="00AB5502">
            <w:pPr>
              <w:jc w:val="center"/>
            </w:pPr>
          </w:p>
        </w:tc>
        <w:tc>
          <w:tcPr>
            <w:tcW w:w="1559" w:type="dxa"/>
          </w:tcPr>
          <w:p w14:paraId="179DFEED" w14:textId="77777777" w:rsidR="000640C5" w:rsidRDefault="000640C5" w:rsidP="00AB5502">
            <w:pPr>
              <w:jc w:val="center"/>
            </w:pPr>
          </w:p>
        </w:tc>
        <w:tc>
          <w:tcPr>
            <w:tcW w:w="1559" w:type="dxa"/>
          </w:tcPr>
          <w:p w14:paraId="23497ACE" w14:textId="77777777" w:rsidR="000640C5" w:rsidRDefault="000640C5" w:rsidP="00AB5502">
            <w:pPr>
              <w:jc w:val="center"/>
            </w:pPr>
          </w:p>
        </w:tc>
      </w:tr>
      <w:tr w:rsidR="000640C5" w14:paraId="73C2A2D7" w14:textId="77777777" w:rsidTr="00AB5502">
        <w:tc>
          <w:tcPr>
            <w:tcW w:w="1277" w:type="dxa"/>
          </w:tcPr>
          <w:p w14:paraId="6BBD5E56" w14:textId="77777777" w:rsidR="000640C5" w:rsidRDefault="000640C5" w:rsidP="00AB5502">
            <w:pPr>
              <w:jc w:val="center"/>
            </w:pPr>
            <w:r>
              <w:t>12</w:t>
            </w:r>
          </w:p>
        </w:tc>
        <w:tc>
          <w:tcPr>
            <w:tcW w:w="1417" w:type="dxa"/>
          </w:tcPr>
          <w:p w14:paraId="5AD8EFF8" w14:textId="77777777" w:rsidR="000640C5" w:rsidRPr="008832A4" w:rsidRDefault="000640C5" w:rsidP="00AB5502">
            <w:pPr>
              <w:jc w:val="center"/>
            </w:pPr>
          </w:p>
        </w:tc>
        <w:tc>
          <w:tcPr>
            <w:tcW w:w="1560" w:type="dxa"/>
          </w:tcPr>
          <w:p w14:paraId="4F7AD822" w14:textId="77777777" w:rsidR="000640C5" w:rsidRPr="008832A4" w:rsidRDefault="000640C5" w:rsidP="00AB5502">
            <w:pPr>
              <w:jc w:val="center"/>
            </w:pPr>
          </w:p>
        </w:tc>
        <w:tc>
          <w:tcPr>
            <w:tcW w:w="1417" w:type="dxa"/>
          </w:tcPr>
          <w:p w14:paraId="36C25E6D" w14:textId="77777777" w:rsidR="000640C5" w:rsidRPr="008832A4" w:rsidRDefault="000640C5" w:rsidP="00AB5502">
            <w:pPr>
              <w:jc w:val="center"/>
            </w:pPr>
          </w:p>
        </w:tc>
        <w:tc>
          <w:tcPr>
            <w:tcW w:w="1559" w:type="dxa"/>
          </w:tcPr>
          <w:p w14:paraId="59AD5FC7" w14:textId="77777777" w:rsidR="000640C5" w:rsidRDefault="000640C5" w:rsidP="00AB5502">
            <w:pPr>
              <w:jc w:val="center"/>
            </w:pPr>
          </w:p>
        </w:tc>
        <w:tc>
          <w:tcPr>
            <w:tcW w:w="1559" w:type="dxa"/>
          </w:tcPr>
          <w:p w14:paraId="6B402983" w14:textId="77777777" w:rsidR="000640C5" w:rsidRDefault="000640C5" w:rsidP="00AB5502">
            <w:pPr>
              <w:jc w:val="center"/>
            </w:pPr>
          </w:p>
        </w:tc>
        <w:tc>
          <w:tcPr>
            <w:tcW w:w="1559" w:type="dxa"/>
          </w:tcPr>
          <w:p w14:paraId="178566BA" w14:textId="77777777" w:rsidR="000640C5" w:rsidRDefault="000640C5" w:rsidP="00AB5502">
            <w:pPr>
              <w:jc w:val="center"/>
            </w:pPr>
          </w:p>
        </w:tc>
      </w:tr>
      <w:tr w:rsidR="000640C5" w14:paraId="235F3894" w14:textId="77777777" w:rsidTr="00AB5502">
        <w:tc>
          <w:tcPr>
            <w:tcW w:w="1277" w:type="dxa"/>
          </w:tcPr>
          <w:p w14:paraId="0CEE17EE" w14:textId="77777777" w:rsidR="000640C5" w:rsidRDefault="000640C5" w:rsidP="00AB5502">
            <w:pPr>
              <w:jc w:val="center"/>
            </w:pPr>
            <w:r>
              <w:t>13 to 18</w:t>
            </w:r>
          </w:p>
        </w:tc>
        <w:tc>
          <w:tcPr>
            <w:tcW w:w="1417" w:type="dxa"/>
          </w:tcPr>
          <w:p w14:paraId="2518C8D3" w14:textId="77777777" w:rsidR="000640C5" w:rsidRPr="008832A4" w:rsidRDefault="000640C5" w:rsidP="00AB5502">
            <w:pPr>
              <w:jc w:val="center"/>
            </w:pPr>
          </w:p>
        </w:tc>
        <w:tc>
          <w:tcPr>
            <w:tcW w:w="1560" w:type="dxa"/>
          </w:tcPr>
          <w:p w14:paraId="42DD0571" w14:textId="77777777" w:rsidR="000640C5" w:rsidRPr="008832A4" w:rsidRDefault="000640C5" w:rsidP="00AB5502">
            <w:pPr>
              <w:jc w:val="center"/>
            </w:pPr>
          </w:p>
        </w:tc>
        <w:tc>
          <w:tcPr>
            <w:tcW w:w="1417" w:type="dxa"/>
          </w:tcPr>
          <w:p w14:paraId="3426A222" w14:textId="77777777" w:rsidR="000640C5" w:rsidRPr="008832A4" w:rsidRDefault="000640C5" w:rsidP="00AB5502">
            <w:pPr>
              <w:jc w:val="center"/>
            </w:pPr>
          </w:p>
        </w:tc>
        <w:tc>
          <w:tcPr>
            <w:tcW w:w="1559" w:type="dxa"/>
          </w:tcPr>
          <w:p w14:paraId="4926C346" w14:textId="77777777" w:rsidR="000640C5" w:rsidRDefault="000640C5" w:rsidP="00AB5502">
            <w:pPr>
              <w:jc w:val="center"/>
            </w:pPr>
          </w:p>
        </w:tc>
        <w:tc>
          <w:tcPr>
            <w:tcW w:w="1559" w:type="dxa"/>
          </w:tcPr>
          <w:p w14:paraId="6F1E34DC" w14:textId="77777777" w:rsidR="000640C5" w:rsidRDefault="000640C5" w:rsidP="00AB5502">
            <w:pPr>
              <w:jc w:val="center"/>
            </w:pPr>
          </w:p>
        </w:tc>
        <w:tc>
          <w:tcPr>
            <w:tcW w:w="1559" w:type="dxa"/>
          </w:tcPr>
          <w:p w14:paraId="74DED35B" w14:textId="77777777" w:rsidR="000640C5" w:rsidRDefault="000640C5" w:rsidP="00AB5502">
            <w:pPr>
              <w:jc w:val="center"/>
            </w:pPr>
          </w:p>
        </w:tc>
      </w:tr>
      <w:tr w:rsidR="000640C5" w14:paraId="459E3F16" w14:textId="77777777" w:rsidTr="00AB5502">
        <w:tc>
          <w:tcPr>
            <w:tcW w:w="1277" w:type="dxa"/>
          </w:tcPr>
          <w:p w14:paraId="170A5C9C" w14:textId="77777777" w:rsidR="000640C5" w:rsidRDefault="000640C5" w:rsidP="00AB5502">
            <w:pPr>
              <w:jc w:val="center"/>
            </w:pPr>
            <w:r>
              <w:t>18 to 24</w:t>
            </w:r>
          </w:p>
        </w:tc>
        <w:tc>
          <w:tcPr>
            <w:tcW w:w="1417" w:type="dxa"/>
          </w:tcPr>
          <w:p w14:paraId="038F9428" w14:textId="77777777" w:rsidR="000640C5" w:rsidRPr="008832A4" w:rsidRDefault="000640C5" w:rsidP="00AB5502">
            <w:pPr>
              <w:jc w:val="center"/>
            </w:pPr>
          </w:p>
        </w:tc>
        <w:tc>
          <w:tcPr>
            <w:tcW w:w="1560" w:type="dxa"/>
          </w:tcPr>
          <w:p w14:paraId="363380F3" w14:textId="77777777" w:rsidR="000640C5" w:rsidRPr="008832A4" w:rsidRDefault="000640C5" w:rsidP="00AB5502">
            <w:pPr>
              <w:jc w:val="center"/>
            </w:pPr>
          </w:p>
        </w:tc>
        <w:tc>
          <w:tcPr>
            <w:tcW w:w="1417" w:type="dxa"/>
          </w:tcPr>
          <w:p w14:paraId="70E6A984" w14:textId="77777777" w:rsidR="000640C5" w:rsidRPr="008832A4" w:rsidRDefault="000640C5" w:rsidP="00AB5502">
            <w:pPr>
              <w:jc w:val="center"/>
            </w:pPr>
          </w:p>
        </w:tc>
        <w:tc>
          <w:tcPr>
            <w:tcW w:w="1559" w:type="dxa"/>
          </w:tcPr>
          <w:p w14:paraId="5C02127B" w14:textId="77777777" w:rsidR="000640C5" w:rsidRDefault="000640C5" w:rsidP="00AB5502">
            <w:pPr>
              <w:jc w:val="center"/>
            </w:pPr>
          </w:p>
        </w:tc>
        <w:tc>
          <w:tcPr>
            <w:tcW w:w="1559" w:type="dxa"/>
          </w:tcPr>
          <w:p w14:paraId="568BD751" w14:textId="77777777" w:rsidR="000640C5" w:rsidRDefault="000640C5" w:rsidP="00AB5502">
            <w:pPr>
              <w:jc w:val="center"/>
            </w:pPr>
          </w:p>
        </w:tc>
        <w:tc>
          <w:tcPr>
            <w:tcW w:w="1559" w:type="dxa"/>
          </w:tcPr>
          <w:p w14:paraId="4DD02813" w14:textId="77777777" w:rsidR="000640C5" w:rsidRDefault="000640C5" w:rsidP="00AB5502">
            <w:pPr>
              <w:jc w:val="center"/>
            </w:pPr>
          </w:p>
        </w:tc>
      </w:tr>
    </w:tbl>
    <w:p w14:paraId="62E71531" w14:textId="77777777" w:rsidR="000640C5" w:rsidRDefault="000640C5" w:rsidP="000640C5">
      <w:pPr>
        <w:rPr>
          <w:b/>
        </w:rPr>
      </w:pPr>
    </w:p>
    <w:p w14:paraId="5624EFB6" w14:textId="77777777" w:rsidR="000640C5" w:rsidRDefault="000640C5" w:rsidP="000640C5">
      <w:pPr>
        <w:jc w:val="center"/>
        <w:rPr>
          <w:b/>
        </w:rPr>
      </w:pPr>
    </w:p>
    <w:p w14:paraId="620CFD12" w14:textId="77777777" w:rsidR="000640C5" w:rsidRDefault="000640C5">
      <w:pPr>
        <w:spacing w:after="160" w:line="259" w:lineRule="auto"/>
        <w:jc w:val="left"/>
        <w:rPr>
          <w:b/>
        </w:rPr>
      </w:pPr>
      <w:r>
        <w:rPr>
          <w:b/>
        </w:rPr>
        <w:br w:type="page"/>
      </w:r>
    </w:p>
    <w:p w14:paraId="27558138" w14:textId="77777777" w:rsidR="000640C5" w:rsidRDefault="000640C5" w:rsidP="000640C5">
      <w:pPr>
        <w:jc w:val="center"/>
        <w:rPr>
          <w:b/>
        </w:rPr>
      </w:pPr>
      <w:r>
        <w:rPr>
          <w:b/>
        </w:rPr>
        <w:lastRenderedPageBreak/>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proofErr w:type="spellStart"/>
      <w:r w:rsidRPr="00876FD2">
        <w:t>Xxxxxxxxxxxxxx</w:t>
      </w:r>
      <w:proofErr w:type="spellEnd"/>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qualifications</w:t>
            </w:r>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[insert name and contact details of the DPO or equivalent e.g.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876FD2">
              <w:rPr>
                <w:rFonts w:ascii="Arial" w:hAnsi="Arial" w:cs="Arial"/>
                <w:sz w:val="20"/>
              </w:rPr>
              <w:t>xxxxxxxxxxxx</w:t>
            </w:r>
            <w:proofErr w:type="spellEnd"/>
            <w:r w:rsidRPr="00876FD2">
              <w:rPr>
                <w:rFonts w:ascii="Arial" w:hAnsi="Arial" w:cs="Arial"/>
                <w:sz w:val="20"/>
              </w:rPr>
              <w:t xml:space="preserve">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8204" w14:textId="77777777" w:rsidR="00774ABF" w:rsidRDefault="00774ABF" w:rsidP="000640C5">
      <w:pPr>
        <w:spacing w:after="0" w:line="240" w:lineRule="auto"/>
      </w:pPr>
      <w:r>
        <w:separator/>
      </w:r>
    </w:p>
  </w:endnote>
  <w:endnote w:type="continuationSeparator" w:id="0">
    <w:p w14:paraId="1B273DCB" w14:textId="77777777" w:rsidR="00774ABF" w:rsidRDefault="00774ABF"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5763" w14:textId="77777777" w:rsidR="00774ABF" w:rsidRDefault="00774ABF" w:rsidP="000640C5">
      <w:pPr>
        <w:spacing w:after="0" w:line="240" w:lineRule="auto"/>
      </w:pPr>
      <w:r>
        <w:separator/>
      </w:r>
    </w:p>
  </w:footnote>
  <w:footnote w:type="continuationSeparator" w:id="0">
    <w:p w14:paraId="1E173C78" w14:textId="77777777" w:rsidR="00774ABF" w:rsidRDefault="00774ABF"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6"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9"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2"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4"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5"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0"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5"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6"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6"/>
  </w:num>
  <w:num w:numId="2" w16cid:durableId="1959870210">
    <w:abstractNumId w:val="14"/>
  </w:num>
  <w:num w:numId="3" w16cid:durableId="493300712">
    <w:abstractNumId w:val="23"/>
  </w:num>
  <w:num w:numId="4" w16cid:durableId="507989411">
    <w:abstractNumId w:val="15"/>
  </w:num>
  <w:num w:numId="5" w16cid:durableId="233247921">
    <w:abstractNumId w:val="2"/>
  </w:num>
  <w:num w:numId="6" w16cid:durableId="295109987">
    <w:abstractNumId w:val="42"/>
  </w:num>
  <w:num w:numId="7" w16cid:durableId="95910040">
    <w:abstractNumId w:val="21"/>
  </w:num>
  <w:num w:numId="8" w16cid:durableId="568883976">
    <w:abstractNumId w:val="22"/>
  </w:num>
  <w:num w:numId="9" w16cid:durableId="1791361889">
    <w:abstractNumId w:val="27"/>
  </w:num>
  <w:num w:numId="10" w16cid:durableId="676470501">
    <w:abstractNumId w:val="37"/>
  </w:num>
  <w:num w:numId="11" w16cid:durableId="1765227488">
    <w:abstractNumId w:val="40"/>
  </w:num>
  <w:num w:numId="12" w16cid:durableId="958681341">
    <w:abstractNumId w:val="1"/>
  </w:num>
  <w:num w:numId="13" w16cid:durableId="1102066236">
    <w:abstractNumId w:val="33"/>
  </w:num>
  <w:num w:numId="14" w16cid:durableId="1574311232">
    <w:abstractNumId w:val="30"/>
  </w:num>
  <w:num w:numId="15" w16cid:durableId="1923102822">
    <w:abstractNumId w:val="0"/>
  </w:num>
  <w:num w:numId="16" w16cid:durableId="1060323260">
    <w:abstractNumId w:val="3"/>
  </w:num>
  <w:num w:numId="17" w16cid:durableId="1627665377">
    <w:abstractNumId w:val="35"/>
  </w:num>
  <w:num w:numId="18" w16cid:durableId="1540315658">
    <w:abstractNumId w:val="32"/>
  </w:num>
  <w:num w:numId="19" w16cid:durableId="1925069141">
    <w:abstractNumId w:val="25"/>
  </w:num>
  <w:num w:numId="20" w16cid:durableId="2076968544">
    <w:abstractNumId w:val="41"/>
  </w:num>
  <w:num w:numId="21" w16cid:durableId="1710373571">
    <w:abstractNumId w:val="3"/>
    <w:lvlOverride w:ilvl="0">
      <w:startOverride w:val="1"/>
    </w:lvlOverride>
    <w:lvlOverride w:ilvl="1">
      <w:startOverride w:val="6"/>
    </w:lvlOverride>
  </w:num>
  <w:num w:numId="22" w16cid:durableId="983506898">
    <w:abstractNumId w:val="26"/>
  </w:num>
  <w:num w:numId="23" w16cid:durableId="1096172450">
    <w:abstractNumId w:val="28"/>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0"/>
  </w:num>
  <w:num w:numId="26" w16cid:durableId="603996487">
    <w:abstractNumId w:val="31"/>
  </w:num>
  <w:num w:numId="27" w16cid:durableId="1505826799">
    <w:abstractNumId w:val="9"/>
  </w:num>
  <w:num w:numId="28" w16cid:durableId="9845108">
    <w:abstractNumId w:val="18"/>
  </w:num>
  <w:num w:numId="29" w16cid:durableId="1186407111">
    <w:abstractNumId w:val="17"/>
  </w:num>
  <w:num w:numId="30" w16cid:durableId="90247457">
    <w:abstractNumId w:val="13"/>
  </w:num>
  <w:num w:numId="31" w16cid:durableId="723406957">
    <w:abstractNumId w:val="34"/>
  </w:num>
  <w:num w:numId="32" w16cid:durableId="2133815666">
    <w:abstractNumId w:val="12"/>
  </w:num>
  <w:num w:numId="33" w16cid:durableId="272905373">
    <w:abstractNumId w:val="19"/>
  </w:num>
  <w:num w:numId="34" w16cid:durableId="1865442631">
    <w:abstractNumId w:val="38"/>
  </w:num>
  <w:num w:numId="35" w16cid:durableId="31006713">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0"/>
  </w:num>
  <w:num w:numId="37" w16cid:durableId="1330794670">
    <w:abstractNumId w:val="36"/>
  </w:num>
  <w:num w:numId="38" w16cid:durableId="1360396740">
    <w:abstractNumId w:val="6"/>
  </w:num>
  <w:num w:numId="39" w16cid:durableId="1214196863">
    <w:abstractNumId w:val="39"/>
  </w:num>
  <w:num w:numId="40" w16cid:durableId="172455830">
    <w:abstractNumId w:val="7"/>
  </w:num>
  <w:num w:numId="41" w16cid:durableId="1579317103">
    <w:abstractNumId w:val="3"/>
  </w:num>
  <w:num w:numId="42" w16cid:durableId="1616599282">
    <w:abstractNumId w:val="29"/>
  </w:num>
  <w:num w:numId="43" w16cid:durableId="146479506">
    <w:abstractNumId w:val="8"/>
  </w:num>
  <w:num w:numId="44" w16cid:durableId="487088262">
    <w:abstractNumId w:val="5"/>
  </w:num>
  <w:num w:numId="45" w16cid:durableId="1029529068">
    <w:abstractNumId w:val="11"/>
  </w:num>
  <w:num w:numId="46" w16cid:durableId="1597253845">
    <w:abstractNumId w:val="24"/>
  </w:num>
  <w:num w:numId="47" w16cid:durableId="114100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5DF2"/>
    <w:rsid w:val="001516E7"/>
    <w:rsid w:val="001815E4"/>
    <w:rsid w:val="001867E4"/>
    <w:rsid w:val="00187425"/>
    <w:rsid w:val="0018791C"/>
    <w:rsid w:val="001A6647"/>
    <w:rsid w:val="001B52DD"/>
    <w:rsid w:val="002001B1"/>
    <w:rsid w:val="00251FA6"/>
    <w:rsid w:val="00273213"/>
    <w:rsid w:val="00293B30"/>
    <w:rsid w:val="0031002A"/>
    <w:rsid w:val="00330F1F"/>
    <w:rsid w:val="00341FD4"/>
    <w:rsid w:val="003514BE"/>
    <w:rsid w:val="003568F2"/>
    <w:rsid w:val="003B106D"/>
    <w:rsid w:val="003E2A97"/>
    <w:rsid w:val="003E4C13"/>
    <w:rsid w:val="00467988"/>
    <w:rsid w:val="00490119"/>
    <w:rsid w:val="00493455"/>
    <w:rsid w:val="004936C2"/>
    <w:rsid w:val="004C4637"/>
    <w:rsid w:val="004D1538"/>
    <w:rsid w:val="004F01D5"/>
    <w:rsid w:val="005563CC"/>
    <w:rsid w:val="00566A5A"/>
    <w:rsid w:val="00692C31"/>
    <w:rsid w:val="006C135B"/>
    <w:rsid w:val="006D7586"/>
    <w:rsid w:val="00714AE9"/>
    <w:rsid w:val="0072536A"/>
    <w:rsid w:val="00752F0B"/>
    <w:rsid w:val="007608D7"/>
    <w:rsid w:val="00774ABF"/>
    <w:rsid w:val="0078721C"/>
    <w:rsid w:val="007A3915"/>
    <w:rsid w:val="007C1538"/>
    <w:rsid w:val="007C3841"/>
    <w:rsid w:val="007F5D4E"/>
    <w:rsid w:val="00816775"/>
    <w:rsid w:val="00854240"/>
    <w:rsid w:val="00876FD2"/>
    <w:rsid w:val="008A3391"/>
    <w:rsid w:val="008D09FB"/>
    <w:rsid w:val="008D5B03"/>
    <w:rsid w:val="008F3F27"/>
    <w:rsid w:val="00936A91"/>
    <w:rsid w:val="00964D32"/>
    <w:rsid w:val="009738E7"/>
    <w:rsid w:val="009A57DB"/>
    <w:rsid w:val="009C643F"/>
    <w:rsid w:val="00A14FCE"/>
    <w:rsid w:val="00A16556"/>
    <w:rsid w:val="00A2494C"/>
    <w:rsid w:val="00A36D38"/>
    <w:rsid w:val="00A41105"/>
    <w:rsid w:val="00A75145"/>
    <w:rsid w:val="00AB17D5"/>
    <w:rsid w:val="00AB5502"/>
    <w:rsid w:val="00B24EBE"/>
    <w:rsid w:val="00B42B1C"/>
    <w:rsid w:val="00B62C93"/>
    <w:rsid w:val="00B722EE"/>
    <w:rsid w:val="00B87CAF"/>
    <w:rsid w:val="00BC3E7A"/>
    <w:rsid w:val="00BF10AD"/>
    <w:rsid w:val="00C02FA0"/>
    <w:rsid w:val="00C33DC6"/>
    <w:rsid w:val="00C555F0"/>
    <w:rsid w:val="00C66104"/>
    <w:rsid w:val="00C678CE"/>
    <w:rsid w:val="00CA4745"/>
    <w:rsid w:val="00CB4027"/>
    <w:rsid w:val="00DA6CB4"/>
    <w:rsid w:val="00E17584"/>
    <w:rsid w:val="00E50B93"/>
    <w:rsid w:val="00E828B3"/>
    <w:rsid w:val="00F17CA5"/>
    <w:rsid w:val="00F341DD"/>
    <w:rsid w:val="00F4291D"/>
    <w:rsid w:val="00F61EC1"/>
    <w:rsid w:val="00F6779D"/>
    <w:rsid w:val="00F71BD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4.xml><?xml version="1.0" encoding="utf-8"?>
<ds:datastoreItem xmlns:ds="http://schemas.openxmlformats.org/officeDocument/2006/customXml" ds:itemID="{67160FFB-6F1C-485B-95E1-B5DB12746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9571</Words>
  <Characters>54558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14</cp:revision>
  <dcterms:created xsi:type="dcterms:W3CDTF">2022-05-27T15:54:00Z</dcterms:created>
  <dcterms:modified xsi:type="dcterms:W3CDTF">2023-01-12T08:57:00Z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