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08B0" w14:textId="77777777" w:rsidR="00D3263C" w:rsidRPr="00A8526E" w:rsidRDefault="00D3263C" w:rsidP="0093247A">
      <w:pPr>
        <w:pStyle w:val="StyleJustifiedLeft127cm"/>
        <w:spacing w:before="0" w:after="120"/>
        <w:ind w:left="0"/>
        <w:jc w:val="center"/>
        <w:rPr>
          <w:rFonts w:cs="Arial"/>
          <w:b/>
          <w:sz w:val="28"/>
          <w:szCs w:val="28"/>
        </w:rPr>
      </w:pPr>
    </w:p>
    <w:p w14:paraId="6BBFF498" w14:textId="77777777" w:rsidR="00D3263C" w:rsidRPr="00A8526E" w:rsidRDefault="00D3263C" w:rsidP="0093247A">
      <w:pPr>
        <w:pStyle w:val="StyleJustifiedLeft127cm"/>
        <w:spacing w:before="0" w:after="120"/>
        <w:ind w:left="0"/>
        <w:jc w:val="center"/>
        <w:rPr>
          <w:rFonts w:cs="Arial"/>
          <w:b/>
          <w:sz w:val="28"/>
          <w:szCs w:val="28"/>
        </w:rPr>
      </w:pPr>
    </w:p>
    <w:p w14:paraId="3E174EF3" w14:textId="77777777" w:rsidR="0093247A" w:rsidRPr="00A8526E" w:rsidRDefault="0093247A" w:rsidP="0093247A">
      <w:pPr>
        <w:pStyle w:val="StyleJustifiedLeft127cm"/>
        <w:spacing w:before="0" w:after="120"/>
        <w:ind w:left="0"/>
        <w:jc w:val="center"/>
        <w:rPr>
          <w:rFonts w:cs="Arial"/>
          <w:b/>
          <w:sz w:val="28"/>
          <w:szCs w:val="28"/>
        </w:rPr>
      </w:pPr>
      <w:r w:rsidRPr="00A8526E">
        <w:rPr>
          <w:rFonts w:cs="Arial"/>
          <w:b/>
          <w:sz w:val="28"/>
          <w:szCs w:val="28"/>
        </w:rPr>
        <w:t xml:space="preserve">NHS </w:t>
      </w:r>
      <w:proofErr w:type="spellStart"/>
      <w:r w:rsidRPr="00A8526E">
        <w:rPr>
          <w:rFonts w:cs="Arial"/>
          <w:b/>
          <w:sz w:val="28"/>
          <w:szCs w:val="28"/>
        </w:rPr>
        <w:t>South,</w:t>
      </w:r>
      <w:proofErr w:type="spellEnd"/>
      <w:r w:rsidRPr="00A8526E">
        <w:rPr>
          <w:rFonts w:cs="Arial"/>
          <w:b/>
          <w:sz w:val="28"/>
          <w:szCs w:val="28"/>
        </w:rPr>
        <w:t xml:space="preserve"> Central &amp; West Commissioning Support Unit</w:t>
      </w:r>
    </w:p>
    <w:p w14:paraId="0D60E760" w14:textId="0AB4A2EE" w:rsidR="00C41DB9" w:rsidRDefault="00C41DB9" w:rsidP="0093247A">
      <w:pPr>
        <w:pStyle w:val="StyleJustifiedLeft127cm"/>
        <w:spacing w:before="0" w:after="120"/>
        <w:ind w:left="0"/>
        <w:jc w:val="center"/>
        <w:rPr>
          <w:rFonts w:cs="Arial"/>
          <w:b/>
          <w:sz w:val="28"/>
          <w:szCs w:val="28"/>
        </w:rPr>
      </w:pPr>
      <w:r w:rsidRPr="00C41DB9">
        <w:rPr>
          <w:rFonts w:cs="Arial"/>
          <w:b/>
          <w:sz w:val="28"/>
          <w:szCs w:val="28"/>
        </w:rPr>
        <w:t xml:space="preserve">NHS England South </w:t>
      </w:r>
      <w:r w:rsidR="00C51E6E">
        <w:rPr>
          <w:rFonts w:cs="Arial"/>
          <w:b/>
          <w:sz w:val="28"/>
          <w:szCs w:val="28"/>
        </w:rPr>
        <w:t>West</w:t>
      </w:r>
      <w:r w:rsidRPr="00C41DB9">
        <w:rPr>
          <w:rFonts w:cs="Arial"/>
          <w:b/>
          <w:sz w:val="28"/>
          <w:szCs w:val="28"/>
        </w:rPr>
        <w:t xml:space="preserve"> - </w:t>
      </w:r>
      <w:r w:rsidR="00C51E6E" w:rsidRPr="00C51E6E">
        <w:rPr>
          <w:rFonts w:cs="Arial"/>
          <w:b/>
          <w:sz w:val="28"/>
          <w:szCs w:val="28"/>
        </w:rPr>
        <w:t>Devon School Aged Immunisations Programme for NHS England South West</w:t>
      </w:r>
    </w:p>
    <w:p w14:paraId="71985216" w14:textId="29C8D5B4" w:rsidR="0093247A" w:rsidRPr="00A8526E" w:rsidRDefault="00C33734" w:rsidP="0093247A">
      <w:pPr>
        <w:pStyle w:val="StyleJustifiedLeft127cm"/>
        <w:spacing w:before="0" w:after="120"/>
        <w:ind w:left="0"/>
        <w:jc w:val="center"/>
        <w:rPr>
          <w:rFonts w:cs="Arial"/>
          <w:b/>
          <w:sz w:val="28"/>
          <w:szCs w:val="28"/>
        </w:rPr>
      </w:pPr>
      <w:r w:rsidRPr="00A8526E">
        <w:rPr>
          <w:rFonts w:cs="Arial"/>
          <w:b/>
          <w:sz w:val="28"/>
          <w:szCs w:val="28"/>
        </w:rPr>
        <w:t>Contracts Finder –</w:t>
      </w:r>
      <w:r w:rsidR="000D4105">
        <w:rPr>
          <w:rFonts w:cs="Arial"/>
          <w:b/>
          <w:sz w:val="28"/>
          <w:szCs w:val="28"/>
        </w:rPr>
        <w:t xml:space="preserve"> </w:t>
      </w:r>
      <w:r w:rsidR="00C51E6E">
        <w:rPr>
          <w:rFonts w:cs="Arial"/>
          <w:b/>
          <w:sz w:val="28"/>
          <w:szCs w:val="28"/>
        </w:rPr>
        <w:t>Additional</w:t>
      </w:r>
      <w:r w:rsidR="00BC3185">
        <w:rPr>
          <w:rFonts w:cs="Arial"/>
          <w:b/>
          <w:sz w:val="28"/>
          <w:szCs w:val="28"/>
        </w:rPr>
        <w:t xml:space="preserve"> Information</w:t>
      </w:r>
      <w:r w:rsidRPr="00A8526E">
        <w:rPr>
          <w:rFonts w:cs="Arial"/>
          <w:b/>
          <w:sz w:val="28"/>
          <w:szCs w:val="28"/>
        </w:rPr>
        <w:t xml:space="preserve"> </w:t>
      </w:r>
    </w:p>
    <w:p w14:paraId="1FAE26BB" w14:textId="77777777" w:rsidR="005E4A49" w:rsidRPr="003F32A0" w:rsidRDefault="005E4A49" w:rsidP="00955E0A">
      <w:pPr>
        <w:rPr>
          <w:rFonts w:cs="Arial"/>
          <w:b/>
        </w:rPr>
      </w:pPr>
    </w:p>
    <w:p w14:paraId="77109887" w14:textId="3276E4D4" w:rsidR="004C2677" w:rsidRPr="003F32A0" w:rsidRDefault="005E4A49" w:rsidP="004C2677">
      <w:pPr>
        <w:rPr>
          <w:rFonts w:cs="Arial"/>
        </w:rPr>
      </w:pPr>
      <w:r w:rsidRPr="003F32A0">
        <w:rPr>
          <w:rFonts w:cs="Arial"/>
          <w:b/>
        </w:rPr>
        <w:t xml:space="preserve">Additional text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C2677" w:rsidRPr="00A8526E" w14:paraId="15CA7440" w14:textId="77777777" w:rsidTr="008F24DD">
        <w:trPr>
          <w:trHeight w:val="375"/>
        </w:trPr>
        <w:tc>
          <w:tcPr>
            <w:tcW w:w="9072" w:type="dxa"/>
            <w:shd w:val="clear" w:color="auto" w:fill="auto"/>
          </w:tcPr>
          <w:p w14:paraId="45C48537" w14:textId="77777777" w:rsidR="00C51E6E" w:rsidRDefault="00C51E6E" w:rsidP="00C51E6E">
            <w:bookmarkStart w:id="0" w:name="_Hlk102987713"/>
            <w:r>
              <w:t xml:space="preserve">The overarching aim of the re-commissioning exercise is to secure a provider for the Devon School Aged Immunisations Programme for a </w:t>
            </w:r>
            <w:proofErr w:type="gramStart"/>
            <w:r>
              <w:t>one year</w:t>
            </w:r>
            <w:proofErr w:type="gramEnd"/>
            <w:r>
              <w:t xml:space="preserve"> period to provide continuity of service pending a full re-procurement in 2024.</w:t>
            </w:r>
          </w:p>
          <w:p w14:paraId="1F377183" w14:textId="77777777" w:rsidR="00C51E6E" w:rsidRDefault="00C51E6E" w:rsidP="00C51E6E">
            <w:r>
              <w:t>The services within scope include:</w:t>
            </w:r>
          </w:p>
          <w:p w14:paraId="2D0A82F6" w14:textId="77777777" w:rsidR="00C51E6E" w:rsidRDefault="00C51E6E" w:rsidP="00C51E6E">
            <w:r>
              <w:t xml:space="preserve">The school aged immunisation programme within Devon as including </w:t>
            </w:r>
          </w:p>
          <w:p w14:paraId="074EDF14" w14:textId="77777777" w:rsidR="00C51E6E" w:rsidRDefault="00C51E6E" w:rsidP="00C51E6E">
            <w:r>
              <w:t>•</w:t>
            </w:r>
            <w:r>
              <w:tab/>
              <w:t xml:space="preserve">Human Papillomavirus (HPV) vaccinations </w:t>
            </w:r>
          </w:p>
          <w:p w14:paraId="77D0AF38" w14:textId="77777777" w:rsidR="00C51E6E" w:rsidRDefault="00C51E6E" w:rsidP="00C51E6E">
            <w:r>
              <w:t>•</w:t>
            </w:r>
            <w:r>
              <w:tab/>
              <w:t>Diphtheria, Tetanus and Poliomyelitis (Td/IPV) booster</w:t>
            </w:r>
          </w:p>
          <w:p w14:paraId="1BDEF6F3" w14:textId="77777777" w:rsidR="00C51E6E" w:rsidRDefault="00C51E6E" w:rsidP="00C51E6E">
            <w:r>
              <w:t>•</w:t>
            </w:r>
            <w:r>
              <w:tab/>
              <w:t>Meningococcal ACWY (</w:t>
            </w:r>
            <w:proofErr w:type="spellStart"/>
            <w:r>
              <w:t>MenACWY</w:t>
            </w:r>
            <w:proofErr w:type="spellEnd"/>
            <w:r>
              <w:t>) conjugate vaccine</w:t>
            </w:r>
          </w:p>
          <w:p w14:paraId="53B488A4" w14:textId="77777777" w:rsidR="00C51E6E" w:rsidRDefault="00C51E6E" w:rsidP="00C51E6E">
            <w:r>
              <w:t>•</w:t>
            </w:r>
            <w:r>
              <w:tab/>
              <w:t xml:space="preserve">School-aged children’s Seasonal influenza (flu) vaccinations </w:t>
            </w:r>
          </w:p>
          <w:p w14:paraId="4FEAD68A" w14:textId="77777777" w:rsidR="00C51E6E" w:rsidRDefault="00C51E6E" w:rsidP="00C51E6E">
            <w:r>
              <w:t>•</w:t>
            </w:r>
            <w:r>
              <w:tab/>
              <w:t>Measles, Mumps and Rubella (MMR) catch up vaccinations</w:t>
            </w:r>
          </w:p>
          <w:p w14:paraId="7F355999" w14:textId="77777777" w:rsidR="00C51E6E" w:rsidRDefault="00C51E6E" w:rsidP="00C51E6E">
            <w:r>
              <w:t>In May 2022 a NICE guideline was published with the aim of supporting to increase Vaccine uptake in the general population [NG218]. Any new service must adhere to the recommendations.</w:t>
            </w:r>
          </w:p>
          <w:p w14:paraId="3CBB513F" w14:textId="77777777" w:rsidR="00C51E6E" w:rsidRDefault="00C51E6E" w:rsidP="00C51E6E">
            <w:r>
              <w:t xml:space="preserve">The following services are out of scope: </w:t>
            </w:r>
          </w:p>
          <w:p w14:paraId="7928B1BA" w14:textId="77777777" w:rsidR="00C51E6E" w:rsidRDefault="00C51E6E" w:rsidP="00C51E6E">
            <w:r>
              <w:t>•</w:t>
            </w:r>
            <w:r>
              <w:tab/>
              <w:t>Covid-19 vaccination for the extremely vulnerable</w:t>
            </w:r>
          </w:p>
          <w:p w14:paraId="29373697" w14:textId="77777777" w:rsidR="00C51E6E" w:rsidRDefault="00C51E6E" w:rsidP="00C51E6E">
            <w:r>
              <w:t>•</w:t>
            </w:r>
            <w:r>
              <w:tab/>
              <w:t xml:space="preserve">School children attending schools outside of the Devon, </w:t>
            </w:r>
            <w:proofErr w:type="gramStart"/>
            <w:r>
              <w:t>Torbay</w:t>
            </w:r>
            <w:proofErr w:type="gramEnd"/>
            <w:r>
              <w:t xml:space="preserve"> and Plymouth authorities. </w:t>
            </w:r>
          </w:p>
          <w:p w14:paraId="463608CF" w14:textId="77777777" w:rsidR="00C51E6E" w:rsidRDefault="00C51E6E" w:rsidP="00C51E6E"/>
          <w:p w14:paraId="700A5C16" w14:textId="6CC14947" w:rsidR="006D2A64" w:rsidRDefault="00C51E6E" w:rsidP="00C51E6E">
            <w:r>
              <w:t>References made to standards and guidance throughout the specifications are in line with existing and current guidance; where standards and guidance are reviewed and updated during the life of the contract, School Aged Immunisation services must maintain compliance with any changes and as such the contract may be varied accordingly.</w:t>
            </w:r>
          </w:p>
          <w:p w14:paraId="4E25264C" w14:textId="77777777" w:rsidR="00C51E6E" w:rsidRDefault="00C51E6E" w:rsidP="00C51E6E"/>
          <w:p w14:paraId="3CFC4C40" w14:textId="77777777" w:rsidR="00C51E6E" w:rsidRDefault="00C51E6E" w:rsidP="00C51E6E">
            <w:r>
              <w:t>The current eligible population is 158,498 and the majority attend one of the 414 Primary Schools or 134 Secondary Schools.</w:t>
            </w:r>
          </w:p>
          <w:p w14:paraId="3605FC15" w14:textId="77777777" w:rsidR="00C51E6E" w:rsidRDefault="00C51E6E" w:rsidP="00C51E6E">
            <w:r>
              <w:t xml:space="preserve">We are looking for a provider/s that can provide continuity of service to the School Aged Population of Devon. The provider will seek to  </w:t>
            </w:r>
          </w:p>
          <w:p w14:paraId="1EA47A63" w14:textId="77777777" w:rsidR="00C51E6E" w:rsidRDefault="00C51E6E" w:rsidP="00C51E6E">
            <w:r>
              <w:t>•</w:t>
            </w:r>
            <w:r>
              <w:tab/>
              <w:t xml:space="preserve">maintain uptake in all areas </w:t>
            </w:r>
          </w:p>
          <w:p w14:paraId="26F7E9C1" w14:textId="77777777" w:rsidR="00C51E6E" w:rsidRDefault="00C51E6E" w:rsidP="00C51E6E">
            <w:r>
              <w:t>•</w:t>
            </w:r>
            <w:r>
              <w:tab/>
              <w:t xml:space="preserve">maintain coverage of service </w:t>
            </w:r>
          </w:p>
          <w:p w14:paraId="0FCF5706" w14:textId="77777777" w:rsidR="00C51E6E" w:rsidRDefault="00C51E6E" w:rsidP="00C51E6E">
            <w:r>
              <w:t>•</w:t>
            </w:r>
            <w:r>
              <w:tab/>
              <w:t xml:space="preserve">maintain progress to work towards a consistent service across the region </w:t>
            </w:r>
          </w:p>
          <w:p w14:paraId="204A46B7" w14:textId="77777777" w:rsidR="00C51E6E" w:rsidRDefault="00C51E6E" w:rsidP="00C51E6E">
            <w:r>
              <w:t>•</w:t>
            </w:r>
            <w:r>
              <w:tab/>
              <w:t xml:space="preserve">continue to provide targeted interventions to improve uptake in vulnerable groups </w:t>
            </w:r>
          </w:p>
          <w:p w14:paraId="5C87A389" w14:textId="77777777" w:rsidR="00C51E6E" w:rsidRDefault="00C51E6E" w:rsidP="00C51E6E">
            <w:r>
              <w:t>•</w:t>
            </w:r>
            <w:r>
              <w:tab/>
              <w:t xml:space="preserve">maintain excellent relationships with schools in the Devon area </w:t>
            </w:r>
          </w:p>
          <w:p w14:paraId="5A999C6E" w14:textId="77777777" w:rsidR="00C51E6E" w:rsidRDefault="00C51E6E" w:rsidP="00C51E6E">
            <w:r>
              <w:t>•</w:t>
            </w:r>
            <w:r>
              <w:tab/>
              <w:t xml:space="preserve">maintain excellent engagement with stakeholders including service users to ensure the best service model is available. </w:t>
            </w:r>
          </w:p>
          <w:p w14:paraId="521303BF" w14:textId="77777777" w:rsidR="00C51E6E" w:rsidRDefault="00C51E6E" w:rsidP="00C51E6E">
            <w:r>
              <w:t>•</w:t>
            </w:r>
            <w:r>
              <w:tab/>
              <w:t xml:space="preserve">align with the national immunisation strategy </w:t>
            </w:r>
          </w:p>
          <w:p w14:paraId="3E83A3C8" w14:textId="77777777" w:rsidR="00C51E6E" w:rsidRDefault="00C51E6E" w:rsidP="00C51E6E"/>
          <w:p w14:paraId="5B2F10FD" w14:textId="77777777" w:rsidR="00C51E6E" w:rsidRDefault="00C51E6E" w:rsidP="00C51E6E">
            <w:r>
              <w:lastRenderedPageBreak/>
              <w:t>In addition to above the provider will work with NHSE to identify opportunities within the short term of the contract to-</w:t>
            </w:r>
          </w:p>
          <w:p w14:paraId="37AB91E0" w14:textId="77777777" w:rsidR="00C51E6E" w:rsidRDefault="00C51E6E" w:rsidP="00C51E6E">
            <w:r>
              <w:t>•</w:t>
            </w:r>
            <w:r>
              <w:tab/>
              <w:t xml:space="preserve">identify priority areas for targeted investment to improve uptake amongst vulnerable groups </w:t>
            </w:r>
          </w:p>
          <w:p w14:paraId="4C0821A8" w14:textId="77777777" w:rsidR="00C51E6E" w:rsidRDefault="00C51E6E" w:rsidP="00C51E6E">
            <w:r>
              <w:t>•</w:t>
            </w:r>
            <w:r>
              <w:tab/>
              <w:t>identify opportunities to invest in service development for the benefit of service users, should the re-procurement offer cost savings. For example, supporting investment in technology to increase connectivity with GP’s and Child Health Systems</w:t>
            </w:r>
          </w:p>
          <w:p w14:paraId="0FE8FB3C" w14:textId="6EFFF75B" w:rsidR="00C51E6E" w:rsidRDefault="00C51E6E" w:rsidP="00C51E6E">
            <w:r>
              <w:t>•</w:t>
            </w:r>
            <w:r>
              <w:tab/>
              <w:t>reducing health inequalities by improving services</w:t>
            </w:r>
          </w:p>
          <w:p w14:paraId="7C377DCD" w14:textId="77777777" w:rsidR="00C51E6E" w:rsidRDefault="00C51E6E" w:rsidP="00C51E6E">
            <w:pPr>
              <w:tabs>
                <w:tab w:val="left" w:pos="6510"/>
              </w:tabs>
            </w:pPr>
            <w:r>
              <w:tab/>
            </w:r>
          </w:p>
          <w:p w14:paraId="2290BFAE" w14:textId="77777777" w:rsidR="00C51E6E" w:rsidRDefault="00BF5365" w:rsidP="00C51E6E">
            <w:pPr>
              <w:tabs>
                <w:tab w:val="left" w:pos="6510"/>
              </w:tabs>
            </w:pPr>
            <w:r w:rsidRPr="00BF5365">
              <w:t>The services are healthcare services falling within Schedule 3 to the Public Contracts Regulations 2015 ("the Regulations</w:t>
            </w:r>
            <w:proofErr w:type="gramStart"/>
            <w:r w:rsidRPr="00BF5365">
              <w:t>")  which</w:t>
            </w:r>
            <w:proofErr w:type="gramEnd"/>
            <w:r w:rsidRPr="00BF5365">
              <w:t xml:space="preserve"> are not subject to the full regime of the Regulations, but is instead governed by the "Light Touch Regime" contained within Chapter 3, Section 7 of the Regulations (Regulations 74 to 77).</w:t>
            </w:r>
          </w:p>
          <w:p w14:paraId="3C4CCAF8" w14:textId="77777777" w:rsidR="00BF5365" w:rsidRDefault="00BF5365" w:rsidP="00C51E6E">
            <w:pPr>
              <w:tabs>
                <w:tab w:val="left" w:pos="6510"/>
              </w:tabs>
            </w:pPr>
          </w:p>
          <w:p w14:paraId="0A4F1D9E" w14:textId="77777777" w:rsidR="00BF5365" w:rsidRDefault="00BF5365" w:rsidP="00BF5365">
            <w:pPr>
              <w:tabs>
                <w:tab w:val="left" w:pos="6510"/>
              </w:tabs>
            </w:pPr>
            <w:r>
              <w:t>This procurement is taking the form of a two-stage process. The closing date 27th October 2022 is the submission date for Stage 1 Applications and thus the close date for expressing an interest in these services.</w:t>
            </w:r>
          </w:p>
          <w:p w14:paraId="182FF27E" w14:textId="77777777" w:rsidR="00BF5365" w:rsidRDefault="00BF5365" w:rsidP="00BF5365">
            <w:pPr>
              <w:tabs>
                <w:tab w:val="left" w:pos="6510"/>
              </w:tabs>
            </w:pPr>
            <w:r>
              <w:t xml:space="preserve">This procurement is being carried out by NHS </w:t>
            </w:r>
            <w:proofErr w:type="spellStart"/>
            <w:r>
              <w:t>South,</w:t>
            </w:r>
            <w:proofErr w:type="spellEnd"/>
            <w:r>
              <w:t xml:space="preserve"> Central and West Commissioning Support Unit (SCW) on behalf of the Commissioners.</w:t>
            </w:r>
          </w:p>
          <w:p w14:paraId="0276992E" w14:textId="77777777" w:rsidR="00BF5365" w:rsidRDefault="00BF5365" w:rsidP="00BF5365">
            <w:pPr>
              <w:tabs>
                <w:tab w:val="left" w:pos="6510"/>
              </w:tabs>
            </w:pPr>
            <w:r>
              <w:t xml:space="preserve">Stage 1 takes the form of a Provider Capability Assessment, including both a standard Selection Questionnaire (SQ) and narrative questions to gauge Provider suitability. </w:t>
            </w:r>
          </w:p>
          <w:p w14:paraId="1ADF1F2D" w14:textId="77777777" w:rsidR="00BF5365" w:rsidRDefault="00BF5365" w:rsidP="00BF5365">
            <w:pPr>
              <w:tabs>
                <w:tab w:val="left" w:pos="6510"/>
              </w:tabs>
            </w:pPr>
            <w:r>
              <w:t>Providers shortlisted at Stage 1 will be taken forward to Stage 2 of the process.</w:t>
            </w:r>
          </w:p>
          <w:p w14:paraId="7CBBD44B" w14:textId="77777777" w:rsidR="00BF5365" w:rsidRDefault="00BF5365" w:rsidP="00BF5365">
            <w:pPr>
              <w:tabs>
                <w:tab w:val="left" w:pos="6510"/>
              </w:tabs>
            </w:pPr>
            <w:r>
              <w:t xml:space="preserve">Areas of assessment at Stage 1 include experience, staffing and premises. </w:t>
            </w:r>
          </w:p>
          <w:p w14:paraId="4CCC3503" w14:textId="77777777" w:rsidR="00BF5365" w:rsidRDefault="00BF5365" w:rsidP="00BF5365">
            <w:pPr>
              <w:tabs>
                <w:tab w:val="left" w:pos="6510"/>
              </w:tabs>
            </w:pPr>
            <w:r>
              <w:t xml:space="preserve">Stage 2 will either take the form of (a) a non-competitive Provider and Service Assurance Process (where only one capable Provider is identified at Stage 1); or (b) a competitive tendering process (where more than one capable Provider is identified at Stage 1), for each lot. </w:t>
            </w:r>
          </w:p>
          <w:p w14:paraId="5BEC5D77" w14:textId="511A7FFE" w:rsidR="00BF5365" w:rsidRPr="003F32A0" w:rsidRDefault="00BF5365" w:rsidP="00BF5365">
            <w:pPr>
              <w:tabs>
                <w:tab w:val="left" w:pos="6510"/>
              </w:tabs>
            </w:pPr>
            <w:r>
              <w:t>Full details can be found in the Provider Capability Assessment Instructions document within Atamis.</w:t>
            </w:r>
          </w:p>
        </w:tc>
      </w:tr>
      <w:bookmarkEnd w:id="0"/>
    </w:tbl>
    <w:p w14:paraId="12DA82CF" w14:textId="77777777" w:rsidR="00C02865" w:rsidRPr="00A8526E" w:rsidRDefault="00C02865" w:rsidP="00955E0A">
      <w:pPr>
        <w:spacing w:after="200" w:line="276" w:lineRule="auto"/>
        <w:rPr>
          <w:rFonts w:cs="Arial"/>
        </w:rPr>
      </w:pPr>
    </w:p>
    <w:p w14:paraId="63D90495" w14:textId="060BD246" w:rsidR="005E4A49" w:rsidRPr="00A8526E" w:rsidRDefault="005E4A49">
      <w:pPr>
        <w:spacing w:after="200" w:line="276" w:lineRule="auto"/>
        <w:rPr>
          <w:rFonts w:cs="Arial"/>
        </w:rPr>
      </w:pPr>
    </w:p>
    <w:sectPr w:rsidR="005E4A49" w:rsidRPr="00A8526E" w:rsidSect="00D3263C">
      <w:footerReference w:type="default" r:id="rId11"/>
      <w:headerReference w:type="first" r:id="rId12"/>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5AF3" w14:textId="77777777" w:rsidR="00EC1539" w:rsidRDefault="00EC1539" w:rsidP="0093247A">
      <w:r>
        <w:separator/>
      </w:r>
    </w:p>
  </w:endnote>
  <w:endnote w:type="continuationSeparator" w:id="0">
    <w:p w14:paraId="04396704" w14:textId="77777777" w:rsidR="00EC1539" w:rsidRDefault="00EC1539"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4FC2187D"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18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1869">
              <w:rPr>
                <w:b/>
                <w:bCs/>
                <w:noProof/>
              </w:rPr>
              <w:t>7</w:t>
            </w:r>
            <w:r>
              <w:rPr>
                <w:b/>
                <w:bCs/>
                <w:szCs w:val="24"/>
              </w:rPr>
              <w:fldChar w:fldCharType="end"/>
            </w:r>
          </w:p>
        </w:sdtContent>
      </w:sdt>
    </w:sdtContent>
  </w:sdt>
  <w:p w14:paraId="64324681" w14:textId="77777777" w:rsidR="00C33734" w:rsidRDefault="00C3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919D" w14:textId="77777777" w:rsidR="00EC1539" w:rsidRDefault="00EC1539" w:rsidP="0093247A">
      <w:r>
        <w:separator/>
      </w:r>
    </w:p>
  </w:footnote>
  <w:footnote w:type="continuationSeparator" w:id="0">
    <w:p w14:paraId="44242147" w14:textId="77777777" w:rsidR="00EC1539" w:rsidRDefault="00EC1539"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39F7" w14:textId="77777777" w:rsidR="00C33734" w:rsidRDefault="00C33734">
    <w:pPr>
      <w:pStyle w:val="Header"/>
    </w:pPr>
    <w:r>
      <w:rPr>
        <w:noProof/>
        <w:lang w:eastAsia="en-GB"/>
      </w:rPr>
      <w:drawing>
        <wp:anchor distT="0" distB="0" distL="114300" distR="114300" simplePos="0" relativeHeight="251659264" behindDoc="1" locked="0" layoutInCell="1" allowOverlap="1" wp14:anchorId="1B054FF3" wp14:editId="35D8D2C7">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A8A"/>
    <w:multiLevelType w:val="hybridMultilevel"/>
    <w:tmpl w:val="83BC3A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A8C79A9"/>
    <w:multiLevelType w:val="hybridMultilevel"/>
    <w:tmpl w:val="343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4614C"/>
    <w:multiLevelType w:val="hybridMultilevel"/>
    <w:tmpl w:val="DDD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F73EF"/>
    <w:multiLevelType w:val="hybridMultilevel"/>
    <w:tmpl w:val="9E2A25D4"/>
    <w:lvl w:ilvl="0" w:tplc="9AA64284">
      <w:numFmt w:val="bullet"/>
      <w:lvlText w:val=""/>
      <w:lvlJc w:val="left"/>
      <w:pPr>
        <w:ind w:left="940" w:hanging="360"/>
      </w:pPr>
      <w:rPr>
        <w:rFonts w:ascii="Symbol" w:eastAsia="Symbol" w:hAnsi="Symbol" w:cs="Symbol" w:hint="default"/>
        <w:color w:val="auto"/>
        <w:w w:val="100"/>
        <w:sz w:val="22"/>
        <w:szCs w:val="22"/>
        <w:lang w:val="en-GB" w:eastAsia="en-GB" w:bidi="en-GB"/>
      </w:rPr>
    </w:lvl>
    <w:lvl w:ilvl="1" w:tplc="BC30F332">
      <w:numFmt w:val="bullet"/>
      <w:lvlText w:val="•"/>
      <w:lvlJc w:val="left"/>
      <w:pPr>
        <w:ind w:left="1792" w:hanging="360"/>
      </w:pPr>
      <w:rPr>
        <w:rFonts w:hint="default"/>
        <w:lang w:val="en-GB" w:eastAsia="en-GB" w:bidi="en-GB"/>
      </w:rPr>
    </w:lvl>
    <w:lvl w:ilvl="2" w:tplc="70CCD30A">
      <w:numFmt w:val="bullet"/>
      <w:lvlText w:val="•"/>
      <w:lvlJc w:val="left"/>
      <w:pPr>
        <w:ind w:left="2645" w:hanging="360"/>
      </w:pPr>
      <w:rPr>
        <w:rFonts w:hint="default"/>
        <w:lang w:val="en-GB" w:eastAsia="en-GB" w:bidi="en-GB"/>
      </w:rPr>
    </w:lvl>
    <w:lvl w:ilvl="3" w:tplc="CBB09D8E">
      <w:numFmt w:val="bullet"/>
      <w:lvlText w:val="•"/>
      <w:lvlJc w:val="left"/>
      <w:pPr>
        <w:ind w:left="3497" w:hanging="360"/>
      </w:pPr>
      <w:rPr>
        <w:rFonts w:hint="default"/>
        <w:lang w:val="en-GB" w:eastAsia="en-GB" w:bidi="en-GB"/>
      </w:rPr>
    </w:lvl>
    <w:lvl w:ilvl="4" w:tplc="E8303454">
      <w:numFmt w:val="bullet"/>
      <w:lvlText w:val="•"/>
      <w:lvlJc w:val="left"/>
      <w:pPr>
        <w:ind w:left="4350" w:hanging="360"/>
      </w:pPr>
      <w:rPr>
        <w:rFonts w:hint="default"/>
        <w:lang w:val="en-GB" w:eastAsia="en-GB" w:bidi="en-GB"/>
      </w:rPr>
    </w:lvl>
    <w:lvl w:ilvl="5" w:tplc="F03825BC">
      <w:numFmt w:val="bullet"/>
      <w:lvlText w:val="•"/>
      <w:lvlJc w:val="left"/>
      <w:pPr>
        <w:ind w:left="5203" w:hanging="360"/>
      </w:pPr>
      <w:rPr>
        <w:rFonts w:hint="default"/>
        <w:lang w:val="en-GB" w:eastAsia="en-GB" w:bidi="en-GB"/>
      </w:rPr>
    </w:lvl>
    <w:lvl w:ilvl="6" w:tplc="F8520372">
      <w:numFmt w:val="bullet"/>
      <w:lvlText w:val="•"/>
      <w:lvlJc w:val="left"/>
      <w:pPr>
        <w:ind w:left="6055" w:hanging="360"/>
      </w:pPr>
      <w:rPr>
        <w:rFonts w:hint="default"/>
        <w:lang w:val="en-GB" w:eastAsia="en-GB" w:bidi="en-GB"/>
      </w:rPr>
    </w:lvl>
    <w:lvl w:ilvl="7" w:tplc="6D364454">
      <w:numFmt w:val="bullet"/>
      <w:lvlText w:val="•"/>
      <w:lvlJc w:val="left"/>
      <w:pPr>
        <w:ind w:left="6908" w:hanging="360"/>
      </w:pPr>
      <w:rPr>
        <w:rFonts w:hint="default"/>
        <w:lang w:val="en-GB" w:eastAsia="en-GB" w:bidi="en-GB"/>
      </w:rPr>
    </w:lvl>
    <w:lvl w:ilvl="8" w:tplc="D67E2420">
      <w:numFmt w:val="bullet"/>
      <w:lvlText w:val="•"/>
      <w:lvlJc w:val="left"/>
      <w:pPr>
        <w:ind w:left="7761" w:hanging="360"/>
      </w:pPr>
      <w:rPr>
        <w:rFonts w:hint="default"/>
        <w:lang w:val="en-GB" w:eastAsia="en-GB" w:bidi="en-GB"/>
      </w:rPr>
    </w:lvl>
  </w:abstractNum>
  <w:abstractNum w:abstractNumId="4" w15:restartNumberingAfterBreak="0">
    <w:nsid w:val="3A271E3E"/>
    <w:multiLevelType w:val="hybridMultilevel"/>
    <w:tmpl w:val="E8D0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235C4"/>
    <w:multiLevelType w:val="hybridMultilevel"/>
    <w:tmpl w:val="C920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C1EA6"/>
    <w:multiLevelType w:val="hybridMultilevel"/>
    <w:tmpl w:val="13E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C045D"/>
    <w:multiLevelType w:val="hybridMultilevel"/>
    <w:tmpl w:val="00E23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F5454E"/>
    <w:multiLevelType w:val="hybridMultilevel"/>
    <w:tmpl w:val="24CC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872CF1"/>
    <w:multiLevelType w:val="hybridMultilevel"/>
    <w:tmpl w:val="F81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410BF"/>
    <w:multiLevelType w:val="hybridMultilevel"/>
    <w:tmpl w:val="F0209DA0"/>
    <w:lvl w:ilvl="0" w:tplc="2BE8C7BC">
      <w:start w:val="3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603AD"/>
    <w:multiLevelType w:val="hybridMultilevel"/>
    <w:tmpl w:val="5CF8F6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39342">
    <w:abstractNumId w:val="13"/>
  </w:num>
  <w:num w:numId="2" w16cid:durableId="799760470">
    <w:abstractNumId w:val="12"/>
  </w:num>
  <w:num w:numId="3" w16cid:durableId="31541337">
    <w:abstractNumId w:val="11"/>
  </w:num>
  <w:num w:numId="4" w16cid:durableId="1627351578">
    <w:abstractNumId w:val="2"/>
  </w:num>
  <w:num w:numId="5" w16cid:durableId="1153640304">
    <w:abstractNumId w:val="6"/>
  </w:num>
  <w:num w:numId="6" w16cid:durableId="1664502846">
    <w:abstractNumId w:val="0"/>
  </w:num>
  <w:num w:numId="7" w16cid:durableId="1175919712">
    <w:abstractNumId w:val="10"/>
  </w:num>
  <w:num w:numId="8" w16cid:durableId="1845702129">
    <w:abstractNumId w:val="5"/>
  </w:num>
  <w:num w:numId="9" w16cid:durableId="204760503">
    <w:abstractNumId w:val="8"/>
  </w:num>
  <w:num w:numId="10" w16cid:durableId="771242200">
    <w:abstractNumId w:val="1"/>
  </w:num>
  <w:num w:numId="11" w16cid:durableId="1258176573">
    <w:abstractNumId w:val="4"/>
  </w:num>
  <w:num w:numId="12" w16cid:durableId="1121999986">
    <w:abstractNumId w:val="3"/>
  </w:num>
  <w:num w:numId="13" w16cid:durableId="2042851499">
    <w:abstractNumId w:val="9"/>
  </w:num>
  <w:num w:numId="14" w16cid:durableId="1698921712">
    <w:abstractNumId w:val="7"/>
  </w:num>
  <w:num w:numId="15" w16cid:durableId="823619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C"/>
    <w:rsid w:val="0000752E"/>
    <w:rsid w:val="00021874"/>
    <w:rsid w:val="000230E1"/>
    <w:rsid w:val="00032DDA"/>
    <w:rsid w:val="00044265"/>
    <w:rsid w:val="00057235"/>
    <w:rsid w:val="00087597"/>
    <w:rsid w:val="0009192D"/>
    <w:rsid w:val="00096DD1"/>
    <w:rsid w:val="000C3B8D"/>
    <w:rsid w:val="000D4105"/>
    <w:rsid w:val="000E5719"/>
    <w:rsid w:val="000F5F77"/>
    <w:rsid w:val="00100145"/>
    <w:rsid w:val="00130487"/>
    <w:rsid w:val="00131C35"/>
    <w:rsid w:val="00140D0F"/>
    <w:rsid w:val="00141AB5"/>
    <w:rsid w:val="00156C2E"/>
    <w:rsid w:val="001629B2"/>
    <w:rsid w:val="00163D8D"/>
    <w:rsid w:val="00167CB2"/>
    <w:rsid w:val="001903DC"/>
    <w:rsid w:val="00196D62"/>
    <w:rsid w:val="00197F29"/>
    <w:rsid w:val="001A6F0C"/>
    <w:rsid w:val="001B2160"/>
    <w:rsid w:val="001B4E69"/>
    <w:rsid w:val="001D4A2B"/>
    <w:rsid w:val="001E5FC6"/>
    <w:rsid w:val="001F173C"/>
    <w:rsid w:val="00236D87"/>
    <w:rsid w:val="002728C7"/>
    <w:rsid w:val="00273776"/>
    <w:rsid w:val="002A5F66"/>
    <w:rsid w:val="002B541B"/>
    <w:rsid w:val="002C1871"/>
    <w:rsid w:val="002D2961"/>
    <w:rsid w:val="002D2A34"/>
    <w:rsid w:val="002E0561"/>
    <w:rsid w:val="002E1FE6"/>
    <w:rsid w:val="002E27FE"/>
    <w:rsid w:val="002F3342"/>
    <w:rsid w:val="00305EF4"/>
    <w:rsid w:val="00314D64"/>
    <w:rsid w:val="003367BF"/>
    <w:rsid w:val="00353247"/>
    <w:rsid w:val="00363374"/>
    <w:rsid w:val="00364014"/>
    <w:rsid w:val="0036493F"/>
    <w:rsid w:val="00366360"/>
    <w:rsid w:val="003734C8"/>
    <w:rsid w:val="003A5E26"/>
    <w:rsid w:val="003B68F4"/>
    <w:rsid w:val="003C0A45"/>
    <w:rsid w:val="003D047A"/>
    <w:rsid w:val="003F32A0"/>
    <w:rsid w:val="003F411C"/>
    <w:rsid w:val="0040212F"/>
    <w:rsid w:val="00412A4F"/>
    <w:rsid w:val="004648A9"/>
    <w:rsid w:val="0047153A"/>
    <w:rsid w:val="004819FD"/>
    <w:rsid w:val="004824E1"/>
    <w:rsid w:val="004B611B"/>
    <w:rsid w:val="004C2677"/>
    <w:rsid w:val="004C4016"/>
    <w:rsid w:val="004D1FBB"/>
    <w:rsid w:val="004E65C0"/>
    <w:rsid w:val="00505B2E"/>
    <w:rsid w:val="0051449A"/>
    <w:rsid w:val="00545EA0"/>
    <w:rsid w:val="00546800"/>
    <w:rsid w:val="00586F17"/>
    <w:rsid w:val="005A48C4"/>
    <w:rsid w:val="005B4757"/>
    <w:rsid w:val="005B76F3"/>
    <w:rsid w:val="005C3255"/>
    <w:rsid w:val="005D1C2C"/>
    <w:rsid w:val="005E4A49"/>
    <w:rsid w:val="005F4E85"/>
    <w:rsid w:val="0061213C"/>
    <w:rsid w:val="00627655"/>
    <w:rsid w:val="00633B82"/>
    <w:rsid w:val="00641838"/>
    <w:rsid w:val="0064573F"/>
    <w:rsid w:val="006512C2"/>
    <w:rsid w:val="006552BC"/>
    <w:rsid w:val="00664151"/>
    <w:rsid w:val="00683F83"/>
    <w:rsid w:val="00687D8B"/>
    <w:rsid w:val="006902F4"/>
    <w:rsid w:val="006946BC"/>
    <w:rsid w:val="006D2A64"/>
    <w:rsid w:val="006D4FD9"/>
    <w:rsid w:val="007078CA"/>
    <w:rsid w:val="00717A1B"/>
    <w:rsid w:val="00721419"/>
    <w:rsid w:val="007216FA"/>
    <w:rsid w:val="007402A0"/>
    <w:rsid w:val="007438DC"/>
    <w:rsid w:val="00744E11"/>
    <w:rsid w:val="007712B5"/>
    <w:rsid w:val="00771443"/>
    <w:rsid w:val="007C205E"/>
    <w:rsid w:val="007C400B"/>
    <w:rsid w:val="007C46EE"/>
    <w:rsid w:val="007E43DB"/>
    <w:rsid w:val="00835961"/>
    <w:rsid w:val="00843D33"/>
    <w:rsid w:val="00855788"/>
    <w:rsid w:val="00857AB3"/>
    <w:rsid w:val="00863C0C"/>
    <w:rsid w:val="00863F25"/>
    <w:rsid w:val="008A1487"/>
    <w:rsid w:val="008A1549"/>
    <w:rsid w:val="008A7150"/>
    <w:rsid w:val="009204AA"/>
    <w:rsid w:val="0093247A"/>
    <w:rsid w:val="00933724"/>
    <w:rsid w:val="00934BE7"/>
    <w:rsid w:val="009360AD"/>
    <w:rsid w:val="00937037"/>
    <w:rsid w:val="00943E2B"/>
    <w:rsid w:val="009544D0"/>
    <w:rsid w:val="00955E0A"/>
    <w:rsid w:val="00960F7E"/>
    <w:rsid w:val="00966892"/>
    <w:rsid w:val="00967C7F"/>
    <w:rsid w:val="009A7D7B"/>
    <w:rsid w:val="009D4B32"/>
    <w:rsid w:val="009E30F9"/>
    <w:rsid w:val="00A008D9"/>
    <w:rsid w:val="00A3426A"/>
    <w:rsid w:val="00A34E38"/>
    <w:rsid w:val="00A360C2"/>
    <w:rsid w:val="00A41869"/>
    <w:rsid w:val="00A42635"/>
    <w:rsid w:val="00A539E7"/>
    <w:rsid w:val="00A56480"/>
    <w:rsid w:val="00A613FA"/>
    <w:rsid w:val="00A67C33"/>
    <w:rsid w:val="00A76CC6"/>
    <w:rsid w:val="00A771E9"/>
    <w:rsid w:val="00A8526E"/>
    <w:rsid w:val="00AD5512"/>
    <w:rsid w:val="00B02517"/>
    <w:rsid w:val="00B13C67"/>
    <w:rsid w:val="00B32A39"/>
    <w:rsid w:val="00B43064"/>
    <w:rsid w:val="00B5221E"/>
    <w:rsid w:val="00B5640E"/>
    <w:rsid w:val="00B5772E"/>
    <w:rsid w:val="00B856AD"/>
    <w:rsid w:val="00B875E8"/>
    <w:rsid w:val="00BB5137"/>
    <w:rsid w:val="00BB6A1C"/>
    <w:rsid w:val="00BC2545"/>
    <w:rsid w:val="00BC3185"/>
    <w:rsid w:val="00BC64ED"/>
    <w:rsid w:val="00BD16BA"/>
    <w:rsid w:val="00BF5365"/>
    <w:rsid w:val="00C02865"/>
    <w:rsid w:val="00C1614D"/>
    <w:rsid w:val="00C24160"/>
    <w:rsid w:val="00C26EBA"/>
    <w:rsid w:val="00C33734"/>
    <w:rsid w:val="00C379DD"/>
    <w:rsid w:val="00C40936"/>
    <w:rsid w:val="00C41DB9"/>
    <w:rsid w:val="00C4200B"/>
    <w:rsid w:val="00C46A8D"/>
    <w:rsid w:val="00C51E6E"/>
    <w:rsid w:val="00C62D2D"/>
    <w:rsid w:val="00C74DD3"/>
    <w:rsid w:val="00CC4DF0"/>
    <w:rsid w:val="00CC571F"/>
    <w:rsid w:val="00CD1995"/>
    <w:rsid w:val="00D067E8"/>
    <w:rsid w:val="00D0703F"/>
    <w:rsid w:val="00D238C2"/>
    <w:rsid w:val="00D3263C"/>
    <w:rsid w:val="00D42E50"/>
    <w:rsid w:val="00D51D7B"/>
    <w:rsid w:val="00D60C9D"/>
    <w:rsid w:val="00D64E48"/>
    <w:rsid w:val="00D96FE4"/>
    <w:rsid w:val="00DA21E1"/>
    <w:rsid w:val="00DA6AE2"/>
    <w:rsid w:val="00DC48C2"/>
    <w:rsid w:val="00DD3CD0"/>
    <w:rsid w:val="00E30E4B"/>
    <w:rsid w:val="00E517E2"/>
    <w:rsid w:val="00E7770F"/>
    <w:rsid w:val="00E85412"/>
    <w:rsid w:val="00EA0E4A"/>
    <w:rsid w:val="00EC1539"/>
    <w:rsid w:val="00EC7660"/>
    <w:rsid w:val="00ED33A0"/>
    <w:rsid w:val="00EE4698"/>
    <w:rsid w:val="00EE4CCB"/>
    <w:rsid w:val="00F11FEC"/>
    <w:rsid w:val="00F152B6"/>
    <w:rsid w:val="00F20D27"/>
    <w:rsid w:val="00F2473A"/>
    <w:rsid w:val="00F3251D"/>
    <w:rsid w:val="00F4074F"/>
    <w:rsid w:val="00F91780"/>
    <w:rsid w:val="00FA46BF"/>
    <w:rsid w:val="00FB5FD4"/>
    <w:rsid w:val="00FC50C7"/>
    <w:rsid w:val="00FC51BC"/>
    <w:rsid w:val="00FC760B"/>
    <w:rsid w:val="00FD2402"/>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1929"/>
  <w15:docId w15:val="{86426D93-D972-4F65-AB40-554D390A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CommentReference">
    <w:name w:val="annotation reference"/>
    <w:basedOn w:val="DefaultParagraphFont"/>
    <w:uiPriority w:val="99"/>
    <w:semiHidden/>
    <w:unhideWhenUsed/>
    <w:rsid w:val="00C40936"/>
    <w:rPr>
      <w:sz w:val="16"/>
      <w:szCs w:val="16"/>
    </w:rPr>
  </w:style>
  <w:style w:type="paragraph" w:styleId="CommentText">
    <w:name w:val="annotation text"/>
    <w:basedOn w:val="Normal"/>
    <w:link w:val="CommentTextChar"/>
    <w:uiPriority w:val="99"/>
    <w:semiHidden/>
    <w:unhideWhenUsed/>
    <w:rsid w:val="00C40936"/>
    <w:rPr>
      <w:sz w:val="20"/>
    </w:rPr>
  </w:style>
  <w:style w:type="character" w:customStyle="1" w:styleId="CommentTextChar">
    <w:name w:val="Comment Text Char"/>
    <w:basedOn w:val="DefaultParagraphFont"/>
    <w:link w:val="CommentText"/>
    <w:uiPriority w:val="99"/>
    <w:semiHidden/>
    <w:rsid w:val="00C409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0936"/>
    <w:rPr>
      <w:b/>
      <w:bCs/>
    </w:rPr>
  </w:style>
  <w:style w:type="character" w:customStyle="1" w:styleId="CommentSubjectChar">
    <w:name w:val="Comment Subject Char"/>
    <w:basedOn w:val="CommentTextChar"/>
    <w:link w:val="CommentSubject"/>
    <w:uiPriority w:val="99"/>
    <w:semiHidden/>
    <w:rsid w:val="00C40936"/>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45EA0"/>
    <w:rPr>
      <w:color w:val="605E5C"/>
      <w:shd w:val="clear" w:color="auto" w:fill="E1DFDD"/>
    </w:rPr>
  </w:style>
  <w:style w:type="paragraph" w:styleId="BodyText">
    <w:name w:val="Body Text"/>
    <w:basedOn w:val="Normal"/>
    <w:link w:val="BodyTextChar"/>
    <w:uiPriority w:val="1"/>
    <w:qFormat/>
    <w:rsid w:val="00A539E7"/>
    <w:pPr>
      <w:widowControl w:val="0"/>
      <w:autoSpaceDE w:val="0"/>
      <w:autoSpaceDN w:val="0"/>
      <w:ind w:left="220"/>
    </w:pPr>
    <w:rPr>
      <w:rFonts w:eastAsia="Arial" w:cs="Arial"/>
      <w:sz w:val="22"/>
      <w:szCs w:val="22"/>
      <w:lang w:eastAsia="en-GB" w:bidi="en-GB"/>
    </w:rPr>
  </w:style>
  <w:style w:type="character" w:customStyle="1" w:styleId="BodyTextChar">
    <w:name w:val="Body Text Char"/>
    <w:basedOn w:val="DefaultParagraphFont"/>
    <w:link w:val="BodyText"/>
    <w:uiPriority w:val="1"/>
    <w:rsid w:val="00A539E7"/>
    <w:rPr>
      <w:rFonts w:ascii="Arial" w:eastAsia="Arial" w:hAnsi="Arial" w:cs="Arial"/>
      <w:lang w:eastAsia="en-GB" w:bidi="en-GB"/>
    </w:rPr>
  </w:style>
  <w:style w:type="paragraph" w:styleId="Revision">
    <w:name w:val="Revision"/>
    <w:hidden/>
    <w:uiPriority w:val="99"/>
    <w:semiHidden/>
    <w:rsid w:val="00100145"/>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178883760">
      <w:bodyDiv w:val="1"/>
      <w:marLeft w:val="0"/>
      <w:marRight w:val="0"/>
      <w:marTop w:val="0"/>
      <w:marBottom w:val="0"/>
      <w:divBdr>
        <w:top w:val="none" w:sz="0" w:space="0" w:color="auto"/>
        <w:left w:val="none" w:sz="0" w:space="0" w:color="auto"/>
        <w:bottom w:val="none" w:sz="0" w:space="0" w:color="auto"/>
        <w:right w:val="none" w:sz="0" w:space="0" w:color="auto"/>
      </w:divBdr>
      <w:divsChild>
        <w:div w:id="771364079">
          <w:marLeft w:val="0"/>
          <w:marRight w:val="0"/>
          <w:marTop w:val="0"/>
          <w:marBottom w:val="0"/>
          <w:divBdr>
            <w:top w:val="none" w:sz="0" w:space="0" w:color="auto"/>
            <w:left w:val="none" w:sz="0" w:space="0" w:color="auto"/>
            <w:bottom w:val="none" w:sz="0" w:space="0" w:color="auto"/>
            <w:right w:val="none" w:sz="0" w:space="0" w:color="auto"/>
          </w:divBdr>
        </w:div>
        <w:div w:id="963578385">
          <w:marLeft w:val="0"/>
          <w:marRight w:val="0"/>
          <w:marTop w:val="0"/>
          <w:marBottom w:val="0"/>
          <w:divBdr>
            <w:top w:val="none" w:sz="0" w:space="0" w:color="auto"/>
            <w:left w:val="none" w:sz="0" w:space="0" w:color="auto"/>
            <w:bottom w:val="none" w:sz="0" w:space="0" w:color="auto"/>
            <w:right w:val="none" w:sz="0" w:space="0" w:color="auto"/>
          </w:divBdr>
        </w:div>
      </w:divsChild>
    </w:div>
    <w:div w:id="1259288206">
      <w:bodyDiv w:val="1"/>
      <w:marLeft w:val="0"/>
      <w:marRight w:val="0"/>
      <w:marTop w:val="0"/>
      <w:marBottom w:val="0"/>
      <w:divBdr>
        <w:top w:val="none" w:sz="0" w:space="0" w:color="auto"/>
        <w:left w:val="none" w:sz="0" w:space="0" w:color="auto"/>
        <w:bottom w:val="none" w:sz="0" w:space="0" w:color="auto"/>
        <w:right w:val="none" w:sz="0" w:space="0" w:color="auto"/>
      </w:divBdr>
    </w:div>
    <w:div w:id="1361473598">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666401083">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F07BBA4C32747A15C94A1B6B20E61" ma:contentTypeVersion="17" ma:contentTypeDescription="Create a new document." ma:contentTypeScope="" ma:versionID="067e90d6dec8daa995545611b09ef784">
  <xsd:schema xmlns:xsd="http://www.w3.org/2001/XMLSchema" xmlns:xs="http://www.w3.org/2001/XMLSchema" xmlns:p="http://schemas.microsoft.com/office/2006/metadata/properties" xmlns:ns1="http://schemas.microsoft.com/sharepoint/v3" xmlns:ns2="759a7e0b-9261-457a-9c56-2c68f0ee3d52" xmlns:ns3="87944eae-7365-4af5-9066-e309bbb6050e" xmlns:ns4="cccaf3ac-2de9-44d4-aa31-54302fceb5f7" targetNamespace="http://schemas.microsoft.com/office/2006/metadata/properties" ma:root="true" ma:fieldsID="a0d07dd18113253b1896ed0f17c94e7d" ns1:_="" ns2:_="" ns3:_="" ns4:_="">
    <xsd:import namespace="http://schemas.microsoft.com/sharepoint/v3"/>
    <xsd:import namespace="759a7e0b-9261-457a-9c56-2c68f0ee3d52"/>
    <xsd:import namespace="87944eae-7365-4af5-9066-e309bbb6050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a7e0b-9261-457a-9c56-2c68f0ee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44eae-7365-4af5-9066-e309bbb60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5dc3e0-006b-4a14-8025-d1713a9ddaf9}" ma:internalName="TaxCatchAll" ma:showField="CatchAllData" ma:web="87944eae-7365-4af5-9066-e309bbb60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759a7e0b-9261-457a-9c56-2c68f0ee3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134015-8769-4FEC-8B60-1C68FB88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a7e0b-9261-457a-9c56-2c68f0ee3d52"/>
    <ds:schemaRef ds:uri="87944eae-7365-4af5-9066-e309bbb6050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47F26-977A-440C-80A4-D091DB8A231A}">
  <ds:schemaRefs>
    <ds:schemaRef ds:uri="http://schemas.openxmlformats.org/officeDocument/2006/bibliography"/>
  </ds:schemaRefs>
</ds:datastoreItem>
</file>

<file path=customXml/itemProps3.xml><?xml version="1.0" encoding="utf-8"?>
<ds:datastoreItem xmlns:ds="http://schemas.openxmlformats.org/officeDocument/2006/customXml" ds:itemID="{13003380-CA50-46ED-9347-C11DAEE71047}">
  <ds:schemaRefs>
    <ds:schemaRef ds:uri="http://schemas.microsoft.com/sharepoint/v3/contenttype/forms"/>
  </ds:schemaRefs>
</ds:datastoreItem>
</file>

<file path=customXml/itemProps4.xml><?xml version="1.0" encoding="utf-8"?>
<ds:datastoreItem xmlns:ds="http://schemas.openxmlformats.org/officeDocument/2006/customXml" ds:itemID="{1F22C64E-0158-41CA-A17A-9FAFD1540421}">
  <ds:schemaRefs>
    <ds:schemaRef ds:uri="http://schemas.microsoft.com/office/2006/metadata/properties"/>
    <ds:schemaRef ds:uri="http://schemas.microsoft.com/office/infopath/2007/PartnerControls"/>
    <ds:schemaRef ds:uri="http://schemas.microsoft.com/sharepoint/v3"/>
    <ds:schemaRef ds:uri="cccaf3ac-2de9-44d4-aa31-54302fceb5f7"/>
    <ds:schemaRef ds:uri="759a7e0b-9261-457a-9c56-2c68f0ee3d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Morley Hannah (NHS SCWCSU)</dc:creator>
  <dc:description>Template approved JG 13102020</dc:description>
  <cp:lastModifiedBy>ROGERS, Rebecca (NHS SOUTH, CENTRAL AND WEST COMMISSIONING SUPPORT UNIT)</cp:lastModifiedBy>
  <cp:revision>2</cp:revision>
  <cp:lastPrinted>2019-07-15T11:24:00Z</cp:lastPrinted>
  <dcterms:created xsi:type="dcterms:W3CDTF">2022-09-26T10:40:00Z</dcterms:created>
  <dcterms:modified xsi:type="dcterms:W3CDTF">2022-09-26T10:40:00Z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0x01010090DF07BBA4C32747A15C94A1B6B20E61</vt:lpwstr>
  </property>
  <property fmtid="{D5CDD505-2E9C-101B-9397-08002B2CF9AE}" pid="3" name="MediaServiceImageTags">
    <vt:lpwstr/>
  </property>
</Properties>
</file>