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058359"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27398784" wp14:editId="651099C2">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1864360" cy="1555750"/>
                    </a:xfrm>
                    <a:prstGeom prst="rect">
                      <a:avLst/>
                    </a:prstGeom>
                    <a:ln/>
                  </pic:spPr>
                </pic:pic>
              </a:graphicData>
            </a:graphic>
          </wp:inline>
        </w:drawing>
      </w:r>
    </w:p>
    <w:p w14:paraId="278CB74A" w14:textId="77777777" w:rsidR="00076044" w:rsidRDefault="00076044">
      <w:pPr>
        <w:rPr>
          <w:rFonts w:ascii="Helvetica Neue" w:eastAsia="Helvetica Neue" w:hAnsi="Helvetica Neue" w:cs="Helvetica Neue"/>
        </w:rPr>
      </w:pPr>
      <w:bookmarkStart w:id="1" w:name="_khslhe1gc958" w:colFirst="0" w:colLast="0"/>
      <w:bookmarkEnd w:id="1"/>
    </w:p>
    <w:p w14:paraId="5C605012" w14:textId="77777777" w:rsidR="00076044" w:rsidRDefault="00076044">
      <w:pPr>
        <w:rPr>
          <w:rFonts w:ascii="Helvetica Neue" w:eastAsia="Helvetica Neue" w:hAnsi="Helvetica Neue" w:cs="Helvetica Neue"/>
        </w:rPr>
      </w:pPr>
      <w:bookmarkStart w:id="2" w:name="_l7sjvzoewjoa" w:colFirst="0" w:colLast="0"/>
      <w:bookmarkEnd w:id="2"/>
    </w:p>
    <w:p w14:paraId="75ECB999"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599147A" w14:textId="77777777" w:rsidR="00076044" w:rsidRDefault="00076044">
      <w:pPr>
        <w:rPr>
          <w:rFonts w:ascii="Helvetica Neue" w:eastAsia="Helvetica Neue" w:hAnsi="Helvetica Neue" w:cs="Helvetica Neue"/>
          <w:sz w:val="28"/>
          <w:szCs w:val="28"/>
        </w:rPr>
      </w:pPr>
      <w:bookmarkStart w:id="3" w:name="_1tyvnkwbo1qo" w:colFirst="0" w:colLast="0"/>
      <w:bookmarkEnd w:id="3"/>
    </w:p>
    <w:p w14:paraId="2CB34365" w14:textId="77777777" w:rsidR="00076044" w:rsidRDefault="00076044">
      <w:pPr>
        <w:rPr>
          <w:rFonts w:ascii="Helvetica Neue" w:eastAsia="Helvetica Neue" w:hAnsi="Helvetica Neue" w:cs="Helvetica Neue"/>
          <w:sz w:val="28"/>
          <w:szCs w:val="28"/>
        </w:rPr>
      </w:pPr>
      <w:bookmarkStart w:id="4" w:name="_sb4n61ohsx6l" w:colFirst="0" w:colLast="0"/>
      <w:bookmarkEnd w:id="4"/>
    </w:p>
    <w:p w14:paraId="742D4092" w14:textId="77777777" w:rsidR="00076044" w:rsidRDefault="004B26D3">
      <w:pPr>
        <w:rPr>
          <w:rFonts w:ascii="Helvetica Neue" w:eastAsia="Helvetica Neue" w:hAnsi="Helvetica Neue" w:cs="Helvetica Neue"/>
        </w:rPr>
      </w:pPr>
      <w:bookmarkStart w:id="5" w:name="_rku14i3pj6m5" w:colFirst="0" w:colLast="0"/>
      <w:bookmarkEnd w:id="5"/>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14:paraId="07131ACD" w14:textId="77777777" w:rsidR="00076044" w:rsidRDefault="004B26D3">
          <w:pPr>
            <w:tabs>
              <w:tab w:val="right" w:pos="10629"/>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56kxac515ty5">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_56kxac515ty5 \h </w:instrText>
          </w:r>
          <w:r>
            <w:fldChar w:fldCharType="separate"/>
          </w:r>
          <w:r w:rsidR="00617F16">
            <w:rPr>
              <w:noProof/>
            </w:rPr>
            <w:t>2</w:t>
          </w:r>
          <w:r>
            <w:fldChar w:fldCharType="end"/>
          </w:r>
        </w:p>
        <w:p w14:paraId="02F7E465" w14:textId="77777777" w:rsidR="00076044" w:rsidRDefault="00B3638B">
          <w:pPr>
            <w:tabs>
              <w:tab w:val="right" w:pos="10629"/>
            </w:tabs>
            <w:spacing w:before="200" w:line="240" w:lineRule="auto"/>
            <w:rPr>
              <w:rFonts w:ascii="Helvetica Neue" w:eastAsia="Helvetica Neue" w:hAnsi="Helvetica Neue" w:cs="Helvetica Neue"/>
            </w:rPr>
          </w:pPr>
          <w:hyperlink w:anchor="_cv1yk8c1mek8">
            <w:r w:rsidR="004B26D3">
              <w:rPr>
                <w:rFonts w:ascii="Helvetica Neue" w:eastAsia="Helvetica Neue" w:hAnsi="Helvetica Neue" w:cs="Helvetica Neue"/>
                <w:b/>
              </w:rPr>
              <w:t>Schedule 1 - Services</w:t>
            </w:r>
          </w:hyperlink>
          <w:r w:rsidR="004B26D3">
            <w:rPr>
              <w:rFonts w:ascii="Helvetica Neue" w:eastAsia="Helvetica Neue" w:hAnsi="Helvetica Neue" w:cs="Helvetica Neue"/>
              <w:b/>
            </w:rPr>
            <w:tab/>
          </w:r>
          <w:r w:rsidR="004B26D3">
            <w:fldChar w:fldCharType="begin"/>
          </w:r>
          <w:r w:rsidR="004B26D3">
            <w:instrText xml:space="preserve"> PAGEREF _cv1yk8c1mek8 \h </w:instrText>
          </w:r>
          <w:r w:rsidR="004B26D3">
            <w:fldChar w:fldCharType="separate"/>
          </w:r>
          <w:r w:rsidR="00617F16">
            <w:rPr>
              <w:noProof/>
            </w:rPr>
            <w:t>14</w:t>
          </w:r>
          <w:r w:rsidR="004B26D3">
            <w:fldChar w:fldCharType="end"/>
          </w:r>
        </w:p>
        <w:p w14:paraId="7B01B9D3" w14:textId="77777777" w:rsidR="00076044" w:rsidRDefault="00B3638B">
          <w:pPr>
            <w:tabs>
              <w:tab w:val="right" w:pos="10629"/>
            </w:tabs>
            <w:spacing w:before="200" w:line="240" w:lineRule="auto"/>
            <w:rPr>
              <w:rFonts w:ascii="Helvetica Neue" w:eastAsia="Helvetica Neue" w:hAnsi="Helvetica Neue" w:cs="Helvetica Neue"/>
            </w:rPr>
          </w:pPr>
          <w:hyperlink w:anchor="_mi4cqc22ysv">
            <w:r w:rsidR="004B26D3">
              <w:rPr>
                <w:rFonts w:ascii="Helvetica Neue" w:eastAsia="Helvetica Neue" w:hAnsi="Helvetica Neue" w:cs="Helvetica Neue"/>
                <w:b/>
              </w:rPr>
              <w:t>Schedule 2 - Call-Off Contract charges</w:t>
            </w:r>
          </w:hyperlink>
          <w:r w:rsidR="004B26D3">
            <w:rPr>
              <w:rFonts w:ascii="Helvetica Neue" w:eastAsia="Helvetica Neue" w:hAnsi="Helvetica Neue" w:cs="Helvetica Neue"/>
              <w:b/>
            </w:rPr>
            <w:tab/>
          </w:r>
          <w:r w:rsidR="004B26D3">
            <w:fldChar w:fldCharType="begin"/>
          </w:r>
          <w:r w:rsidR="004B26D3">
            <w:instrText xml:space="preserve"> PAGEREF _mi4cqc22ysv \h </w:instrText>
          </w:r>
          <w:r w:rsidR="004B26D3">
            <w:fldChar w:fldCharType="separate"/>
          </w:r>
          <w:r w:rsidR="00617F16">
            <w:rPr>
              <w:noProof/>
            </w:rPr>
            <w:t>16</w:t>
          </w:r>
          <w:r w:rsidR="004B26D3">
            <w:fldChar w:fldCharType="end"/>
          </w:r>
        </w:p>
        <w:p w14:paraId="0C42CA45" w14:textId="77777777" w:rsidR="00076044" w:rsidRDefault="00B3638B">
          <w:pPr>
            <w:tabs>
              <w:tab w:val="right" w:pos="10629"/>
            </w:tabs>
            <w:spacing w:before="200" w:line="240" w:lineRule="auto"/>
            <w:rPr>
              <w:rFonts w:ascii="Helvetica Neue" w:eastAsia="Helvetica Neue" w:hAnsi="Helvetica Neue" w:cs="Helvetica Neue"/>
            </w:rPr>
          </w:pPr>
          <w:hyperlink w:anchor="_on10w3898fso">
            <w:r w:rsidR="004B26D3">
              <w:rPr>
                <w:rFonts w:ascii="Helvetica Neue" w:eastAsia="Helvetica Neue" w:hAnsi="Helvetica Neue" w:cs="Helvetica Neue"/>
                <w:b/>
              </w:rPr>
              <w:t>Part B - Terms and conditions</w:t>
            </w:r>
          </w:hyperlink>
          <w:r w:rsidR="004B26D3">
            <w:rPr>
              <w:rFonts w:ascii="Helvetica Neue" w:eastAsia="Helvetica Neue" w:hAnsi="Helvetica Neue" w:cs="Helvetica Neue"/>
              <w:b/>
            </w:rPr>
            <w:tab/>
          </w:r>
          <w:r w:rsidR="004B26D3">
            <w:fldChar w:fldCharType="begin"/>
          </w:r>
          <w:r w:rsidR="004B26D3">
            <w:instrText xml:space="preserve"> PAGEREF _on10w3898fso \h </w:instrText>
          </w:r>
          <w:r w:rsidR="004B26D3">
            <w:fldChar w:fldCharType="separate"/>
          </w:r>
          <w:r w:rsidR="00617F16">
            <w:rPr>
              <w:noProof/>
            </w:rPr>
            <w:t>16</w:t>
          </w:r>
          <w:r w:rsidR="004B26D3">
            <w:fldChar w:fldCharType="end"/>
          </w:r>
        </w:p>
        <w:p w14:paraId="795671C9" w14:textId="77777777" w:rsidR="00076044" w:rsidRDefault="00B3638B">
          <w:pPr>
            <w:tabs>
              <w:tab w:val="right" w:pos="10629"/>
            </w:tabs>
            <w:spacing w:before="200" w:line="240" w:lineRule="auto"/>
            <w:rPr>
              <w:rFonts w:ascii="Helvetica Neue" w:eastAsia="Helvetica Neue" w:hAnsi="Helvetica Neue" w:cs="Helvetica Neue"/>
            </w:rPr>
          </w:pPr>
          <w:hyperlink w:anchor="_sz1ppi95pvt0">
            <w:r w:rsidR="004B26D3">
              <w:rPr>
                <w:rFonts w:ascii="Helvetica Neue" w:eastAsia="Helvetica Neue" w:hAnsi="Helvetica Neue" w:cs="Helvetica Neue"/>
                <w:b/>
              </w:rPr>
              <w:t>Schedule 3 - Collaboration agreement</w:t>
            </w:r>
          </w:hyperlink>
          <w:r w:rsidR="004B26D3">
            <w:rPr>
              <w:rFonts w:ascii="Helvetica Neue" w:eastAsia="Helvetica Neue" w:hAnsi="Helvetica Neue" w:cs="Helvetica Neue"/>
              <w:b/>
            </w:rPr>
            <w:tab/>
          </w:r>
          <w:r w:rsidR="004B26D3">
            <w:fldChar w:fldCharType="begin"/>
          </w:r>
          <w:r w:rsidR="004B26D3">
            <w:instrText xml:space="preserve"> PAGEREF _sz1ppi95pvt0 \h </w:instrText>
          </w:r>
          <w:r w:rsidR="004B26D3">
            <w:fldChar w:fldCharType="separate"/>
          </w:r>
          <w:r w:rsidR="00617F16">
            <w:rPr>
              <w:noProof/>
            </w:rPr>
            <w:t>35</w:t>
          </w:r>
          <w:r w:rsidR="004B26D3">
            <w:fldChar w:fldCharType="end"/>
          </w:r>
        </w:p>
        <w:p w14:paraId="0458191E" w14:textId="77777777" w:rsidR="00076044" w:rsidRDefault="00B3638B">
          <w:pPr>
            <w:tabs>
              <w:tab w:val="right" w:pos="10629"/>
            </w:tabs>
            <w:spacing w:before="200" w:line="240" w:lineRule="auto"/>
            <w:rPr>
              <w:rFonts w:ascii="Helvetica Neue" w:eastAsia="Helvetica Neue" w:hAnsi="Helvetica Neue" w:cs="Helvetica Neue"/>
            </w:rPr>
          </w:pPr>
          <w:hyperlink w:anchor="_iz3oef672jgx">
            <w:r w:rsidR="004B26D3">
              <w:rPr>
                <w:rFonts w:ascii="Helvetica Neue" w:eastAsia="Helvetica Neue" w:hAnsi="Helvetica Neue" w:cs="Helvetica Neue"/>
                <w:b/>
              </w:rPr>
              <w:t>Schedule 4 - Alternative clauses</w:t>
            </w:r>
          </w:hyperlink>
          <w:r w:rsidR="004B26D3">
            <w:rPr>
              <w:rFonts w:ascii="Helvetica Neue" w:eastAsia="Helvetica Neue" w:hAnsi="Helvetica Neue" w:cs="Helvetica Neue"/>
              <w:b/>
            </w:rPr>
            <w:tab/>
          </w:r>
          <w:r w:rsidR="004B26D3">
            <w:fldChar w:fldCharType="begin"/>
          </w:r>
          <w:r w:rsidR="004B26D3">
            <w:instrText xml:space="preserve"> PAGEREF _iz3oef672jgx \h </w:instrText>
          </w:r>
          <w:r w:rsidR="004B26D3">
            <w:fldChar w:fldCharType="separate"/>
          </w:r>
          <w:r w:rsidR="00617F16">
            <w:rPr>
              <w:noProof/>
            </w:rPr>
            <w:t>35</w:t>
          </w:r>
          <w:r w:rsidR="004B26D3">
            <w:fldChar w:fldCharType="end"/>
          </w:r>
        </w:p>
        <w:p w14:paraId="42C8595B" w14:textId="77777777" w:rsidR="00076044" w:rsidRDefault="00B3638B">
          <w:pPr>
            <w:tabs>
              <w:tab w:val="right" w:pos="10629"/>
            </w:tabs>
            <w:spacing w:before="200" w:line="240" w:lineRule="auto"/>
            <w:rPr>
              <w:rFonts w:ascii="Helvetica Neue" w:eastAsia="Helvetica Neue" w:hAnsi="Helvetica Neue" w:cs="Helvetica Neue"/>
            </w:rPr>
          </w:pPr>
          <w:hyperlink w:anchor="_lkwoqmwlexpr">
            <w:r w:rsidR="004B26D3">
              <w:rPr>
                <w:rFonts w:ascii="Helvetica Neue" w:eastAsia="Helvetica Neue" w:hAnsi="Helvetica Neue" w:cs="Helvetica Neue"/>
                <w:b/>
              </w:rPr>
              <w:t>Schedule 5 - Guarantee</w:t>
            </w:r>
          </w:hyperlink>
          <w:r w:rsidR="004B26D3">
            <w:rPr>
              <w:rFonts w:ascii="Helvetica Neue" w:eastAsia="Helvetica Neue" w:hAnsi="Helvetica Neue" w:cs="Helvetica Neue"/>
              <w:b/>
            </w:rPr>
            <w:tab/>
          </w:r>
          <w:r w:rsidR="004B26D3">
            <w:fldChar w:fldCharType="begin"/>
          </w:r>
          <w:r w:rsidR="004B26D3">
            <w:instrText xml:space="preserve"> PAGEREF _lkwoqmwlexpr \h </w:instrText>
          </w:r>
          <w:r w:rsidR="004B26D3">
            <w:fldChar w:fldCharType="separate"/>
          </w:r>
          <w:r w:rsidR="00617F16">
            <w:rPr>
              <w:noProof/>
            </w:rPr>
            <w:t>35</w:t>
          </w:r>
          <w:r w:rsidR="004B26D3">
            <w:fldChar w:fldCharType="end"/>
          </w:r>
        </w:p>
        <w:p w14:paraId="1B18E083" w14:textId="77777777" w:rsidR="00076044" w:rsidRDefault="00B3638B">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rPr>
              <w:t>Schedule 6 - Glossary and interpretations</w:t>
            </w:r>
          </w:hyperlink>
          <w:r w:rsidR="004B26D3">
            <w:rPr>
              <w:rFonts w:ascii="Helvetica Neue" w:eastAsia="Helvetica Neue" w:hAnsi="Helvetica Neue" w:cs="Helvetica Neue"/>
              <w:b/>
            </w:rPr>
            <w:tab/>
          </w:r>
          <w:r w:rsidR="004B26D3">
            <w:fldChar w:fldCharType="begin"/>
          </w:r>
          <w:r w:rsidR="004B26D3">
            <w:instrText xml:space="preserve"> PAGEREF _3isya5h4h0ui \h </w:instrText>
          </w:r>
          <w:r w:rsidR="004B26D3">
            <w:fldChar w:fldCharType="separate"/>
          </w:r>
          <w:r w:rsidR="00617F16">
            <w:rPr>
              <w:noProof/>
            </w:rPr>
            <w:t>35</w:t>
          </w:r>
          <w:r w:rsidR="004B26D3">
            <w:fldChar w:fldCharType="end"/>
          </w:r>
          <w:r w:rsidR="004B26D3">
            <w:fldChar w:fldCharType="end"/>
          </w:r>
        </w:p>
      </w:sdtContent>
    </w:sdt>
    <w:p w14:paraId="2469BD03" w14:textId="77777777" w:rsidR="00076044" w:rsidRDefault="00076044">
      <w:pPr>
        <w:rPr>
          <w:rFonts w:ascii="Helvetica Neue" w:eastAsia="Helvetica Neue" w:hAnsi="Helvetica Neue" w:cs="Helvetica Neue"/>
        </w:rPr>
      </w:pPr>
      <w:bookmarkStart w:id="6" w:name="_8kby7l3zx4q9" w:colFirst="0" w:colLast="0"/>
      <w:bookmarkEnd w:id="6"/>
    </w:p>
    <w:p w14:paraId="0784D125" w14:textId="77777777" w:rsidR="00076044" w:rsidRDefault="00076044">
      <w:pPr>
        <w:rPr>
          <w:rFonts w:ascii="Helvetica Neue" w:eastAsia="Helvetica Neue" w:hAnsi="Helvetica Neue" w:cs="Helvetica Neue"/>
        </w:rPr>
      </w:pPr>
      <w:bookmarkStart w:id="7" w:name="_8ikrf6tkvcqn" w:colFirst="0" w:colLast="0"/>
      <w:bookmarkEnd w:id="7"/>
    </w:p>
    <w:p w14:paraId="0D581CA3" w14:textId="77777777"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14:paraId="084F426E" w14:textId="77777777" w:rsidR="00076044" w:rsidRDefault="004B26D3">
      <w:r>
        <w:br w:type="page"/>
      </w:r>
    </w:p>
    <w:p w14:paraId="63B425B0" w14:textId="77777777"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lastRenderedPageBreak/>
        <w:t xml:space="preserve">Part </w:t>
      </w:r>
      <w:proofErr w:type="gramStart"/>
      <w:r>
        <w:rPr>
          <w:rFonts w:ascii="Helvetica Neue" w:eastAsia="Helvetica Neue" w:hAnsi="Helvetica Neue" w:cs="Helvetica Neue"/>
          <w:sz w:val="36"/>
          <w:szCs w:val="36"/>
        </w:rPr>
        <w:t>A</w:t>
      </w:r>
      <w:proofErr w:type="gramEnd"/>
      <w:r>
        <w:rPr>
          <w:rFonts w:ascii="Helvetica Neue" w:eastAsia="Helvetica Neue" w:hAnsi="Helvetica Neue" w:cs="Helvetica Neue"/>
          <w:sz w:val="36"/>
          <w:szCs w:val="36"/>
        </w:rPr>
        <w:t xml:space="preserve">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14:paraId="4B79E0A6" w14:textId="77777777">
        <w:tc>
          <w:tcPr>
            <w:tcW w:w="5315" w:type="dxa"/>
            <w:tcMar>
              <w:top w:w="100" w:type="dxa"/>
              <w:left w:w="100" w:type="dxa"/>
              <w:bottom w:w="100" w:type="dxa"/>
              <w:right w:w="100" w:type="dxa"/>
            </w:tcMar>
          </w:tcPr>
          <w:p w14:paraId="1116C5D4"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31B01748" w14:textId="77777777" w:rsidR="00076044" w:rsidRDefault="000B1C76">
            <w:pPr>
              <w:spacing w:after="0"/>
              <w:rPr>
                <w:rFonts w:ascii="Helvetica Neue" w:eastAsia="Helvetica Neue" w:hAnsi="Helvetica Neue" w:cs="Helvetica Neue"/>
                <w:highlight w:val="yellow"/>
              </w:rPr>
            </w:pPr>
            <w:r w:rsidRPr="005B5617">
              <w:t>692676322573837</w:t>
            </w:r>
          </w:p>
        </w:tc>
      </w:tr>
      <w:tr w:rsidR="00076044" w14:paraId="07388C77" w14:textId="77777777">
        <w:tc>
          <w:tcPr>
            <w:tcW w:w="5315" w:type="dxa"/>
            <w:tcMar>
              <w:top w:w="100" w:type="dxa"/>
              <w:left w:w="100" w:type="dxa"/>
              <w:bottom w:w="100" w:type="dxa"/>
              <w:right w:w="100" w:type="dxa"/>
            </w:tcMar>
          </w:tcPr>
          <w:p w14:paraId="1DAC22B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6FBB805E" w14:textId="2D0A12D7" w:rsidR="00076044" w:rsidRDefault="00B3638B">
            <w:pPr>
              <w:spacing w:after="0"/>
              <w:rPr>
                <w:rFonts w:ascii="Helvetica Neue" w:eastAsia="Helvetica Neue" w:hAnsi="Helvetica Neue" w:cs="Helvetica Neue"/>
                <w:highlight w:val="yellow"/>
              </w:rPr>
            </w:pPr>
            <w:r w:rsidRPr="00B3638B">
              <w:rPr>
                <w:rFonts w:ascii="Helvetica Neue" w:eastAsia="Helvetica Neue" w:hAnsi="Helvetica Neue" w:cs="Helvetica Neue"/>
              </w:rPr>
              <w:t>PCOE 6857</w:t>
            </w:r>
          </w:p>
        </w:tc>
      </w:tr>
      <w:tr w:rsidR="00076044" w14:paraId="0ED98A7D" w14:textId="77777777">
        <w:tc>
          <w:tcPr>
            <w:tcW w:w="5315" w:type="dxa"/>
            <w:tcMar>
              <w:top w:w="100" w:type="dxa"/>
              <w:left w:w="100" w:type="dxa"/>
              <w:bottom w:w="100" w:type="dxa"/>
              <w:right w:w="100" w:type="dxa"/>
            </w:tcMar>
          </w:tcPr>
          <w:p w14:paraId="1F715D84"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5B1D51D7" w14:textId="347C3148" w:rsidR="00076044" w:rsidRDefault="00841879">
            <w:pPr>
              <w:spacing w:after="0"/>
              <w:rPr>
                <w:rFonts w:ascii="Helvetica Neue" w:eastAsia="Helvetica Neue" w:hAnsi="Helvetica Neue" w:cs="Helvetica Neue"/>
                <w:highlight w:val="yellow"/>
              </w:rPr>
            </w:pPr>
            <w:r w:rsidRPr="005150FE">
              <w:rPr>
                <w:rFonts w:ascii="Helvetica Neue" w:eastAsia="Helvetica Neue" w:hAnsi="Helvetica Neue" w:cs="Helvetica Neue"/>
              </w:rPr>
              <w:t>NIHR IS Systems Function 2017-2019</w:t>
            </w:r>
          </w:p>
        </w:tc>
      </w:tr>
      <w:tr w:rsidR="00076044" w14:paraId="00F8058F" w14:textId="77777777">
        <w:tc>
          <w:tcPr>
            <w:tcW w:w="5315" w:type="dxa"/>
            <w:tcMar>
              <w:top w:w="100" w:type="dxa"/>
              <w:left w:w="100" w:type="dxa"/>
              <w:bottom w:w="100" w:type="dxa"/>
              <w:right w:w="100" w:type="dxa"/>
            </w:tcMar>
          </w:tcPr>
          <w:p w14:paraId="4AA287A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583B960B" w14:textId="77777777" w:rsidR="00076044" w:rsidRPr="000B1C76" w:rsidRDefault="000B1C76">
            <w:pPr>
              <w:spacing w:after="0"/>
              <w:rPr>
                <w:rFonts w:ascii="Helvetica Neue" w:eastAsia="Helvetica Neue" w:hAnsi="Helvetica Neue" w:cs="Helvetica Neue"/>
              </w:rPr>
            </w:pPr>
            <w:r w:rsidRPr="000B1C76">
              <w:rPr>
                <w:rFonts w:ascii="Helvetica Neue" w:eastAsia="Helvetica Neue" w:hAnsi="Helvetica Neue" w:cs="Helvetica Neue"/>
              </w:rPr>
              <w:t>National Institute for Health Research Information Systems Function 2017-2019</w:t>
            </w:r>
          </w:p>
        </w:tc>
      </w:tr>
      <w:tr w:rsidR="00076044" w14:paraId="2C6AB121" w14:textId="77777777">
        <w:tc>
          <w:tcPr>
            <w:tcW w:w="5315" w:type="dxa"/>
            <w:tcMar>
              <w:top w:w="100" w:type="dxa"/>
              <w:left w:w="100" w:type="dxa"/>
              <w:bottom w:w="100" w:type="dxa"/>
              <w:right w:w="100" w:type="dxa"/>
            </w:tcMar>
          </w:tcPr>
          <w:p w14:paraId="45F9DF18"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1DF072A4" w14:textId="77777777" w:rsidR="00076044" w:rsidRPr="000B1C76" w:rsidRDefault="000B1C76">
            <w:pPr>
              <w:spacing w:after="0"/>
              <w:rPr>
                <w:rFonts w:ascii="Helvetica Neue" w:eastAsia="Helvetica Neue" w:hAnsi="Helvetica Neue" w:cs="Helvetica Neue"/>
              </w:rPr>
            </w:pPr>
            <w:r w:rsidRPr="000B1C76">
              <w:rPr>
                <w:rFonts w:ascii="Helvetica Neue" w:eastAsia="Helvetica Neue" w:hAnsi="Helvetica Neue" w:cs="Helvetica Neue"/>
              </w:rPr>
              <w:t>01 September 2017</w:t>
            </w:r>
          </w:p>
        </w:tc>
      </w:tr>
      <w:tr w:rsidR="00076044" w14:paraId="286BF114" w14:textId="77777777">
        <w:tc>
          <w:tcPr>
            <w:tcW w:w="5315" w:type="dxa"/>
            <w:tcMar>
              <w:top w:w="100" w:type="dxa"/>
              <w:left w:w="100" w:type="dxa"/>
              <w:bottom w:w="100" w:type="dxa"/>
              <w:right w:w="100" w:type="dxa"/>
            </w:tcMar>
          </w:tcPr>
          <w:p w14:paraId="141A17A2"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80950C2" w14:textId="77777777" w:rsidR="00076044" w:rsidRPr="000B1C76" w:rsidRDefault="000B1C76">
            <w:pPr>
              <w:spacing w:after="0"/>
              <w:rPr>
                <w:rFonts w:ascii="Helvetica Neue" w:eastAsia="Helvetica Neue" w:hAnsi="Helvetica Neue" w:cs="Helvetica Neue"/>
              </w:rPr>
            </w:pPr>
            <w:r w:rsidRPr="000B1C76">
              <w:rPr>
                <w:rFonts w:ascii="Helvetica Neue" w:eastAsia="Helvetica Neue" w:hAnsi="Helvetica Neue" w:cs="Helvetica Neue"/>
              </w:rPr>
              <w:t>31 August 2019</w:t>
            </w:r>
          </w:p>
        </w:tc>
      </w:tr>
      <w:tr w:rsidR="00076044" w14:paraId="517472C4" w14:textId="77777777">
        <w:tc>
          <w:tcPr>
            <w:tcW w:w="5315" w:type="dxa"/>
            <w:tcMar>
              <w:top w:w="100" w:type="dxa"/>
              <w:left w:w="100" w:type="dxa"/>
              <w:bottom w:w="100" w:type="dxa"/>
              <w:right w:w="100" w:type="dxa"/>
            </w:tcMar>
          </w:tcPr>
          <w:p w14:paraId="500C547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041269E0" w14:textId="77777777" w:rsidR="00076044" w:rsidRPr="000B1C76" w:rsidRDefault="000B1C76">
            <w:pPr>
              <w:spacing w:after="0"/>
              <w:rPr>
                <w:rFonts w:ascii="Helvetica Neue" w:eastAsia="Helvetica Neue" w:hAnsi="Helvetica Neue" w:cs="Helvetica Neue"/>
              </w:rPr>
            </w:pPr>
            <w:r w:rsidRPr="000B1C76">
              <w:rPr>
                <w:rFonts w:ascii="Helvetica Neue" w:eastAsia="Helvetica Neue" w:hAnsi="Helvetica Neue" w:cs="Helvetica Neue"/>
              </w:rPr>
              <w:t>£5,090,000</w:t>
            </w:r>
          </w:p>
        </w:tc>
      </w:tr>
      <w:tr w:rsidR="00076044" w14:paraId="5F4CE4FC" w14:textId="77777777">
        <w:tc>
          <w:tcPr>
            <w:tcW w:w="5315" w:type="dxa"/>
            <w:tcMar>
              <w:top w:w="100" w:type="dxa"/>
              <w:left w:w="100" w:type="dxa"/>
              <w:bottom w:w="100" w:type="dxa"/>
              <w:right w:w="100" w:type="dxa"/>
            </w:tcMar>
          </w:tcPr>
          <w:p w14:paraId="7B63B279"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3AC2D407" w14:textId="74781384" w:rsidR="00076044" w:rsidRDefault="007A4905">
            <w:pPr>
              <w:spacing w:after="0"/>
              <w:rPr>
                <w:rFonts w:ascii="Helvetica Neue" w:eastAsia="Helvetica Neue" w:hAnsi="Helvetica Neue" w:cs="Helvetica Neue"/>
                <w:highlight w:val="yellow"/>
              </w:rPr>
            </w:pPr>
            <w:r w:rsidRPr="00D639F1">
              <w:rPr>
                <w:rFonts w:ascii="Helvetica Neue" w:eastAsia="Helvetica Neue" w:hAnsi="Helvetica Neue" w:cs="Helvetica Neue"/>
              </w:rPr>
              <w:t>BACS</w:t>
            </w:r>
          </w:p>
        </w:tc>
      </w:tr>
      <w:tr w:rsidR="00076044" w14:paraId="2319D0EB" w14:textId="77777777" w:rsidTr="00B3638B">
        <w:tc>
          <w:tcPr>
            <w:tcW w:w="5315" w:type="dxa"/>
            <w:tcMar>
              <w:top w:w="100" w:type="dxa"/>
              <w:left w:w="100" w:type="dxa"/>
              <w:bottom w:w="100" w:type="dxa"/>
              <w:right w:w="100" w:type="dxa"/>
            </w:tcMar>
          </w:tcPr>
          <w:p w14:paraId="23F98C9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shd w:val="clear" w:color="auto" w:fill="000000" w:themeFill="text1"/>
            <w:tcMar>
              <w:top w:w="100" w:type="dxa"/>
              <w:left w:w="100" w:type="dxa"/>
              <w:bottom w:w="100" w:type="dxa"/>
              <w:right w:w="100" w:type="dxa"/>
            </w:tcMar>
          </w:tcPr>
          <w:p w14:paraId="379325B1" w14:textId="387B8235" w:rsidR="00076044" w:rsidRDefault="00076044">
            <w:pPr>
              <w:spacing w:after="0"/>
              <w:rPr>
                <w:rFonts w:ascii="Helvetica Neue" w:eastAsia="Helvetica Neue" w:hAnsi="Helvetica Neue" w:cs="Helvetica Neue"/>
                <w:highlight w:val="yellow"/>
              </w:rPr>
            </w:pPr>
            <w:bookmarkStart w:id="11" w:name="_GoBack"/>
            <w:bookmarkEnd w:id="11"/>
          </w:p>
        </w:tc>
      </w:tr>
    </w:tbl>
    <w:p w14:paraId="30708424" w14:textId="77777777" w:rsidR="004B26D3" w:rsidRPr="004B26D3" w:rsidRDefault="004B26D3">
      <w:pPr>
        <w:rPr>
          <w:rFonts w:ascii="Helvetica Neue" w:eastAsia="Helvetica Neue" w:hAnsi="Helvetica Neue" w:cs="Helvetica Neue"/>
          <w:sz w:val="10"/>
          <w:szCs w:val="10"/>
        </w:rPr>
      </w:pPr>
    </w:p>
    <w:p w14:paraId="678A1877"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37D980B2" w14:textId="77777777"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2E2B02FC"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431E3A9D" w14:textId="77777777"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14:paraId="7FB4D19C" w14:textId="77777777" w:rsidTr="00D60DBE">
        <w:trPr>
          <w:trHeight w:val="1046"/>
        </w:trPr>
        <w:tc>
          <w:tcPr>
            <w:tcW w:w="2148" w:type="dxa"/>
            <w:tcMar>
              <w:top w:w="100" w:type="dxa"/>
              <w:left w:w="100" w:type="dxa"/>
              <w:bottom w:w="100" w:type="dxa"/>
              <w:right w:w="100" w:type="dxa"/>
            </w:tcMar>
          </w:tcPr>
          <w:p w14:paraId="79BB744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shd w:val="clear" w:color="auto" w:fill="000000" w:themeFill="text1"/>
            <w:tcMar>
              <w:top w:w="100" w:type="dxa"/>
              <w:left w:w="100" w:type="dxa"/>
              <w:bottom w:w="100" w:type="dxa"/>
              <w:right w:w="100" w:type="dxa"/>
            </w:tcMar>
          </w:tcPr>
          <w:p w14:paraId="5953D23A" w14:textId="2C061308" w:rsidR="000B1C76" w:rsidRDefault="000B1C76">
            <w:pPr>
              <w:spacing w:after="0"/>
              <w:rPr>
                <w:rFonts w:ascii="Helvetica Neue" w:eastAsia="Helvetica Neue" w:hAnsi="Helvetica Neue" w:cs="Helvetica Neue"/>
                <w:highlight w:val="yellow"/>
              </w:rPr>
            </w:pPr>
          </w:p>
        </w:tc>
      </w:tr>
      <w:tr w:rsidR="004B26D3" w14:paraId="5248D628" w14:textId="77777777" w:rsidTr="00D60DBE">
        <w:trPr>
          <w:trHeight w:val="1730"/>
        </w:trPr>
        <w:tc>
          <w:tcPr>
            <w:tcW w:w="2148" w:type="dxa"/>
            <w:tcMar>
              <w:top w:w="100" w:type="dxa"/>
              <w:left w:w="100" w:type="dxa"/>
              <w:bottom w:w="100" w:type="dxa"/>
              <w:right w:w="100" w:type="dxa"/>
            </w:tcMar>
          </w:tcPr>
          <w:p w14:paraId="56DA4601"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To: the Supplier</w:t>
            </w:r>
          </w:p>
          <w:p w14:paraId="0EBC89C7" w14:textId="77777777" w:rsidR="00076044" w:rsidRDefault="00076044">
            <w:pPr>
              <w:spacing w:after="0"/>
              <w:rPr>
                <w:rFonts w:ascii="Helvetica Neue" w:eastAsia="Helvetica Neue" w:hAnsi="Helvetica Neue" w:cs="Helvetica Neue"/>
                <w:b/>
              </w:rPr>
            </w:pPr>
          </w:p>
          <w:p w14:paraId="71FE62F8" w14:textId="77777777" w:rsidR="00076044" w:rsidRDefault="00076044">
            <w:pPr>
              <w:spacing w:after="0"/>
              <w:rPr>
                <w:rFonts w:ascii="Helvetica Neue" w:eastAsia="Helvetica Neue" w:hAnsi="Helvetica Neue" w:cs="Helvetica Neue"/>
                <w:b/>
              </w:rPr>
            </w:pPr>
          </w:p>
          <w:p w14:paraId="4727AF77" w14:textId="77777777" w:rsidR="00076044" w:rsidRDefault="00076044">
            <w:pPr>
              <w:spacing w:after="0"/>
              <w:rPr>
                <w:rFonts w:ascii="Helvetica Neue" w:eastAsia="Helvetica Neue" w:hAnsi="Helvetica Neue" w:cs="Helvetica Neue"/>
                <w:b/>
              </w:rPr>
            </w:pPr>
          </w:p>
        </w:tc>
        <w:tc>
          <w:tcPr>
            <w:tcW w:w="8501" w:type="dxa"/>
            <w:shd w:val="clear" w:color="auto" w:fill="000000" w:themeFill="text1"/>
            <w:tcMar>
              <w:top w:w="100" w:type="dxa"/>
              <w:left w:w="100" w:type="dxa"/>
              <w:bottom w:w="100" w:type="dxa"/>
              <w:right w:w="100" w:type="dxa"/>
            </w:tcMar>
          </w:tcPr>
          <w:p w14:paraId="0AE019C2" w14:textId="4B2C7872" w:rsidR="00076044" w:rsidRDefault="00076044">
            <w:pPr>
              <w:spacing w:after="0"/>
              <w:rPr>
                <w:rFonts w:ascii="Helvetica Neue" w:eastAsia="Helvetica Neue" w:hAnsi="Helvetica Neue" w:cs="Helvetica Neue"/>
                <w:highlight w:val="yellow"/>
              </w:rPr>
            </w:pPr>
          </w:p>
        </w:tc>
      </w:tr>
      <w:tr w:rsidR="00076044" w14:paraId="49202173" w14:textId="77777777" w:rsidTr="004B26D3">
        <w:trPr>
          <w:trHeight w:val="258"/>
        </w:trPr>
        <w:tc>
          <w:tcPr>
            <w:tcW w:w="10651" w:type="dxa"/>
            <w:gridSpan w:val="2"/>
            <w:tcMar>
              <w:top w:w="100" w:type="dxa"/>
              <w:left w:w="100" w:type="dxa"/>
              <w:bottom w:w="100" w:type="dxa"/>
              <w:right w:w="100" w:type="dxa"/>
            </w:tcMar>
          </w:tcPr>
          <w:p w14:paraId="4F4C9C9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70B01563" w14:textId="77777777" w:rsidR="00076044" w:rsidRDefault="00076044">
      <w:pPr>
        <w:rPr>
          <w:rFonts w:ascii="Helvetica Neue" w:eastAsia="Helvetica Neue" w:hAnsi="Helvetica Neue" w:cs="Helvetica Neue"/>
          <w:b/>
        </w:rPr>
      </w:pPr>
    </w:p>
    <w:p w14:paraId="2E31644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14:paraId="2A437657" w14:textId="77777777" w:rsidTr="00D60DBE">
        <w:tc>
          <w:tcPr>
            <w:tcW w:w="2145" w:type="dxa"/>
            <w:tcMar>
              <w:top w:w="100" w:type="dxa"/>
              <w:left w:w="100" w:type="dxa"/>
              <w:bottom w:w="100" w:type="dxa"/>
              <w:right w:w="100" w:type="dxa"/>
            </w:tcMar>
          </w:tcPr>
          <w:p w14:paraId="37E11EF5"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14:paraId="526D800F" w14:textId="77777777" w:rsidR="00076044" w:rsidRDefault="00076044">
            <w:pPr>
              <w:spacing w:after="0"/>
              <w:rPr>
                <w:rFonts w:ascii="Helvetica Neue" w:eastAsia="Helvetica Neue" w:hAnsi="Helvetica Neue" w:cs="Helvetica Neue"/>
                <w:b/>
              </w:rPr>
            </w:pPr>
          </w:p>
          <w:p w14:paraId="4DD69E3C" w14:textId="77777777" w:rsidR="00076044" w:rsidRDefault="00076044">
            <w:pPr>
              <w:spacing w:after="0"/>
              <w:rPr>
                <w:rFonts w:ascii="Helvetica Neue" w:eastAsia="Helvetica Neue" w:hAnsi="Helvetica Neue" w:cs="Helvetica Neue"/>
                <w:b/>
              </w:rPr>
            </w:pPr>
          </w:p>
        </w:tc>
        <w:tc>
          <w:tcPr>
            <w:tcW w:w="8445" w:type="dxa"/>
            <w:shd w:val="clear" w:color="auto" w:fill="000000" w:themeFill="text1"/>
            <w:tcMar>
              <w:top w:w="100" w:type="dxa"/>
              <w:left w:w="100" w:type="dxa"/>
              <w:bottom w:w="100" w:type="dxa"/>
              <w:right w:w="100" w:type="dxa"/>
            </w:tcMar>
          </w:tcPr>
          <w:p w14:paraId="77EBC076" w14:textId="70490F62" w:rsidR="00076044" w:rsidRPr="00A03DA8" w:rsidRDefault="00076044">
            <w:pPr>
              <w:spacing w:after="0"/>
              <w:rPr>
                <w:rFonts w:ascii="Helvetica Neue" w:eastAsia="Helvetica Neue" w:hAnsi="Helvetica Neue" w:cs="Helvetica Neue"/>
              </w:rPr>
            </w:pPr>
          </w:p>
        </w:tc>
      </w:tr>
      <w:tr w:rsidR="00076044" w14:paraId="4C7CB022" w14:textId="77777777" w:rsidTr="00D60DBE">
        <w:tc>
          <w:tcPr>
            <w:tcW w:w="2145" w:type="dxa"/>
            <w:tcMar>
              <w:top w:w="100" w:type="dxa"/>
              <w:left w:w="100" w:type="dxa"/>
              <w:bottom w:w="100" w:type="dxa"/>
              <w:right w:w="100" w:type="dxa"/>
            </w:tcMar>
          </w:tcPr>
          <w:p w14:paraId="791FAAA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shd w:val="clear" w:color="auto" w:fill="000000" w:themeFill="text1"/>
            <w:tcMar>
              <w:top w:w="100" w:type="dxa"/>
              <w:left w:w="100" w:type="dxa"/>
              <w:bottom w:w="100" w:type="dxa"/>
              <w:right w:w="100" w:type="dxa"/>
            </w:tcMar>
          </w:tcPr>
          <w:p w14:paraId="5EE32E86" w14:textId="5DA958B5" w:rsidR="00076044" w:rsidRPr="00A03DA8" w:rsidRDefault="00076044" w:rsidP="00A03DA8">
            <w:pPr>
              <w:spacing w:after="0"/>
              <w:rPr>
                <w:rFonts w:ascii="Helvetica Neue" w:eastAsia="Helvetica Neue" w:hAnsi="Helvetica Neue" w:cs="Helvetica Neue"/>
              </w:rPr>
            </w:pPr>
          </w:p>
        </w:tc>
      </w:tr>
    </w:tbl>
    <w:p w14:paraId="667DDFF1" w14:textId="77777777" w:rsidR="00076044" w:rsidRDefault="00076044">
      <w:pPr>
        <w:rPr>
          <w:rFonts w:ascii="Helvetica Neue" w:eastAsia="Helvetica Neue" w:hAnsi="Helvetica Neue" w:cs="Helvetica Neue"/>
        </w:rPr>
      </w:pPr>
    </w:p>
    <w:p w14:paraId="0605075B"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6454812C" w14:textId="77777777">
        <w:tc>
          <w:tcPr>
            <w:tcW w:w="2657" w:type="dxa"/>
          </w:tcPr>
          <w:p w14:paraId="09F7E9A1"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14:paraId="06CA887A" w14:textId="77777777" w:rsidR="00076044" w:rsidRDefault="00076044">
            <w:pPr>
              <w:spacing w:after="0"/>
              <w:rPr>
                <w:rFonts w:ascii="Helvetica Neue" w:eastAsia="Helvetica Neue" w:hAnsi="Helvetica Neue" w:cs="Helvetica Neue"/>
              </w:rPr>
            </w:pPr>
          </w:p>
        </w:tc>
        <w:tc>
          <w:tcPr>
            <w:tcW w:w="7971" w:type="dxa"/>
          </w:tcPr>
          <w:p w14:paraId="22E272A2" w14:textId="7DF9E826" w:rsidR="00076044" w:rsidRDefault="004B26D3" w:rsidP="00A03DA8">
            <w:pPr>
              <w:spacing w:after="0"/>
              <w:rPr>
                <w:rFonts w:ascii="Helvetica Neue" w:eastAsia="Helvetica Neue" w:hAnsi="Helvetica Neue" w:cs="Helvetica Neue"/>
                <w:highlight w:val="yellow"/>
              </w:rPr>
            </w:pPr>
            <w:r>
              <w:rPr>
                <w:rFonts w:ascii="Helvetica Neue" w:eastAsia="Helvetica Neue" w:hAnsi="Helvetica Neue" w:cs="Helvetica Neue"/>
              </w:rPr>
              <w:t xml:space="preserve">This Call-Off Contract Starts on </w:t>
            </w:r>
            <w:r w:rsidR="00A03DA8">
              <w:rPr>
                <w:rFonts w:ascii="Helvetica Neue" w:eastAsia="Helvetica Neue" w:hAnsi="Helvetica Neue" w:cs="Helvetica Neue"/>
              </w:rPr>
              <w:t>1 September 2017</w:t>
            </w:r>
            <w:r>
              <w:rPr>
                <w:rFonts w:ascii="Helvetica Neue" w:eastAsia="Helvetica Neue" w:hAnsi="Helvetica Neue" w:cs="Helvetica Neue"/>
              </w:rPr>
              <w:t xml:space="preserve"> and is valid for </w:t>
            </w:r>
            <w:r w:rsidR="00A03DA8">
              <w:rPr>
                <w:rFonts w:ascii="Helvetica Neue" w:eastAsia="Helvetica Neue" w:hAnsi="Helvetica Neue" w:cs="Helvetica Neue"/>
              </w:rPr>
              <w:t>twenty-four (24) months</w:t>
            </w:r>
            <w:r w:rsidR="00D639F1" w:rsidRPr="00D639F1">
              <w:rPr>
                <w:rFonts w:ascii="Helvetica Neue" w:eastAsia="Helvetica Neue" w:hAnsi="Helvetica Neue" w:cs="Helvetica Neue"/>
              </w:rPr>
              <w:t>.</w:t>
            </w:r>
          </w:p>
        </w:tc>
      </w:tr>
      <w:tr w:rsidR="00076044" w14:paraId="51356F4E" w14:textId="77777777">
        <w:tc>
          <w:tcPr>
            <w:tcW w:w="2657" w:type="dxa"/>
          </w:tcPr>
          <w:p w14:paraId="18EC6A66" w14:textId="77777777"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14:paraId="40BA96BC" w14:textId="77777777"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w:t>
            </w:r>
            <w:r w:rsidRPr="00D639F1">
              <w:rPr>
                <w:rFonts w:ascii="Helvetica Neue" w:eastAsia="Helvetica Neue" w:hAnsi="Helvetica Neue" w:cs="Helvetica Neue"/>
              </w:rPr>
              <w:t xml:space="preserve">at least [90] Working Days from the date of written notice for disputed sums or at least [30] days from the date of written notice for Ending without cause. </w:t>
            </w:r>
          </w:p>
        </w:tc>
      </w:tr>
      <w:tr w:rsidR="00076044" w14:paraId="607CBA95" w14:textId="77777777">
        <w:tc>
          <w:tcPr>
            <w:tcW w:w="2657" w:type="dxa"/>
          </w:tcPr>
          <w:p w14:paraId="09FBE858" w14:textId="77777777" w:rsidR="00076044" w:rsidRDefault="004B26D3">
            <w:pPr>
              <w:spacing w:before="60" w:after="60"/>
              <w:ind w:right="308"/>
              <w:rPr>
                <w:rFonts w:ascii="Helvetica Neue" w:eastAsia="Helvetica Neue" w:hAnsi="Helvetica Neue" w:cs="Helvetica Neue"/>
                <w:b/>
              </w:rPr>
            </w:pPr>
            <w:bookmarkStart w:id="12" w:name="_1fob9te" w:colFirst="0" w:colLast="0"/>
            <w:bookmarkEnd w:id="12"/>
            <w:r>
              <w:rPr>
                <w:rFonts w:ascii="Helvetica Neue" w:eastAsia="Helvetica Neue" w:hAnsi="Helvetica Neue" w:cs="Helvetica Neue"/>
                <w:b/>
              </w:rPr>
              <w:t>Extension period:</w:t>
            </w:r>
          </w:p>
        </w:tc>
        <w:tc>
          <w:tcPr>
            <w:tcW w:w="7971" w:type="dxa"/>
          </w:tcPr>
          <w:p w14:paraId="200D25C1"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can be extended by the Buyer for </w:t>
            </w:r>
            <w:r w:rsidR="00A03DA8">
              <w:rPr>
                <w:rFonts w:ascii="Helvetica Neue" w:eastAsia="Helvetica Neue" w:hAnsi="Helvetica Neue" w:cs="Helvetica Neue"/>
              </w:rPr>
              <w:t>two (2)</w:t>
            </w:r>
            <w:r>
              <w:rPr>
                <w:rFonts w:ascii="Helvetica Neue" w:eastAsia="Helvetica Neue" w:hAnsi="Helvetica Neue" w:cs="Helvetica Neue"/>
              </w:rPr>
              <w:t xml:space="preserve"> period(s) of </w:t>
            </w:r>
            <w:r w:rsidR="00A03DA8">
              <w:rPr>
                <w:rFonts w:ascii="Helvetica Neue" w:eastAsia="Helvetica Neue" w:hAnsi="Helvetica Neue" w:cs="Helvetica Neue"/>
              </w:rPr>
              <w:t>twelve (12)</w:t>
            </w:r>
            <w:r>
              <w:rPr>
                <w:rFonts w:ascii="Helvetica Neue" w:eastAsia="Helvetica Neue" w:hAnsi="Helvetica Neue" w:cs="Helvetica Neue"/>
              </w:rPr>
              <w:t xml:space="preserve"> months each, by giving the Supplier </w:t>
            </w:r>
            <w:r w:rsidR="00A03DA8">
              <w:rPr>
                <w:rFonts w:ascii="Helvetica Neue" w:eastAsia="Helvetica Neue" w:hAnsi="Helvetica Neue" w:cs="Helvetica Neue"/>
              </w:rPr>
              <w:t>four (4) weeks’</w:t>
            </w:r>
            <w:r>
              <w:rPr>
                <w:rFonts w:ascii="Helvetica Neue" w:eastAsia="Helvetica Neue" w:hAnsi="Helvetica Neue" w:cs="Helvetica Neue"/>
              </w:rPr>
              <w:t xml:space="preserve"> written notice before its expiry.</w:t>
            </w:r>
          </w:p>
          <w:p w14:paraId="336E0FEA"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309508BB" w14:textId="54CD1875" w:rsidR="00076044" w:rsidRDefault="00076044" w:rsidP="00D208E0">
            <w:pPr>
              <w:spacing w:after="0"/>
              <w:contextualSpacing/>
              <w:rPr>
                <w:rFonts w:ascii="Helvetica Neue" w:eastAsia="Helvetica Neue" w:hAnsi="Helvetica Neue" w:cs="Helvetica Neue"/>
                <w:highlight w:val="green"/>
              </w:rPr>
            </w:pPr>
            <w:bookmarkStart w:id="13" w:name="_sbn2nptjxz3z" w:colFirst="0" w:colLast="0"/>
            <w:bookmarkEnd w:id="13"/>
          </w:p>
        </w:tc>
      </w:tr>
    </w:tbl>
    <w:p w14:paraId="2C0EDF5D" w14:textId="77777777" w:rsidR="00076044" w:rsidRDefault="00076044">
      <w:pPr>
        <w:rPr>
          <w:rFonts w:ascii="Helvetica Neue" w:eastAsia="Helvetica Neue" w:hAnsi="Helvetica Neue" w:cs="Helvetica Neue"/>
          <w:b/>
        </w:rPr>
      </w:pPr>
    </w:p>
    <w:p w14:paraId="519BC89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14:paraId="606AAEC7"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441187EC" w14:textId="77777777">
        <w:tc>
          <w:tcPr>
            <w:tcW w:w="2657" w:type="dxa"/>
          </w:tcPr>
          <w:p w14:paraId="77C00066"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1" w:type="dxa"/>
          </w:tcPr>
          <w:p w14:paraId="1BDC4FC7" w14:textId="77777777" w:rsidR="00076044" w:rsidRPr="00D639F1" w:rsidRDefault="004B26D3">
            <w:pPr>
              <w:spacing w:after="0"/>
              <w:rPr>
                <w:rFonts w:ascii="Helvetica Neue" w:eastAsia="Helvetica Neue" w:hAnsi="Helvetica Neue" w:cs="Helvetica Neue"/>
              </w:rPr>
            </w:pPr>
            <w:r w:rsidRPr="00D639F1">
              <w:rPr>
                <w:rFonts w:ascii="Helvetica Neue" w:eastAsia="Helvetica Neue" w:hAnsi="Helvetica Neue" w:cs="Helvetica Neue"/>
              </w:rPr>
              <w:t xml:space="preserve">This Call-Off Contract is for the provision of Services under: </w:t>
            </w:r>
          </w:p>
          <w:p w14:paraId="6DED4F8B" w14:textId="77777777" w:rsidR="00076044" w:rsidRPr="00D639F1" w:rsidRDefault="00065A22" w:rsidP="00065A22">
            <w:pPr>
              <w:spacing w:after="0"/>
              <w:rPr>
                <w:rFonts w:ascii="Helvetica Neue" w:eastAsia="Helvetica Neue" w:hAnsi="Helvetica Neue" w:cs="Helvetica Neue"/>
              </w:rPr>
            </w:pPr>
            <w:r w:rsidRPr="00D639F1">
              <w:rPr>
                <w:rFonts w:ascii="Helvetica Neue" w:eastAsia="Helvetica Neue" w:hAnsi="Helvetica Neue" w:cs="Helvetica Neue"/>
              </w:rPr>
              <w:t xml:space="preserve"> </w:t>
            </w:r>
            <w:r w:rsidR="004B26D3" w:rsidRPr="00D639F1">
              <w:rPr>
                <w:rFonts w:ascii="Helvetica Neue" w:eastAsia="Helvetica Neue" w:hAnsi="Helvetica Neue" w:cs="Helvetica Neue"/>
              </w:rPr>
              <w:t xml:space="preserve">Lot 3 - Cloud support </w:t>
            </w:r>
          </w:p>
        </w:tc>
      </w:tr>
      <w:tr w:rsidR="00076044" w14:paraId="1DEA758F" w14:textId="77777777">
        <w:tc>
          <w:tcPr>
            <w:tcW w:w="2657" w:type="dxa"/>
          </w:tcPr>
          <w:p w14:paraId="6F984F75"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1" w:type="dxa"/>
          </w:tcPr>
          <w:p w14:paraId="412D3CD5" w14:textId="77777777" w:rsidR="00076044" w:rsidRPr="00D639F1" w:rsidRDefault="004B26D3">
            <w:pPr>
              <w:spacing w:after="0"/>
              <w:rPr>
                <w:rFonts w:ascii="Helvetica Neue" w:eastAsia="Helvetica Neue" w:hAnsi="Helvetica Neue" w:cs="Helvetica Neue"/>
              </w:rPr>
            </w:pPr>
            <w:r w:rsidRPr="00D639F1">
              <w:rPr>
                <w:rFonts w:ascii="Helvetica Neue" w:eastAsia="Helvetica Neue" w:hAnsi="Helvetica Neue" w:cs="Helvetica Neue"/>
              </w:rPr>
              <w:t>The Services to be provided by the Supplier under the above Lot are listed in Framework Section 2 and outlined below:</w:t>
            </w:r>
          </w:p>
          <w:p w14:paraId="32E9551C" w14:textId="1370A51B" w:rsidR="00076044" w:rsidRPr="00D639F1" w:rsidRDefault="00841879">
            <w:pPr>
              <w:numPr>
                <w:ilvl w:val="0"/>
                <w:numId w:val="48"/>
              </w:numPr>
              <w:spacing w:after="0"/>
              <w:ind w:firstLine="360"/>
              <w:contextualSpacing/>
              <w:rPr>
                <w:rFonts w:ascii="Helvetica Neue" w:eastAsia="Helvetica Neue" w:hAnsi="Helvetica Neue" w:cs="Helvetica Neue"/>
              </w:rPr>
            </w:pPr>
            <w:r w:rsidRPr="00D639F1">
              <w:rPr>
                <w:rFonts w:ascii="Helvetica Neue" w:eastAsia="Helvetica Neue" w:hAnsi="Helvetica Neue" w:cs="Helvetica Neue"/>
              </w:rPr>
              <w:t>Delivering Service Integration (SIAM) Managed Services</w:t>
            </w:r>
          </w:p>
          <w:p w14:paraId="3C72DF3A" w14:textId="637ACA82" w:rsidR="00076044" w:rsidRPr="00D639F1" w:rsidRDefault="00076044">
            <w:pPr>
              <w:spacing w:after="0"/>
              <w:rPr>
                <w:rFonts w:ascii="Helvetica Neue" w:eastAsia="Helvetica Neue" w:hAnsi="Helvetica Neue" w:cs="Helvetica Neue"/>
              </w:rPr>
            </w:pPr>
            <w:bookmarkStart w:id="14" w:name="_2et92p0" w:colFirst="0" w:colLast="0"/>
            <w:bookmarkEnd w:id="14"/>
          </w:p>
        </w:tc>
      </w:tr>
      <w:tr w:rsidR="00076044" w14:paraId="0B597E13" w14:textId="77777777">
        <w:tc>
          <w:tcPr>
            <w:tcW w:w="2657" w:type="dxa"/>
          </w:tcPr>
          <w:p w14:paraId="46ACBF59"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1" w:type="dxa"/>
          </w:tcPr>
          <w:p w14:paraId="6C358F59" w14:textId="5BCC5C11" w:rsidR="00076044" w:rsidRDefault="00D639F1">
            <w:pPr>
              <w:spacing w:after="0"/>
              <w:rPr>
                <w:rFonts w:ascii="Helvetica Neue" w:eastAsia="Helvetica Neue" w:hAnsi="Helvetica Neue" w:cs="Helvetica Neue"/>
              </w:rPr>
            </w:pPr>
            <w:r>
              <w:rPr>
                <w:rFonts w:ascii="Helvetica Neue" w:eastAsia="Helvetica Neue" w:hAnsi="Helvetica Neue" w:cs="Helvetica Neue"/>
              </w:rPr>
              <w:t>Service scope covered above</w:t>
            </w:r>
          </w:p>
          <w:p w14:paraId="5DC93740" w14:textId="49F4EC50" w:rsidR="00076044" w:rsidRDefault="00076044">
            <w:pPr>
              <w:spacing w:after="0"/>
              <w:rPr>
                <w:rFonts w:ascii="Helvetica Neue" w:eastAsia="Helvetica Neue" w:hAnsi="Helvetica Neue" w:cs="Helvetica Neue"/>
                <w:highlight w:val="green"/>
              </w:rPr>
            </w:pPr>
          </w:p>
        </w:tc>
      </w:tr>
      <w:tr w:rsidR="00076044" w14:paraId="3C791C24" w14:textId="77777777">
        <w:tc>
          <w:tcPr>
            <w:tcW w:w="2657" w:type="dxa"/>
          </w:tcPr>
          <w:p w14:paraId="034660F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1" w:type="dxa"/>
          </w:tcPr>
          <w:p w14:paraId="3E03ABB1" w14:textId="1AD2D936"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Services will be delivered to </w:t>
            </w:r>
            <w:r w:rsidR="000E1C92">
              <w:rPr>
                <w:rFonts w:ascii="Helvetica Neue" w:eastAsia="Helvetica Neue" w:hAnsi="Helvetica Neue" w:cs="Helvetica Neue"/>
              </w:rPr>
              <w:t>vi</w:t>
            </w:r>
            <w:r w:rsidR="002C1712">
              <w:rPr>
                <w:rFonts w:ascii="Helvetica Neue" w:eastAsia="Helvetica Neue" w:hAnsi="Helvetica Neue" w:cs="Helvetica Neue"/>
              </w:rPr>
              <w:t>r</w:t>
            </w:r>
            <w:r w:rsidR="000E1C92">
              <w:rPr>
                <w:rFonts w:ascii="Helvetica Neue" w:eastAsia="Helvetica Neue" w:hAnsi="Helvetica Neue" w:cs="Helvetica Neue"/>
              </w:rPr>
              <w:t>tual</w:t>
            </w:r>
            <w:r w:rsidR="00E232E8">
              <w:rPr>
                <w:rFonts w:ascii="Helvetica Neue" w:eastAsia="Helvetica Neue" w:hAnsi="Helvetica Neue" w:cs="Helvetica Neue"/>
              </w:rPr>
              <w:t>, National Institute for Health Research locations</w:t>
            </w:r>
            <w:r w:rsidR="000E1C92">
              <w:rPr>
                <w:rFonts w:ascii="Helvetica Neue" w:eastAsia="Helvetica Neue" w:hAnsi="Helvetica Neue" w:cs="Helvetica Neue"/>
              </w:rPr>
              <w:t xml:space="preserve"> and DH offices as required</w:t>
            </w:r>
          </w:p>
          <w:p w14:paraId="4BFCCE09" w14:textId="3F514473" w:rsidR="00076044" w:rsidRDefault="00076044">
            <w:pPr>
              <w:spacing w:after="0" w:line="240" w:lineRule="auto"/>
              <w:rPr>
                <w:rFonts w:ascii="Helvetica Neue" w:eastAsia="Helvetica Neue" w:hAnsi="Helvetica Neue" w:cs="Helvetica Neue"/>
              </w:rPr>
            </w:pPr>
          </w:p>
        </w:tc>
      </w:tr>
      <w:tr w:rsidR="00076044" w14:paraId="2B73DCA7" w14:textId="77777777">
        <w:tc>
          <w:tcPr>
            <w:tcW w:w="2657" w:type="dxa"/>
          </w:tcPr>
          <w:p w14:paraId="0D39680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1" w:type="dxa"/>
          </w:tcPr>
          <w:p w14:paraId="6E577016" w14:textId="1DA195A4" w:rsidR="00076044" w:rsidRDefault="004B26D3" w:rsidP="00D639F1">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quality standards required for this Call-Off Contract are </w:t>
            </w:r>
            <w:r w:rsidR="00D639F1">
              <w:rPr>
                <w:rFonts w:ascii="Helvetica Neue" w:eastAsia="Helvetica Neue" w:hAnsi="Helvetica Neue" w:cs="Helvetica Neue"/>
              </w:rPr>
              <w:t>as per pricing inquiry</w:t>
            </w:r>
          </w:p>
        </w:tc>
      </w:tr>
      <w:tr w:rsidR="00076044" w14:paraId="33D3C394" w14:textId="77777777">
        <w:tc>
          <w:tcPr>
            <w:tcW w:w="2657" w:type="dxa"/>
          </w:tcPr>
          <w:p w14:paraId="16E4B26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1" w:type="dxa"/>
          </w:tcPr>
          <w:p w14:paraId="5E9E15E7" w14:textId="3EE49B80" w:rsidR="00D639F1" w:rsidRDefault="004B26D3" w:rsidP="00D639F1">
            <w:pPr>
              <w:spacing w:after="0" w:line="240" w:lineRule="auto"/>
              <w:rPr>
                <w:rFonts w:ascii="Helvetica Neue" w:eastAsia="Helvetica Neue" w:hAnsi="Helvetica Neue" w:cs="Helvetica Neue"/>
              </w:rPr>
            </w:pPr>
            <w:r>
              <w:rPr>
                <w:rFonts w:ascii="Helvetica Neue" w:eastAsia="Helvetica Neue" w:hAnsi="Helvetica Neue" w:cs="Helvetica Neue"/>
              </w:rPr>
              <w:t>The technical standards required for this Call-Off Contract ar</w:t>
            </w:r>
            <w:r w:rsidR="00D639F1">
              <w:rPr>
                <w:rFonts w:ascii="Helvetica Neue" w:eastAsia="Helvetica Neue" w:hAnsi="Helvetica Neue" w:cs="Helvetica Neue"/>
              </w:rPr>
              <w:t>e as per pricing inquiry.</w:t>
            </w:r>
          </w:p>
          <w:p w14:paraId="71BB26FE" w14:textId="5CE640D9" w:rsidR="00076044" w:rsidRDefault="00076044">
            <w:pPr>
              <w:spacing w:after="0" w:line="240" w:lineRule="auto"/>
              <w:rPr>
                <w:rFonts w:ascii="Helvetica Neue" w:eastAsia="Helvetica Neue" w:hAnsi="Helvetica Neue" w:cs="Helvetica Neue"/>
                <w:highlight w:val="green"/>
              </w:rPr>
            </w:pPr>
          </w:p>
        </w:tc>
      </w:tr>
      <w:tr w:rsidR="00076044" w14:paraId="5FC234A2" w14:textId="77777777">
        <w:tc>
          <w:tcPr>
            <w:tcW w:w="2657" w:type="dxa"/>
          </w:tcPr>
          <w:p w14:paraId="5E02CE6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1" w:type="dxa"/>
          </w:tcPr>
          <w:p w14:paraId="2CB5CDEB" w14:textId="2BBBB610" w:rsidR="00076044" w:rsidRDefault="004B26D3">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service level and availability criteria required for this Call-Off Contract are </w:t>
            </w:r>
          </w:p>
          <w:p w14:paraId="55A96B30" w14:textId="77777777" w:rsidR="0061094C" w:rsidRPr="002D00E5" w:rsidRDefault="0061094C">
            <w:pPr>
              <w:spacing w:after="0" w:line="240" w:lineRule="auto"/>
              <w:rPr>
                <w:rFonts w:ascii="Helvetica Neue" w:eastAsia="Helvetica Neue" w:hAnsi="Helvetica Neue" w:cs="Helvetica Neue"/>
              </w:rPr>
            </w:pPr>
            <w:r w:rsidRPr="002D00E5">
              <w:rPr>
                <w:rFonts w:ascii="Helvetica Neue" w:eastAsia="Helvetica Neue" w:hAnsi="Helvetica Neue" w:cs="Helvetica Neue"/>
              </w:rPr>
              <w:t>Service Desk Support</w:t>
            </w:r>
          </w:p>
          <w:p w14:paraId="5F8200D4" w14:textId="77777777" w:rsidR="0061094C" w:rsidRPr="002D00E5" w:rsidRDefault="0061094C">
            <w:pPr>
              <w:spacing w:after="0" w:line="240" w:lineRule="auto"/>
              <w:rPr>
                <w:rFonts w:ascii="Helvetica Neue" w:eastAsia="Helvetica Neue" w:hAnsi="Helvetica Neue" w:cs="Helvetica Neue"/>
              </w:rPr>
            </w:pPr>
            <w:r w:rsidRPr="002D00E5">
              <w:rPr>
                <w:rFonts w:ascii="Helvetica Neue" w:eastAsia="Helvetica Neue" w:hAnsi="Helvetica Neue" w:cs="Helvetica Neue"/>
              </w:rPr>
              <w:t>Pass through from supply chain</w:t>
            </w:r>
          </w:p>
          <w:p w14:paraId="1966B08A" w14:textId="77777777" w:rsidR="00670746" w:rsidRPr="002D00E5" w:rsidRDefault="00670746">
            <w:pPr>
              <w:spacing w:after="0" w:line="240" w:lineRule="auto"/>
              <w:rPr>
                <w:rFonts w:ascii="Helvetica Neue" w:eastAsia="Helvetica Neue" w:hAnsi="Helvetica Neue" w:cs="Helvetica Neue"/>
              </w:rPr>
            </w:pPr>
          </w:p>
          <w:p w14:paraId="138F6AB6" w14:textId="77777777" w:rsidR="00670746" w:rsidRPr="002D00E5" w:rsidRDefault="00670746">
            <w:pPr>
              <w:spacing w:after="0" w:line="240" w:lineRule="auto"/>
              <w:rPr>
                <w:rFonts w:ascii="Helvetica Neue" w:eastAsia="Helvetica Neue" w:hAnsi="Helvetica Neue" w:cs="Helvetica Neue"/>
              </w:rPr>
            </w:pPr>
            <w:r w:rsidRPr="002D00E5">
              <w:rPr>
                <w:rFonts w:ascii="Helvetica Neue" w:eastAsia="Helvetica Neue" w:hAnsi="Helvetica Neue" w:cs="Helvetica Neue"/>
              </w:rPr>
              <w:t>Suggested Scorecard SLA process</w:t>
            </w:r>
          </w:p>
          <w:p w14:paraId="7FFD9404" w14:textId="77777777" w:rsidR="00670746" w:rsidRPr="002D00E5" w:rsidRDefault="00670746" w:rsidP="00670746">
            <w:pPr>
              <w:spacing w:after="0" w:line="240" w:lineRule="auto"/>
              <w:rPr>
                <w:rFonts w:ascii="Helvetica Neue" w:eastAsia="Helvetica Neue" w:hAnsi="Helvetica Neue" w:cs="Helvetica Neue"/>
              </w:rPr>
            </w:pPr>
            <w:r w:rsidRPr="002D00E5">
              <w:rPr>
                <w:rFonts w:ascii="Helvetica Neue" w:eastAsia="Helvetica Neue" w:hAnsi="Helvetica Neue" w:cs="Helvetica Neu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3E245DBB" w14:textId="77777777" w:rsidR="00670746" w:rsidRPr="002D00E5" w:rsidRDefault="00670746" w:rsidP="00670746">
            <w:pPr>
              <w:spacing w:after="0" w:line="240" w:lineRule="auto"/>
              <w:rPr>
                <w:rFonts w:ascii="Helvetica Neue" w:eastAsia="Helvetica Neue" w:hAnsi="Helvetica Neue" w:cs="Helvetica Neue"/>
              </w:rPr>
            </w:pPr>
          </w:p>
          <w:p w14:paraId="142CA794" w14:textId="77777777" w:rsidR="00670746" w:rsidRPr="002D00E5" w:rsidRDefault="00670746" w:rsidP="00670746">
            <w:pPr>
              <w:spacing w:after="0" w:line="240" w:lineRule="auto"/>
              <w:rPr>
                <w:rFonts w:ascii="Helvetica Neue" w:eastAsia="Helvetica Neue" w:hAnsi="Helvetica Neue" w:cs="Helvetica Neue"/>
              </w:rPr>
            </w:pPr>
            <w:r w:rsidRPr="002D00E5">
              <w:rPr>
                <w:rFonts w:ascii="Helvetica Neue" w:eastAsia="Helvetica Neue" w:hAnsi="Helvetica Neue" w:cs="Helvetica Neue"/>
              </w:rPr>
              <w:t>The recommended process for using the Balanced Scorecard is as follows:</w:t>
            </w:r>
          </w:p>
          <w:p w14:paraId="102587AD" w14:textId="77777777" w:rsidR="00670746" w:rsidRPr="002D00E5" w:rsidRDefault="00670746" w:rsidP="00670746">
            <w:pPr>
              <w:numPr>
                <w:ilvl w:val="0"/>
                <w:numId w:val="54"/>
              </w:numPr>
              <w:spacing w:after="0" w:line="240" w:lineRule="auto"/>
              <w:rPr>
                <w:rFonts w:ascii="Helvetica Neue" w:eastAsia="Helvetica Neue" w:hAnsi="Helvetica Neue" w:cs="Helvetica Neue"/>
              </w:rPr>
            </w:pPr>
            <w:r w:rsidRPr="002D00E5">
              <w:rPr>
                <w:rFonts w:ascii="Helvetica Neue" w:eastAsia="Helvetica Neue" w:hAnsi="Helvetica Neue" w:cs="Helvetica Neue"/>
              </w:rPr>
              <w:t>The Buyer and Supplier agree a templated Balanced Scorecard together with a performance management plan, which clearly outlines the responsibilities and actions that will be taken if agreed performance levels are not achieved.</w:t>
            </w:r>
          </w:p>
          <w:p w14:paraId="0AD2A016" w14:textId="77777777" w:rsidR="00670746" w:rsidRPr="002D00E5" w:rsidRDefault="00670746" w:rsidP="00670746">
            <w:pPr>
              <w:numPr>
                <w:ilvl w:val="0"/>
                <w:numId w:val="54"/>
              </w:numPr>
              <w:spacing w:after="0" w:line="240" w:lineRule="auto"/>
              <w:rPr>
                <w:rFonts w:ascii="Helvetica Neue" w:eastAsia="Helvetica Neue" w:hAnsi="Helvetica Neue" w:cs="Helvetica Neue"/>
              </w:rPr>
            </w:pPr>
            <w:r w:rsidRPr="002D00E5">
              <w:rPr>
                <w:rFonts w:ascii="Helvetica Neue" w:eastAsia="Helvetica Neue" w:hAnsi="Helvetica Neue" w:cs="Helvetica Neue"/>
              </w:rPr>
              <w:t>On an pre-agreed schedule (e.g. monthly), both the Buyer and the Supplier provide a rating on the Supplier’s performance</w:t>
            </w:r>
          </w:p>
          <w:p w14:paraId="4D543439" w14:textId="77777777" w:rsidR="00670746" w:rsidRPr="002D00E5" w:rsidRDefault="00670746" w:rsidP="00670746">
            <w:pPr>
              <w:numPr>
                <w:ilvl w:val="0"/>
                <w:numId w:val="54"/>
              </w:numPr>
              <w:spacing w:after="0" w:line="240" w:lineRule="auto"/>
              <w:rPr>
                <w:rFonts w:ascii="Helvetica Neue" w:eastAsia="Helvetica Neue" w:hAnsi="Helvetica Neue" w:cs="Helvetica Neue"/>
              </w:rPr>
            </w:pPr>
            <w:r w:rsidRPr="002D00E5">
              <w:rPr>
                <w:rFonts w:ascii="Helvetica Neue" w:eastAsia="Helvetica Neue" w:hAnsi="Helvetica Neue" w:cs="Helvetica Neue"/>
              </w:rPr>
              <w:t>Following the initial rating, both Parties meet to review the scores and agree an overall final score for each Key Performance Indicator</w:t>
            </w:r>
          </w:p>
          <w:p w14:paraId="32644C72" w14:textId="77777777" w:rsidR="00670746" w:rsidRPr="002D00E5" w:rsidRDefault="00670746" w:rsidP="00670746">
            <w:pPr>
              <w:numPr>
                <w:ilvl w:val="0"/>
                <w:numId w:val="54"/>
              </w:numPr>
              <w:spacing w:after="0" w:line="240" w:lineRule="auto"/>
              <w:rPr>
                <w:rFonts w:ascii="Helvetica Neue" w:eastAsia="Helvetica Neue" w:hAnsi="Helvetica Neue" w:cs="Helvetica Neue"/>
              </w:rPr>
            </w:pPr>
            <w:r w:rsidRPr="002D00E5">
              <w:rPr>
                <w:rFonts w:ascii="Helvetica Neue" w:eastAsia="Helvetica Neue" w:hAnsi="Helvetica Neue" w:cs="Helvetica Neue"/>
              </w:rPr>
              <w:t>Following agreement of final scores, the process is repeated as per the agreed schedule</w:t>
            </w:r>
          </w:p>
          <w:p w14:paraId="5382E619" w14:textId="7E4491EF" w:rsidR="00076044" w:rsidRDefault="00076044" w:rsidP="002D00E5">
            <w:pPr>
              <w:spacing w:after="0" w:line="240" w:lineRule="auto"/>
              <w:contextualSpacing/>
              <w:rPr>
                <w:rFonts w:ascii="Helvetica Neue" w:eastAsia="Helvetica Neue" w:hAnsi="Helvetica Neue" w:cs="Helvetica Neue"/>
                <w:highlight w:val="green"/>
              </w:rPr>
            </w:pPr>
          </w:p>
        </w:tc>
      </w:tr>
      <w:tr w:rsidR="00076044" w14:paraId="1BF8FDE6" w14:textId="77777777">
        <w:tc>
          <w:tcPr>
            <w:tcW w:w="2657" w:type="dxa"/>
          </w:tcPr>
          <w:p w14:paraId="386A05BE" w14:textId="77777777"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Onboarding</w:t>
            </w:r>
            <w:proofErr w:type="spellEnd"/>
            <w:r>
              <w:rPr>
                <w:rFonts w:ascii="Helvetica Neue" w:eastAsia="Helvetica Neue" w:hAnsi="Helvetica Neue" w:cs="Helvetica Neue"/>
                <w:b/>
              </w:rPr>
              <w:t xml:space="preserve">: </w:t>
            </w:r>
          </w:p>
        </w:tc>
        <w:tc>
          <w:tcPr>
            <w:tcW w:w="7971" w:type="dxa"/>
          </w:tcPr>
          <w:p w14:paraId="566B0A29" w14:textId="4C37841C"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w:t>
            </w:r>
            <w:proofErr w:type="spellStart"/>
            <w:r>
              <w:rPr>
                <w:rFonts w:ascii="Helvetica Neue" w:eastAsia="Helvetica Neue" w:hAnsi="Helvetica Neue" w:cs="Helvetica Neue"/>
              </w:rPr>
              <w:t>onboarding</w:t>
            </w:r>
            <w:proofErr w:type="spellEnd"/>
            <w:r>
              <w:rPr>
                <w:rFonts w:ascii="Helvetica Neue" w:eastAsia="Helvetica Neue" w:hAnsi="Helvetica Neue" w:cs="Helvetica Neue"/>
              </w:rPr>
              <w:t xml:space="preserve"> plan for this Call-Off Contract is </w:t>
            </w:r>
            <w:r w:rsidR="00841879" w:rsidRPr="002D00E5">
              <w:rPr>
                <w:rFonts w:ascii="Helvetica Neue" w:eastAsia="Helvetica Neue" w:hAnsi="Helvetica Neue" w:cs="Helvetica Neue"/>
              </w:rPr>
              <w:t>not applicable as a continuation of existing service provision.</w:t>
            </w:r>
          </w:p>
          <w:p w14:paraId="6371B350" w14:textId="2D70674B" w:rsidR="00076044" w:rsidRDefault="00076044">
            <w:pPr>
              <w:spacing w:after="0"/>
              <w:rPr>
                <w:rFonts w:ascii="Helvetica Neue" w:eastAsia="Helvetica Neue" w:hAnsi="Helvetica Neue" w:cs="Helvetica Neue"/>
                <w:highlight w:val="green"/>
              </w:rPr>
            </w:pPr>
          </w:p>
        </w:tc>
      </w:tr>
      <w:tr w:rsidR="00076044" w14:paraId="7E70A3D8" w14:textId="77777777">
        <w:tc>
          <w:tcPr>
            <w:tcW w:w="2657" w:type="dxa"/>
          </w:tcPr>
          <w:p w14:paraId="3A31215E" w14:textId="77777777"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Offboarding</w:t>
            </w:r>
            <w:proofErr w:type="spellEnd"/>
            <w:r>
              <w:rPr>
                <w:rFonts w:ascii="Helvetica Neue" w:eastAsia="Helvetica Neue" w:hAnsi="Helvetica Neue" w:cs="Helvetica Neue"/>
                <w:b/>
              </w:rPr>
              <w:t xml:space="preserve">: </w:t>
            </w:r>
          </w:p>
        </w:tc>
        <w:tc>
          <w:tcPr>
            <w:tcW w:w="7971" w:type="dxa"/>
          </w:tcPr>
          <w:p w14:paraId="09D9F190" w14:textId="08D3F42D"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w:t>
            </w:r>
            <w:proofErr w:type="spellStart"/>
            <w:r>
              <w:rPr>
                <w:rFonts w:ascii="Helvetica Neue" w:eastAsia="Helvetica Neue" w:hAnsi="Helvetica Neue" w:cs="Helvetica Neue"/>
              </w:rPr>
              <w:t>offboarding</w:t>
            </w:r>
            <w:proofErr w:type="spellEnd"/>
            <w:r>
              <w:rPr>
                <w:rFonts w:ascii="Helvetica Neue" w:eastAsia="Helvetica Neue" w:hAnsi="Helvetica Neue" w:cs="Helvetica Neue"/>
              </w:rPr>
              <w:t xml:space="preserve"> plan for this Call-Off Contract is </w:t>
            </w:r>
            <w:r w:rsidR="00841879" w:rsidRPr="002D00E5">
              <w:rPr>
                <w:rFonts w:ascii="Helvetica Neue" w:eastAsia="Helvetica Neue" w:hAnsi="Helvetica Neue" w:cs="Helvetica Neue"/>
              </w:rPr>
              <w:t>to be defined by the Supplier within the first three (3) months following the Start Date.</w:t>
            </w:r>
          </w:p>
          <w:p w14:paraId="0914CFB2" w14:textId="4A126B81" w:rsidR="00076044" w:rsidRDefault="00076044" w:rsidP="00670746">
            <w:pPr>
              <w:spacing w:after="0"/>
              <w:rPr>
                <w:rFonts w:ascii="Helvetica Neue" w:eastAsia="Helvetica Neue" w:hAnsi="Helvetica Neue" w:cs="Helvetica Neue"/>
                <w:highlight w:val="green"/>
              </w:rPr>
            </w:pPr>
          </w:p>
        </w:tc>
      </w:tr>
      <w:tr w:rsidR="00076044" w14:paraId="3051F044" w14:textId="77777777">
        <w:tc>
          <w:tcPr>
            <w:tcW w:w="2657" w:type="dxa"/>
          </w:tcPr>
          <w:p w14:paraId="424AA0E9"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Collaboration agreement:</w:t>
            </w:r>
          </w:p>
        </w:tc>
        <w:tc>
          <w:tcPr>
            <w:tcW w:w="7971" w:type="dxa"/>
          </w:tcPr>
          <w:p w14:paraId="177CF865" w14:textId="78446E4E" w:rsidR="00076044" w:rsidRDefault="00892645">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76044" w14:paraId="35A54FD2" w14:textId="77777777">
        <w:tc>
          <w:tcPr>
            <w:tcW w:w="2657" w:type="dxa"/>
          </w:tcPr>
          <w:p w14:paraId="527B35AC"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1" w:type="dxa"/>
          </w:tcPr>
          <w:p w14:paraId="5BC6E093" w14:textId="74489F44"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of either Party for all Property defaults will not exceed </w:t>
            </w:r>
            <w:r w:rsidR="00892645">
              <w:rPr>
                <w:rFonts w:ascii="Helvetica Neue" w:eastAsia="Helvetica Neue" w:hAnsi="Helvetica Neue" w:cs="Helvetica Neue"/>
                <w:highlight w:val="yellow"/>
              </w:rPr>
              <w:t>£1,000,000</w:t>
            </w:r>
            <w:r>
              <w:rPr>
                <w:rFonts w:ascii="Helvetica Neue" w:eastAsia="Helvetica Neue" w:hAnsi="Helvetica Neue" w:cs="Helvetica Neue"/>
              </w:rPr>
              <w:t xml:space="preserve">.   </w:t>
            </w:r>
          </w:p>
          <w:p w14:paraId="26829B23" w14:textId="350CC26E"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for Buyer Data defaults will not exceed </w:t>
            </w:r>
            <w:r w:rsidR="002D00E5" w:rsidRPr="002D00E5">
              <w:rPr>
                <w:rFonts w:ascii="Helvetica Neue" w:eastAsia="Helvetica Neue" w:hAnsi="Helvetica Neue" w:cs="Helvetica Neue"/>
                <w:highlight w:val="yellow"/>
              </w:rPr>
              <w:t xml:space="preserve">020 7210 5786   </w:t>
            </w:r>
            <w:r w:rsidR="00892645">
              <w:rPr>
                <w:rFonts w:ascii="Helvetica Neue" w:eastAsia="Helvetica Neue" w:hAnsi="Helvetica Neue" w:cs="Helvetica Neue"/>
              </w:rPr>
              <w:t>£1,000,000</w:t>
            </w:r>
            <w:r>
              <w:rPr>
                <w:rFonts w:ascii="Helvetica Neue" w:eastAsia="Helvetica Neue" w:hAnsi="Helvetica Neue" w:cs="Helvetica Neue"/>
              </w:rPr>
              <w:t xml:space="preserve"> or </w:t>
            </w:r>
            <w:r w:rsidR="00892645">
              <w:rPr>
                <w:rFonts w:ascii="Helvetica Neue" w:eastAsia="Helvetica Neue" w:hAnsi="Helvetica Neue" w:cs="Helvetica Neue"/>
              </w:rPr>
              <w:t>125%</w:t>
            </w:r>
            <w:r>
              <w:rPr>
                <w:rFonts w:ascii="Helvetica Neue" w:eastAsia="Helvetica Neue" w:hAnsi="Helvetica Neue" w:cs="Helvetica Neue"/>
              </w:rPr>
              <w:t xml:space="preserve"> of the Charges payable by the Buyer to the Supplier during the Call-Off Contract Term (whichever is the greater).</w:t>
            </w:r>
          </w:p>
          <w:p w14:paraId="7B865844" w14:textId="20E34F4F"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for all other defaults will not exceed the greater of </w:t>
            </w:r>
            <w:r w:rsidR="00892645">
              <w:rPr>
                <w:rFonts w:ascii="Helvetica Neue" w:eastAsia="Helvetica Neue" w:hAnsi="Helvetica Neue" w:cs="Helvetica Neue"/>
              </w:rPr>
              <w:t>£1,000,000</w:t>
            </w:r>
            <w:r>
              <w:rPr>
                <w:rFonts w:ascii="Helvetica Neue" w:eastAsia="Helvetica Neue" w:hAnsi="Helvetica Neue" w:cs="Helvetica Neue"/>
              </w:rPr>
              <w:t xml:space="preserve"> or </w:t>
            </w:r>
            <w:r w:rsidR="00892645">
              <w:rPr>
                <w:rFonts w:ascii="Helvetica Neue" w:eastAsia="Helvetica Neue" w:hAnsi="Helvetica Neue" w:cs="Helvetica Neue"/>
              </w:rPr>
              <w:t>125%</w:t>
            </w:r>
            <w:r>
              <w:rPr>
                <w:rFonts w:ascii="Helvetica Neue" w:eastAsia="Helvetica Neue" w:hAnsi="Helvetica Neue" w:cs="Helvetica Neue"/>
              </w:rPr>
              <w:t xml:space="preserve"> of the Charges payable by the Buyer to the Supplier during the Call-Off Contract Term (whichever is the greater).</w:t>
            </w:r>
          </w:p>
          <w:p w14:paraId="6BF51EA3" w14:textId="36179C48" w:rsidR="00076044" w:rsidRDefault="00076044">
            <w:pPr>
              <w:spacing w:after="0"/>
              <w:rPr>
                <w:rFonts w:ascii="Helvetica Neue" w:eastAsia="Helvetica Neue" w:hAnsi="Helvetica Neue" w:cs="Helvetica Neue"/>
              </w:rPr>
            </w:pPr>
          </w:p>
        </w:tc>
      </w:tr>
      <w:tr w:rsidR="00076044" w14:paraId="05E25E08" w14:textId="77777777">
        <w:tc>
          <w:tcPr>
            <w:tcW w:w="2657" w:type="dxa"/>
          </w:tcPr>
          <w:p w14:paraId="21F407D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Insurance:</w:t>
            </w:r>
          </w:p>
        </w:tc>
        <w:tc>
          <w:tcPr>
            <w:tcW w:w="7971" w:type="dxa"/>
          </w:tcPr>
          <w:p w14:paraId="29DD100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insurance(s) required will be: </w:t>
            </w:r>
          </w:p>
          <w:p w14:paraId="20BBD4DA" w14:textId="77777777" w:rsidR="00076044" w:rsidRDefault="004B26D3">
            <w:pPr>
              <w:numPr>
                <w:ilvl w:val="0"/>
                <w:numId w:val="7"/>
              </w:numPr>
              <w:spacing w:after="0" w:line="240" w:lineRule="auto"/>
              <w:ind w:hanging="360"/>
              <w:contextualSpacing/>
              <w:rPr>
                <w:rFonts w:ascii="Helvetica Neue" w:eastAsia="Helvetica Neue" w:hAnsi="Helvetica Neue" w:cs="Helvetica Neue"/>
                <w:highlight w:val="yellow"/>
              </w:rPr>
            </w:pPr>
            <w:r>
              <w:rPr>
                <w:rFonts w:ascii="Helvetica Neue" w:eastAsia="Helvetica Neue" w:hAnsi="Helvetica Neue" w:cs="Helvetica Neue"/>
                <w:highlight w:val="yellow"/>
              </w:rPr>
              <w:t>[a minimum insurance period of [6 years] following the expiration or Ending of this Call-Off Contract]</w:t>
            </w:r>
          </w:p>
          <w:p w14:paraId="60E1648B" w14:textId="77777777" w:rsidR="00076044" w:rsidRDefault="004B26D3">
            <w:pPr>
              <w:numPr>
                <w:ilvl w:val="0"/>
                <w:numId w:val="7"/>
              </w:numPr>
              <w:spacing w:after="0" w:line="240" w:lineRule="auto"/>
              <w:ind w:hanging="360"/>
              <w:contextualSpacing/>
              <w:rPr>
                <w:rFonts w:ascii="Helvetica Neue" w:eastAsia="Helvetica Neue" w:hAnsi="Helvetica Neue" w:cs="Helvetica Neue"/>
                <w:highlight w:val="yellow"/>
              </w:rPr>
            </w:pPr>
            <w:r>
              <w:rPr>
                <w:rFonts w:ascii="Helvetica Neue" w:eastAsia="Helvetica Neue" w:hAnsi="Helvetica Neue" w:cs="Helvetica Neue"/>
                <w:highlight w:val="yellow"/>
              </w:rPr>
              <w:t>[</w:t>
            </w:r>
            <w:proofErr w:type="gramStart"/>
            <w:r>
              <w:rPr>
                <w:rFonts w:ascii="Helvetica Neue" w:eastAsia="Helvetica Neue" w:hAnsi="Helvetica Neue" w:cs="Helvetica Neue"/>
                <w:highlight w:val="yellow"/>
              </w:rPr>
              <w:t>professional</w:t>
            </w:r>
            <w:proofErr w:type="gramEnd"/>
            <w:r>
              <w:rPr>
                <w:rFonts w:ascii="Helvetica Neue" w:eastAsia="Helvetica Neue" w:hAnsi="Helvetica Neue" w:cs="Helvetica Neue"/>
                <w:highlight w:val="yellow"/>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41DB0EEC" w14:textId="77777777" w:rsidR="00076044" w:rsidRDefault="004B26D3">
            <w:pPr>
              <w:numPr>
                <w:ilvl w:val="0"/>
                <w:numId w:val="7"/>
              </w:numPr>
              <w:spacing w:after="0" w:line="240" w:lineRule="auto"/>
              <w:ind w:hanging="360"/>
              <w:contextualSpacing/>
              <w:rPr>
                <w:rFonts w:ascii="Helvetica Neue" w:eastAsia="Helvetica Neue" w:hAnsi="Helvetica Neue" w:cs="Helvetica Neue"/>
                <w:highlight w:val="yellow"/>
              </w:rPr>
            </w:pPr>
            <w:r>
              <w:rPr>
                <w:rFonts w:ascii="Helvetica Neue" w:eastAsia="Helvetica Neue" w:hAnsi="Helvetica Neue" w:cs="Helvetica Neue"/>
                <w:highlight w:val="yellow"/>
              </w:rPr>
              <w:t>[employers' liability insurance with a minimum limit of £5,000,000 or any higher minimum limit required by Law]</w:t>
            </w:r>
          </w:p>
          <w:p w14:paraId="0BD85931" w14:textId="65378A77" w:rsidR="00076044" w:rsidRDefault="00076044">
            <w:pPr>
              <w:spacing w:after="0" w:line="240" w:lineRule="auto"/>
              <w:rPr>
                <w:rFonts w:ascii="Helvetica Neue" w:eastAsia="Helvetica Neue" w:hAnsi="Helvetica Neue" w:cs="Helvetica Neue"/>
                <w:highlight w:val="green"/>
              </w:rPr>
            </w:pPr>
          </w:p>
        </w:tc>
      </w:tr>
      <w:tr w:rsidR="00076044" w14:paraId="1A642EE8" w14:textId="77777777">
        <w:tc>
          <w:tcPr>
            <w:tcW w:w="2657" w:type="dxa"/>
          </w:tcPr>
          <w:p w14:paraId="583E195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1" w:type="dxa"/>
          </w:tcPr>
          <w:p w14:paraId="615F26E6" w14:textId="7386E761" w:rsidR="00076044" w:rsidRDefault="004B26D3" w:rsidP="00670746">
            <w:pPr>
              <w:spacing w:after="0" w:line="240" w:lineRule="auto"/>
              <w:rPr>
                <w:rFonts w:ascii="Helvetica Neue" w:eastAsia="Helvetica Neue" w:hAnsi="Helvetica Neue" w:cs="Helvetica Neue"/>
              </w:rPr>
            </w:pPr>
            <w:r>
              <w:rPr>
                <w:rFonts w:ascii="Helvetica Neue" w:eastAsia="Helvetica Neue" w:hAnsi="Helvetica Neue" w:cs="Helvetica Neue"/>
              </w:rPr>
              <w:t xml:space="preserve">A Party may End this Call-Off Contract if the Other Party is affected by a Force Majeure Event that lasts for more than </w:t>
            </w:r>
            <w:r w:rsidR="00670746">
              <w:rPr>
                <w:rFonts w:ascii="Helvetica Neue" w:eastAsia="Helvetica Neue" w:hAnsi="Helvetica Neue" w:cs="Helvetica Neue"/>
              </w:rPr>
              <w:t xml:space="preserve">60 </w:t>
            </w:r>
            <w:r>
              <w:rPr>
                <w:rFonts w:ascii="Helvetica Neue" w:eastAsia="Helvetica Neue" w:hAnsi="Helvetica Neue" w:cs="Helvetica Neue"/>
              </w:rPr>
              <w:t>consecutive days.</w:t>
            </w:r>
          </w:p>
        </w:tc>
      </w:tr>
      <w:tr w:rsidR="00076044" w14:paraId="7B03BEC5" w14:textId="77777777">
        <w:tc>
          <w:tcPr>
            <w:tcW w:w="2657" w:type="dxa"/>
          </w:tcPr>
          <w:p w14:paraId="10683C9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1" w:type="dxa"/>
          </w:tcPr>
          <w:p w14:paraId="599C9A8B" w14:textId="0B046F06" w:rsidR="00076044" w:rsidRDefault="004B26D3" w:rsidP="002C1712">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following Framework Agreement audit provisions will be incorporated under clause 2.1 of this Call-Off Contract to enable the Buyer to carry out audits. </w:t>
            </w:r>
            <w:r w:rsidR="002C1712">
              <w:rPr>
                <w:rFonts w:ascii="Helvetica Neue" w:eastAsia="Helvetica Neue" w:hAnsi="Helvetica Neue" w:cs="Helvetica Neue"/>
              </w:rPr>
              <w:t xml:space="preserve">Not applicable. </w:t>
            </w:r>
          </w:p>
          <w:p w14:paraId="67E1B889" w14:textId="77777777" w:rsidR="002C1712" w:rsidRDefault="002C1712" w:rsidP="002C1712">
            <w:pPr>
              <w:spacing w:after="0" w:line="240" w:lineRule="auto"/>
              <w:rPr>
                <w:rFonts w:ascii="Helvetica Neue" w:eastAsia="Helvetica Neue" w:hAnsi="Helvetica Neue" w:cs="Helvetica Neue"/>
              </w:rPr>
            </w:pPr>
          </w:p>
          <w:p w14:paraId="59714B24" w14:textId="77777777" w:rsidR="008A2B48" w:rsidRDefault="008A2B48">
            <w:pPr>
              <w:spacing w:after="0" w:line="240" w:lineRule="auto"/>
              <w:rPr>
                <w:rFonts w:ascii="Helvetica Neue" w:eastAsia="Helvetica Neue" w:hAnsi="Helvetica Neue" w:cs="Helvetica Neue"/>
              </w:rPr>
            </w:pPr>
            <w:r w:rsidRPr="00617F16">
              <w:rPr>
                <w:rFonts w:ascii="Helvetica Neue" w:eastAsia="Helvetica Neue" w:hAnsi="Helvetica Neue" w:cs="Helvetica Neue"/>
              </w:rPr>
              <w:t xml:space="preserve">The Buyer acknowledges that the Supplier’s IT systems, payroll-data, non-rechargeable expenses, overheads or profit and loss information are excluded from the scope of any audit carried out by or on behalf of the Buyer. </w:t>
            </w:r>
          </w:p>
          <w:p w14:paraId="6A5C8914" w14:textId="77777777" w:rsidR="006F53C9" w:rsidRDefault="006F53C9">
            <w:pPr>
              <w:spacing w:after="0" w:line="240" w:lineRule="auto"/>
              <w:rPr>
                <w:rFonts w:ascii="Helvetica Neue" w:eastAsia="Helvetica Neue" w:hAnsi="Helvetica Neue" w:cs="Helvetica Neue"/>
              </w:rPr>
            </w:pPr>
          </w:p>
        </w:tc>
      </w:tr>
      <w:tr w:rsidR="00076044" w14:paraId="0240E069" w14:textId="77777777">
        <w:tc>
          <w:tcPr>
            <w:tcW w:w="2657" w:type="dxa"/>
          </w:tcPr>
          <w:p w14:paraId="59BA8B1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1" w:type="dxa"/>
          </w:tcPr>
          <w:p w14:paraId="6476F78D" w14:textId="699ACCF4"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Buyer is responsible for </w:t>
            </w:r>
            <w:r w:rsidR="00E232E8">
              <w:rPr>
                <w:rFonts w:ascii="Helvetica Neue" w:eastAsia="Helvetica Neue" w:hAnsi="Helvetica Neue" w:cs="Helvetica Neue"/>
              </w:rPr>
              <w:t>ensuring ?</w:t>
            </w:r>
            <w:r w:rsidR="00670746" w:rsidRPr="00670746">
              <w:rPr>
                <w:rFonts w:ascii="Helvetica Neue" w:eastAsia="Helvetica Neue" w:hAnsi="Helvetica Neue" w:cs="Helvetica Neue"/>
              </w:rPr>
              <w:t xml:space="preserve">continuous </w:t>
            </w:r>
            <w:r w:rsidR="00963ABE">
              <w:rPr>
                <w:rFonts w:ascii="Helvetica Neue" w:eastAsia="Helvetica Neue" w:hAnsi="Helvetica Neue" w:cs="Helvetica Neue"/>
              </w:rPr>
              <w:t xml:space="preserve">and successful </w:t>
            </w:r>
            <w:r w:rsidR="00670746" w:rsidRPr="00670746">
              <w:rPr>
                <w:rFonts w:ascii="Helvetica Neue" w:eastAsia="Helvetica Neue" w:hAnsi="Helvetica Neue" w:cs="Helvetica Neue"/>
              </w:rPr>
              <w:t>provision of the NIHR IS Function over the contract period</w:t>
            </w:r>
            <w:r w:rsidR="002D00E5">
              <w:rPr>
                <w:rFonts w:ascii="Helvetica Neue" w:eastAsia="Helvetica Neue" w:hAnsi="Helvetica Neue" w:cs="Helvetica Neue"/>
              </w:rPr>
              <w:t xml:space="preserve"> </w:t>
            </w:r>
            <w:r w:rsidR="00670746">
              <w:rPr>
                <w:rFonts w:ascii="Helvetica Neue" w:eastAsia="Helvetica Neue" w:hAnsi="Helvetica Neue" w:cs="Helvetica Neue"/>
              </w:rPr>
              <w:t>in addition to supplier return documents</w:t>
            </w:r>
            <w:r w:rsidR="00963ABE">
              <w:rPr>
                <w:rFonts w:ascii="Helvetica Neue" w:eastAsia="Helvetica Neue" w:hAnsi="Helvetica Neue" w:cs="Helvetica Neue"/>
              </w:rPr>
              <w:t xml:space="preserve"> and providing a named point of contact to the supplier</w:t>
            </w:r>
            <w:r w:rsidR="00670746">
              <w:rPr>
                <w:rFonts w:ascii="Helvetica Neue" w:eastAsia="Helvetica Neue" w:hAnsi="Helvetica Neue" w:cs="Helvetica Neue"/>
              </w:rPr>
              <w:t xml:space="preserve">. </w:t>
            </w:r>
          </w:p>
          <w:p w14:paraId="4303C246" w14:textId="77777777" w:rsidR="00076044" w:rsidRDefault="004B26D3">
            <w:pPr>
              <w:spacing w:after="0" w:line="240" w:lineRule="auto"/>
              <w:rPr>
                <w:rFonts w:ascii="Helvetica Neue" w:eastAsia="Helvetica Neue" w:hAnsi="Helvetica Neue" w:cs="Helvetica Neue"/>
                <w:highlight w:val="green"/>
              </w:rPr>
            </w:pPr>
            <w:r>
              <w:rPr>
                <w:rFonts w:ascii="Helvetica Neue" w:eastAsia="Helvetica Neue" w:hAnsi="Helvetica Neue" w:cs="Helvetica Neue"/>
                <w:highlight w:val="green"/>
              </w:rPr>
              <w:t>[Include details of any specific requirements or responsibilities on the Buyer – for example, the granting of access to the relevant site, provision of a telephone line. This may be of particular relevance for Lot 3 - Cloud Support.]</w:t>
            </w:r>
          </w:p>
        </w:tc>
      </w:tr>
      <w:tr w:rsidR="00076044" w14:paraId="2E17054A" w14:textId="77777777">
        <w:tc>
          <w:tcPr>
            <w:tcW w:w="2657" w:type="dxa"/>
          </w:tcPr>
          <w:p w14:paraId="0DEDBB9E" w14:textId="77777777" w:rsidR="00076044" w:rsidRDefault="004B26D3">
            <w:pPr>
              <w:spacing w:after="0" w:line="240" w:lineRule="auto"/>
              <w:rPr>
                <w:rFonts w:ascii="Helvetica Neue" w:eastAsia="Helvetica Neue" w:hAnsi="Helvetica Neue" w:cs="Helvetica Neue"/>
                <w:b/>
              </w:rPr>
            </w:pPr>
            <w:bookmarkStart w:id="15" w:name="_1t3h5sf" w:colFirst="0" w:colLast="0"/>
            <w:bookmarkEnd w:id="15"/>
            <w:r>
              <w:rPr>
                <w:rFonts w:ascii="Helvetica Neue" w:eastAsia="Helvetica Neue" w:hAnsi="Helvetica Neue" w:cs="Helvetica Neue"/>
                <w:b/>
              </w:rPr>
              <w:t>Buyer’s equipment:</w:t>
            </w:r>
          </w:p>
        </w:tc>
        <w:tc>
          <w:tcPr>
            <w:tcW w:w="7971" w:type="dxa"/>
          </w:tcPr>
          <w:p w14:paraId="0CEE53F1" w14:textId="2B44FFEE" w:rsidR="00076044" w:rsidRDefault="004B26D3" w:rsidP="00670746">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The Buyer’s equipment to be used with this Call-Off Contract includes </w:t>
            </w:r>
            <w:r w:rsidR="00670746" w:rsidRPr="002D00E5">
              <w:rPr>
                <w:rFonts w:ascii="Helvetica Neue" w:eastAsia="Helvetica Neue" w:hAnsi="Helvetica Neue" w:cs="Helvetica Neue"/>
              </w:rPr>
              <w:t>Inf</w:t>
            </w:r>
            <w:r w:rsidR="002C1712" w:rsidRPr="002D00E5">
              <w:rPr>
                <w:rFonts w:ascii="Helvetica Neue" w:eastAsia="Helvetica Neue" w:hAnsi="Helvetica Neue" w:cs="Helvetica Neue"/>
              </w:rPr>
              <w:t>r</w:t>
            </w:r>
            <w:r w:rsidR="00670746" w:rsidRPr="002D00E5">
              <w:rPr>
                <w:rFonts w:ascii="Helvetica Neue" w:eastAsia="Helvetica Neue" w:hAnsi="Helvetica Neue" w:cs="Helvetica Neue"/>
              </w:rPr>
              <w:t>a</w:t>
            </w:r>
            <w:r w:rsidR="002C1712" w:rsidRPr="002D00E5">
              <w:rPr>
                <w:rFonts w:ascii="Helvetica Neue" w:eastAsia="Helvetica Neue" w:hAnsi="Helvetica Neue" w:cs="Helvetica Neue"/>
              </w:rPr>
              <w:t>s</w:t>
            </w:r>
            <w:r w:rsidR="00670746" w:rsidRPr="002D00E5">
              <w:rPr>
                <w:rFonts w:ascii="Helvetica Neue" w:eastAsia="Helvetica Neue" w:hAnsi="Helvetica Neue" w:cs="Helvetica Neue"/>
              </w:rPr>
              <w:t>tructure as a service in certain elements through the contract</w:t>
            </w:r>
          </w:p>
        </w:tc>
      </w:tr>
    </w:tbl>
    <w:p w14:paraId="4432BF53" w14:textId="77777777" w:rsidR="00076044" w:rsidRDefault="00076044">
      <w:pPr>
        <w:rPr>
          <w:rFonts w:ascii="Helvetica Neue" w:eastAsia="Helvetica Neue" w:hAnsi="Helvetica Neue" w:cs="Helvetica Neue"/>
        </w:rPr>
      </w:pPr>
    </w:p>
    <w:p w14:paraId="69E2AC0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77C8497C" w14:textId="77777777">
        <w:tc>
          <w:tcPr>
            <w:tcW w:w="2657" w:type="dxa"/>
          </w:tcPr>
          <w:p w14:paraId="37EDFFA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14:paraId="407485BA" w14:textId="53AACA84" w:rsidR="00841879" w:rsidRDefault="004B26D3">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following is a list of the Supplier’s Subcontractors or Partners </w:t>
            </w:r>
            <w:r w:rsidR="00617F16">
              <w:rPr>
                <w:rFonts w:ascii="Helvetica Neue" w:eastAsia="Helvetica Neue" w:hAnsi="Helvetica Neue" w:cs="Helvetica Neue"/>
              </w:rPr>
              <w:t xml:space="preserve">at time of commencement </w:t>
            </w:r>
          </w:p>
          <w:p w14:paraId="513AF9ED" w14:textId="77777777" w:rsidR="00841879" w:rsidRPr="002D00E5" w:rsidRDefault="00892645">
            <w:pPr>
              <w:spacing w:after="0" w:line="240" w:lineRule="auto"/>
              <w:rPr>
                <w:rFonts w:ascii="Helvetica Neue" w:eastAsia="Helvetica Neue" w:hAnsi="Helvetica Neue" w:cs="Helvetica Neue"/>
              </w:rPr>
            </w:pPr>
            <w:r w:rsidRPr="002D00E5">
              <w:rPr>
                <w:rFonts w:ascii="Helvetica Neue" w:eastAsia="Helvetica Neue" w:hAnsi="Helvetica Neue" w:cs="Helvetica Neue"/>
              </w:rPr>
              <w:t>PA Holdings Limited</w:t>
            </w:r>
          </w:p>
          <w:p w14:paraId="5E92CC44" w14:textId="77777777" w:rsidR="00371D98" w:rsidRPr="002D00E5" w:rsidRDefault="00841879">
            <w:pPr>
              <w:spacing w:after="0" w:line="240" w:lineRule="auto"/>
              <w:rPr>
                <w:rFonts w:ascii="Helvetica Neue" w:eastAsia="Helvetica Neue" w:hAnsi="Helvetica Neue" w:cs="Helvetica Neue"/>
              </w:rPr>
            </w:pPr>
            <w:r w:rsidRPr="002D00E5">
              <w:rPr>
                <w:rFonts w:ascii="Helvetica Neue" w:eastAsia="Helvetica Neue" w:hAnsi="Helvetica Neue" w:cs="Helvetica Neue"/>
              </w:rPr>
              <w:t>Google</w:t>
            </w:r>
            <w:r w:rsidR="00F508D9" w:rsidRPr="002D00E5">
              <w:rPr>
                <w:rFonts w:ascii="Helvetica Neue" w:eastAsia="Helvetica Neue" w:hAnsi="Helvetica Neue" w:cs="Helvetica Neue"/>
              </w:rPr>
              <w:t xml:space="preserve"> Ireland Limited</w:t>
            </w:r>
          </w:p>
          <w:p w14:paraId="40B33E5F" w14:textId="77777777" w:rsidR="00371D98" w:rsidRPr="002D00E5" w:rsidRDefault="00371D98">
            <w:pPr>
              <w:spacing w:after="0" w:line="240" w:lineRule="auto"/>
              <w:rPr>
                <w:rFonts w:ascii="Helvetica Neue" w:eastAsia="Helvetica Neue" w:hAnsi="Helvetica Neue" w:cs="Helvetica Neue"/>
              </w:rPr>
            </w:pPr>
            <w:r w:rsidRPr="002D00E5">
              <w:rPr>
                <w:rFonts w:ascii="Helvetica Neue" w:eastAsia="Helvetica Neue" w:hAnsi="Helvetica Neue" w:cs="Helvetica Neue"/>
              </w:rPr>
              <w:t>Amazon Web Services</w:t>
            </w:r>
            <w:r w:rsidR="00F508D9" w:rsidRPr="002D00E5">
              <w:rPr>
                <w:rFonts w:ascii="Helvetica Neue" w:eastAsia="Helvetica Neue" w:hAnsi="Helvetica Neue" w:cs="Helvetica Neue"/>
              </w:rPr>
              <w:t>, Inc.</w:t>
            </w:r>
          </w:p>
          <w:p w14:paraId="376C8B0B" w14:textId="77777777" w:rsidR="00371D98" w:rsidRPr="002D00E5" w:rsidRDefault="00371D98">
            <w:pPr>
              <w:spacing w:after="0" w:line="240" w:lineRule="auto"/>
              <w:rPr>
                <w:rFonts w:ascii="Helvetica Neue" w:eastAsia="Helvetica Neue" w:hAnsi="Helvetica Neue" w:cs="Helvetica Neue"/>
              </w:rPr>
            </w:pPr>
            <w:r w:rsidRPr="002D00E5">
              <w:rPr>
                <w:rFonts w:ascii="Helvetica Neue" w:eastAsia="Helvetica Neue" w:hAnsi="Helvetica Neue" w:cs="Helvetica Neue"/>
              </w:rPr>
              <w:t>SiteKit Limited</w:t>
            </w:r>
          </w:p>
          <w:p w14:paraId="5A1EF83D" w14:textId="77777777" w:rsidR="00371D98" w:rsidRPr="002D00E5" w:rsidRDefault="00371D98">
            <w:pPr>
              <w:spacing w:after="0" w:line="240" w:lineRule="auto"/>
              <w:rPr>
                <w:rFonts w:ascii="Helvetica Neue" w:eastAsia="Helvetica Neue" w:hAnsi="Helvetica Neue" w:cs="Helvetica Neue"/>
              </w:rPr>
            </w:pPr>
            <w:r w:rsidRPr="002D00E5">
              <w:rPr>
                <w:rFonts w:ascii="Helvetica Neue" w:eastAsia="Helvetica Neue" w:hAnsi="Helvetica Neue" w:cs="Helvetica Neue"/>
              </w:rPr>
              <w:t>Cloud Technology Solutions Limited</w:t>
            </w:r>
            <w:r w:rsidR="00F508D9" w:rsidRPr="002D00E5">
              <w:rPr>
                <w:rFonts w:ascii="Helvetica Neue" w:eastAsia="Helvetica Neue" w:hAnsi="Helvetica Neue" w:cs="Helvetica Neue"/>
              </w:rPr>
              <w:t xml:space="preserve"> (</w:t>
            </w:r>
            <w:proofErr w:type="spellStart"/>
            <w:r w:rsidR="00F508D9" w:rsidRPr="002D00E5">
              <w:rPr>
                <w:rFonts w:ascii="Helvetica Neue" w:eastAsia="Helvetica Neue" w:hAnsi="Helvetica Neue" w:cs="Helvetica Neue"/>
              </w:rPr>
              <w:t>CloudPages</w:t>
            </w:r>
            <w:proofErr w:type="spellEnd"/>
            <w:r w:rsidR="00F508D9" w:rsidRPr="002D00E5">
              <w:rPr>
                <w:rFonts w:ascii="Helvetica Neue" w:eastAsia="Helvetica Neue" w:hAnsi="Helvetica Neue" w:cs="Helvetica Neue"/>
              </w:rPr>
              <w:t xml:space="preserve"> and Chrome devices</w:t>
            </w:r>
            <w:r w:rsidR="008F5502" w:rsidRPr="002D00E5">
              <w:rPr>
                <w:rFonts w:ascii="Helvetica Neue" w:eastAsia="Helvetica Neue" w:hAnsi="Helvetica Neue" w:cs="Helvetica Neue"/>
              </w:rPr>
              <w:t>/licences</w:t>
            </w:r>
            <w:r w:rsidR="00F508D9" w:rsidRPr="002D00E5">
              <w:rPr>
                <w:rFonts w:ascii="Helvetica Neue" w:eastAsia="Helvetica Neue" w:hAnsi="Helvetica Neue" w:cs="Helvetica Neue"/>
              </w:rPr>
              <w:t>)</w:t>
            </w:r>
          </w:p>
          <w:p w14:paraId="712634CB" w14:textId="77777777" w:rsidR="00F508D9" w:rsidRPr="002D00E5" w:rsidRDefault="00F508D9">
            <w:pPr>
              <w:spacing w:after="0" w:line="240" w:lineRule="auto"/>
              <w:rPr>
                <w:rFonts w:ascii="Helvetica Neue" w:eastAsia="Helvetica Neue" w:hAnsi="Helvetica Neue" w:cs="Helvetica Neue"/>
              </w:rPr>
            </w:pPr>
            <w:r w:rsidRPr="002D00E5">
              <w:rPr>
                <w:rFonts w:ascii="Helvetica Neue" w:eastAsia="Helvetica Neue" w:hAnsi="Helvetica Neue" w:cs="Helvetica Neue"/>
              </w:rPr>
              <w:t>Salesforce.com</w:t>
            </w:r>
          </w:p>
          <w:p w14:paraId="61C43A84" w14:textId="77777777" w:rsidR="00F508D9" w:rsidRPr="002D00E5" w:rsidRDefault="00F508D9">
            <w:pPr>
              <w:spacing w:after="0" w:line="240" w:lineRule="auto"/>
              <w:rPr>
                <w:rFonts w:ascii="Helvetica Neue" w:eastAsia="Helvetica Neue" w:hAnsi="Helvetica Neue" w:cs="Helvetica Neue"/>
              </w:rPr>
            </w:pPr>
            <w:proofErr w:type="spellStart"/>
            <w:r w:rsidRPr="002D00E5">
              <w:rPr>
                <w:rFonts w:ascii="Helvetica Neue" w:eastAsia="Helvetica Neue" w:hAnsi="Helvetica Neue" w:cs="Helvetica Neue"/>
              </w:rPr>
              <w:t>CloudLock</w:t>
            </w:r>
            <w:proofErr w:type="spellEnd"/>
          </w:p>
          <w:p w14:paraId="4005D403" w14:textId="77777777" w:rsidR="008F5502" w:rsidRPr="002D00E5" w:rsidRDefault="00F508D9">
            <w:pPr>
              <w:spacing w:after="0" w:line="240" w:lineRule="auto"/>
              <w:rPr>
                <w:rFonts w:ascii="Helvetica Neue" w:eastAsia="Helvetica Neue" w:hAnsi="Helvetica Neue" w:cs="Helvetica Neue"/>
              </w:rPr>
            </w:pPr>
            <w:r w:rsidRPr="002D00E5">
              <w:rPr>
                <w:rFonts w:ascii="Helvetica Neue" w:eastAsia="Helvetica Neue" w:hAnsi="Helvetica Neue" w:cs="Helvetica Neue"/>
              </w:rPr>
              <w:t>Homerton University Hospital NHS F</w:t>
            </w:r>
            <w:r w:rsidR="008F5502" w:rsidRPr="002D00E5">
              <w:rPr>
                <w:rFonts w:ascii="Helvetica Neue" w:eastAsia="Helvetica Neue" w:hAnsi="Helvetica Neue" w:cs="Helvetica Neue"/>
              </w:rPr>
              <w:t>oundation Trust (CHAIN Network)</w:t>
            </w:r>
          </w:p>
          <w:p w14:paraId="3AA34CCF" w14:textId="77777777" w:rsidR="008F5502" w:rsidRPr="002D00E5" w:rsidRDefault="008F5502">
            <w:pPr>
              <w:spacing w:after="0" w:line="240" w:lineRule="auto"/>
              <w:rPr>
                <w:rFonts w:ascii="Helvetica Neue" w:eastAsia="Helvetica Neue" w:hAnsi="Helvetica Neue" w:cs="Helvetica Neue"/>
              </w:rPr>
            </w:pPr>
            <w:r w:rsidRPr="002D00E5">
              <w:rPr>
                <w:rFonts w:ascii="Helvetica Neue" w:eastAsia="Helvetica Neue" w:hAnsi="Helvetica Neue" w:cs="Helvetica Neue"/>
              </w:rPr>
              <w:t>Lucid Software, Inc. (</w:t>
            </w:r>
            <w:proofErr w:type="spellStart"/>
            <w:r w:rsidRPr="002D00E5">
              <w:rPr>
                <w:rFonts w:ascii="Helvetica Neue" w:eastAsia="Helvetica Neue" w:hAnsi="Helvetica Neue" w:cs="Helvetica Neue"/>
              </w:rPr>
              <w:t>Lucidchart</w:t>
            </w:r>
            <w:proofErr w:type="spellEnd"/>
            <w:r w:rsidRPr="002D00E5">
              <w:rPr>
                <w:rFonts w:ascii="Helvetica Neue" w:eastAsia="Helvetica Neue" w:hAnsi="Helvetica Neue" w:cs="Helvetica Neue"/>
              </w:rPr>
              <w:t>)</w:t>
            </w:r>
          </w:p>
          <w:p w14:paraId="25C6733F" w14:textId="77777777" w:rsidR="008F5502" w:rsidRPr="002D00E5" w:rsidRDefault="008F5502">
            <w:pPr>
              <w:spacing w:after="0" w:line="240" w:lineRule="auto"/>
              <w:rPr>
                <w:rFonts w:ascii="Helvetica Neue" w:eastAsia="Helvetica Neue" w:hAnsi="Helvetica Neue" w:cs="Helvetica Neue"/>
              </w:rPr>
            </w:pPr>
            <w:r w:rsidRPr="002D00E5">
              <w:rPr>
                <w:rFonts w:ascii="Helvetica Neue" w:eastAsia="Helvetica Neue" w:hAnsi="Helvetica Neue" w:cs="Helvetica Neue"/>
              </w:rPr>
              <w:t>Magic Web Solutions (UK) Limited (</w:t>
            </w:r>
            <w:proofErr w:type="spellStart"/>
            <w:r w:rsidRPr="002D00E5">
              <w:rPr>
                <w:rFonts w:ascii="Helvetica Neue" w:eastAsia="Helvetica Neue" w:hAnsi="Helvetica Neue" w:cs="Helvetica Neue"/>
              </w:rPr>
              <w:t>Kanbanchi</w:t>
            </w:r>
            <w:proofErr w:type="spellEnd"/>
            <w:r w:rsidRPr="002D00E5">
              <w:rPr>
                <w:rFonts w:ascii="Helvetica Neue" w:eastAsia="Helvetica Neue" w:hAnsi="Helvetica Neue" w:cs="Helvetica Neue"/>
              </w:rPr>
              <w:t>)</w:t>
            </w:r>
          </w:p>
          <w:p w14:paraId="49400DC1" w14:textId="77777777" w:rsidR="008F5502" w:rsidRPr="002D00E5" w:rsidRDefault="008F5502">
            <w:pPr>
              <w:spacing w:after="0" w:line="240" w:lineRule="auto"/>
              <w:rPr>
                <w:rFonts w:ascii="Helvetica Neue" w:eastAsia="Helvetica Neue" w:hAnsi="Helvetica Neue" w:cs="Helvetica Neue"/>
              </w:rPr>
            </w:pPr>
            <w:r w:rsidRPr="002D00E5">
              <w:rPr>
                <w:rFonts w:ascii="Helvetica Neue" w:eastAsia="Helvetica Neue" w:hAnsi="Helvetica Neue" w:cs="Helvetica Neue"/>
              </w:rPr>
              <w:t xml:space="preserve">Awesome </w:t>
            </w:r>
            <w:proofErr w:type="spellStart"/>
            <w:r w:rsidRPr="002D00E5">
              <w:rPr>
                <w:rFonts w:ascii="Helvetica Neue" w:eastAsia="Helvetica Neue" w:hAnsi="Helvetica Neue" w:cs="Helvetica Neue"/>
              </w:rPr>
              <w:t>Gapps</w:t>
            </w:r>
            <w:proofErr w:type="spellEnd"/>
            <w:r w:rsidRPr="002D00E5">
              <w:rPr>
                <w:rFonts w:ascii="Helvetica Neue" w:eastAsia="Helvetica Neue" w:hAnsi="Helvetica Neue" w:cs="Helvetica Neue"/>
              </w:rPr>
              <w:t xml:space="preserve"> </w:t>
            </w:r>
            <w:proofErr w:type="spellStart"/>
            <w:r w:rsidRPr="002D00E5">
              <w:rPr>
                <w:rFonts w:ascii="Helvetica Neue" w:eastAsia="Helvetica Neue" w:hAnsi="Helvetica Neue" w:cs="Helvetica Neue"/>
              </w:rPr>
              <w:t>SarL</w:t>
            </w:r>
            <w:proofErr w:type="spellEnd"/>
            <w:r w:rsidRPr="002D00E5">
              <w:rPr>
                <w:rFonts w:ascii="Helvetica Neue" w:eastAsia="Helvetica Neue" w:hAnsi="Helvetica Neue" w:cs="Helvetica Neue"/>
              </w:rPr>
              <w:t xml:space="preserve"> (Awesome Tables)</w:t>
            </w:r>
          </w:p>
          <w:p w14:paraId="395C8519" w14:textId="6F2F61D4" w:rsidR="00076044" w:rsidRDefault="008F5502">
            <w:pPr>
              <w:spacing w:after="0" w:line="240" w:lineRule="auto"/>
              <w:rPr>
                <w:rFonts w:ascii="Helvetica Neue" w:eastAsia="Helvetica Neue" w:hAnsi="Helvetica Neue" w:cs="Helvetica Neue"/>
              </w:rPr>
            </w:pPr>
            <w:r w:rsidRPr="002D00E5">
              <w:rPr>
                <w:rFonts w:ascii="Helvetica Neue" w:eastAsia="Helvetica Neue" w:hAnsi="Helvetica Neue" w:cs="Helvetica Neue"/>
              </w:rPr>
              <w:t>Current Controlled Trials Limited (ISRCTN Registry)</w:t>
            </w:r>
          </w:p>
          <w:p w14:paraId="700F97A2" w14:textId="64F72CC7" w:rsidR="00FC6214" w:rsidRPr="002D00E5" w:rsidRDefault="00FC6214">
            <w:pPr>
              <w:spacing w:after="0" w:line="240" w:lineRule="auto"/>
              <w:rPr>
                <w:rFonts w:ascii="Helvetica Neue" w:eastAsia="Helvetica Neue" w:hAnsi="Helvetica Neue" w:cs="Helvetica Neue"/>
              </w:rPr>
            </w:pPr>
            <w:r>
              <w:rPr>
                <w:rFonts w:ascii="Helvetica Neue" w:eastAsia="Helvetica Neue" w:hAnsi="Helvetica Neue" w:cs="Helvetica Neue"/>
              </w:rPr>
              <w:t>WSO2 UK Limited</w:t>
            </w:r>
          </w:p>
          <w:p w14:paraId="2D6ADDB6" w14:textId="111B0FDA" w:rsidR="00076044" w:rsidRDefault="00076044">
            <w:pPr>
              <w:spacing w:after="0" w:line="240" w:lineRule="auto"/>
              <w:rPr>
                <w:rFonts w:ascii="Helvetica Neue" w:eastAsia="Helvetica Neue" w:hAnsi="Helvetica Neue" w:cs="Helvetica Neue"/>
                <w:highlight w:val="green"/>
              </w:rPr>
            </w:pPr>
          </w:p>
        </w:tc>
      </w:tr>
    </w:tbl>
    <w:p w14:paraId="59B806FE" w14:textId="77777777" w:rsidR="00076044" w:rsidRDefault="00076044">
      <w:pPr>
        <w:rPr>
          <w:rFonts w:ascii="Helvetica Neue" w:eastAsia="Helvetica Neue" w:hAnsi="Helvetica Neue" w:cs="Helvetica Neue"/>
        </w:rPr>
      </w:pPr>
    </w:p>
    <w:p w14:paraId="03F11C5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14:paraId="53D7DAF7"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325C6A16" w14:textId="77777777" w:rsidTr="00D60DBE">
        <w:tc>
          <w:tcPr>
            <w:tcW w:w="2657" w:type="dxa"/>
          </w:tcPr>
          <w:p w14:paraId="1AF80E86" w14:textId="77777777"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shd w:val="clear" w:color="auto" w:fill="000000" w:themeFill="text1"/>
          </w:tcPr>
          <w:p w14:paraId="154C7CCC" w14:textId="64ADA990" w:rsidR="008F5502" w:rsidRDefault="008F5502" w:rsidP="008F5502">
            <w:pPr>
              <w:spacing w:after="0" w:line="240" w:lineRule="auto"/>
              <w:rPr>
                <w:rFonts w:ascii="Helvetica Neue" w:eastAsia="Helvetica Neue" w:hAnsi="Helvetica Neue" w:cs="Helvetica Neue"/>
              </w:rPr>
            </w:pPr>
          </w:p>
        </w:tc>
      </w:tr>
      <w:tr w:rsidR="00076044" w14:paraId="67B95DD1" w14:textId="77777777">
        <w:tc>
          <w:tcPr>
            <w:tcW w:w="2657" w:type="dxa"/>
          </w:tcPr>
          <w:p w14:paraId="1E5EAEE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1" w:type="dxa"/>
          </w:tcPr>
          <w:p w14:paraId="31679BE5" w14:textId="48B9DEF4" w:rsidR="00076044" w:rsidRDefault="004B26D3">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The payment profile for this Call-Off Contract is </w:t>
            </w:r>
            <w:r>
              <w:rPr>
                <w:rFonts w:ascii="Helvetica Neue" w:eastAsia="Helvetica Neue" w:hAnsi="Helvetica Neue" w:cs="Helvetica Neue"/>
                <w:highlight w:val="yellow"/>
              </w:rPr>
              <w:t>monthly in arrears.</w:t>
            </w:r>
          </w:p>
          <w:p w14:paraId="6ED475D5" w14:textId="42D33B04" w:rsidR="00076044" w:rsidRDefault="00076044">
            <w:pPr>
              <w:spacing w:after="0" w:line="240" w:lineRule="auto"/>
              <w:rPr>
                <w:rFonts w:ascii="Helvetica Neue" w:eastAsia="Helvetica Neue" w:hAnsi="Helvetica Neue" w:cs="Helvetica Neue"/>
                <w:highlight w:val="green"/>
              </w:rPr>
            </w:pPr>
          </w:p>
        </w:tc>
      </w:tr>
      <w:tr w:rsidR="00076044" w14:paraId="0742DE5A" w14:textId="77777777">
        <w:tc>
          <w:tcPr>
            <w:tcW w:w="2657" w:type="dxa"/>
          </w:tcPr>
          <w:p w14:paraId="4D511B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14:paraId="3B961225" w14:textId="060F1380" w:rsidR="00076044" w:rsidRDefault="004B26D3" w:rsidP="008F5502">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Supplier will issue electronic invoices </w:t>
            </w:r>
            <w:r>
              <w:rPr>
                <w:rFonts w:ascii="Helvetica Neue" w:eastAsia="Helvetica Neue" w:hAnsi="Helvetica Neue" w:cs="Helvetica Neue"/>
                <w:highlight w:val="yellow"/>
              </w:rPr>
              <w:t>monthly in arrears</w:t>
            </w:r>
            <w:r>
              <w:rPr>
                <w:rFonts w:ascii="Helvetica Neue" w:eastAsia="Helvetica Neue" w:hAnsi="Helvetica Neue" w:cs="Helvetica Neue"/>
              </w:rPr>
              <w:t xml:space="preserve">. The Buyer will pay the Supplier within </w:t>
            </w:r>
            <w:r>
              <w:rPr>
                <w:rFonts w:ascii="Helvetica Neue" w:eastAsia="Helvetica Neue" w:hAnsi="Helvetica Neue" w:cs="Helvetica Neue"/>
                <w:highlight w:val="yellow"/>
              </w:rPr>
              <w:t>30</w:t>
            </w:r>
            <w:r>
              <w:rPr>
                <w:rFonts w:ascii="Helvetica Neue" w:eastAsia="Helvetica Neue" w:hAnsi="Helvetica Neue" w:cs="Helvetica Neue"/>
              </w:rPr>
              <w:t xml:space="preserve"> days of receipt of a valid invoice.</w:t>
            </w:r>
          </w:p>
        </w:tc>
      </w:tr>
      <w:tr w:rsidR="00076044" w14:paraId="726CC14F" w14:textId="77777777" w:rsidTr="00D60DBE">
        <w:tc>
          <w:tcPr>
            <w:tcW w:w="2657" w:type="dxa"/>
          </w:tcPr>
          <w:p w14:paraId="2B58CC0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1" w:type="dxa"/>
            <w:shd w:val="clear" w:color="auto" w:fill="000000" w:themeFill="text1"/>
          </w:tcPr>
          <w:p w14:paraId="1B2C6402" w14:textId="77777777" w:rsidR="00670746" w:rsidRDefault="00670746" w:rsidP="008F5502">
            <w:pPr>
              <w:spacing w:after="0" w:line="240" w:lineRule="auto"/>
              <w:rPr>
                <w:rFonts w:ascii="Helvetica Neue" w:eastAsia="Helvetica Neue" w:hAnsi="Helvetica Neue" w:cs="Helvetica Neue"/>
              </w:rPr>
            </w:pPr>
          </w:p>
          <w:p w14:paraId="17535FD9" w14:textId="738CDDBC" w:rsidR="00670746" w:rsidRDefault="00670746" w:rsidP="008F5502">
            <w:pPr>
              <w:spacing w:after="0" w:line="240" w:lineRule="auto"/>
              <w:rPr>
                <w:rFonts w:ascii="Helvetica Neue" w:eastAsia="Helvetica Neue" w:hAnsi="Helvetica Neue" w:cs="Helvetica Neue"/>
              </w:rPr>
            </w:pPr>
          </w:p>
          <w:p w14:paraId="6A91B229" w14:textId="2E7CC28F" w:rsidR="00670746" w:rsidRDefault="00670746" w:rsidP="00617F16">
            <w:pPr>
              <w:spacing w:after="0" w:line="240" w:lineRule="auto"/>
              <w:rPr>
                <w:rFonts w:ascii="Helvetica Neue" w:eastAsia="Helvetica Neue" w:hAnsi="Helvetica Neue" w:cs="Helvetica Neue"/>
              </w:rPr>
            </w:pPr>
          </w:p>
        </w:tc>
      </w:tr>
      <w:tr w:rsidR="00076044" w14:paraId="4D4494C5" w14:textId="77777777" w:rsidTr="00D60DBE">
        <w:tc>
          <w:tcPr>
            <w:tcW w:w="2657" w:type="dxa"/>
          </w:tcPr>
          <w:p w14:paraId="5140DB8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shd w:val="clear" w:color="auto" w:fill="000000" w:themeFill="text1"/>
          </w:tcPr>
          <w:p w14:paraId="330E78FF" w14:textId="3A7CA032" w:rsidR="00963ABE" w:rsidRDefault="00963ABE">
            <w:pPr>
              <w:spacing w:after="0" w:line="240" w:lineRule="auto"/>
              <w:rPr>
                <w:rFonts w:ascii="Helvetica Neue" w:eastAsia="Helvetica Neue" w:hAnsi="Helvetica Neue" w:cs="Helvetica Neue"/>
              </w:rPr>
            </w:pPr>
          </w:p>
        </w:tc>
      </w:tr>
      <w:tr w:rsidR="00076044" w14:paraId="2D4B70A8" w14:textId="77777777">
        <w:tc>
          <w:tcPr>
            <w:tcW w:w="2657" w:type="dxa"/>
          </w:tcPr>
          <w:p w14:paraId="5B0C240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1" w:type="dxa"/>
          </w:tcPr>
          <w:p w14:paraId="7BCE1D6A" w14:textId="6D5EA77E" w:rsidR="00076044" w:rsidRDefault="004B26D3" w:rsidP="002C1712">
            <w:pPr>
              <w:spacing w:after="0" w:line="240" w:lineRule="auto"/>
              <w:rPr>
                <w:rFonts w:ascii="Helvetica Neue" w:eastAsia="Helvetica Neue" w:hAnsi="Helvetica Neue" w:cs="Helvetica Neue"/>
              </w:rPr>
            </w:pPr>
            <w:r>
              <w:rPr>
                <w:rFonts w:ascii="Helvetica Neue" w:eastAsia="Helvetica Neue" w:hAnsi="Helvetica Neue" w:cs="Helvetica Neue"/>
              </w:rPr>
              <w:t xml:space="preserve">Invoice will be sent to the Buyer </w:t>
            </w:r>
            <w:r w:rsidR="00784D8E">
              <w:rPr>
                <w:rFonts w:ascii="Helvetica Neue" w:eastAsia="Helvetica Neue" w:hAnsi="Helvetica Neue" w:cs="Helvetica Neue"/>
              </w:rPr>
              <w:t>within seven (7) days following the end of each calendar month</w:t>
            </w:r>
          </w:p>
        </w:tc>
      </w:tr>
      <w:tr w:rsidR="00076044" w14:paraId="3BC19D6E" w14:textId="77777777">
        <w:tc>
          <w:tcPr>
            <w:tcW w:w="2657" w:type="dxa"/>
          </w:tcPr>
          <w:p w14:paraId="422DAE5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14:paraId="6D85A96D" w14:textId="065F7779"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total value of this Call-Off Contract is </w:t>
            </w:r>
            <w:r w:rsidR="00784D8E" w:rsidRPr="000B1C76">
              <w:rPr>
                <w:rFonts w:ascii="Helvetica Neue" w:eastAsia="Helvetica Neue" w:hAnsi="Helvetica Neue" w:cs="Helvetica Neue"/>
              </w:rPr>
              <w:t>£5,090,000</w:t>
            </w:r>
          </w:p>
        </w:tc>
      </w:tr>
      <w:tr w:rsidR="00076044" w14:paraId="7FFFB351" w14:textId="77777777">
        <w:tc>
          <w:tcPr>
            <w:tcW w:w="2657" w:type="dxa"/>
          </w:tcPr>
          <w:p w14:paraId="0DC14EE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1" w:type="dxa"/>
          </w:tcPr>
          <w:p w14:paraId="4BFD4B90" w14:textId="4B430094" w:rsidR="005D7AFA"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breakdown of the Charges is</w:t>
            </w:r>
            <w:r w:rsidR="002C1712">
              <w:rPr>
                <w:rFonts w:ascii="Helvetica Neue" w:eastAsia="Helvetica Neue" w:hAnsi="Helvetica Neue" w:cs="Helvetica Neue"/>
              </w:rPr>
              <w:t>:</w:t>
            </w:r>
          </w:p>
          <w:tbl>
            <w:tblPr>
              <w:tblStyle w:val="PAtableformatright-alignedforfigures"/>
              <w:tblW w:w="7838" w:type="dxa"/>
              <w:tblLayout w:type="fixed"/>
              <w:tblLook w:val="04A0" w:firstRow="1" w:lastRow="0" w:firstColumn="1" w:lastColumn="0" w:noHBand="0" w:noVBand="1"/>
            </w:tblPr>
            <w:tblGrid>
              <w:gridCol w:w="1932"/>
              <w:gridCol w:w="858"/>
              <w:gridCol w:w="848"/>
              <w:gridCol w:w="848"/>
              <w:gridCol w:w="3352"/>
            </w:tblGrid>
            <w:tr w:rsidR="005D7AFA" w14:paraId="6C220E9D" w14:textId="77777777" w:rsidTr="00D60D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32" w:type="pct"/>
                </w:tcPr>
                <w:p w14:paraId="4F48A402" w14:textId="77777777" w:rsidR="005D7AFA" w:rsidRPr="00F71827" w:rsidRDefault="005D7AFA" w:rsidP="005D7AFA"/>
              </w:tc>
              <w:tc>
                <w:tcPr>
                  <w:tcW w:w="547" w:type="pct"/>
                </w:tcPr>
                <w:p w14:paraId="2344D4D6" w14:textId="0F41BB34" w:rsidR="005D7AFA" w:rsidRPr="00F71827" w:rsidRDefault="005D7AFA" w:rsidP="005D7AFA">
                  <w:pPr>
                    <w:cnfStyle w:val="100000000000" w:firstRow="1" w:lastRow="0" w:firstColumn="0" w:lastColumn="0" w:oddVBand="0" w:evenVBand="0" w:oddHBand="0" w:evenHBand="0" w:firstRowFirstColumn="0" w:firstRowLastColumn="0" w:lastRowFirstColumn="0" w:lastRowLastColumn="0"/>
                  </w:pPr>
                </w:p>
              </w:tc>
              <w:tc>
                <w:tcPr>
                  <w:tcW w:w="541" w:type="pct"/>
                </w:tcPr>
                <w:p w14:paraId="500DB985" w14:textId="72BE72A9" w:rsidR="005D7AFA" w:rsidRPr="00F71827" w:rsidRDefault="005D7AFA" w:rsidP="005D7AFA">
                  <w:pPr>
                    <w:cnfStyle w:val="100000000000" w:firstRow="1" w:lastRow="0" w:firstColumn="0" w:lastColumn="0" w:oddVBand="0" w:evenVBand="0" w:oddHBand="0" w:evenHBand="0" w:firstRowFirstColumn="0" w:firstRowLastColumn="0" w:lastRowFirstColumn="0" w:lastRowLastColumn="0"/>
                  </w:pPr>
                </w:p>
              </w:tc>
              <w:tc>
                <w:tcPr>
                  <w:tcW w:w="541" w:type="pct"/>
                </w:tcPr>
                <w:p w14:paraId="57FB0E36" w14:textId="0BF5E0D1" w:rsidR="005D7AFA" w:rsidRPr="00F71827" w:rsidRDefault="005D7AFA" w:rsidP="005D7AFA">
                  <w:pPr>
                    <w:cnfStyle w:val="100000000000" w:firstRow="1" w:lastRow="0" w:firstColumn="0" w:lastColumn="0" w:oddVBand="0" w:evenVBand="0" w:oddHBand="0" w:evenHBand="0" w:firstRowFirstColumn="0" w:firstRowLastColumn="0" w:lastRowFirstColumn="0" w:lastRowLastColumn="0"/>
                  </w:pPr>
                </w:p>
              </w:tc>
              <w:tc>
                <w:tcPr>
                  <w:tcW w:w="2138" w:type="pct"/>
                </w:tcPr>
                <w:p w14:paraId="555D01FC" w14:textId="5EBCCC48" w:rsidR="005D7AFA" w:rsidRPr="00F71827" w:rsidRDefault="005D7AFA" w:rsidP="005D7AFA">
                  <w:pPr>
                    <w:cnfStyle w:val="100000000000" w:firstRow="1" w:lastRow="0" w:firstColumn="0" w:lastColumn="0" w:oddVBand="0" w:evenVBand="0" w:oddHBand="0" w:evenHBand="0" w:firstRowFirstColumn="0" w:firstRowLastColumn="0" w:lastRowFirstColumn="0" w:lastRowLastColumn="0"/>
                  </w:pPr>
                </w:p>
              </w:tc>
            </w:tr>
            <w:tr w:rsidR="005D7AFA" w14:paraId="4F3450EA" w14:textId="77777777" w:rsidTr="00D60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tcPr>
                <w:p w14:paraId="719796B7" w14:textId="754B6916" w:rsidR="005D7AFA" w:rsidRPr="00211313" w:rsidRDefault="005D7AFA" w:rsidP="005D7AFA">
                  <w:pPr>
                    <w:rPr>
                      <w:rStyle w:val="PAcharacterboldtext"/>
                    </w:rPr>
                  </w:pPr>
                </w:p>
              </w:tc>
              <w:tc>
                <w:tcPr>
                  <w:tcW w:w="547" w:type="pct"/>
                </w:tcPr>
                <w:p w14:paraId="5F7DEA15" w14:textId="0F1A0C02" w:rsidR="005D7AFA" w:rsidRPr="00F71827" w:rsidRDefault="005D7AFA" w:rsidP="005D7AFA">
                  <w:pPr>
                    <w:pStyle w:val="PAtabletextbodytext"/>
                    <w:cnfStyle w:val="000000100000" w:firstRow="0" w:lastRow="0" w:firstColumn="0" w:lastColumn="0" w:oddVBand="0" w:evenVBand="0" w:oddHBand="1" w:evenHBand="0" w:firstRowFirstColumn="0" w:firstRowLastColumn="0" w:lastRowFirstColumn="0" w:lastRowLastColumn="0"/>
                  </w:pPr>
                </w:p>
              </w:tc>
              <w:tc>
                <w:tcPr>
                  <w:tcW w:w="541" w:type="pct"/>
                </w:tcPr>
                <w:p w14:paraId="7C8A0E5A" w14:textId="746CDAFD" w:rsidR="005D7AFA" w:rsidRPr="00F71827" w:rsidRDefault="005D7AFA" w:rsidP="005D7AFA">
                  <w:pPr>
                    <w:pStyle w:val="PAtabletextbodytext"/>
                    <w:cnfStyle w:val="000000100000" w:firstRow="0" w:lastRow="0" w:firstColumn="0" w:lastColumn="0" w:oddVBand="0" w:evenVBand="0" w:oddHBand="1" w:evenHBand="0" w:firstRowFirstColumn="0" w:firstRowLastColumn="0" w:lastRowFirstColumn="0" w:lastRowLastColumn="0"/>
                  </w:pPr>
                </w:p>
              </w:tc>
              <w:tc>
                <w:tcPr>
                  <w:tcW w:w="541" w:type="pct"/>
                </w:tcPr>
                <w:p w14:paraId="57559405" w14:textId="02C90260" w:rsidR="005D7AFA" w:rsidRPr="00F71827" w:rsidRDefault="005D7AFA" w:rsidP="005D7AFA">
                  <w:pPr>
                    <w:pStyle w:val="PAtabletextbodytext"/>
                    <w:cnfStyle w:val="000000100000" w:firstRow="0" w:lastRow="0" w:firstColumn="0" w:lastColumn="0" w:oddVBand="0" w:evenVBand="0" w:oddHBand="1" w:evenHBand="0" w:firstRowFirstColumn="0" w:firstRowLastColumn="0" w:lastRowFirstColumn="0" w:lastRowLastColumn="0"/>
                  </w:pPr>
                </w:p>
              </w:tc>
              <w:tc>
                <w:tcPr>
                  <w:tcW w:w="2138" w:type="pct"/>
                </w:tcPr>
                <w:p w14:paraId="2338A590" w14:textId="67B76C77" w:rsidR="005D7AFA" w:rsidRPr="00F71827" w:rsidRDefault="005D7AFA" w:rsidP="005D7AFA">
                  <w:pPr>
                    <w:pStyle w:val="PAtabletextbodytext"/>
                    <w:cnfStyle w:val="000000100000" w:firstRow="0" w:lastRow="0" w:firstColumn="0" w:lastColumn="0" w:oddVBand="0" w:evenVBand="0" w:oddHBand="1" w:evenHBand="0" w:firstRowFirstColumn="0" w:firstRowLastColumn="0" w:lastRowFirstColumn="0" w:lastRowLastColumn="0"/>
                  </w:pPr>
                </w:p>
              </w:tc>
            </w:tr>
            <w:tr w:rsidR="005D7AFA" w14:paraId="1F76AD4B" w14:textId="77777777" w:rsidTr="00D60D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pct"/>
                </w:tcPr>
                <w:p w14:paraId="2511056A" w14:textId="7B0604BE" w:rsidR="005D7AFA" w:rsidRPr="00211313" w:rsidRDefault="005D7AFA" w:rsidP="005D7AFA">
                  <w:pPr>
                    <w:rPr>
                      <w:rStyle w:val="PAcharacterboldtext"/>
                    </w:rPr>
                  </w:pPr>
                </w:p>
              </w:tc>
              <w:tc>
                <w:tcPr>
                  <w:tcW w:w="547" w:type="pct"/>
                </w:tcPr>
                <w:p w14:paraId="19097646" w14:textId="537CEFBD" w:rsidR="005D7AFA" w:rsidRPr="00F71827" w:rsidRDefault="005D7AFA" w:rsidP="005D7AFA">
                  <w:pPr>
                    <w:pStyle w:val="PAtabletextbodytext"/>
                    <w:cnfStyle w:val="000000010000" w:firstRow="0" w:lastRow="0" w:firstColumn="0" w:lastColumn="0" w:oddVBand="0" w:evenVBand="0" w:oddHBand="0" w:evenHBand="1" w:firstRowFirstColumn="0" w:firstRowLastColumn="0" w:lastRowFirstColumn="0" w:lastRowLastColumn="0"/>
                  </w:pPr>
                </w:p>
              </w:tc>
              <w:tc>
                <w:tcPr>
                  <w:tcW w:w="541" w:type="pct"/>
                </w:tcPr>
                <w:p w14:paraId="1B0B08D7" w14:textId="2DA5FA38" w:rsidR="005D7AFA" w:rsidRPr="00F71827" w:rsidRDefault="005D7AFA" w:rsidP="005D7AFA">
                  <w:pPr>
                    <w:pStyle w:val="PAtabletextbodytext"/>
                    <w:cnfStyle w:val="000000010000" w:firstRow="0" w:lastRow="0" w:firstColumn="0" w:lastColumn="0" w:oddVBand="0" w:evenVBand="0" w:oddHBand="0" w:evenHBand="1" w:firstRowFirstColumn="0" w:firstRowLastColumn="0" w:lastRowFirstColumn="0" w:lastRowLastColumn="0"/>
                  </w:pPr>
                </w:p>
              </w:tc>
              <w:tc>
                <w:tcPr>
                  <w:tcW w:w="541" w:type="pct"/>
                </w:tcPr>
                <w:p w14:paraId="115ED66F" w14:textId="64ABCB5F" w:rsidR="005D7AFA" w:rsidRPr="00F71827" w:rsidRDefault="005D7AFA" w:rsidP="005D7AFA">
                  <w:pPr>
                    <w:pStyle w:val="PAtabletextbodytext"/>
                    <w:cnfStyle w:val="000000010000" w:firstRow="0" w:lastRow="0" w:firstColumn="0" w:lastColumn="0" w:oddVBand="0" w:evenVBand="0" w:oddHBand="0" w:evenHBand="1" w:firstRowFirstColumn="0" w:firstRowLastColumn="0" w:lastRowFirstColumn="0" w:lastRowLastColumn="0"/>
                  </w:pPr>
                </w:p>
              </w:tc>
              <w:tc>
                <w:tcPr>
                  <w:tcW w:w="2138" w:type="pct"/>
                </w:tcPr>
                <w:p w14:paraId="1F1C65B6" w14:textId="76743F42" w:rsidR="005D7AFA" w:rsidRPr="00F71827" w:rsidRDefault="005D7AFA" w:rsidP="005D7AFA">
                  <w:pPr>
                    <w:pStyle w:val="PAtabletextbodytext"/>
                    <w:cnfStyle w:val="000000010000" w:firstRow="0" w:lastRow="0" w:firstColumn="0" w:lastColumn="0" w:oddVBand="0" w:evenVBand="0" w:oddHBand="0" w:evenHBand="1" w:firstRowFirstColumn="0" w:firstRowLastColumn="0" w:lastRowFirstColumn="0" w:lastRowLastColumn="0"/>
                  </w:pPr>
                </w:p>
              </w:tc>
            </w:tr>
          </w:tbl>
          <w:p w14:paraId="2531BBD5" w14:textId="5E36D378" w:rsidR="00076044" w:rsidRPr="00D60DBE" w:rsidRDefault="004B26D3" w:rsidP="00D60DBE">
            <w:pPr>
              <w:spacing w:after="0" w:line="240" w:lineRule="auto"/>
              <w:rPr>
                <w:rFonts w:ascii="Helvetica Neue" w:eastAsia="Helvetica Neue" w:hAnsi="Helvetica Neue" w:cs="Helvetica Neue"/>
              </w:rPr>
            </w:pPr>
            <w:r>
              <w:rPr>
                <w:rFonts w:ascii="Helvetica Neue" w:eastAsia="Helvetica Neue" w:hAnsi="Helvetica Neue" w:cs="Helvetica Neue"/>
              </w:rPr>
              <w:t>.</w:t>
            </w:r>
          </w:p>
        </w:tc>
      </w:tr>
    </w:tbl>
    <w:p w14:paraId="0F8F1B92" w14:textId="77777777" w:rsidR="00076044" w:rsidRDefault="00076044">
      <w:pPr>
        <w:rPr>
          <w:rFonts w:ascii="Helvetica Neue" w:eastAsia="Helvetica Neue" w:hAnsi="Helvetica Neue" w:cs="Helvetica Neue"/>
        </w:rPr>
      </w:pPr>
      <w:bookmarkStart w:id="16" w:name="_5iohy2muxioh" w:colFirst="0" w:colLast="0"/>
      <w:bookmarkEnd w:id="16"/>
    </w:p>
    <w:p w14:paraId="00216E4F" w14:textId="77777777" w:rsidR="00076044" w:rsidRDefault="004B26D3">
      <w:pPr>
        <w:rPr>
          <w:rFonts w:ascii="Helvetica Neue" w:eastAsia="Helvetica Neue" w:hAnsi="Helvetica Neue" w:cs="Helvetica Neue"/>
          <w:b/>
        </w:rPr>
      </w:pPr>
      <w:bookmarkStart w:id="17" w:name="_c3yo7ilfh9o6" w:colFirst="0" w:colLast="0"/>
      <w:bookmarkEnd w:id="17"/>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14:paraId="68701D41" w14:textId="77777777">
        <w:tc>
          <w:tcPr>
            <w:tcW w:w="2655" w:type="dxa"/>
          </w:tcPr>
          <w:p w14:paraId="1D917E01" w14:textId="77777777" w:rsidR="00076044" w:rsidRDefault="004B26D3">
            <w:pPr>
              <w:spacing w:after="0" w:line="240" w:lineRule="auto"/>
              <w:rPr>
                <w:rFonts w:ascii="Helvetica Neue" w:eastAsia="Helvetica Neue" w:hAnsi="Helvetica Neue" w:cs="Helvetica Neue"/>
                <w:b/>
              </w:rPr>
            </w:pPr>
            <w:bookmarkStart w:id="18" w:name="_17dp8vu" w:colFirst="0" w:colLast="0"/>
            <w:bookmarkEnd w:id="18"/>
            <w:r>
              <w:rPr>
                <w:rFonts w:ascii="Helvetica Neue" w:eastAsia="Helvetica Neue" w:hAnsi="Helvetica Neue" w:cs="Helvetica Neue"/>
                <w:b/>
              </w:rPr>
              <w:t xml:space="preserve">Performance of the service and deliverables: </w:t>
            </w:r>
          </w:p>
        </w:tc>
        <w:tc>
          <w:tcPr>
            <w:tcW w:w="7935" w:type="dxa"/>
          </w:tcPr>
          <w:p w14:paraId="719BB3C5" w14:textId="77777777" w:rsidR="00076044" w:rsidRDefault="004B26D3">
            <w:pPr>
              <w:spacing w:after="0" w:line="240" w:lineRule="auto"/>
              <w:rPr>
                <w:rFonts w:ascii="Helvetica Neue" w:eastAsia="Helvetica Neue" w:hAnsi="Helvetica Neue" w:cs="Helvetica Neue"/>
              </w:rPr>
            </w:pPr>
            <w:bookmarkStart w:id="19" w:name="_3rdcrjn" w:colFirst="0" w:colLast="0"/>
            <w:bookmarkEnd w:id="19"/>
            <w:r>
              <w:rPr>
                <w:rFonts w:ascii="Helvetica Neue" w:eastAsia="Helvetica Neue" w:hAnsi="Helvetica Neue" w:cs="Helvetica Neue"/>
              </w:rPr>
              <w:t xml:space="preserve">This Call-Off Contract will include the following implementation plan, exit and </w:t>
            </w:r>
            <w:proofErr w:type="spellStart"/>
            <w:r>
              <w:rPr>
                <w:rFonts w:ascii="Helvetica Neue" w:eastAsia="Helvetica Neue" w:hAnsi="Helvetica Neue" w:cs="Helvetica Neue"/>
              </w:rPr>
              <w:t>offboarding</w:t>
            </w:r>
            <w:proofErr w:type="spellEnd"/>
            <w:r>
              <w:rPr>
                <w:rFonts w:ascii="Helvetica Neue" w:eastAsia="Helvetica Neue" w:hAnsi="Helvetica Neue" w:cs="Helvetica Neue"/>
              </w:rPr>
              <w:t xml:space="preserve"> plans and milestones:</w:t>
            </w:r>
          </w:p>
          <w:p w14:paraId="7D4C78C2" w14:textId="712E7C06" w:rsidR="00076044" w:rsidRDefault="00CC3F00">
            <w:pPr>
              <w:numPr>
                <w:ilvl w:val="0"/>
                <w:numId w:val="49"/>
              </w:numPr>
              <w:spacing w:after="0" w:line="240" w:lineRule="auto"/>
              <w:ind w:firstLine="360"/>
              <w:contextualSpacing/>
              <w:rPr>
                <w:rFonts w:ascii="Helvetica Neue" w:eastAsia="Helvetica Neue" w:hAnsi="Helvetica Neue" w:cs="Helvetica Neue"/>
                <w:highlight w:val="yellow"/>
              </w:rPr>
            </w:pPr>
            <w:bookmarkStart w:id="20" w:name="_26in1rg" w:colFirst="0" w:colLast="0"/>
            <w:bookmarkEnd w:id="20"/>
            <w:r>
              <w:rPr>
                <w:rFonts w:ascii="Helvetica Neue" w:eastAsia="Helvetica Neue" w:hAnsi="Helvetica Neue" w:cs="Helvetica Neue"/>
                <w:highlight w:val="yellow"/>
              </w:rPr>
              <w:t>Implementation milestone N/A</w:t>
            </w:r>
          </w:p>
          <w:p w14:paraId="330C8347" w14:textId="605C499E" w:rsidR="00CC3F00" w:rsidRPr="00CC3F00" w:rsidRDefault="00CC3F00" w:rsidP="00CC3F00">
            <w:pPr>
              <w:numPr>
                <w:ilvl w:val="0"/>
                <w:numId w:val="49"/>
              </w:numPr>
              <w:spacing w:after="0" w:line="240" w:lineRule="auto"/>
              <w:ind w:firstLine="360"/>
              <w:contextualSpacing/>
              <w:rPr>
                <w:rFonts w:ascii="Helvetica Neue" w:eastAsia="Helvetica Neue" w:hAnsi="Helvetica Neue" w:cs="Helvetica Neue"/>
                <w:highlight w:val="yellow"/>
              </w:rPr>
            </w:pPr>
            <w:bookmarkStart w:id="21" w:name="_lnxbz9" w:colFirst="0" w:colLast="0"/>
            <w:bookmarkEnd w:id="21"/>
            <w:r>
              <w:rPr>
                <w:rFonts w:ascii="Helvetica Neue" w:eastAsia="Helvetica Neue" w:hAnsi="Helvetica Neue" w:cs="Helvetica Neue"/>
                <w:highlight w:val="yellow"/>
              </w:rPr>
              <w:t>Preparation of exit plan 3 months from contract start</w:t>
            </w:r>
          </w:p>
          <w:p w14:paraId="176713D2" w14:textId="5B3034F1" w:rsidR="00076044" w:rsidRDefault="00076044">
            <w:pPr>
              <w:spacing w:after="0" w:line="240" w:lineRule="auto"/>
              <w:rPr>
                <w:rFonts w:ascii="Helvetica Neue" w:eastAsia="Helvetica Neue" w:hAnsi="Helvetica Neue" w:cs="Helvetica Neue"/>
                <w:highlight w:val="green"/>
              </w:rPr>
            </w:pPr>
          </w:p>
        </w:tc>
      </w:tr>
      <w:tr w:rsidR="00076044" w14:paraId="35D64460" w14:textId="77777777">
        <w:tc>
          <w:tcPr>
            <w:tcW w:w="2655" w:type="dxa"/>
          </w:tcPr>
          <w:p w14:paraId="301F28C5" w14:textId="021504AD"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935" w:type="dxa"/>
          </w:tcPr>
          <w:p w14:paraId="644E95D0" w14:textId="06C8627D" w:rsidR="00076044" w:rsidRDefault="002C1712" w:rsidP="002C1712">
            <w:pPr>
              <w:spacing w:after="0" w:line="240" w:lineRule="auto"/>
              <w:rPr>
                <w:rFonts w:ascii="Helvetica Neue" w:eastAsia="Helvetica Neue" w:hAnsi="Helvetica Neue" w:cs="Helvetica Neue"/>
                <w:highlight w:val="green"/>
              </w:rPr>
            </w:pPr>
            <w:r w:rsidRPr="00CC3F00">
              <w:rPr>
                <w:rFonts w:ascii="Helvetica Neue" w:eastAsia="Helvetica Neue" w:hAnsi="Helvetica Neue" w:cs="Helvetica Neue"/>
              </w:rPr>
              <w:t xml:space="preserve">Not applicable </w:t>
            </w:r>
          </w:p>
        </w:tc>
      </w:tr>
      <w:tr w:rsidR="00076044" w14:paraId="41507D42" w14:textId="77777777">
        <w:tc>
          <w:tcPr>
            <w:tcW w:w="2655" w:type="dxa"/>
          </w:tcPr>
          <w:p w14:paraId="7809DB5B" w14:textId="77777777" w:rsidR="00076044" w:rsidRDefault="004B26D3">
            <w:pPr>
              <w:spacing w:after="0" w:line="240" w:lineRule="auto"/>
              <w:rPr>
                <w:rFonts w:ascii="Helvetica Neue" w:eastAsia="Helvetica Neue" w:hAnsi="Helvetica Neue" w:cs="Helvetica Neue"/>
                <w:b/>
              </w:rPr>
            </w:pPr>
            <w:bookmarkStart w:id="22" w:name="_1ksv4uv" w:colFirst="0" w:colLast="0"/>
            <w:bookmarkEnd w:id="22"/>
            <w:r>
              <w:rPr>
                <w:rFonts w:ascii="Helvetica Neue" w:eastAsia="Helvetica Neue" w:hAnsi="Helvetica Neue" w:cs="Helvetica Neue"/>
                <w:b/>
              </w:rPr>
              <w:t xml:space="preserve">Warranties, representations: </w:t>
            </w:r>
          </w:p>
        </w:tc>
        <w:tc>
          <w:tcPr>
            <w:tcW w:w="7935" w:type="dxa"/>
          </w:tcPr>
          <w:p w14:paraId="537EC4CB" w14:textId="79318549" w:rsidR="00076044" w:rsidRDefault="00CC3F00">
            <w:pPr>
              <w:spacing w:after="0" w:line="240" w:lineRule="auto"/>
              <w:rPr>
                <w:rFonts w:ascii="Helvetica Neue" w:eastAsia="Helvetica Neue" w:hAnsi="Helvetica Neue" w:cs="Helvetica Neue"/>
              </w:rPr>
            </w:pPr>
            <w:r>
              <w:rPr>
                <w:rFonts w:ascii="Helvetica Neue" w:eastAsia="Helvetica Neue" w:hAnsi="Helvetica Neue" w:cs="Helvetica Neue"/>
              </w:rPr>
              <w:t>Not applicable</w:t>
            </w:r>
          </w:p>
        </w:tc>
      </w:tr>
      <w:tr w:rsidR="00076044" w14:paraId="267C253E" w14:textId="77777777">
        <w:tc>
          <w:tcPr>
            <w:tcW w:w="2655" w:type="dxa"/>
          </w:tcPr>
          <w:p w14:paraId="47E21AD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Supplemental requirements in addition to the Call-Off terms:</w:t>
            </w:r>
          </w:p>
        </w:tc>
        <w:tc>
          <w:tcPr>
            <w:tcW w:w="7935" w:type="dxa"/>
          </w:tcPr>
          <w:p w14:paraId="5BFA2577" w14:textId="26C4BA8E" w:rsidR="00076044" w:rsidRDefault="00CC3F00">
            <w:pPr>
              <w:spacing w:after="0" w:line="240" w:lineRule="auto"/>
              <w:rPr>
                <w:rFonts w:ascii="Helvetica Neue" w:eastAsia="Helvetica Neue" w:hAnsi="Helvetica Neue" w:cs="Helvetica Neue"/>
              </w:rPr>
            </w:pPr>
            <w:r>
              <w:rPr>
                <w:rFonts w:ascii="Helvetica Neue" w:eastAsia="Helvetica Neue" w:hAnsi="Helvetica Neue" w:cs="Helvetica Neue"/>
              </w:rPr>
              <w:t>None</w:t>
            </w:r>
          </w:p>
        </w:tc>
      </w:tr>
      <w:tr w:rsidR="00076044" w14:paraId="079EE638" w14:textId="77777777">
        <w:tc>
          <w:tcPr>
            <w:tcW w:w="2655" w:type="dxa"/>
          </w:tcPr>
          <w:p w14:paraId="03AD7B4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Alternative clauses:</w:t>
            </w:r>
          </w:p>
        </w:tc>
        <w:tc>
          <w:tcPr>
            <w:tcW w:w="7935" w:type="dxa"/>
          </w:tcPr>
          <w:p w14:paraId="012BC7DC" w14:textId="5076F93A" w:rsidR="00076044" w:rsidRDefault="00D208E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xml:space="preserve">Not </w:t>
            </w:r>
            <w:r w:rsidR="005150FE">
              <w:rPr>
                <w:rFonts w:ascii="Helvetica Neue" w:eastAsia="Helvetica Neue" w:hAnsi="Helvetica Neue" w:cs="Helvetica Neue"/>
              </w:rPr>
              <w:t>a</w:t>
            </w:r>
            <w:r>
              <w:rPr>
                <w:rFonts w:ascii="Helvetica Neue" w:eastAsia="Helvetica Neue" w:hAnsi="Helvetica Neue" w:cs="Helvetica Neue"/>
              </w:rPr>
              <w:t>pplicable</w:t>
            </w:r>
          </w:p>
        </w:tc>
      </w:tr>
      <w:tr w:rsidR="00076044" w14:paraId="17187720" w14:textId="77777777">
        <w:tc>
          <w:tcPr>
            <w:tcW w:w="2655" w:type="dxa"/>
          </w:tcPr>
          <w:p w14:paraId="75F294A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5" w:type="dxa"/>
          </w:tcPr>
          <w:p w14:paraId="6C5FA9F9" w14:textId="2D08B403" w:rsidR="00FC6214" w:rsidRPr="004B6BCA" w:rsidRDefault="00FC6214" w:rsidP="00617F16">
            <w:pPr>
              <w:spacing w:after="0" w:line="240" w:lineRule="auto"/>
              <w:rPr>
                <w:rFonts w:ascii="Helvetica Neue" w:eastAsia="Helvetica Neue" w:hAnsi="Helvetica Neue" w:cs="Helvetica Neue"/>
              </w:rPr>
            </w:pPr>
            <w:r>
              <w:rPr>
                <w:rFonts w:ascii="Helvetica Neue" w:eastAsia="Helvetica Neue" w:hAnsi="Helvetica Neue" w:cs="Helvetica Neue"/>
                <w:b/>
              </w:rPr>
              <w:t>Records</w:t>
            </w:r>
          </w:p>
          <w:p w14:paraId="6585985D" w14:textId="2D3D45A8" w:rsidR="008A2B48" w:rsidRPr="00617F16" w:rsidRDefault="004B26D3" w:rsidP="00617F16">
            <w:pPr>
              <w:spacing w:after="0" w:line="240" w:lineRule="auto"/>
              <w:rPr>
                <w:rFonts w:ascii="Helvetica Neue" w:eastAsia="Helvetica Neue" w:hAnsi="Helvetica Neue" w:cs="Helvetica Neue"/>
              </w:rPr>
            </w:pPr>
            <w:r w:rsidRPr="00617F16">
              <w:rPr>
                <w:rFonts w:eastAsia="Helvetica Neue"/>
              </w:rPr>
              <w:t>Within the scope of the Call-Off Contract, the</w:t>
            </w:r>
            <w:r w:rsidR="00DD17E0" w:rsidRPr="00DD17E0">
              <w:rPr>
                <w:rFonts w:ascii="Helvetica Neue" w:eastAsia="Helvetica Neue" w:hAnsi="Helvetica Neue" w:cs="Helvetica Neue"/>
              </w:rPr>
              <w:t xml:space="preserve"> </w:t>
            </w:r>
            <w:r w:rsidR="00DD17E0" w:rsidRPr="00617F16">
              <w:rPr>
                <w:rFonts w:eastAsia="Helvetica Neue"/>
              </w:rPr>
              <w:t>Supplier is permitted to retain, during and after expiry or termination of the Call-Off Contract, copies of the Buyer’s Confidential Information and Buyer Data (but not personal data) stored on the Supplier’s back-up and archive media created in the ordinary course of the Supplier’s business as part of the Supplier’s professional record keeping and business continuity practices.  Any such retained copies of the Buyer’s Confidential Information and Buyer Data shall: (a) stored in a way so that they are not generally accessible by the Supplier’s Staff, and (b) remain subject to the Supplier’s obligations of confidentiality (as set out in clause 8.83 to 8.91 of the Framework Agreement incorporated into the Call-Off Contract by Clause 2.1) and security (as set out in Clause 13 of the Call-Off Contract).</w:t>
            </w:r>
            <w:r w:rsidR="00DD17E0" w:rsidRPr="00DD17E0">
              <w:rPr>
                <w:rFonts w:ascii="Helvetica Neue" w:eastAsia="Helvetica Neue" w:hAnsi="Helvetica Neue" w:cs="Helvetica Neue"/>
              </w:rPr>
              <w:t xml:space="preserve">  </w:t>
            </w:r>
          </w:p>
          <w:p w14:paraId="3BF07C75" w14:textId="77777777" w:rsidR="008A2B48" w:rsidRDefault="008A2B48">
            <w:pPr>
              <w:spacing w:after="0" w:line="240" w:lineRule="auto"/>
              <w:rPr>
                <w:rFonts w:ascii="Helvetica Neue" w:eastAsia="Helvetica Neue" w:hAnsi="Helvetica Neue" w:cs="Helvetica Neue"/>
              </w:rPr>
            </w:pPr>
          </w:p>
          <w:p w14:paraId="1A736DBD" w14:textId="77777777" w:rsidR="00FC6214" w:rsidRDefault="00FC6214" w:rsidP="00FC6214">
            <w:pPr>
              <w:spacing w:after="0"/>
              <w:rPr>
                <w:rFonts w:eastAsia="Helvetica Neue"/>
                <w:b/>
              </w:rPr>
            </w:pPr>
            <w:r w:rsidRPr="00CB7620">
              <w:rPr>
                <w:rFonts w:eastAsia="Helvetica Neue"/>
                <w:b/>
              </w:rPr>
              <w:t xml:space="preserve">Third Party </w:t>
            </w:r>
            <w:r>
              <w:rPr>
                <w:rFonts w:eastAsia="Helvetica Neue"/>
                <w:b/>
              </w:rPr>
              <w:t>Software</w:t>
            </w:r>
          </w:p>
          <w:p w14:paraId="5945BD2E" w14:textId="77777777" w:rsidR="00FC6214" w:rsidRPr="00CB7620" w:rsidRDefault="00FC6214" w:rsidP="00FC6214">
            <w:pPr>
              <w:spacing w:after="0"/>
              <w:rPr>
                <w:rFonts w:eastAsia="Helvetica Neue"/>
                <w:b/>
              </w:rPr>
            </w:pPr>
          </w:p>
          <w:p w14:paraId="63777F86" w14:textId="77777777" w:rsidR="00FC6214" w:rsidRPr="00CB7620" w:rsidRDefault="00FC6214" w:rsidP="00FC6214">
            <w:pPr>
              <w:pStyle w:val="ListParagraph"/>
              <w:numPr>
                <w:ilvl w:val="0"/>
                <w:numId w:val="55"/>
              </w:numPr>
              <w:spacing w:after="0"/>
              <w:rPr>
                <w:rFonts w:eastAsia="Helvetica Neue"/>
              </w:rPr>
            </w:pPr>
            <w:r>
              <w:rPr>
                <w:rFonts w:eastAsia="Helvetica Neue"/>
              </w:rPr>
              <w:t>The Buyer has requested that t</w:t>
            </w:r>
            <w:r w:rsidRPr="00CB7620">
              <w:rPr>
                <w:rFonts w:eastAsia="Helvetica Neue"/>
              </w:rPr>
              <w:t xml:space="preserve">he Services </w:t>
            </w:r>
            <w:r>
              <w:rPr>
                <w:rFonts w:eastAsia="Helvetica Neue"/>
              </w:rPr>
              <w:t xml:space="preserve">include </w:t>
            </w:r>
            <w:r w:rsidRPr="00D26333">
              <w:rPr>
                <w:rFonts w:eastAsia="Helvetica Neue"/>
              </w:rPr>
              <w:t>Third Party Products</w:t>
            </w:r>
            <w:r>
              <w:rPr>
                <w:rFonts w:eastAsia="Helvetica Neue"/>
              </w:rPr>
              <w:t xml:space="preserve"> selected by the Buyer. Third Party Products are the products, software, platforms and infrastructure listed in the table below or later agreed to by the Parties (which may be over email between [</w:t>
            </w:r>
            <w:r w:rsidRPr="00E510D6">
              <w:rPr>
                <w:rFonts w:eastAsia="Helvetica Neue"/>
                <w:color w:val="00B0F0"/>
              </w:rPr>
              <w:t>Mark Toal</w:t>
            </w:r>
            <w:r>
              <w:rPr>
                <w:rFonts w:eastAsia="Helvetica Neue"/>
              </w:rPr>
              <w:t xml:space="preserve">] for the Buyer and James Mucklow for the Supplier, or such other persons as they may designate from time to time).  </w:t>
            </w:r>
          </w:p>
          <w:p w14:paraId="7A643482" w14:textId="77777777" w:rsidR="00FC6214" w:rsidRPr="00CB7620" w:rsidRDefault="00FC6214" w:rsidP="00FC6214">
            <w:pPr>
              <w:pStyle w:val="ListParagraph"/>
              <w:spacing w:after="0"/>
              <w:ind w:left="360"/>
              <w:rPr>
                <w:rFonts w:eastAsia="Helvetica Neue"/>
              </w:rPr>
            </w:pPr>
            <w:r w:rsidRPr="00CB7620">
              <w:rPr>
                <w:rFonts w:eastAsia="Helvetica Neue"/>
              </w:rPr>
              <w:t xml:space="preserve"> </w:t>
            </w:r>
          </w:p>
          <w:p w14:paraId="713F5097" w14:textId="77777777" w:rsidR="00FC6214" w:rsidRPr="00CB7620" w:rsidRDefault="00FC6214" w:rsidP="00FC6214">
            <w:pPr>
              <w:pStyle w:val="ListParagraph"/>
              <w:numPr>
                <w:ilvl w:val="0"/>
                <w:numId w:val="55"/>
              </w:numPr>
              <w:spacing w:after="0"/>
              <w:rPr>
                <w:rFonts w:eastAsia="Helvetica Neue"/>
              </w:rPr>
            </w:pPr>
            <w:r w:rsidRPr="00CB7620">
              <w:rPr>
                <w:rFonts w:eastAsia="Helvetica Neue"/>
              </w:rPr>
              <w:t xml:space="preserve">The Buyer </w:t>
            </w:r>
            <w:r>
              <w:rPr>
                <w:rFonts w:eastAsia="Helvetica Neue"/>
              </w:rPr>
              <w:t>acknowledges</w:t>
            </w:r>
            <w:r w:rsidRPr="00CB7620">
              <w:rPr>
                <w:rFonts w:eastAsia="Helvetica Neue"/>
              </w:rPr>
              <w:t xml:space="preserve"> that</w:t>
            </w:r>
            <w:r>
              <w:rPr>
                <w:rFonts w:eastAsia="Helvetica Neue"/>
              </w:rPr>
              <w:t xml:space="preserve"> vendors of the Third Party Products do not generally negotiate </w:t>
            </w:r>
            <w:r w:rsidRPr="00CB7620">
              <w:rPr>
                <w:rFonts w:eastAsia="Helvetica Neue"/>
              </w:rPr>
              <w:t xml:space="preserve">the terms </w:t>
            </w:r>
            <w:r>
              <w:rPr>
                <w:rFonts w:eastAsia="Helvetica Neue"/>
              </w:rPr>
              <w:t>of service (</w:t>
            </w:r>
            <w:r w:rsidRPr="00E510D6">
              <w:rPr>
                <w:rFonts w:eastAsia="Helvetica Neue"/>
                <w:b/>
              </w:rPr>
              <w:t>TOS</w:t>
            </w:r>
            <w:r>
              <w:rPr>
                <w:rFonts w:eastAsia="Helvetica Neue"/>
              </w:rPr>
              <w:t xml:space="preserve">) </w:t>
            </w:r>
            <w:r w:rsidRPr="00CB7620">
              <w:rPr>
                <w:rFonts w:eastAsia="Helvetica Neue"/>
              </w:rPr>
              <w:t>applying to the</w:t>
            </w:r>
            <w:r>
              <w:rPr>
                <w:rFonts w:eastAsia="Helvetica Neue"/>
              </w:rPr>
              <w:t>ir</w:t>
            </w:r>
            <w:r w:rsidRPr="00CB7620">
              <w:rPr>
                <w:rFonts w:eastAsia="Helvetica Neue"/>
              </w:rPr>
              <w:t xml:space="preserve"> Third Party </w:t>
            </w:r>
            <w:r>
              <w:rPr>
                <w:rFonts w:eastAsia="Helvetica Neue"/>
              </w:rPr>
              <w:t>Products</w:t>
            </w:r>
            <w:r w:rsidRPr="00CB7620">
              <w:rPr>
                <w:rFonts w:eastAsia="Helvetica Neue"/>
              </w:rPr>
              <w:t>.</w:t>
            </w:r>
            <w:r>
              <w:rPr>
                <w:rFonts w:eastAsia="Helvetica Neue"/>
              </w:rPr>
              <w:t xml:space="preserve"> In order for the</w:t>
            </w:r>
            <w:r w:rsidRPr="00CB7620">
              <w:rPr>
                <w:rFonts w:eastAsia="Helvetica Neue"/>
              </w:rPr>
              <w:t xml:space="preserve"> Supplier </w:t>
            </w:r>
            <w:r>
              <w:rPr>
                <w:rFonts w:eastAsia="Helvetica Neue"/>
              </w:rPr>
              <w:t xml:space="preserve">to comply with the TOS for the various Third Party Products and to ensure that this Call-Off Contract is consistent with the relevant TOS, the Parties agree to the following amendments and refinements to the Call-Off Contract terms:  </w:t>
            </w:r>
            <w:r w:rsidRPr="00CB7620">
              <w:rPr>
                <w:rFonts w:eastAsia="Helvetica Neue"/>
              </w:rPr>
              <w:t xml:space="preserve"> </w:t>
            </w:r>
          </w:p>
          <w:p w14:paraId="2503AA51" w14:textId="77777777" w:rsidR="00FC6214" w:rsidRPr="00CB7620" w:rsidRDefault="00FC6214" w:rsidP="00FC6214">
            <w:pPr>
              <w:pStyle w:val="ListParagraph"/>
              <w:spacing w:after="0"/>
              <w:rPr>
                <w:rFonts w:eastAsia="Helvetica Neue"/>
              </w:rPr>
            </w:pPr>
          </w:p>
          <w:p w14:paraId="18A9A9D7" w14:textId="77777777" w:rsidR="00FC6214" w:rsidRPr="00CB7620" w:rsidRDefault="00FC6214" w:rsidP="00FC6214">
            <w:pPr>
              <w:pStyle w:val="ListParagraph"/>
              <w:numPr>
                <w:ilvl w:val="0"/>
                <w:numId w:val="56"/>
              </w:numPr>
              <w:spacing w:after="0"/>
              <w:ind w:left="720"/>
              <w:rPr>
                <w:rFonts w:eastAsia="Helvetica Neue"/>
              </w:rPr>
            </w:pPr>
            <w:r w:rsidRPr="00CB7620">
              <w:rPr>
                <w:rFonts w:eastAsia="Helvetica Neue"/>
              </w:rPr>
              <w:t xml:space="preserve">Clause 11.3 does not apply to third-party IPRs in the Third Party </w:t>
            </w:r>
            <w:r>
              <w:rPr>
                <w:rFonts w:eastAsia="Helvetica Neue"/>
              </w:rPr>
              <w:t>Products</w:t>
            </w:r>
            <w:r w:rsidRPr="00CB7620">
              <w:rPr>
                <w:rFonts w:eastAsia="Helvetica Neue"/>
              </w:rPr>
              <w:t xml:space="preserve">. The Buyer must not publish </w:t>
            </w:r>
            <w:r>
              <w:rPr>
                <w:rFonts w:eastAsia="Helvetica Neue"/>
              </w:rPr>
              <w:t xml:space="preserve">(including as open source) the </w:t>
            </w:r>
            <w:r w:rsidRPr="00CB7620">
              <w:rPr>
                <w:rFonts w:eastAsia="Helvetica Neue"/>
              </w:rPr>
              <w:t xml:space="preserve">third-party IPRs in the Third Party </w:t>
            </w:r>
            <w:r>
              <w:rPr>
                <w:rFonts w:eastAsia="Helvetica Neue"/>
              </w:rPr>
              <w:t>Products</w:t>
            </w:r>
            <w:r w:rsidRPr="00CB7620">
              <w:rPr>
                <w:rFonts w:eastAsia="Helvetica Neue"/>
              </w:rPr>
              <w:t xml:space="preserve">.  </w:t>
            </w:r>
          </w:p>
          <w:p w14:paraId="3FE54A5D" w14:textId="77777777" w:rsidR="00FC6214" w:rsidRPr="00CB7620" w:rsidRDefault="00FC6214" w:rsidP="00FC6214">
            <w:pPr>
              <w:pStyle w:val="ListParagraph"/>
              <w:spacing w:after="0"/>
              <w:rPr>
                <w:rFonts w:eastAsia="Helvetica Neue"/>
              </w:rPr>
            </w:pPr>
          </w:p>
          <w:p w14:paraId="5A62A089" w14:textId="7F9928F0" w:rsidR="00FC6214" w:rsidRPr="00AB5A65" w:rsidRDefault="00FC6214" w:rsidP="00FC6214">
            <w:pPr>
              <w:pStyle w:val="ListParagraph"/>
              <w:numPr>
                <w:ilvl w:val="0"/>
                <w:numId w:val="56"/>
              </w:numPr>
              <w:spacing w:after="0"/>
              <w:ind w:left="720"/>
              <w:rPr>
                <w:rFonts w:eastAsia="Helvetica Neue"/>
              </w:rPr>
            </w:pPr>
            <w:r w:rsidRPr="00AB5A65">
              <w:rPr>
                <w:rFonts w:eastAsia="Helvetica Neue"/>
              </w:rPr>
              <w:t xml:space="preserve">For the purposes of Clause 11.4, the Buyer approves the TOS applying to the Third Party Products listed below.  The Buyer must comply with the relevant TOS and ensure that its </w:t>
            </w:r>
            <w:r>
              <w:rPr>
                <w:rFonts w:eastAsia="Helvetica Neue"/>
              </w:rPr>
              <w:t xml:space="preserve">end </w:t>
            </w:r>
            <w:r w:rsidRPr="00AB5A65">
              <w:rPr>
                <w:rFonts w:eastAsia="Helvetica Neue"/>
              </w:rPr>
              <w:t xml:space="preserve">users also comply.  The TOS consists of the Specific TOS for the relevant Third Party Products listed below </w:t>
            </w:r>
            <w:r>
              <w:rPr>
                <w:rFonts w:eastAsia="Helvetica Neue"/>
              </w:rPr>
              <w:t>(</w:t>
            </w:r>
            <w:r w:rsidRPr="00AB5A65">
              <w:rPr>
                <w:rFonts w:eastAsia="Helvetica Neue"/>
              </w:rPr>
              <w:t>or later agreed to by the Parties</w:t>
            </w:r>
            <w:r>
              <w:rPr>
                <w:rFonts w:eastAsia="Helvetica Neue"/>
              </w:rPr>
              <w:t>)</w:t>
            </w:r>
            <w:r w:rsidRPr="00AB5A65">
              <w:rPr>
                <w:rFonts w:eastAsia="Helvetica Neue"/>
              </w:rPr>
              <w:t xml:space="preserve"> and the General TOS listed below </w:t>
            </w:r>
            <w:r>
              <w:rPr>
                <w:rFonts w:eastAsia="Helvetica Neue"/>
              </w:rPr>
              <w:t>(</w:t>
            </w:r>
            <w:r w:rsidRPr="00AB5A65">
              <w:rPr>
                <w:rFonts w:eastAsia="Helvetica Neue"/>
              </w:rPr>
              <w:t>which applies to all Third Party Products</w:t>
            </w:r>
            <w:r>
              <w:rPr>
                <w:rFonts w:eastAsia="Helvetica Neue"/>
              </w:rPr>
              <w:t>)</w:t>
            </w:r>
            <w:r w:rsidRPr="00AB5A65">
              <w:rPr>
                <w:rFonts w:eastAsia="Helvetica Neue"/>
              </w:rPr>
              <w:t xml:space="preserve">.  </w:t>
            </w:r>
            <w:r>
              <w:rPr>
                <w:rFonts w:eastAsia="Helvetica Neue"/>
              </w:rPr>
              <w:t xml:space="preserve">If there is a conflict between the General TOS and the Specific TOS particular Third Party Products, the Specific TOS shall prevail. </w:t>
            </w:r>
          </w:p>
          <w:p w14:paraId="14B57DF1" w14:textId="77777777" w:rsidR="00FC6214" w:rsidRPr="00E510D6" w:rsidRDefault="00FC6214" w:rsidP="00FC6214">
            <w:pPr>
              <w:pStyle w:val="ListParagraph"/>
              <w:spacing w:after="0"/>
              <w:rPr>
                <w:rFonts w:eastAsia="Helvetica Neue"/>
              </w:rPr>
            </w:pPr>
          </w:p>
          <w:p w14:paraId="11AD35AF" w14:textId="77777777" w:rsidR="00FC6214" w:rsidRDefault="00FC6214" w:rsidP="00FC6214">
            <w:pPr>
              <w:pStyle w:val="ListParagraph"/>
              <w:numPr>
                <w:ilvl w:val="0"/>
                <w:numId w:val="56"/>
              </w:numPr>
              <w:spacing w:after="0"/>
              <w:ind w:left="720"/>
              <w:rPr>
                <w:rFonts w:eastAsia="Helvetica Neue"/>
              </w:rPr>
            </w:pPr>
            <w:r w:rsidRPr="00AB5A65">
              <w:rPr>
                <w:rFonts w:eastAsia="Helvetica Neue"/>
              </w:rPr>
              <w:t>The Supplier will not be considered to be in breach of or liable under this Call-Off Contract if the breach or liability is caused by any of the Third Party Products and</w:t>
            </w:r>
            <w:r>
              <w:rPr>
                <w:rFonts w:eastAsia="Helvetica Neue"/>
              </w:rPr>
              <w:t xml:space="preserve"> the breach or liability occurred despite</w:t>
            </w:r>
            <w:r w:rsidRPr="00AB5A65">
              <w:rPr>
                <w:rFonts w:eastAsia="Helvetica Neue"/>
              </w:rPr>
              <w:t xml:space="preserve"> the Supplier </w:t>
            </w:r>
            <w:r>
              <w:rPr>
                <w:rFonts w:eastAsia="Helvetica Neue"/>
              </w:rPr>
              <w:t>exercising a</w:t>
            </w:r>
            <w:r w:rsidRPr="00AB5A65">
              <w:rPr>
                <w:rFonts w:eastAsia="Helvetica Neue"/>
              </w:rPr>
              <w:t xml:space="preserve"> reasonable degree of care and foresight to</w:t>
            </w:r>
            <w:r>
              <w:rPr>
                <w:rFonts w:eastAsia="Helvetica Neue"/>
              </w:rPr>
              <w:t xml:space="preserve"> endeavour to</w:t>
            </w:r>
            <w:r w:rsidRPr="00AB5A65">
              <w:rPr>
                <w:rFonts w:eastAsia="Helvetica Neue"/>
              </w:rPr>
              <w:t xml:space="preserve"> avoid the breach or liability. </w:t>
            </w:r>
          </w:p>
          <w:p w14:paraId="3CF137B7" w14:textId="77777777" w:rsidR="00FC6214" w:rsidRPr="00AB5A65" w:rsidRDefault="00FC6214" w:rsidP="00FC6214">
            <w:pPr>
              <w:pStyle w:val="ListParagraph"/>
              <w:rPr>
                <w:rFonts w:eastAsia="Helvetica Neue"/>
              </w:rPr>
            </w:pPr>
          </w:p>
          <w:p w14:paraId="0CF349B7" w14:textId="77777777" w:rsidR="00FC6214" w:rsidRDefault="00FC6214" w:rsidP="00FC6214">
            <w:pPr>
              <w:pStyle w:val="ListParagraph"/>
              <w:numPr>
                <w:ilvl w:val="0"/>
                <w:numId w:val="56"/>
              </w:numPr>
              <w:spacing w:after="0"/>
              <w:ind w:left="720"/>
              <w:rPr>
                <w:rFonts w:eastAsia="Helvetica Neue"/>
              </w:rPr>
            </w:pPr>
            <w:r>
              <w:rPr>
                <w:rFonts w:eastAsia="Helvetica Neue"/>
              </w:rPr>
              <w:t>Notwithstanding c) above, i</w:t>
            </w:r>
            <w:r w:rsidRPr="00AB5A65">
              <w:rPr>
                <w:rFonts w:eastAsia="Helvetica Neue"/>
              </w:rPr>
              <w:t xml:space="preserve">f the Supplier is found liable under this Call-Off Contract and that liability has been caused by any of the Third Party Products, the </w:t>
            </w:r>
            <w:r>
              <w:rPr>
                <w:rFonts w:eastAsia="Helvetica Neue"/>
              </w:rPr>
              <w:t xml:space="preserve">Parties agree that the amount of the Supplier’s yearly total liability (as referred to in Clause 24.1 and in this Order Form) shall be reduced to the amount that the Supplier can recover from the vendors of the Third Party Services less the Supplier’s costs of recovery. </w:t>
            </w:r>
            <w:r w:rsidRPr="00AB5A65">
              <w:rPr>
                <w:rFonts w:eastAsia="Helvetica Neue"/>
              </w:rPr>
              <w:t xml:space="preserve">  </w:t>
            </w:r>
          </w:p>
          <w:p w14:paraId="014CB9AD" w14:textId="77777777" w:rsidR="00FC6214" w:rsidRPr="00617F16" w:rsidRDefault="00FC6214" w:rsidP="00617F16">
            <w:pPr>
              <w:pStyle w:val="ListParagraph"/>
              <w:rPr>
                <w:rFonts w:eastAsia="Helvetica Neue"/>
              </w:rPr>
            </w:pPr>
          </w:p>
          <w:p w14:paraId="37A99F30" w14:textId="77777777" w:rsidR="00FC6214" w:rsidRPr="00AB5A65" w:rsidRDefault="00FC6214" w:rsidP="00617F16">
            <w:pPr>
              <w:pStyle w:val="ListParagraph"/>
              <w:spacing w:after="0"/>
              <w:rPr>
                <w:rFonts w:eastAsia="Helvetica Neue"/>
              </w:rPr>
            </w:pPr>
          </w:p>
          <w:tbl>
            <w:tblPr>
              <w:tblStyle w:val="TableGrid"/>
              <w:tblW w:w="0" w:type="auto"/>
              <w:tblLayout w:type="fixed"/>
              <w:tblLook w:val="04A0" w:firstRow="1" w:lastRow="0" w:firstColumn="1" w:lastColumn="0" w:noHBand="0" w:noVBand="1"/>
            </w:tblPr>
            <w:tblGrid>
              <w:gridCol w:w="1900"/>
              <w:gridCol w:w="5809"/>
            </w:tblGrid>
            <w:tr w:rsidR="00FC6214" w14:paraId="2BE318C1" w14:textId="77777777" w:rsidTr="00FC6214">
              <w:tc>
                <w:tcPr>
                  <w:tcW w:w="7709" w:type="dxa"/>
                  <w:gridSpan w:val="2"/>
                </w:tcPr>
                <w:p w14:paraId="08AB3A2A" w14:textId="74ACF81E" w:rsidR="00FC6214" w:rsidRDefault="00FC6214">
                  <w:pPr>
                    <w:rPr>
                      <w:rFonts w:ascii="Helvetica Neue" w:eastAsia="Helvetica Neue" w:hAnsi="Helvetica Neue" w:cs="Helvetica Neue"/>
                    </w:rPr>
                  </w:pPr>
                  <w:r w:rsidRPr="00CB7620">
                    <w:rPr>
                      <w:rFonts w:eastAsia="Helvetica Neue"/>
                      <w:b/>
                    </w:rPr>
                    <w:t xml:space="preserve">Specific </w:t>
                  </w:r>
                  <w:r>
                    <w:rPr>
                      <w:rFonts w:eastAsia="Helvetica Neue"/>
                      <w:b/>
                    </w:rPr>
                    <w:t>TOS for the Third Party Products listed below:</w:t>
                  </w:r>
                </w:p>
              </w:tc>
            </w:tr>
            <w:tr w:rsidR="00FC6214" w14:paraId="1288F4F9" w14:textId="77777777" w:rsidTr="00617F16">
              <w:tc>
                <w:tcPr>
                  <w:tcW w:w="1900" w:type="dxa"/>
                </w:tcPr>
                <w:p w14:paraId="2359AA8C" w14:textId="77777777" w:rsidR="00FC6214" w:rsidRPr="00617F16" w:rsidRDefault="00FC6214" w:rsidP="00FC6214">
                  <w:pPr>
                    <w:spacing w:before="60" w:after="60"/>
                    <w:rPr>
                      <w:rFonts w:eastAsia="Helvetica Neue"/>
                      <w:b/>
                    </w:rPr>
                  </w:pPr>
                  <w:r w:rsidRPr="00617F16">
                    <w:rPr>
                      <w:rFonts w:eastAsia="Helvetica Neue"/>
                      <w:b/>
                    </w:rPr>
                    <w:t>Google Ireland Limited</w:t>
                  </w:r>
                </w:p>
                <w:p w14:paraId="41F07C8C" w14:textId="77777777" w:rsidR="00FC6214" w:rsidRPr="00617F16" w:rsidRDefault="00FC6214" w:rsidP="00FC6214">
                  <w:pPr>
                    <w:spacing w:before="60" w:after="60"/>
                    <w:rPr>
                      <w:rFonts w:eastAsia="Helvetica Neue"/>
                      <w:b/>
                    </w:rPr>
                  </w:pPr>
                </w:p>
                <w:p w14:paraId="41E6EFD6" w14:textId="77777777" w:rsidR="00FC6214" w:rsidRPr="00617F16" w:rsidRDefault="00FC6214" w:rsidP="00FC6214">
                  <w:pPr>
                    <w:spacing w:before="60" w:after="60"/>
                    <w:rPr>
                      <w:rFonts w:eastAsia="Helvetica Neue"/>
                      <w:b/>
                      <w:i/>
                    </w:rPr>
                  </w:pPr>
                  <w:r w:rsidRPr="00617F16">
                    <w:rPr>
                      <w:rFonts w:eastAsia="Helvetica Neue"/>
                      <w:b/>
                      <w:i/>
                    </w:rPr>
                    <w:t>G-Suite</w:t>
                  </w:r>
                </w:p>
                <w:p w14:paraId="42396022" w14:textId="77777777" w:rsidR="00FC6214" w:rsidRPr="00617F16" w:rsidRDefault="00FC6214" w:rsidP="00FC6214">
                  <w:pPr>
                    <w:rPr>
                      <w:rFonts w:ascii="Helvetica Neue" w:eastAsia="Helvetica Neue" w:hAnsi="Helvetica Neue" w:cs="Helvetica Neue"/>
                      <w:b/>
                    </w:rPr>
                  </w:pPr>
                </w:p>
              </w:tc>
              <w:tc>
                <w:tcPr>
                  <w:tcW w:w="5809" w:type="dxa"/>
                </w:tcPr>
                <w:p w14:paraId="538BAA93" w14:textId="77777777" w:rsidR="00FC6214" w:rsidRPr="00CB7620" w:rsidRDefault="00FC6214" w:rsidP="00FC6214">
                  <w:pPr>
                    <w:spacing w:before="60" w:after="60"/>
                    <w:rPr>
                      <w:rFonts w:eastAsia="Helvetica Neue"/>
                    </w:rPr>
                  </w:pPr>
                  <w:r w:rsidRPr="00CB7620">
                    <w:rPr>
                      <w:rFonts w:eastAsia="Helvetica Neue"/>
                    </w:rPr>
                    <w:t xml:space="preserve">The Supplier, Google and the Buyer are independent contractors with respect to resale of the Google product by the Supplier to the Buyer. </w:t>
                  </w:r>
                </w:p>
                <w:p w14:paraId="301BAE55" w14:textId="77777777" w:rsidR="00FC6214" w:rsidRDefault="00FC6214" w:rsidP="00FC6214">
                  <w:pPr>
                    <w:rPr>
                      <w:rFonts w:ascii="Calibri" w:hAnsi="Calibri" w:cs="Times New Roman"/>
                    </w:rPr>
                  </w:pPr>
                  <w:r w:rsidRPr="00CB7620">
                    <w:rPr>
                      <w:rFonts w:eastAsia="Helvetica Neue"/>
                    </w:rPr>
                    <w:t xml:space="preserve">The Buyer must accept the Google TOS prior to accessing or using the Google product.  The Buyer authorises the Supplier to accept the Google TOS on behalf of the Buyer (and any updates to the Google TOS from time to time).  As at the date of this Call-Off Contract, the Google TOS are available at:  </w:t>
                  </w:r>
                  <w:hyperlink r:id="rId14" w:history="1">
                    <w:r>
                      <w:rPr>
                        <w:rStyle w:val="Hyperlink"/>
                      </w:rPr>
                      <w:t>https://gsuite.google.com/intl/en-GB/terms/premier_terms_prepay.html</w:t>
                    </w:r>
                  </w:hyperlink>
                  <w:r>
                    <w:t xml:space="preserve"> </w:t>
                  </w:r>
                </w:p>
                <w:p w14:paraId="30FBC00E" w14:textId="77777777" w:rsidR="00FC6214" w:rsidRPr="00CB7620" w:rsidRDefault="00FC6214" w:rsidP="00FC6214">
                  <w:pPr>
                    <w:spacing w:before="60" w:after="60"/>
                    <w:rPr>
                      <w:rFonts w:eastAsia="Helvetica Neue"/>
                    </w:rPr>
                  </w:pPr>
                  <w:r w:rsidRPr="00CB7620">
                    <w:rPr>
                      <w:rFonts w:eastAsia="Helvetica Neue"/>
                    </w:rPr>
                    <w:t xml:space="preserve">The Supplier is the processor of any personal data processed by it on the Buyer’s behalf and the Buyer is the controller of any such data, as the terms “controller”, “processed”, </w:t>
                  </w:r>
                  <w:proofErr w:type="gramStart"/>
                  <w:r w:rsidRPr="00CB7620">
                    <w:rPr>
                      <w:rFonts w:eastAsia="Helvetica Neue"/>
                    </w:rPr>
                    <w:t>“</w:t>
                  </w:r>
                  <w:proofErr w:type="gramEnd"/>
                  <w:r w:rsidRPr="00CB7620">
                    <w:rPr>
                      <w:rFonts w:eastAsia="Helvetica Neue"/>
                    </w:rPr>
                    <w:t xml:space="preserve">processor” and “personal data” are defined in </w:t>
                  </w:r>
                  <w:r>
                    <w:t>Data Protection Legislation</w:t>
                  </w:r>
                  <w:r>
                    <w:rPr>
                      <w:rFonts w:eastAsia="Helvetica Neue"/>
                    </w:rPr>
                    <w:t xml:space="preserve">. </w:t>
                  </w:r>
                  <w:r w:rsidRPr="00CB7620">
                    <w:rPr>
                      <w:rFonts w:eastAsia="Helvetica Neue"/>
                    </w:rPr>
                    <w:t xml:space="preserve">The Buyer is responsible for obtaining and maintaining any consents required from the Buyer’s </w:t>
                  </w:r>
                  <w:r>
                    <w:rPr>
                      <w:rFonts w:eastAsia="Helvetica Neue"/>
                    </w:rPr>
                    <w:t>e</w:t>
                  </w:r>
                  <w:r w:rsidRPr="00CB7620">
                    <w:rPr>
                      <w:rFonts w:eastAsia="Helvetica Neue"/>
                    </w:rPr>
                    <w:t xml:space="preserve">nd </w:t>
                  </w:r>
                  <w:r>
                    <w:rPr>
                      <w:rFonts w:eastAsia="Helvetica Neue"/>
                    </w:rPr>
                    <w:t>u</w:t>
                  </w:r>
                  <w:r w:rsidRPr="00CB7620">
                    <w:rPr>
                      <w:rFonts w:eastAsia="Helvetica Neue"/>
                    </w:rPr>
                    <w:t>sers to allow the Supplier to perform its obligations under the Call-Off Contract and relevant Google TOS.</w:t>
                  </w:r>
                </w:p>
                <w:p w14:paraId="4503B65F" w14:textId="77777777" w:rsidR="00FC6214" w:rsidRDefault="00FC6214" w:rsidP="00FC6214">
                  <w:pPr>
                    <w:spacing w:before="60" w:after="60"/>
                    <w:rPr>
                      <w:rFonts w:eastAsia="Helvetica Neue"/>
                    </w:rPr>
                  </w:pPr>
                  <w:r w:rsidRPr="00CB7620">
                    <w:rPr>
                      <w:rFonts w:eastAsia="Helvetica Neue"/>
                    </w:rPr>
                    <w:t xml:space="preserve">If Google fails to comply with the SLA referenced in the Google TOS, the Buyer will only be eligible to receive those remedies set out under the Google TOS and must request such remedies directly from the Supplier. Google will only provide customer support to the Buyer in accordance with the Google TOS. </w:t>
                  </w:r>
                </w:p>
                <w:p w14:paraId="2E29BEC9" w14:textId="3A7839D2" w:rsidR="00FC6214" w:rsidRDefault="00FC6214" w:rsidP="00FC6214">
                  <w:pPr>
                    <w:rPr>
                      <w:rFonts w:ascii="Helvetica Neue" w:eastAsia="Helvetica Neue" w:hAnsi="Helvetica Neue" w:cs="Helvetica Neue"/>
                    </w:rPr>
                  </w:pPr>
                  <w:r>
                    <w:t xml:space="preserve">The </w:t>
                  </w:r>
                  <w:r>
                    <w:rPr>
                      <w:rFonts w:eastAsia="Helvetica Neue"/>
                    </w:rPr>
                    <w:t xml:space="preserve">Buyer must comply with the G-Suite Acceptable Use Policy, available at the date of this Call-Off Contact at:  </w:t>
                  </w:r>
                  <w:hyperlink r:id="rId15" w:history="1">
                    <w:r w:rsidRPr="0085353E">
                      <w:rPr>
                        <w:rStyle w:val="Hyperlink"/>
                        <w:rFonts w:eastAsia="Helvetica Neue"/>
                      </w:rPr>
                      <w:t>https://gsuite.google.com/intl/en/terms/use_policy.html</w:t>
                    </w:r>
                  </w:hyperlink>
                  <w:r>
                    <w:rPr>
                      <w:rFonts w:eastAsia="Helvetica Neue"/>
                    </w:rPr>
                    <w:t xml:space="preserve"> </w:t>
                  </w:r>
                </w:p>
              </w:tc>
            </w:tr>
            <w:tr w:rsidR="00FC6214" w14:paraId="65F0BB21" w14:textId="77777777" w:rsidTr="00617F16">
              <w:tc>
                <w:tcPr>
                  <w:tcW w:w="1900" w:type="dxa"/>
                </w:tcPr>
                <w:p w14:paraId="2B2AA0AB" w14:textId="3B95ABDD" w:rsidR="00FC6214" w:rsidRPr="00617F16" w:rsidRDefault="00FC6214" w:rsidP="00FC6214">
                  <w:pPr>
                    <w:rPr>
                      <w:rFonts w:ascii="Helvetica Neue" w:eastAsia="Helvetica Neue" w:hAnsi="Helvetica Neue" w:cs="Helvetica Neue"/>
                      <w:b/>
                    </w:rPr>
                  </w:pPr>
                  <w:r w:rsidRPr="00617F16">
                    <w:rPr>
                      <w:rFonts w:eastAsia="Helvetica Neue"/>
                      <w:b/>
                    </w:rPr>
                    <w:t>Amazon Web Services, Inc.</w:t>
                  </w:r>
                </w:p>
              </w:tc>
              <w:tc>
                <w:tcPr>
                  <w:tcW w:w="5809" w:type="dxa"/>
                </w:tcPr>
                <w:p w14:paraId="1D627A0B" w14:textId="77EEFFF8" w:rsidR="00FC6214" w:rsidRDefault="00FC6214" w:rsidP="00FC6214">
                  <w:pPr>
                    <w:rPr>
                      <w:rFonts w:ascii="Helvetica Neue" w:eastAsia="Helvetica Neue" w:hAnsi="Helvetica Neue" w:cs="Helvetica Neue"/>
                    </w:rPr>
                  </w:pPr>
                  <w:r>
                    <w:rPr>
                      <w:rFonts w:eastAsia="Helvetica Neue"/>
                    </w:rPr>
                    <w:t xml:space="preserve">Buyer must comply with the </w:t>
                  </w:r>
                  <w:r w:rsidRPr="00CB7620">
                    <w:rPr>
                      <w:rFonts w:eastAsia="Helvetica Neue"/>
                    </w:rPr>
                    <w:t>AWS Acceptable User Policy</w:t>
                  </w:r>
                  <w:r>
                    <w:rPr>
                      <w:rFonts w:eastAsia="Helvetica Neue"/>
                    </w:rPr>
                    <w:t xml:space="preserve"> in force from time-to-time, </w:t>
                  </w:r>
                  <w:r w:rsidRPr="00CB7620">
                    <w:rPr>
                      <w:rFonts w:eastAsia="Helvetica Neue"/>
                    </w:rPr>
                    <w:t xml:space="preserve">available at the date of this Call-Off Contract at: </w:t>
                  </w:r>
                  <w:hyperlink r:id="rId16" w:history="1">
                    <w:r w:rsidRPr="00CB7620">
                      <w:rPr>
                        <w:rStyle w:val="Hyperlink"/>
                        <w:rFonts w:eastAsia="Helvetica Neue"/>
                      </w:rPr>
                      <w:t>https://aws.amazon.com/aup/</w:t>
                    </w:r>
                  </w:hyperlink>
                </w:p>
              </w:tc>
            </w:tr>
            <w:tr w:rsidR="00FC6214" w14:paraId="0BDF9758" w14:textId="77777777" w:rsidTr="00617F16">
              <w:tc>
                <w:tcPr>
                  <w:tcW w:w="1900" w:type="dxa"/>
                </w:tcPr>
                <w:p w14:paraId="5F47D799" w14:textId="26DEC043" w:rsidR="00FC6214" w:rsidRPr="00617F16" w:rsidRDefault="00FC6214" w:rsidP="00FC6214">
                  <w:pPr>
                    <w:rPr>
                      <w:rFonts w:ascii="Helvetica Neue" w:eastAsia="Helvetica Neue" w:hAnsi="Helvetica Neue" w:cs="Helvetica Neue"/>
                      <w:b/>
                    </w:rPr>
                  </w:pPr>
                  <w:r w:rsidRPr="00617F16">
                    <w:rPr>
                      <w:rFonts w:eastAsia="Helvetica Neue"/>
                      <w:b/>
                    </w:rPr>
                    <w:t>SiteKit</w:t>
                  </w:r>
                  <w:r w:rsidRPr="00617F16">
                    <w:rPr>
                      <w:rFonts w:eastAsia="Helvetica Neue"/>
                      <w:b/>
                      <w:color w:val="000000" w:themeColor="text1"/>
                    </w:rPr>
                    <w:t xml:space="preserve"> Solutions </w:t>
                  </w:r>
                  <w:r w:rsidRPr="00617F16">
                    <w:rPr>
                      <w:rFonts w:eastAsia="Helvetica Neue"/>
                      <w:b/>
                    </w:rPr>
                    <w:t>Limited</w:t>
                  </w:r>
                </w:p>
              </w:tc>
              <w:tc>
                <w:tcPr>
                  <w:tcW w:w="5809" w:type="dxa"/>
                </w:tcPr>
                <w:p w14:paraId="6226F706" w14:textId="4A8284DC" w:rsidR="00FC6214" w:rsidRDefault="00FC6214" w:rsidP="00FC6214">
                  <w:pPr>
                    <w:rPr>
                      <w:rFonts w:ascii="Helvetica Neue" w:eastAsia="Helvetica Neue" w:hAnsi="Helvetica Neue" w:cs="Helvetica Neue"/>
                    </w:rPr>
                  </w:pPr>
                  <w:r w:rsidRPr="00CB7620">
                    <w:rPr>
                      <w:rFonts w:eastAsia="Helvetica Neue"/>
                    </w:rPr>
                    <w:t>n/a</w:t>
                  </w:r>
                </w:p>
              </w:tc>
            </w:tr>
            <w:tr w:rsidR="00FC6214" w14:paraId="2973F758" w14:textId="77777777" w:rsidTr="00617F16">
              <w:tc>
                <w:tcPr>
                  <w:tcW w:w="1900" w:type="dxa"/>
                </w:tcPr>
                <w:p w14:paraId="0C2FC072" w14:textId="77777777" w:rsidR="00FC6214" w:rsidRPr="00617F16" w:rsidRDefault="00FC6214" w:rsidP="00FC6214">
                  <w:pPr>
                    <w:spacing w:before="60" w:after="60"/>
                    <w:rPr>
                      <w:rFonts w:eastAsia="Helvetica Neue"/>
                      <w:b/>
                    </w:rPr>
                  </w:pPr>
                  <w:r w:rsidRPr="00617F16">
                    <w:rPr>
                      <w:rFonts w:eastAsia="Helvetica Neue"/>
                      <w:b/>
                    </w:rPr>
                    <w:t>Cloud Technology Solutions Limited</w:t>
                  </w:r>
                </w:p>
                <w:p w14:paraId="1BBDCF9B" w14:textId="1EF684B2" w:rsidR="00FC6214" w:rsidRPr="00617F16" w:rsidRDefault="00FC6214" w:rsidP="00FC6214">
                  <w:pPr>
                    <w:rPr>
                      <w:rFonts w:ascii="Helvetica Neue" w:eastAsia="Helvetica Neue" w:hAnsi="Helvetica Neue" w:cs="Helvetica Neue"/>
                      <w:b/>
                    </w:rPr>
                  </w:pPr>
                  <w:r w:rsidRPr="00617F16">
                    <w:rPr>
                      <w:rFonts w:eastAsia="Helvetica Neue"/>
                      <w:b/>
                      <w:i/>
                    </w:rPr>
                    <w:t>Cloud Pages</w:t>
                  </w:r>
                </w:p>
              </w:tc>
              <w:tc>
                <w:tcPr>
                  <w:tcW w:w="5809" w:type="dxa"/>
                </w:tcPr>
                <w:p w14:paraId="5BD22F78" w14:textId="724D6BBD" w:rsidR="00FC6214" w:rsidRDefault="00FC6214" w:rsidP="00FC6214">
                  <w:pPr>
                    <w:rPr>
                      <w:rFonts w:ascii="Helvetica Neue" w:eastAsia="Helvetica Neue" w:hAnsi="Helvetica Neue" w:cs="Helvetica Neue"/>
                    </w:rPr>
                  </w:pPr>
                  <w:r>
                    <w:rPr>
                      <w:rFonts w:eastAsia="Helvetica Neue"/>
                    </w:rPr>
                    <w:t xml:space="preserve">Buyer must comply with the </w:t>
                  </w:r>
                  <w:proofErr w:type="spellStart"/>
                  <w:r>
                    <w:rPr>
                      <w:rFonts w:eastAsia="Helvetica Neue"/>
                    </w:rPr>
                    <w:t>Cloudpages</w:t>
                  </w:r>
                  <w:proofErr w:type="spellEnd"/>
                  <w:r>
                    <w:rPr>
                      <w:rFonts w:eastAsia="Helvetica Neue"/>
                    </w:rPr>
                    <w:t xml:space="preserve"> Terms of Service in force from time-to-time, available at the date of this Call-Off Contract at: </w:t>
                  </w:r>
                  <w:hyperlink r:id="rId17" w:history="1">
                    <w:r w:rsidRPr="005458B5">
                      <w:rPr>
                        <w:rStyle w:val="Hyperlink"/>
                        <w:rFonts w:eastAsia="Helvetica Neue"/>
                      </w:rPr>
                      <w:t>https://www.cloudpagesforwork.com/terms-conditions/</w:t>
                    </w:r>
                  </w:hyperlink>
                  <w:r>
                    <w:rPr>
                      <w:rFonts w:eastAsia="Helvetica Neue"/>
                    </w:rPr>
                    <w:t xml:space="preserve"> </w:t>
                  </w:r>
                </w:p>
              </w:tc>
            </w:tr>
            <w:tr w:rsidR="00FC6214" w14:paraId="0AD6D61F" w14:textId="77777777" w:rsidTr="00617F16">
              <w:tc>
                <w:tcPr>
                  <w:tcW w:w="1900" w:type="dxa"/>
                </w:tcPr>
                <w:p w14:paraId="60E4C242" w14:textId="1F2B3204" w:rsidR="00FC6214" w:rsidRPr="00617F16" w:rsidRDefault="00FC6214" w:rsidP="00FC6214">
                  <w:pPr>
                    <w:rPr>
                      <w:rFonts w:ascii="Helvetica Neue" w:eastAsia="Helvetica Neue" w:hAnsi="Helvetica Neue" w:cs="Helvetica Neue"/>
                      <w:b/>
                    </w:rPr>
                  </w:pPr>
                  <w:r w:rsidRPr="00617F16">
                    <w:rPr>
                      <w:rFonts w:eastAsia="Helvetica Neue"/>
                      <w:b/>
                    </w:rPr>
                    <w:t>Salesforce.com EMEA Limited</w:t>
                  </w:r>
                </w:p>
              </w:tc>
              <w:tc>
                <w:tcPr>
                  <w:tcW w:w="5809" w:type="dxa"/>
                </w:tcPr>
                <w:p w14:paraId="42FD4F45" w14:textId="572A7CC6" w:rsidR="00FC6214" w:rsidRDefault="00FC6214" w:rsidP="00FC6214">
                  <w:pPr>
                    <w:rPr>
                      <w:rFonts w:ascii="Helvetica Neue" w:eastAsia="Helvetica Neue" w:hAnsi="Helvetica Neue" w:cs="Helvetica Neue"/>
                    </w:rPr>
                  </w:pPr>
                  <w:r>
                    <w:rPr>
                      <w:rFonts w:eastAsia="Helvetica Neue"/>
                    </w:rPr>
                    <w:t xml:space="preserve">Buyer must comply with the </w:t>
                  </w:r>
                  <w:r w:rsidRPr="00CB7620">
                    <w:rPr>
                      <w:rFonts w:eastAsia="Helvetica Neue"/>
                    </w:rPr>
                    <w:t>SFDC Pass-Through Term</w:t>
                  </w:r>
                  <w:r>
                    <w:rPr>
                      <w:rFonts w:eastAsia="Helvetica Neue"/>
                    </w:rPr>
                    <w:t>s</w:t>
                  </w:r>
                  <w:r w:rsidRPr="00CB7620">
                    <w:rPr>
                      <w:rFonts w:eastAsia="Helvetica Neue"/>
                    </w:rPr>
                    <w:t xml:space="preserve">, a copy of which </w:t>
                  </w:r>
                  <w:r>
                    <w:rPr>
                      <w:rFonts w:eastAsia="Helvetica Neue"/>
                    </w:rPr>
                    <w:t>is set out in Appendix 1 to this Call-Off Contract.</w:t>
                  </w:r>
                </w:p>
              </w:tc>
            </w:tr>
            <w:tr w:rsidR="00FC6214" w14:paraId="47CB49E6" w14:textId="77777777" w:rsidTr="00617F16">
              <w:tc>
                <w:tcPr>
                  <w:tcW w:w="1900" w:type="dxa"/>
                </w:tcPr>
                <w:p w14:paraId="1401900C" w14:textId="77777777" w:rsidR="00FC6214" w:rsidRPr="00617F16" w:rsidRDefault="00FC6214" w:rsidP="00FC6214">
                  <w:pPr>
                    <w:spacing w:before="60" w:after="60"/>
                    <w:rPr>
                      <w:rFonts w:eastAsia="Helvetica Neue"/>
                      <w:b/>
                    </w:rPr>
                  </w:pPr>
                  <w:proofErr w:type="spellStart"/>
                  <w:r w:rsidRPr="00617F16">
                    <w:rPr>
                      <w:rFonts w:eastAsia="Helvetica Neue"/>
                      <w:b/>
                    </w:rPr>
                    <w:t>CloudLock</w:t>
                  </w:r>
                  <w:proofErr w:type="spellEnd"/>
                  <w:r w:rsidRPr="00617F16">
                    <w:rPr>
                      <w:rFonts w:eastAsia="Helvetica Neue"/>
                      <w:b/>
                    </w:rPr>
                    <w:t>, Inc.</w:t>
                  </w:r>
                </w:p>
                <w:p w14:paraId="6EE124BF" w14:textId="77777777" w:rsidR="00FC6214" w:rsidRPr="00617F16" w:rsidRDefault="00FC6214" w:rsidP="00FC6214">
                  <w:pPr>
                    <w:rPr>
                      <w:rFonts w:ascii="Helvetica Neue" w:eastAsia="Helvetica Neue" w:hAnsi="Helvetica Neue" w:cs="Helvetica Neue"/>
                      <w:b/>
                    </w:rPr>
                  </w:pPr>
                </w:p>
              </w:tc>
              <w:tc>
                <w:tcPr>
                  <w:tcW w:w="5809" w:type="dxa"/>
                </w:tcPr>
                <w:p w14:paraId="1AFFE737" w14:textId="77777777" w:rsidR="00FC6214" w:rsidRPr="00CB7620" w:rsidRDefault="00FC6214" w:rsidP="00FC6214">
                  <w:pPr>
                    <w:spacing w:before="60" w:after="60"/>
                    <w:rPr>
                      <w:rFonts w:eastAsia="Helvetica Neue"/>
                    </w:rPr>
                  </w:pPr>
                  <w:r>
                    <w:rPr>
                      <w:rFonts w:eastAsia="Helvetica Neue"/>
                    </w:rPr>
                    <w:t xml:space="preserve">Buyer must comply with </w:t>
                  </w:r>
                  <w:proofErr w:type="spellStart"/>
                  <w:r w:rsidRPr="00CB7620">
                    <w:rPr>
                      <w:rFonts w:eastAsia="Helvetica Neue"/>
                    </w:rPr>
                    <w:t>CloudLock</w:t>
                  </w:r>
                  <w:proofErr w:type="spellEnd"/>
                  <w:r w:rsidRPr="00CB7620">
                    <w:rPr>
                      <w:rFonts w:eastAsia="Helvetica Neue"/>
                    </w:rPr>
                    <w:t xml:space="preserve"> supply-chain acceptable use policies</w:t>
                  </w:r>
                  <w:r>
                    <w:rPr>
                      <w:rFonts w:eastAsia="Helvetica Neue"/>
                    </w:rPr>
                    <w:t xml:space="preserve"> in force from time-to-time</w:t>
                  </w:r>
                  <w:r w:rsidRPr="00CB7620">
                    <w:rPr>
                      <w:rFonts w:eastAsia="Helvetica Neue"/>
                    </w:rPr>
                    <w:t xml:space="preserve">, available at the date of this Call-Off Contract at: </w:t>
                  </w:r>
                  <w:hyperlink r:id="rId18" w:history="1">
                    <w:r w:rsidRPr="00CB7620">
                      <w:rPr>
                        <w:rStyle w:val="Hyperlink"/>
                        <w:rFonts w:eastAsia="Helvetica Neue"/>
                      </w:rPr>
                      <w:t>https://cloud.google.com/terms/aup</w:t>
                    </w:r>
                  </w:hyperlink>
                </w:p>
                <w:p w14:paraId="4E4BAA26" w14:textId="6655EE10" w:rsidR="00FC6214" w:rsidRDefault="00FC6214" w:rsidP="00FC6214">
                  <w:pPr>
                    <w:rPr>
                      <w:rFonts w:ascii="Helvetica Neue" w:eastAsia="Helvetica Neue" w:hAnsi="Helvetica Neue" w:cs="Helvetica Neue"/>
                    </w:rPr>
                  </w:pPr>
                  <w:r>
                    <w:rPr>
                      <w:rFonts w:eastAsia="Helvetica Neue"/>
                    </w:rPr>
                    <w:t>Buyer must comply with t</w:t>
                  </w:r>
                  <w:r w:rsidRPr="00CB7620">
                    <w:rPr>
                      <w:rFonts w:eastAsia="Helvetica Neue"/>
                    </w:rPr>
                    <w:t xml:space="preserve">he End Customer Agreement, copy of which </w:t>
                  </w:r>
                  <w:r>
                    <w:rPr>
                      <w:rFonts w:eastAsia="Helvetica Neue"/>
                    </w:rPr>
                    <w:t>is set out in Appendix 1 to this Call-Off Contract.</w:t>
                  </w:r>
                </w:p>
              </w:tc>
            </w:tr>
            <w:tr w:rsidR="00FC6214" w14:paraId="28C4F170" w14:textId="77777777" w:rsidTr="00617F16">
              <w:tc>
                <w:tcPr>
                  <w:tcW w:w="1900" w:type="dxa"/>
                </w:tcPr>
                <w:p w14:paraId="27E5FDB0" w14:textId="3115B035" w:rsidR="00FC6214" w:rsidRPr="00617F16" w:rsidRDefault="00FC6214" w:rsidP="00FC6214">
                  <w:pPr>
                    <w:rPr>
                      <w:rFonts w:ascii="Helvetica Neue" w:eastAsia="Helvetica Neue" w:hAnsi="Helvetica Neue" w:cs="Helvetica Neue"/>
                      <w:b/>
                    </w:rPr>
                  </w:pPr>
                  <w:r w:rsidRPr="00617F16">
                    <w:rPr>
                      <w:rFonts w:eastAsia="Helvetica Neue"/>
                      <w:b/>
                    </w:rPr>
                    <w:t>Lucid Software, Inc.</w:t>
                  </w:r>
                </w:p>
              </w:tc>
              <w:tc>
                <w:tcPr>
                  <w:tcW w:w="5809" w:type="dxa"/>
                </w:tcPr>
                <w:p w14:paraId="3D4204F5" w14:textId="28159DCC" w:rsidR="00FC6214" w:rsidRDefault="00FC6214" w:rsidP="00FC6214">
                  <w:pPr>
                    <w:rPr>
                      <w:rFonts w:ascii="Helvetica Neue" w:eastAsia="Helvetica Neue" w:hAnsi="Helvetica Neue" w:cs="Helvetica Neue"/>
                    </w:rPr>
                  </w:pPr>
                  <w:r w:rsidRPr="00CB7620">
                    <w:rPr>
                      <w:rFonts w:eastAsia="Helvetica Neue"/>
                    </w:rPr>
                    <w:t>n/a</w:t>
                  </w:r>
                </w:p>
              </w:tc>
            </w:tr>
            <w:tr w:rsidR="00FC6214" w14:paraId="2EAA6035" w14:textId="77777777" w:rsidTr="00617F16">
              <w:tc>
                <w:tcPr>
                  <w:tcW w:w="1900" w:type="dxa"/>
                </w:tcPr>
                <w:p w14:paraId="60536BF5" w14:textId="77777777" w:rsidR="00FC6214" w:rsidRPr="00617F16" w:rsidRDefault="00FC6214" w:rsidP="00FC6214">
                  <w:pPr>
                    <w:spacing w:before="60" w:after="60"/>
                    <w:rPr>
                      <w:rFonts w:eastAsia="Helvetica Neue"/>
                      <w:b/>
                    </w:rPr>
                  </w:pPr>
                  <w:r w:rsidRPr="00617F16">
                    <w:rPr>
                      <w:rFonts w:eastAsia="Helvetica Neue"/>
                      <w:b/>
                    </w:rPr>
                    <w:t xml:space="preserve">Magic Web Solutions Limited (UK) – </w:t>
                  </w:r>
                </w:p>
                <w:p w14:paraId="55A1EF4D" w14:textId="7B616F77" w:rsidR="00FC6214" w:rsidRPr="00617F16" w:rsidRDefault="00FC6214" w:rsidP="00FC6214">
                  <w:pPr>
                    <w:rPr>
                      <w:rFonts w:ascii="Helvetica Neue" w:eastAsia="Helvetica Neue" w:hAnsi="Helvetica Neue" w:cs="Helvetica Neue"/>
                      <w:b/>
                    </w:rPr>
                  </w:pPr>
                  <w:proofErr w:type="spellStart"/>
                  <w:r w:rsidRPr="00617F16">
                    <w:rPr>
                      <w:rFonts w:eastAsia="Helvetica Neue"/>
                      <w:b/>
                      <w:i/>
                    </w:rPr>
                    <w:t>Kanbanchi</w:t>
                  </w:r>
                  <w:proofErr w:type="spellEnd"/>
                </w:p>
              </w:tc>
              <w:tc>
                <w:tcPr>
                  <w:tcW w:w="5809" w:type="dxa"/>
                </w:tcPr>
                <w:p w14:paraId="40664679" w14:textId="63FE23C9" w:rsidR="00FC6214" w:rsidRDefault="00FC6214" w:rsidP="00FC6214">
                  <w:pPr>
                    <w:rPr>
                      <w:rFonts w:ascii="Helvetica Neue" w:eastAsia="Helvetica Neue" w:hAnsi="Helvetica Neue" w:cs="Helvetica Neue"/>
                    </w:rPr>
                  </w:pPr>
                  <w:r w:rsidRPr="00CB7620">
                    <w:rPr>
                      <w:rFonts w:eastAsia="Helvetica Neue"/>
                    </w:rPr>
                    <w:t>n/a</w:t>
                  </w:r>
                  <w:r>
                    <w:rPr>
                      <w:rFonts w:eastAsia="Helvetica Neue"/>
                    </w:rPr>
                    <w:t xml:space="preserve"> </w:t>
                  </w:r>
                </w:p>
              </w:tc>
            </w:tr>
            <w:tr w:rsidR="00FC6214" w14:paraId="385842EA" w14:textId="77777777" w:rsidTr="00617F16">
              <w:tc>
                <w:tcPr>
                  <w:tcW w:w="1900" w:type="dxa"/>
                </w:tcPr>
                <w:p w14:paraId="27AFC417" w14:textId="77777777" w:rsidR="00FC6214" w:rsidRPr="00617F16" w:rsidRDefault="00FC6214" w:rsidP="00FC6214">
                  <w:pPr>
                    <w:spacing w:before="60" w:after="60"/>
                    <w:rPr>
                      <w:rFonts w:eastAsia="Helvetica Neue"/>
                      <w:b/>
                      <w:i/>
                    </w:rPr>
                  </w:pPr>
                  <w:r w:rsidRPr="00617F16">
                    <w:rPr>
                      <w:rFonts w:eastAsia="Helvetica Neue"/>
                      <w:b/>
                    </w:rPr>
                    <w:t xml:space="preserve">Awesome </w:t>
                  </w:r>
                  <w:proofErr w:type="spellStart"/>
                  <w:r w:rsidRPr="00617F16">
                    <w:rPr>
                      <w:rFonts w:eastAsia="Helvetica Neue"/>
                      <w:b/>
                    </w:rPr>
                    <w:t>Gapps</w:t>
                  </w:r>
                  <w:proofErr w:type="spellEnd"/>
                  <w:r w:rsidRPr="00617F16">
                    <w:rPr>
                      <w:rFonts w:eastAsia="Helvetica Neue"/>
                      <w:b/>
                    </w:rPr>
                    <w:t xml:space="preserve"> </w:t>
                  </w:r>
                  <w:proofErr w:type="spellStart"/>
                  <w:r w:rsidRPr="00617F16">
                    <w:rPr>
                      <w:rFonts w:eastAsia="Helvetica Neue"/>
                      <w:b/>
                    </w:rPr>
                    <w:t>SarL</w:t>
                  </w:r>
                  <w:proofErr w:type="spellEnd"/>
                  <w:r w:rsidRPr="00617F16">
                    <w:rPr>
                      <w:rFonts w:eastAsia="Helvetica Neue"/>
                      <w:b/>
                    </w:rPr>
                    <w:t xml:space="preserve"> </w:t>
                  </w:r>
                </w:p>
                <w:p w14:paraId="7F2492A0" w14:textId="1D0279AE" w:rsidR="00FC6214" w:rsidRPr="00617F16" w:rsidRDefault="00FC6214" w:rsidP="00FC6214">
                  <w:pPr>
                    <w:rPr>
                      <w:rFonts w:ascii="Helvetica Neue" w:eastAsia="Helvetica Neue" w:hAnsi="Helvetica Neue" w:cs="Helvetica Neue"/>
                      <w:b/>
                    </w:rPr>
                  </w:pPr>
                  <w:r w:rsidRPr="00617F16">
                    <w:rPr>
                      <w:rFonts w:eastAsia="Helvetica Neue"/>
                      <w:b/>
                      <w:i/>
                    </w:rPr>
                    <w:t>Awesome Tables</w:t>
                  </w:r>
                </w:p>
              </w:tc>
              <w:tc>
                <w:tcPr>
                  <w:tcW w:w="5809" w:type="dxa"/>
                </w:tcPr>
                <w:p w14:paraId="391A1304" w14:textId="0302BB17" w:rsidR="00FC6214" w:rsidRDefault="00FC6214" w:rsidP="00FC6214">
                  <w:pPr>
                    <w:rPr>
                      <w:rFonts w:ascii="Helvetica Neue" w:eastAsia="Helvetica Neue" w:hAnsi="Helvetica Neue" w:cs="Helvetica Neue"/>
                    </w:rPr>
                  </w:pPr>
                  <w:r>
                    <w:rPr>
                      <w:rFonts w:eastAsia="Helvetica Neue"/>
                    </w:rPr>
                    <w:t>Buyer must comply with t</w:t>
                  </w:r>
                  <w:r w:rsidRPr="00CB7620">
                    <w:rPr>
                      <w:rFonts w:eastAsia="Helvetica Neue"/>
                    </w:rPr>
                    <w:t xml:space="preserve">he Awesome </w:t>
                  </w:r>
                  <w:proofErr w:type="spellStart"/>
                  <w:r w:rsidRPr="00CB7620">
                    <w:rPr>
                      <w:rFonts w:eastAsia="Helvetica Neue"/>
                    </w:rPr>
                    <w:t>Gapps</w:t>
                  </w:r>
                  <w:proofErr w:type="spellEnd"/>
                  <w:r w:rsidRPr="00CB7620">
                    <w:rPr>
                      <w:rFonts w:eastAsia="Helvetica Neue"/>
                    </w:rPr>
                    <w:t xml:space="preserve"> supply-chain acceptable use policies</w:t>
                  </w:r>
                  <w:r>
                    <w:rPr>
                      <w:rFonts w:eastAsia="Helvetica Neue"/>
                    </w:rPr>
                    <w:t xml:space="preserve"> in force from time-to-time</w:t>
                  </w:r>
                  <w:r w:rsidRPr="00CB7620">
                    <w:rPr>
                      <w:rFonts w:eastAsia="Helvetica Neue"/>
                    </w:rPr>
                    <w:t xml:space="preserve">, available at the date of this Call-Off Contract at: </w:t>
                  </w:r>
                  <w:hyperlink r:id="rId19" w:history="1">
                    <w:r w:rsidRPr="00CB7620">
                      <w:rPr>
                        <w:rStyle w:val="Hyperlink"/>
                        <w:rFonts w:eastAsia="Helvetica Neue"/>
                      </w:rPr>
                      <w:t>https://cloud.google.com/terms/aup</w:t>
                    </w:r>
                  </w:hyperlink>
                  <w:r>
                    <w:rPr>
                      <w:rFonts w:eastAsia="Helvetica Neue"/>
                    </w:rPr>
                    <w:t xml:space="preserve">, and at: </w:t>
                  </w:r>
                  <w:hyperlink r:id="rId20" w:history="1">
                    <w:r w:rsidRPr="00CB7620">
                      <w:rPr>
                        <w:rStyle w:val="Hyperlink"/>
                        <w:rFonts w:eastAsia="Helvetica Neue"/>
                      </w:rPr>
                      <w:t>https://www.firebase.com/terms/acceptable-usage-policy.html</w:t>
                    </w:r>
                  </w:hyperlink>
                  <w:r w:rsidRPr="00CB7620">
                    <w:rPr>
                      <w:rFonts w:eastAsia="Helvetica Neue"/>
                    </w:rPr>
                    <w:t xml:space="preserve"> </w:t>
                  </w:r>
                </w:p>
              </w:tc>
            </w:tr>
            <w:tr w:rsidR="00FC6214" w14:paraId="16CF15A2" w14:textId="77777777" w:rsidTr="00617F16">
              <w:tc>
                <w:tcPr>
                  <w:tcW w:w="1900" w:type="dxa"/>
                </w:tcPr>
                <w:p w14:paraId="1AD021A6" w14:textId="77777777" w:rsidR="00FC6214" w:rsidRPr="00617F16" w:rsidRDefault="00FC6214" w:rsidP="00FC6214">
                  <w:pPr>
                    <w:spacing w:before="60" w:after="60"/>
                    <w:rPr>
                      <w:b/>
                    </w:rPr>
                  </w:pPr>
                  <w:r w:rsidRPr="00617F16">
                    <w:rPr>
                      <w:b/>
                    </w:rPr>
                    <w:fldChar w:fldCharType="begin"/>
                  </w:r>
                  <w:r w:rsidRPr="00617F16">
                    <w:rPr>
                      <w:b/>
                    </w:rPr>
                    <w:instrText xml:space="preserve"> MERGEFIELD long_designation </w:instrText>
                  </w:r>
                  <w:r w:rsidRPr="00617F16">
                    <w:rPr>
                      <w:b/>
                    </w:rPr>
                    <w:fldChar w:fldCharType="separate"/>
                  </w:r>
                  <w:r w:rsidRPr="00617F16">
                    <w:rPr>
                      <w:b/>
                      <w:noProof/>
                    </w:rPr>
                    <w:t>WSO2 UK Limited</w:t>
                  </w:r>
                  <w:r w:rsidRPr="00617F16">
                    <w:rPr>
                      <w:b/>
                    </w:rPr>
                    <w:fldChar w:fldCharType="end"/>
                  </w:r>
                </w:p>
                <w:p w14:paraId="6140D7CD" w14:textId="3DA78AF0" w:rsidR="00FC6214" w:rsidRPr="00617F16" w:rsidRDefault="00FC6214" w:rsidP="00FC6214">
                  <w:pPr>
                    <w:rPr>
                      <w:rFonts w:ascii="Helvetica Neue" w:eastAsia="Helvetica Neue" w:hAnsi="Helvetica Neue" w:cs="Helvetica Neue"/>
                      <w:b/>
                    </w:rPr>
                  </w:pPr>
                  <w:r w:rsidRPr="00617F16">
                    <w:rPr>
                      <w:rFonts w:eastAsia="Helvetica Neue"/>
                      <w:b/>
                      <w:i/>
                    </w:rPr>
                    <w:t>SSO</w:t>
                  </w:r>
                </w:p>
              </w:tc>
              <w:tc>
                <w:tcPr>
                  <w:tcW w:w="5809" w:type="dxa"/>
                </w:tcPr>
                <w:p w14:paraId="5F89FB6B" w14:textId="77777777" w:rsidR="00FC6214" w:rsidRPr="007F40DE" w:rsidRDefault="00FC6214" w:rsidP="00FC6214">
                  <w:pPr>
                    <w:spacing w:before="60" w:after="60"/>
                    <w:rPr>
                      <w:color w:val="333333"/>
                      <w:sz w:val="21"/>
                      <w:szCs w:val="21"/>
                      <w:lang w:val="en"/>
                    </w:rPr>
                  </w:pPr>
                  <w:r w:rsidRPr="007F40DE">
                    <w:rPr>
                      <w:rFonts w:eastAsia="Helvetica Neue"/>
                    </w:rPr>
                    <w:t xml:space="preserve">Buyer must comply with the </w:t>
                  </w:r>
                  <w:r w:rsidRPr="007F40DE">
                    <w:rPr>
                      <w:color w:val="333333"/>
                      <w:sz w:val="21"/>
                      <w:szCs w:val="21"/>
                      <w:lang w:val="en"/>
                    </w:rPr>
                    <w:t xml:space="preserve">Apache License 2.0, available at the date of this Call-Off Contract at: </w:t>
                  </w:r>
                  <w:hyperlink r:id="rId21" w:history="1">
                    <w:r w:rsidRPr="007F40DE">
                      <w:rPr>
                        <w:rStyle w:val="Hyperlink"/>
                        <w:sz w:val="21"/>
                        <w:szCs w:val="21"/>
                        <w:lang w:val="en"/>
                      </w:rPr>
                      <w:t>https://www.apache.org/licenses/LICENSE-2.0.html</w:t>
                    </w:r>
                  </w:hyperlink>
                  <w:r w:rsidRPr="007F40DE">
                    <w:rPr>
                      <w:color w:val="333333"/>
                      <w:sz w:val="21"/>
                      <w:szCs w:val="21"/>
                      <w:lang w:val="en"/>
                    </w:rPr>
                    <w:t xml:space="preserve"> </w:t>
                  </w:r>
                </w:p>
                <w:p w14:paraId="0FA3B7CE" w14:textId="4B7F16BB" w:rsidR="00FC6214" w:rsidRDefault="00FC6214" w:rsidP="00FC6214">
                  <w:pPr>
                    <w:rPr>
                      <w:rFonts w:ascii="Helvetica Neue" w:eastAsia="Helvetica Neue" w:hAnsi="Helvetica Neue" w:cs="Helvetica Neue"/>
                    </w:rPr>
                  </w:pPr>
                  <w:r w:rsidRPr="007F40DE">
                    <w:rPr>
                      <w:rFonts w:eastAsia="Helvetica Neue"/>
                    </w:rPr>
                    <w:t>Buyer must comply with the WSO2 update license, available at the date of this Call-Off Contract at</w:t>
                  </w:r>
                  <w:r w:rsidRPr="007F40DE">
                    <w:rPr>
                      <w:color w:val="333333"/>
                      <w:sz w:val="21"/>
                      <w:szCs w:val="21"/>
                      <w:lang w:val="en"/>
                    </w:rPr>
                    <w:t xml:space="preserve">: </w:t>
                  </w:r>
                  <w:hyperlink r:id="rId22" w:history="1">
                    <w:r w:rsidRPr="007F40DE">
                      <w:rPr>
                        <w:rStyle w:val="Hyperlink"/>
                        <w:sz w:val="21"/>
                        <w:szCs w:val="21"/>
                        <w:lang w:val="en"/>
                      </w:rPr>
                      <w:t>http://wso2.com/update/license-1.0</w:t>
                    </w:r>
                  </w:hyperlink>
                  <w:r>
                    <w:rPr>
                      <w:rFonts w:ascii="Nunito Sans" w:hAnsi="Nunito Sans"/>
                      <w:color w:val="333333"/>
                      <w:sz w:val="21"/>
                      <w:szCs w:val="21"/>
                      <w:lang w:val="en"/>
                    </w:rPr>
                    <w:t xml:space="preserve"> </w:t>
                  </w:r>
                </w:p>
              </w:tc>
            </w:tr>
            <w:tr w:rsidR="00FC6214" w14:paraId="49890AAF" w14:textId="77777777" w:rsidTr="00FC6214">
              <w:tc>
                <w:tcPr>
                  <w:tcW w:w="7709" w:type="dxa"/>
                  <w:gridSpan w:val="2"/>
                </w:tcPr>
                <w:p w14:paraId="66D1932C" w14:textId="77777777" w:rsidR="00FC6214" w:rsidRDefault="00FC6214" w:rsidP="00FC6214">
                  <w:pPr>
                    <w:rPr>
                      <w:rFonts w:eastAsia="Helvetica Neue"/>
                      <w:b/>
                    </w:rPr>
                  </w:pPr>
                </w:p>
                <w:p w14:paraId="1107E21E" w14:textId="77777777" w:rsidR="00FC6214" w:rsidRDefault="00FC6214" w:rsidP="00FC6214">
                  <w:pPr>
                    <w:rPr>
                      <w:rFonts w:eastAsia="Helvetica Neue"/>
                      <w:b/>
                    </w:rPr>
                  </w:pPr>
                  <w:r w:rsidRPr="00CB7620">
                    <w:rPr>
                      <w:rFonts w:eastAsia="Helvetica Neue"/>
                      <w:b/>
                    </w:rPr>
                    <w:t xml:space="preserve">General </w:t>
                  </w:r>
                  <w:r>
                    <w:rPr>
                      <w:rFonts w:eastAsia="Helvetica Neue"/>
                      <w:b/>
                    </w:rPr>
                    <w:t>TOS applying to all Third Party Products:</w:t>
                  </w:r>
                </w:p>
                <w:p w14:paraId="3F76BEF8" w14:textId="3B9BED5E" w:rsidR="00FC6214" w:rsidRDefault="00FC6214" w:rsidP="00FC6214">
                  <w:pPr>
                    <w:rPr>
                      <w:rFonts w:ascii="Helvetica Neue" w:eastAsia="Helvetica Neue" w:hAnsi="Helvetica Neue" w:cs="Helvetica Neue"/>
                    </w:rPr>
                  </w:pPr>
                </w:p>
              </w:tc>
            </w:tr>
            <w:tr w:rsidR="00FC6214" w14:paraId="57F64854" w14:textId="77777777" w:rsidTr="00FC6214">
              <w:trPr>
                <w:trHeight w:val="2333"/>
              </w:trPr>
              <w:tc>
                <w:tcPr>
                  <w:tcW w:w="7709" w:type="dxa"/>
                  <w:gridSpan w:val="2"/>
                </w:tcPr>
                <w:p w14:paraId="1D554C60" w14:textId="77777777" w:rsidR="00FC6214" w:rsidRPr="00617F16" w:rsidRDefault="00FC6214" w:rsidP="00FC6214">
                  <w:pPr>
                    <w:pStyle w:val="Untitledsubclause1"/>
                    <w:numPr>
                      <w:ilvl w:val="0"/>
                      <w:numId w:val="0"/>
                    </w:numPr>
                    <w:spacing w:before="0" w:after="0"/>
                    <w:ind w:left="720" w:hanging="720"/>
                    <w:rPr>
                      <w:rFonts w:eastAsia="Helvetica Neue" w:cs="Arial"/>
                      <w:b/>
                      <w:color w:val="000000" w:themeColor="text1"/>
                    </w:rPr>
                  </w:pPr>
                  <w:r w:rsidRPr="00617F16">
                    <w:rPr>
                      <w:rFonts w:eastAsia="Helvetica Neue" w:cs="Arial"/>
                      <w:b/>
                      <w:color w:val="000000" w:themeColor="text1"/>
                    </w:rPr>
                    <w:t>Rights of Use</w:t>
                  </w:r>
                </w:p>
                <w:p w14:paraId="6C5FB80B" w14:textId="77777777" w:rsidR="00FC6214" w:rsidRPr="00617F16" w:rsidRDefault="00FC6214" w:rsidP="00FC6214">
                  <w:pPr>
                    <w:pStyle w:val="Untitledsubclause1"/>
                    <w:numPr>
                      <w:ilvl w:val="0"/>
                      <w:numId w:val="59"/>
                    </w:numPr>
                    <w:spacing w:before="0" w:after="0"/>
                    <w:rPr>
                      <w:rFonts w:cs="Arial"/>
                      <w:color w:val="000000" w:themeColor="text1"/>
                    </w:rPr>
                  </w:pPr>
                  <w:r w:rsidRPr="00617F16">
                    <w:rPr>
                      <w:rFonts w:cs="Arial"/>
                      <w:color w:val="000000" w:themeColor="text1"/>
                    </w:rPr>
                    <w:t xml:space="preserve">The </w:t>
                  </w:r>
                  <w:r w:rsidRPr="00617F16">
                    <w:rPr>
                      <w:rFonts w:eastAsia="Helvetica Neue" w:cs="Arial"/>
                      <w:color w:val="000000" w:themeColor="text1"/>
                    </w:rPr>
                    <w:t xml:space="preserve">Supplier grants the Buyer a non-exclusive, </w:t>
                  </w:r>
                  <w:r w:rsidRPr="00617F16">
                    <w:rPr>
                      <w:rFonts w:cs="Arial"/>
                      <w:color w:val="000000" w:themeColor="text1"/>
                    </w:rPr>
                    <w:t xml:space="preserve">non-transferable right, without the right to grant sub-licences, to use and to permit the authorised users to use the Third Party Products during the term of the Call-Off Contract, solely for the Buyer’s internal business operations. The Buyer acknowledges and agrees that the Supplier’s licensors own all intellectual property rights in the Third Party Products and they do not constitute Project Specific IPRs or Background IPRs. </w:t>
                  </w:r>
                  <w:bookmarkStart w:id="23" w:name="a131014"/>
                  <w:r w:rsidRPr="00617F16">
                    <w:rPr>
                      <w:rFonts w:cs="Arial"/>
                      <w:color w:val="000000" w:themeColor="text1"/>
                    </w:rPr>
                    <w:t xml:space="preserve">Except as expressly stated in these General TOS or in the Specific TOS, this Call-Off Contract does not grant Buyer any rights to, third-party IPRs in respect of </w:t>
                  </w:r>
                  <w:bookmarkEnd w:id="23"/>
                  <w:r w:rsidRPr="00617F16">
                    <w:rPr>
                      <w:rFonts w:cs="Arial"/>
                      <w:color w:val="000000" w:themeColor="text1"/>
                    </w:rPr>
                    <w:t xml:space="preserve">Third Party Products.  </w:t>
                  </w:r>
                </w:p>
                <w:p w14:paraId="2F246E8A" w14:textId="77777777" w:rsidR="00FC6214" w:rsidRPr="00617F16" w:rsidRDefault="00FC6214" w:rsidP="00FC6214">
                  <w:pPr>
                    <w:pStyle w:val="Untitledsubclause1"/>
                    <w:numPr>
                      <w:ilvl w:val="0"/>
                      <w:numId w:val="0"/>
                    </w:numPr>
                    <w:spacing w:before="0" w:after="0"/>
                    <w:ind w:left="360"/>
                    <w:rPr>
                      <w:rFonts w:cs="Arial"/>
                      <w:color w:val="000000" w:themeColor="text1"/>
                    </w:rPr>
                  </w:pPr>
                </w:p>
                <w:p w14:paraId="23B17761" w14:textId="77777777" w:rsidR="00FC6214" w:rsidRPr="00617F16" w:rsidRDefault="00FC6214" w:rsidP="00FC6214">
                  <w:pPr>
                    <w:pStyle w:val="Untitledsubclause1"/>
                    <w:numPr>
                      <w:ilvl w:val="0"/>
                      <w:numId w:val="59"/>
                    </w:numPr>
                    <w:spacing w:before="0" w:after="0"/>
                    <w:rPr>
                      <w:rFonts w:cs="Arial"/>
                      <w:color w:val="000000" w:themeColor="text1"/>
                    </w:rPr>
                  </w:pPr>
                  <w:r w:rsidRPr="00617F16">
                    <w:rPr>
                      <w:rFonts w:cs="Arial"/>
                      <w:color w:val="000000" w:themeColor="text1"/>
                    </w:rPr>
                    <w:t xml:space="preserve">The Supplier will maintain a service catalogue defining the number of authorised users able to use the Third Party Products and any other usage limitations in line with the agreements with the vendors of the Third Party Products. </w:t>
                  </w:r>
                </w:p>
                <w:p w14:paraId="4B2508DB" w14:textId="77777777" w:rsidR="00FC6214" w:rsidRPr="00617F16" w:rsidRDefault="00FC6214" w:rsidP="00FC6214">
                  <w:pPr>
                    <w:pStyle w:val="Untitledsubclause1"/>
                    <w:numPr>
                      <w:ilvl w:val="0"/>
                      <w:numId w:val="0"/>
                    </w:numPr>
                    <w:spacing w:before="0" w:after="0"/>
                    <w:rPr>
                      <w:rFonts w:eastAsia="Arial" w:cs="Arial"/>
                      <w:b/>
                      <w:color w:val="000000" w:themeColor="text1"/>
                      <w:lang w:eastAsia="en-GB"/>
                    </w:rPr>
                  </w:pPr>
                </w:p>
                <w:p w14:paraId="57C3E400" w14:textId="77777777" w:rsidR="00FC6214" w:rsidRPr="00617F16" w:rsidRDefault="00FC6214" w:rsidP="00FC6214">
                  <w:pPr>
                    <w:pStyle w:val="Untitledsubclause1"/>
                    <w:numPr>
                      <w:ilvl w:val="0"/>
                      <w:numId w:val="0"/>
                    </w:numPr>
                    <w:spacing w:before="0" w:after="0"/>
                    <w:rPr>
                      <w:rFonts w:cs="Arial"/>
                      <w:b/>
                      <w:color w:val="000000" w:themeColor="text1"/>
                    </w:rPr>
                  </w:pPr>
                  <w:r w:rsidRPr="00617F16">
                    <w:rPr>
                      <w:rFonts w:eastAsia="Arial" w:cs="Arial"/>
                      <w:b/>
                      <w:color w:val="000000" w:themeColor="text1"/>
                      <w:lang w:eastAsia="en-GB"/>
                    </w:rPr>
                    <w:t>U</w:t>
                  </w:r>
                  <w:r w:rsidRPr="00617F16">
                    <w:rPr>
                      <w:rFonts w:cs="Arial"/>
                      <w:b/>
                      <w:color w:val="000000" w:themeColor="text1"/>
                    </w:rPr>
                    <w:t>sage Restrictions</w:t>
                  </w:r>
                </w:p>
                <w:p w14:paraId="110EA7A0" w14:textId="77777777" w:rsidR="00FC6214" w:rsidRPr="00617F16" w:rsidRDefault="00FC6214" w:rsidP="00FC6214">
                  <w:pPr>
                    <w:pStyle w:val="Untitledsubclause1"/>
                    <w:numPr>
                      <w:ilvl w:val="0"/>
                      <w:numId w:val="59"/>
                    </w:numPr>
                    <w:spacing w:before="0" w:after="0"/>
                    <w:rPr>
                      <w:rFonts w:cs="Arial"/>
                      <w:color w:val="000000" w:themeColor="text1"/>
                    </w:rPr>
                  </w:pPr>
                  <w:r w:rsidRPr="00617F16">
                    <w:rPr>
                      <w:rFonts w:cs="Arial"/>
                      <w:color w:val="000000" w:themeColor="text1"/>
                    </w:rPr>
                    <w:t xml:space="preserve">The Buyer shall not access, store, distribute or transmit any Malicious Software or any material during the course of its use of the Third Party Products that is: </w:t>
                  </w:r>
                </w:p>
                <w:p w14:paraId="7A414D82" w14:textId="77777777" w:rsidR="00FC6214" w:rsidRPr="00617F16" w:rsidRDefault="00FC6214" w:rsidP="00FC6214">
                  <w:pPr>
                    <w:pStyle w:val="Untitledsubclause2"/>
                    <w:numPr>
                      <w:ilvl w:val="2"/>
                      <w:numId w:val="58"/>
                    </w:numPr>
                    <w:tabs>
                      <w:tab w:val="clear" w:pos="1559"/>
                      <w:tab w:val="num" w:pos="1197"/>
                    </w:tabs>
                    <w:spacing w:after="0"/>
                    <w:ind w:left="785" w:hanging="425"/>
                    <w:rPr>
                      <w:rFonts w:cs="Arial"/>
                      <w:color w:val="000000" w:themeColor="text1"/>
                    </w:rPr>
                  </w:pPr>
                  <w:bookmarkStart w:id="24" w:name="a555949"/>
                  <w:r w:rsidRPr="00617F16">
                    <w:rPr>
                      <w:rFonts w:cs="Arial"/>
                      <w:color w:val="000000" w:themeColor="text1"/>
                    </w:rPr>
                    <w:t>unlawful, harmful, threatening, defamatory, obscene, infringing, harassing or racially or ethnically offensive;</w:t>
                  </w:r>
                  <w:bookmarkEnd w:id="24"/>
                </w:p>
                <w:p w14:paraId="364770C2" w14:textId="77777777" w:rsidR="00FC6214" w:rsidRPr="00617F16" w:rsidRDefault="00FC6214" w:rsidP="00FC6214">
                  <w:pPr>
                    <w:pStyle w:val="Untitledsubclause2"/>
                    <w:numPr>
                      <w:ilvl w:val="2"/>
                      <w:numId w:val="58"/>
                    </w:numPr>
                    <w:tabs>
                      <w:tab w:val="clear" w:pos="1559"/>
                      <w:tab w:val="num" w:pos="1197"/>
                    </w:tabs>
                    <w:spacing w:after="0"/>
                    <w:ind w:left="785" w:hanging="425"/>
                    <w:rPr>
                      <w:rFonts w:cs="Arial"/>
                      <w:color w:val="000000" w:themeColor="text1"/>
                    </w:rPr>
                  </w:pPr>
                  <w:bookmarkStart w:id="25" w:name="a951157"/>
                  <w:r w:rsidRPr="00617F16">
                    <w:rPr>
                      <w:rFonts w:cs="Arial"/>
                      <w:color w:val="000000" w:themeColor="text1"/>
                    </w:rPr>
                    <w:t>facilitates illegal activity;</w:t>
                  </w:r>
                  <w:bookmarkEnd w:id="25"/>
                </w:p>
                <w:p w14:paraId="6DBD981E" w14:textId="77777777" w:rsidR="00FC6214" w:rsidRPr="00617F16" w:rsidRDefault="00FC6214" w:rsidP="00FC6214">
                  <w:pPr>
                    <w:pStyle w:val="Untitledsubclause2"/>
                    <w:numPr>
                      <w:ilvl w:val="2"/>
                      <w:numId w:val="58"/>
                    </w:numPr>
                    <w:tabs>
                      <w:tab w:val="clear" w:pos="1559"/>
                      <w:tab w:val="num" w:pos="1197"/>
                    </w:tabs>
                    <w:spacing w:after="0"/>
                    <w:ind w:left="785" w:hanging="425"/>
                    <w:rPr>
                      <w:rFonts w:cs="Arial"/>
                      <w:color w:val="000000" w:themeColor="text1"/>
                    </w:rPr>
                  </w:pPr>
                  <w:bookmarkStart w:id="26" w:name="a765530"/>
                  <w:r w:rsidRPr="00617F16">
                    <w:rPr>
                      <w:rFonts w:cs="Arial"/>
                      <w:color w:val="000000" w:themeColor="text1"/>
                    </w:rPr>
                    <w:t>depicts sexually explicit images;</w:t>
                  </w:r>
                  <w:bookmarkEnd w:id="26"/>
                </w:p>
                <w:p w14:paraId="1D81A858" w14:textId="77777777" w:rsidR="00FC6214" w:rsidRPr="00617F16" w:rsidRDefault="00FC6214" w:rsidP="00FC6214">
                  <w:pPr>
                    <w:pStyle w:val="Untitledsubclause2"/>
                    <w:numPr>
                      <w:ilvl w:val="2"/>
                      <w:numId w:val="58"/>
                    </w:numPr>
                    <w:tabs>
                      <w:tab w:val="clear" w:pos="1559"/>
                      <w:tab w:val="num" w:pos="1197"/>
                    </w:tabs>
                    <w:spacing w:after="0"/>
                    <w:ind w:left="785" w:hanging="425"/>
                    <w:rPr>
                      <w:rFonts w:cs="Arial"/>
                      <w:color w:val="000000" w:themeColor="text1"/>
                    </w:rPr>
                  </w:pPr>
                  <w:bookmarkStart w:id="27" w:name="a587993"/>
                  <w:r w:rsidRPr="00617F16">
                    <w:rPr>
                      <w:rFonts w:cs="Arial"/>
                      <w:color w:val="000000" w:themeColor="text1"/>
                    </w:rPr>
                    <w:t>promotes unlawful violence;</w:t>
                  </w:r>
                  <w:bookmarkEnd w:id="27"/>
                </w:p>
                <w:p w14:paraId="1223EBBF" w14:textId="77777777" w:rsidR="00FC6214" w:rsidRPr="00617F16" w:rsidRDefault="00FC6214" w:rsidP="00FC6214">
                  <w:pPr>
                    <w:pStyle w:val="Untitledsubclause2"/>
                    <w:numPr>
                      <w:ilvl w:val="2"/>
                      <w:numId w:val="58"/>
                    </w:numPr>
                    <w:tabs>
                      <w:tab w:val="clear" w:pos="1559"/>
                      <w:tab w:val="num" w:pos="1197"/>
                    </w:tabs>
                    <w:spacing w:after="0"/>
                    <w:ind w:left="785" w:hanging="425"/>
                    <w:rPr>
                      <w:rFonts w:cs="Arial"/>
                      <w:color w:val="000000" w:themeColor="text1"/>
                    </w:rPr>
                  </w:pPr>
                  <w:bookmarkStart w:id="28" w:name="a855026"/>
                  <w:r w:rsidRPr="00617F16">
                    <w:rPr>
                      <w:rFonts w:cs="Arial"/>
                      <w:color w:val="000000" w:themeColor="text1"/>
                    </w:rPr>
                    <w:t>discriminatory based on race, gender, colour, religious belief, sexual orientation, disability; or</w:t>
                  </w:r>
                  <w:bookmarkEnd w:id="28"/>
                </w:p>
                <w:p w14:paraId="0717C593" w14:textId="77777777" w:rsidR="00FC6214" w:rsidRPr="00617F16" w:rsidRDefault="00FC6214" w:rsidP="00FC6214">
                  <w:pPr>
                    <w:pStyle w:val="Untitledsubclause2"/>
                    <w:numPr>
                      <w:ilvl w:val="2"/>
                      <w:numId w:val="58"/>
                    </w:numPr>
                    <w:tabs>
                      <w:tab w:val="clear" w:pos="1559"/>
                      <w:tab w:val="num" w:pos="1197"/>
                    </w:tabs>
                    <w:spacing w:after="0"/>
                    <w:ind w:left="785" w:hanging="425"/>
                    <w:rPr>
                      <w:rFonts w:cs="Arial"/>
                      <w:color w:val="000000" w:themeColor="text1"/>
                    </w:rPr>
                  </w:pPr>
                  <w:bookmarkStart w:id="29" w:name="a631375"/>
                  <w:r w:rsidRPr="00617F16">
                    <w:rPr>
                      <w:rFonts w:cs="Arial"/>
                      <w:color w:val="000000" w:themeColor="text1"/>
                    </w:rPr>
                    <w:t>otherwise illegal or causes damage or injury to any person or property;</w:t>
                  </w:r>
                  <w:bookmarkEnd w:id="29"/>
                </w:p>
                <w:p w14:paraId="36033AF2" w14:textId="77777777" w:rsidR="00FC6214" w:rsidRPr="00617F16" w:rsidRDefault="00FC6214" w:rsidP="00FC6214">
                  <w:pPr>
                    <w:pStyle w:val="Parasubclause1"/>
                    <w:spacing w:before="0" w:after="0"/>
                    <w:ind w:left="308"/>
                    <w:rPr>
                      <w:rFonts w:cs="Arial"/>
                      <w:color w:val="000000" w:themeColor="text1"/>
                    </w:rPr>
                  </w:pPr>
                  <w:proofErr w:type="gramStart"/>
                  <w:r w:rsidRPr="00617F16">
                    <w:rPr>
                      <w:rFonts w:cs="Arial"/>
                      <w:color w:val="000000" w:themeColor="text1"/>
                    </w:rPr>
                    <w:t>and</w:t>
                  </w:r>
                  <w:proofErr w:type="gramEnd"/>
                  <w:r w:rsidRPr="00617F16">
                    <w:rPr>
                      <w:rFonts w:cs="Arial"/>
                      <w:color w:val="000000" w:themeColor="text1"/>
                    </w:rPr>
                    <w:t xml:space="preserve"> Supplier reserves the right, without liability, to disable the Buyer's access to any material that breaches the provisions in this paragraph 3.</w:t>
                  </w:r>
                </w:p>
                <w:p w14:paraId="34F925A4" w14:textId="77777777" w:rsidR="00FC6214" w:rsidRPr="00617F16" w:rsidRDefault="00FC6214" w:rsidP="00FC6214">
                  <w:pPr>
                    <w:pStyle w:val="Parasubclause1"/>
                    <w:spacing w:before="0" w:after="0"/>
                    <w:rPr>
                      <w:rFonts w:cs="Arial"/>
                      <w:color w:val="000000" w:themeColor="text1"/>
                    </w:rPr>
                  </w:pPr>
                </w:p>
                <w:p w14:paraId="5525C23E" w14:textId="77777777" w:rsidR="00FC6214" w:rsidRPr="00617F16" w:rsidRDefault="00FC6214" w:rsidP="00FC6214">
                  <w:pPr>
                    <w:pStyle w:val="Untitledsubclause1"/>
                    <w:numPr>
                      <w:ilvl w:val="0"/>
                      <w:numId w:val="59"/>
                    </w:numPr>
                    <w:tabs>
                      <w:tab w:val="num" w:pos="1197"/>
                    </w:tabs>
                    <w:spacing w:before="0" w:after="0"/>
                    <w:rPr>
                      <w:rFonts w:cs="Arial"/>
                      <w:color w:val="000000" w:themeColor="text1"/>
                    </w:rPr>
                  </w:pPr>
                  <w:r w:rsidRPr="00617F16">
                    <w:rPr>
                      <w:rFonts w:cs="Arial"/>
                      <w:color w:val="000000" w:themeColor="text1"/>
                    </w:rPr>
                    <w:t xml:space="preserve">The Buyer must not, </w:t>
                  </w:r>
                  <w:bookmarkStart w:id="30" w:name="a348904"/>
                  <w:r w:rsidRPr="00617F16">
                    <w:rPr>
                      <w:rFonts w:cs="Arial"/>
                      <w:color w:val="000000" w:themeColor="text1"/>
                    </w:rPr>
                    <w:t>except as may be allowed by any applicable law which is incapable of exclusion by agreement between the Parties:</w:t>
                  </w:r>
                  <w:bookmarkEnd w:id="30"/>
                </w:p>
                <w:p w14:paraId="2499B12C" w14:textId="77777777" w:rsidR="00FC6214" w:rsidRPr="00617F16" w:rsidRDefault="00FC6214" w:rsidP="00617F16">
                  <w:pPr>
                    <w:pStyle w:val="Untitledsubclause2"/>
                    <w:numPr>
                      <w:ilvl w:val="2"/>
                      <w:numId w:val="75"/>
                    </w:numPr>
                    <w:spacing w:after="0"/>
                    <w:ind w:left="785" w:hanging="425"/>
                    <w:rPr>
                      <w:rFonts w:cs="Arial"/>
                      <w:color w:val="000000" w:themeColor="text1"/>
                    </w:rPr>
                  </w:pPr>
                  <w:bookmarkStart w:id="31" w:name="a342267"/>
                  <w:r w:rsidRPr="00617F16">
                    <w:rPr>
                      <w:rFonts w:cs="Arial"/>
                      <w:color w:val="000000" w:themeColor="text1"/>
                    </w:rPr>
                    <w:t>attempt to copy, modify, duplicate, create derivative works from, frame, mirror, republish, download, display, transmit, or distribute all or any portion of the software and/or documentation made available to the Buyer through the Third Party Products (as applicable) in any form or media or by any means; or</w:t>
                  </w:r>
                  <w:bookmarkEnd w:id="31"/>
                </w:p>
                <w:p w14:paraId="372EA6FF" w14:textId="77777777" w:rsidR="00FC6214" w:rsidRPr="00617F16" w:rsidRDefault="00FC6214" w:rsidP="00617F16">
                  <w:pPr>
                    <w:pStyle w:val="Untitledsubclause2"/>
                    <w:numPr>
                      <w:ilvl w:val="2"/>
                      <w:numId w:val="75"/>
                    </w:numPr>
                    <w:spacing w:after="0"/>
                    <w:ind w:left="785" w:hanging="425"/>
                    <w:rPr>
                      <w:rFonts w:cs="Arial"/>
                      <w:color w:val="000000" w:themeColor="text1"/>
                    </w:rPr>
                  </w:pPr>
                  <w:bookmarkStart w:id="32" w:name="a283548"/>
                  <w:r w:rsidRPr="00617F16">
                    <w:rPr>
                      <w:rFonts w:cs="Arial"/>
                      <w:color w:val="000000" w:themeColor="text1"/>
                    </w:rPr>
                    <w:t>attempt to de-compile, reverse compile, disassemble, reverse engineer or otherwise reduce to human-perceivable form all or any part of the software made available to Buyer through the Third Party Products; or</w:t>
                  </w:r>
                  <w:bookmarkEnd w:id="32"/>
                </w:p>
                <w:p w14:paraId="13C95F74" w14:textId="77777777" w:rsidR="00FC6214" w:rsidRPr="00617F16" w:rsidRDefault="00FC6214" w:rsidP="00617F16">
                  <w:pPr>
                    <w:pStyle w:val="Untitledsubclause2"/>
                    <w:numPr>
                      <w:ilvl w:val="2"/>
                      <w:numId w:val="75"/>
                    </w:numPr>
                    <w:spacing w:after="0"/>
                    <w:ind w:left="785" w:hanging="425"/>
                    <w:rPr>
                      <w:rFonts w:cs="Arial"/>
                      <w:color w:val="000000" w:themeColor="text1"/>
                    </w:rPr>
                  </w:pPr>
                  <w:bookmarkStart w:id="33" w:name="a1020559"/>
                  <w:r w:rsidRPr="00617F16">
                    <w:rPr>
                      <w:rFonts w:cs="Arial"/>
                      <w:color w:val="000000" w:themeColor="text1"/>
                    </w:rPr>
                    <w:t>access all or any part of the Third Party Products in order to build a product or service which competes with the Third Party Products; or</w:t>
                  </w:r>
                  <w:bookmarkEnd w:id="33"/>
                </w:p>
                <w:p w14:paraId="2F5F9E50" w14:textId="77777777" w:rsidR="00FC6214" w:rsidRPr="00617F16" w:rsidRDefault="00FC6214" w:rsidP="00617F16">
                  <w:pPr>
                    <w:pStyle w:val="Untitledsubclause2"/>
                    <w:numPr>
                      <w:ilvl w:val="2"/>
                      <w:numId w:val="75"/>
                    </w:numPr>
                    <w:spacing w:after="0"/>
                    <w:ind w:left="785" w:hanging="425"/>
                    <w:rPr>
                      <w:rFonts w:cs="Arial"/>
                      <w:color w:val="000000" w:themeColor="text1"/>
                    </w:rPr>
                  </w:pPr>
                  <w:bookmarkStart w:id="34" w:name="a543944"/>
                  <w:r w:rsidRPr="00617F16">
                    <w:rPr>
                      <w:rFonts w:cs="Arial"/>
                      <w:color w:val="000000" w:themeColor="text1"/>
                    </w:rPr>
                    <w:t>use the Third Party Products to provide services to third parties; or</w:t>
                  </w:r>
                  <w:bookmarkEnd w:id="34"/>
                </w:p>
                <w:p w14:paraId="02492D3F" w14:textId="77777777" w:rsidR="00FC6214" w:rsidRPr="00617F16" w:rsidRDefault="00FC6214" w:rsidP="00617F16">
                  <w:pPr>
                    <w:pStyle w:val="Untitledsubclause2"/>
                    <w:numPr>
                      <w:ilvl w:val="2"/>
                      <w:numId w:val="75"/>
                    </w:numPr>
                    <w:spacing w:after="0"/>
                    <w:ind w:left="785" w:hanging="425"/>
                    <w:rPr>
                      <w:rFonts w:cs="Arial"/>
                      <w:color w:val="000000" w:themeColor="text1"/>
                    </w:rPr>
                  </w:pPr>
                  <w:bookmarkStart w:id="35" w:name="a973788"/>
                  <w:r w:rsidRPr="00617F16">
                    <w:rPr>
                      <w:rFonts w:cs="Arial"/>
                      <w:color w:val="000000" w:themeColor="text1"/>
                    </w:rPr>
                    <w:t>license, sell, rent, lease, transfer, assign, distribute, display, disclose, or otherwise commercially exploit, or otherwise make the Third Party Products available to any third party except the authorised users, or</w:t>
                  </w:r>
                  <w:bookmarkEnd w:id="35"/>
                </w:p>
                <w:p w14:paraId="4C59769E" w14:textId="77777777" w:rsidR="00FC6214" w:rsidRPr="00617F16" w:rsidRDefault="00FC6214" w:rsidP="00617F16">
                  <w:pPr>
                    <w:pStyle w:val="Untitledsubclause2"/>
                    <w:numPr>
                      <w:ilvl w:val="2"/>
                      <w:numId w:val="75"/>
                    </w:numPr>
                    <w:spacing w:after="0"/>
                    <w:ind w:left="785" w:hanging="425"/>
                    <w:rPr>
                      <w:rFonts w:cs="Arial"/>
                      <w:color w:val="000000" w:themeColor="text1"/>
                    </w:rPr>
                  </w:pPr>
                  <w:bookmarkStart w:id="36" w:name="a153098"/>
                  <w:proofErr w:type="gramStart"/>
                  <w:r w:rsidRPr="00617F16">
                    <w:rPr>
                      <w:rFonts w:cs="Arial"/>
                      <w:color w:val="000000" w:themeColor="text1"/>
                    </w:rPr>
                    <w:t>attempt</w:t>
                  </w:r>
                  <w:proofErr w:type="gramEnd"/>
                  <w:r w:rsidRPr="00617F16">
                    <w:rPr>
                      <w:rFonts w:cs="Arial"/>
                      <w:color w:val="000000" w:themeColor="text1"/>
                    </w:rPr>
                    <w:t xml:space="preserve"> to obtain, or assist third parties in obtaining, access to the Third Party Products otherwise than as permitted in this paragraph</w:t>
                  </w:r>
                  <w:bookmarkEnd w:id="36"/>
                  <w:r w:rsidRPr="00617F16">
                    <w:rPr>
                      <w:rFonts w:cs="Arial"/>
                      <w:color w:val="000000" w:themeColor="text1"/>
                    </w:rPr>
                    <w:t>.</w:t>
                  </w:r>
                </w:p>
                <w:p w14:paraId="1F28761A" w14:textId="77777777" w:rsidR="00FC6214" w:rsidRPr="00617F16" w:rsidRDefault="00FC6214" w:rsidP="00FC6214">
                  <w:pPr>
                    <w:pStyle w:val="Untitledsubclause1"/>
                    <w:numPr>
                      <w:ilvl w:val="0"/>
                      <w:numId w:val="0"/>
                    </w:numPr>
                    <w:tabs>
                      <w:tab w:val="num" w:pos="1197"/>
                    </w:tabs>
                    <w:spacing w:before="0" w:after="0"/>
                    <w:ind w:left="360"/>
                    <w:rPr>
                      <w:rFonts w:cs="Arial"/>
                      <w:color w:val="000000" w:themeColor="text1"/>
                    </w:rPr>
                  </w:pPr>
                  <w:bookmarkStart w:id="37" w:name="a428221"/>
                </w:p>
                <w:p w14:paraId="6E4780BC" w14:textId="77777777" w:rsidR="00FC6214" w:rsidRDefault="00FC6214" w:rsidP="00FC6214">
                  <w:pPr>
                    <w:pStyle w:val="Untitledsubclause1"/>
                    <w:numPr>
                      <w:ilvl w:val="0"/>
                      <w:numId w:val="59"/>
                    </w:numPr>
                    <w:tabs>
                      <w:tab w:val="num" w:pos="1197"/>
                    </w:tabs>
                    <w:spacing w:before="0" w:after="0"/>
                    <w:rPr>
                      <w:rFonts w:cs="Arial"/>
                      <w:color w:val="000000" w:themeColor="text1"/>
                    </w:rPr>
                  </w:pPr>
                  <w:r w:rsidRPr="00617F16">
                    <w:rPr>
                      <w:rFonts w:cs="Arial"/>
                      <w:color w:val="000000" w:themeColor="text1"/>
                    </w:rPr>
                    <w:t>The Buyer must prevent any unauthorised access to, or use of, the Third Party Products and, in the event of any such unauthorised access or use, promptly notify the Supplier.</w:t>
                  </w:r>
                  <w:bookmarkEnd w:id="37"/>
                </w:p>
                <w:p w14:paraId="5EEC0C0B" w14:textId="45A364F3" w:rsidR="0055666D" w:rsidRPr="00617F16" w:rsidRDefault="0055666D" w:rsidP="00FC6214">
                  <w:pPr>
                    <w:pStyle w:val="Untitledsubclause1"/>
                    <w:numPr>
                      <w:ilvl w:val="0"/>
                      <w:numId w:val="59"/>
                    </w:numPr>
                    <w:tabs>
                      <w:tab w:val="num" w:pos="1197"/>
                    </w:tabs>
                    <w:spacing w:before="0" w:after="0"/>
                    <w:rPr>
                      <w:rFonts w:cs="Arial"/>
                      <w:color w:val="000000" w:themeColor="text1"/>
                    </w:rPr>
                  </w:pPr>
                  <w:r>
                    <w:rPr>
                      <w:rFonts w:cs="Arial"/>
                      <w:color w:val="000000" w:themeColor="text1"/>
                    </w:rPr>
                    <w:t>The Supplier may suspend the Buyer’s access to Third Party Products if the Buyer does not comply with these General TOS or the Specific TOS applying to the Third Party Products.</w:t>
                  </w:r>
                </w:p>
                <w:p w14:paraId="48229C77" w14:textId="77777777" w:rsidR="00FC6214" w:rsidRPr="00617F16" w:rsidRDefault="00FC6214" w:rsidP="00FC6214">
                  <w:pPr>
                    <w:pStyle w:val="Untitledsubclause1"/>
                    <w:numPr>
                      <w:ilvl w:val="0"/>
                      <w:numId w:val="0"/>
                    </w:numPr>
                    <w:spacing w:before="0" w:after="0"/>
                    <w:ind w:left="360"/>
                    <w:rPr>
                      <w:rFonts w:cs="Arial"/>
                      <w:color w:val="000000" w:themeColor="text1"/>
                    </w:rPr>
                  </w:pPr>
                </w:p>
                <w:p w14:paraId="72D957EB" w14:textId="77777777" w:rsidR="00FC6214" w:rsidRPr="00617F16" w:rsidRDefault="00FC6214" w:rsidP="00FC6214">
                  <w:pPr>
                    <w:pStyle w:val="Untitledsubclause1"/>
                    <w:numPr>
                      <w:ilvl w:val="0"/>
                      <w:numId w:val="0"/>
                    </w:numPr>
                    <w:spacing w:before="0" w:after="0"/>
                    <w:rPr>
                      <w:rFonts w:cs="Arial"/>
                      <w:b/>
                      <w:color w:val="000000" w:themeColor="text1"/>
                    </w:rPr>
                  </w:pPr>
                  <w:bookmarkStart w:id="38" w:name="a789714"/>
                  <w:bookmarkStart w:id="39" w:name="a736307"/>
                  <w:r w:rsidRPr="00617F16">
                    <w:rPr>
                      <w:rFonts w:cs="Arial"/>
                      <w:b/>
                      <w:color w:val="000000" w:themeColor="text1"/>
                    </w:rPr>
                    <w:t xml:space="preserve">Availability </w:t>
                  </w:r>
                </w:p>
                <w:p w14:paraId="170ED8A5" w14:textId="77777777" w:rsidR="00FC6214" w:rsidRPr="00617F16" w:rsidRDefault="00FC6214" w:rsidP="00FC6214">
                  <w:pPr>
                    <w:pStyle w:val="Untitledsubclause1"/>
                    <w:numPr>
                      <w:ilvl w:val="0"/>
                      <w:numId w:val="59"/>
                    </w:numPr>
                    <w:tabs>
                      <w:tab w:val="num" w:pos="1197"/>
                    </w:tabs>
                    <w:spacing w:before="0" w:after="0"/>
                    <w:rPr>
                      <w:rFonts w:cs="Arial"/>
                      <w:color w:val="000000" w:themeColor="text1"/>
                    </w:rPr>
                  </w:pPr>
                  <w:r w:rsidRPr="00617F16">
                    <w:rPr>
                      <w:rFonts w:cs="Arial"/>
                      <w:color w:val="000000" w:themeColor="text1"/>
                    </w:rPr>
                    <w:t xml:space="preserve">The Supplier will use commercially reasonable endeavours to make the Third Party Products available during Normal Business Hours, subject to the service levels applying to the Third Party Products and outages during maintenance. Supplier will use reasonable endeavours give Buyer advance notice of maintenance.  </w:t>
                  </w:r>
                  <w:bookmarkEnd w:id="38"/>
                  <w:r w:rsidRPr="00617F16">
                    <w:rPr>
                      <w:rFonts w:cs="Arial"/>
                      <w:color w:val="000000" w:themeColor="text1"/>
                    </w:rPr>
                    <w:t>Normal Business Hours are from 8am to 6pm on a day (other than a Saturday, Sunday or public holiday) when banks in London are open for business.</w:t>
                  </w:r>
                </w:p>
                <w:p w14:paraId="2F99F89A" w14:textId="77777777" w:rsidR="00FC6214" w:rsidRPr="00617F16" w:rsidRDefault="00FC6214" w:rsidP="00FC6214">
                  <w:pPr>
                    <w:pStyle w:val="Untitledsubclause1"/>
                    <w:numPr>
                      <w:ilvl w:val="0"/>
                      <w:numId w:val="0"/>
                    </w:numPr>
                    <w:spacing w:before="0" w:after="0"/>
                    <w:ind w:left="360"/>
                    <w:rPr>
                      <w:rFonts w:cs="Arial"/>
                      <w:color w:val="000000" w:themeColor="text1"/>
                    </w:rPr>
                  </w:pPr>
                </w:p>
                <w:p w14:paraId="40E2EA70" w14:textId="77777777" w:rsidR="00FC6214" w:rsidRPr="00617F16" w:rsidRDefault="00FC6214" w:rsidP="00FC6214">
                  <w:pPr>
                    <w:pStyle w:val="Untitledsubclause1"/>
                    <w:numPr>
                      <w:ilvl w:val="0"/>
                      <w:numId w:val="59"/>
                    </w:numPr>
                    <w:tabs>
                      <w:tab w:val="num" w:pos="1197"/>
                    </w:tabs>
                    <w:spacing w:before="0" w:after="0"/>
                    <w:rPr>
                      <w:rFonts w:cs="Arial"/>
                      <w:color w:val="000000" w:themeColor="text1"/>
                    </w:rPr>
                  </w:pPr>
                  <w:r w:rsidRPr="00617F16">
                    <w:rPr>
                      <w:rFonts w:cs="Arial"/>
                      <w:color w:val="000000" w:themeColor="text1"/>
                    </w:rPr>
                    <w:t>Notwithstanding anything to the contrary in the Call-Off Contract, the Supplier:</w:t>
                  </w:r>
                  <w:bookmarkEnd w:id="39"/>
                </w:p>
                <w:p w14:paraId="5C4890E5" w14:textId="77777777" w:rsidR="00FC6214" w:rsidRPr="00617F16" w:rsidRDefault="00FC6214" w:rsidP="00617F16">
                  <w:pPr>
                    <w:pStyle w:val="Untitledsubclause2"/>
                    <w:numPr>
                      <w:ilvl w:val="2"/>
                      <w:numId w:val="73"/>
                    </w:numPr>
                    <w:spacing w:after="0"/>
                    <w:ind w:left="785" w:hanging="425"/>
                    <w:rPr>
                      <w:rFonts w:cs="Arial"/>
                      <w:color w:val="000000" w:themeColor="text1"/>
                    </w:rPr>
                  </w:pPr>
                  <w:bookmarkStart w:id="40" w:name="a302418"/>
                  <w:r w:rsidRPr="00617F16">
                    <w:rPr>
                      <w:rFonts w:cs="Arial"/>
                      <w:color w:val="000000" w:themeColor="text1"/>
                    </w:rPr>
                    <w:t xml:space="preserve">does not warrant that the availability of the Third Party Products will exceed the availability or service levels provided to the Supplier by the vendors of the Third Party Products; </w:t>
                  </w:r>
                </w:p>
                <w:p w14:paraId="66EB8299" w14:textId="77777777" w:rsidR="00FC6214" w:rsidRPr="00617F16" w:rsidRDefault="00FC6214" w:rsidP="00617F16">
                  <w:pPr>
                    <w:pStyle w:val="Untitledsubclause2"/>
                    <w:numPr>
                      <w:ilvl w:val="2"/>
                      <w:numId w:val="73"/>
                    </w:numPr>
                    <w:spacing w:after="0"/>
                    <w:ind w:left="785" w:hanging="425"/>
                    <w:rPr>
                      <w:rFonts w:cs="Arial"/>
                      <w:color w:val="000000" w:themeColor="text1"/>
                    </w:rPr>
                  </w:pPr>
                  <w:r w:rsidRPr="00617F16">
                    <w:rPr>
                      <w:rFonts w:cs="Arial"/>
                      <w:color w:val="000000" w:themeColor="text1"/>
                    </w:rPr>
                    <w:t>does not warrant that the Buyer's use of the Third Party Products will be uninterrupted or error-free</w:t>
                  </w:r>
                  <w:bookmarkEnd w:id="40"/>
                  <w:r w:rsidRPr="00617F16">
                    <w:rPr>
                      <w:rFonts w:cs="Arial"/>
                      <w:color w:val="000000" w:themeColor="text1"/>
                    </w:rPr>
                    <w:t xml:space="preserve">; </w:t>
                  </w:r>
                </w:p>
                <w:p w14:paraId="73FE0683" w14:textId="77777777" w:rsidR="00FC6214" w:rsidRPr="00617F16" w:rsidRDefault="00FC6214" w:rsidP="00617F16">
                  <w:pPr>
                    <w:pStyle w:val="Untitledsubclause2"/>
                    <w:numPr>
                      <w:ilvl w:val="2"/>
                      <w:numId w:val="73"/>
                    </w:numPr>
                    <w:spacing w:after="0"/>
                    <w:ind w:left="785" w:hanging="425"/>
                    <w:rPr>
                      <w:rFonts w:cs="Arial"/>
                      <w:color w:val="000000" w:themeColor="text1"/>
                    </w:rPr>
                  </w:pPr>
                  <w:bookmarkStart w:id="41" w:name="a604086"/>
                  <w:r w:rsidRPr="00617F16">
                    <w:rPr>
                      <w:rFonts w:cs="Arial"/>
                      <w:color w:val="000000" w:themeColor="text1"/>
                    </w:rPr>
                    <w:t>is not responsible for any delays, delivery failures, or any other loss or damage resulting from the transfer of data over communications networks and facilities, including the internet, and the Buyer acknowledges that the Third Party Products may be subject to limitations, delays and other problems inherent in the use of such communications facilities.</w:t>
                  </w:r>
                  <w:bookmarkEnd w:id="41"/>
                </w:p>
                <w:p w14:paraId="734CD51C" w14:textId="77777777" w:rsidR="00FC6214" w:rsidRPr="00617F16" w:rsidRDefault="00FC6214" w:rsidP="00FC6214">
                  <w:pPr>
                    <w:pStyle w:val="Untitledsubclause2"/>
                    <w:numPr>
                      <w:ilvl w:val="0"/>
                      <w:numId w:val="0"/>
                    </w:numPr>
                    <w:tabs>
                      <w:tab w:val="num" w:pos="567"/>
                      <w:tab w:val="num" w:pos="1197"/>
                    </w:tabs>
                    <w:spacing w:after="0"/>
                    <w:ind w:left="1197"/>
                    <w:rPr>
                      <w:rFonts w:cs="Arial"/>
                      <w:color w:val="000000" w:themeColor="text1"/>
                    </w:rPr>
                  </w:pPr>
                </w:p>
                <w:p w14:paraId="65988762" w14:textId="77777777" w:rsidR="00FC6214" w:rsidRPr="00617F16" w:rsidRDefault="00FC6214" w:rsidP="00FC6214">
                  <w:pPr>
                    <w:pStyle w:val="Untitledsubclause1"/>
                    <w:numPr>
                      <w:ilvl w:val="0"/>
                      <w:numId w:val="59"/>
                    </w:numPr>
                    <w:tabs>
                      <w:tab w:val="num" w:pos="1197"/>
                    </w:tabs>
                    <w:spacing w:before="0" w:after="0"/>
                    <w:rPr>
                      <w:rFonts w:cs="Arial"/>
                      <w:color w:val="000000" w:themeColor="text1"/>
                    </w:rPr>
                  </w:pPr>
                  <w:r w:rsidRPr="00617F16">
                    <w:rPr>
                      <w:rFonts w:cs="Arial"/>
                      <w:color w:val="000000" w:themeColor="text1"/>
                    </w:rPr>
                    <w:t xml:space="preserve">The Supplier may, without liability, disable the Buyer's access to Third Party Products if the Supplier is required to do so by a vendor of the Third Party Products.  </w:t>
                  </w:r>
                </w:p>
                <w:p w14:paraId="278EB051" w14:textId="77777777" w:rsidR="00FC6214" w:rsidRPr="00617F16" w:rsidRDefault="00FC6214" w:rsidP="00FC6214">
                  <w:pPr>
                    <w:pStyle w:val="Untitledsubclause1"/>
                    <w:numPr>
                      <w:ilvl w:val="0"/>
                      <w:numId w:val="0"/>
                    </w:numPr>
                    <w:tabs>
                      <w:tab w:val="num" w:pos="1197"/>
                    </w:tabs>
                    <w:spacing w:before="0" w:after="0"/>
                    <w:ind w:left="360"/>
                    <w:rPr>
                      <w:rFonts w:cs="Arial"/>
                      <w:color w:val="000000" w:themeColor="text1"/>
                    </w:rPr>
                  </w:pPr>
                </w:p>
                <w:p w14:paraId="280ED49D" w14:textId="77777777" w:rsidR="00FC6214" w:rsidRPr="00617F16" w:rsidRDefault="00FC6214" w:rsidP="00FC6214">
                  <w:pPr>
                    <w:pStyle w:val="Untitledsubclause1"/>
                    <w:numPr>
                      <w:ilvl w:val="0"/>
                      <w:numId w:val="59"/>
                    </w:numPr>
                    <w:tabs>
                      <w:tab w:val="num" w:pos="1197"/>
                    </w:tabs>
                    <w:spacing w:before="0" w:after="0"/>
                    <w:rPr>
                      <w:rFonts w:cs="Arial"/>
                      <w:color w:val="000000" w:themeColor="text1"/>
                    </w:rPr>
                  </w:pPr>
                  <w:r w:rsidRPr="00617F16">
                    <w:rPr>
                      <w:rFonts w:cs="Arial"/>
                      <w:color w:val="000000" w:themeColor="text1"/>
                    </w:rPr>
                    <w:t>If all or part of the Third Party Products are not available, the Supplier will inform the Buyer and the Parties shall discuss and agree work-arounds and, if necessary, replacement products.</w:t>
                  </w:r>
                </w:p>
                <w:p w14:paraId="5BFF65EC" w14:textId="77777777" w:rsidR="00FC6214" w:rsidRPr="00617F16" w:rsidRDefault="00FC6214" w:rsidP="00FC6214">
                  <w:pPr>
                    <w:pStyle w:val="Untitledsubclause1"/>
                    <w:numPr>
                      <w:ilvl w:val="0"/>
                      <w:numId w:val="0"/>
                    </w:numPr>
                    <w:spacing w:before="0" w:after="0"/>
                    <w:rPr>
                      <w:rFonts w:eastAsia="Arial" w:cs="Arial"/>
                      <w:color w:val="000000" w:themeColor="text1"/>
                      <w:lang w:eastAsia="en-GB"/>
                    </w:rPr>
                  </w:pPr>
                  <w:bookmarkStart w:id="42" w:name="a455888"/>
                </w:p>
                <w:p w14:paraId="6FF5F53C" w14:textId="159D35C8" w:rsidR="00FC6214" w:rsidRPr="00617F16" w:rsidRDefault="00FC6214" w:rsidP="00FC6214">
                  <w:pPr>
                    <w:pStyle w:val="Untitledsubclause1"/>
                    <w:numPr>
                      <w:ilvl w:val="0"/>
                      <w:numId w:val="0"/>
                    </w:numPr>
                    <w:spacing w:before="0" w:after="0"/>
                    <w:rPr>
                      <w:rFonts w:cs="Arial"/>
                      <w:b/>
                      <w:color w:val="000000" w:themeColor="text1"/>
                    </w:rPr>
                  </w:pPr>
                  <w:r w:rsidRPr="00617F16">
                    <w:rPr>
                      <w:rFonts w:cs="Arial"/>
                      <w:b/>
                      <w:color w:val="000000" w:themeColor="text1"/>
                    </w:rPr>
                    <w:t>Loss of Buyer Data caused by Third Party Products</w:t>
                  </w:r>
                </w:p>
                <w:p w14:paraId="49CDEB38" w14:textId="77777777" w:rsidR="00FC6214" w:rsidRPr="00617F16" w:rsidRDefault="00FC6214" w:rsidP="00FC6214">
                  <w:pPr>
                    <w:pStyle w:val="Untitledsubclause1"/>
                    <w:numPr>
                      <w:ilvl w:val="0"/>
                      <w:numId w:val="59"/>
                    </w:numPr>
                    <w:tabs>
                      <w:tab w:val="num" w:pos="1197"/>
                    </w:tabs>
                    <w:spacing w:before="0" w:after="0"/>
                    <w:rPr>
                      <w:rFonts w:cs="Arial"/>
                      <w:color w:val="000000" w:themeColor="text1"/>
                    </w:rPr>
                  </w:pPr>
                  <w:r w:rsidRPr="00617F16">
                    <w:rPr>
                      <w:rFonts w:cs="Arial"/>
                      <w:color w:val="000000" w:themeColor="text1"/>
                    </w:rPr>
                    <w:t>Notwithstanding anything to the contrary in the Call-Off Contract, the Supplier is not responsible for any loss, destruction, alteration or disclosure of Buyer Data caused by any vendor of Third Party Products (except those third parties sub-contracted by the Supplier to perform services related to Buyer Data maintenance and back-up) caused by Malicious Software originating from the Third Party Products.</w:t>
                  </w:r>
                  <w:bookmarkEnd w:id="42"/>
                </w:p>
                <w:p w14:paraId="7BC596E3" w14:textId="77777777" w:rsidR="00FC6214" w:rsidRPr="00617F16" w:rsidRDefault="00FC6214" w:rsidP="00FC6214">
                  <w:pPr>
                    <w:pStyle w:val="Untitledsubclause1"/>
                    <w:numPr>
                      <w:ilvl w:val="0"/>
                      <w:numId w:val="0"/>
                    </w:numPr>
                    <w:spacing w:before="0" w:after="0"/>
                    <w:ind w:left="360"/>
                    <w:rPr>
                      <w:rFonts w:cs="Arial"/>
                      <w:color w:val="000000" w:themeColor="text1"/>
                    </w:rPr>
                  </w:pPr>
                </w:p>
                <w:p w14:paraId="663A709C" w14:textId="77777777" w:rsidR="00FC6214" w:rsidRPr="00617F16" w:rsidRDefault="00FC6214" w:rsidP="00FC6214">
                  <w:pPr>
                    <w:pStyle w:val="Untitledsubclause1"/>
                    <w:numPr>
                      <w:ilvl w:val="0"/>
                      <w:numId w:val="0"/>
                    </w:numPr>
                    <w:spacing w:before="0" w:after="0"/>
                    <w:rPr>
                      <w:rFonts w:eastAsia="Helvetica Neue" w:cs="Arial"/>
                      <w:color w:val="000000" w:themeColor="text1"/>
                      <w:sz w:val="24"/>
                    </w:rPr>
                  </w:pPr>
                  <w:bookmarkStart w:id="43" w:name="a529317"/>
                  <w:r w:rsidRPr="00617F16">
                    <w:rPr>
                      <w:rFonts w:cs="Arial"/>
                      <w:b/>
                      <w:color w:val="000000" w:themeColor="text1"/>
                    </w:rPr>
                    <w:t>Buyer Personal Data</w:t>
                  </w:r>
                </w:p>
                <w:p w14:paraId="6AFEEB1C" w14:textId="77777777" w:rsidR="00FC6214" w:rsidRPr="00617F16" w:rsidRDefault="00FC6214" w:rsidP="00FC6214">
                  <w:pPr>
                    <w:pStyle w:val="Untitledsubclause1"/>
                    <w:numPr>
                      <w:ilvl w:val="0"/>
                      <w:numId w:val="59"/>
                    </w:numPr>
                    <w:tabs>
                      <w:tab w:val="num" w:pos="1197"/>
                    </w:tabs>
                    <w:spacing w:before="0" w:after="0"/>
                    <w:rPr>
                      <w:rFonts w:cs="Arial"/>
                      <w:color w:val="000000" w:themeColor="text1"/>
                    </w:rPr>
                  </w:pPr>
                  <w:r w:rsidRPr="00617F16">
                    <w:rPr>
                      <w:rFonts w:cs="Arial"/>
                      <w:color w:val="000000" w:themeColor="text1"/>
                    </w:rPr>
                    <w:t xml:space="preserve">The Buyer is responsible for obtaining and maintaining any consents required from the data subjects of the Buyer Personal Data required by Data Protection Legislation to allow the Supplier to perform its obligations under the Call-Off Contract and provide the Third Party Products.  The Supplier will provide the Buyer with all reasonable assistance in obtaining and maintaining such consents. </w:t>
                  </w:r>
                </w:p>
                <w:p w14:paraId="508E743A" w14:textId="77777777" w:rsidR="00FC6214" w:rsidRPr="00617F16" w:rsidRDefault="00FC6214" w:rsidP="00FC6214">
                  <w:pPr>
                    <w:pStyle w:val="Untitledsubclause1"/>
                    <w:numPr>
                      <w:ilvl w:val="0"/>
                      <w:numId w:val="0"/>
                    </w:numPr>
                    <w:tabs>
                      <w:tab w:val="num" w:pos="1197"/>
                    </w:tabs>
                    <w:spacing w:before="0" w:after="0"/>
                    <w:ind w:left="360"/>
                    <w:rPr>
                      <w:rFonts w:eastAsia="Helvetica Neue" w:cs="Arial"/>
                      <w:color w:val="000000" w:themeColor="text1"/>
                      <w:sz w:val="24"/>
                    </w:rPr>
                  </w:pPr>
                </w:p>
                <w:p w14:paraId="2BDCFD83" w14:textId="571F8C6A" w:rsidR="00FC6214" w:rsidRDefault="00FC6214" w:rsidP="00617F16">
                  <w:pPr>
                    <w:pStyle w:val="Untitledsubclause1"/>
                    <w:numPr>
                      <w:ilvl w:val="0"/>
                      <w:numId w:val="59"/>
                    </w:numPr>
                    <w:tabs>
                      <w:tab w:val="num" w:pos="1197"/>
                    </w:tabs>
                    <w:spacing w:before="0" w:after="0"/>
                    <w:rPr>
                      <w:rFonts w:ascii="Helvetica Neue" w:eastAsia="Helvetica Neue" w:hAnsi="Helvetica Neue" w:cs="Helvetica Neue"/>
                    </w:rPr>
                  </w:pPr>
                  <w:r w:rsidRPr="00617F16">
                    <w:rPr>
                      <w:rFonts w:cs="Arial"/>
                      <w:color w:val="000000" w:themeColor="text1"/>
                    </w:rPr>
                    <w:t>The Buyer’s use of the Third Party Products may involve the transfer or storage of Buyer Personal Data to locations outside of the European Union or the country where the Buyer and the data subjects are located.</w:t>
                  </w:r>
                  <w:bookmarkStart w:id="44" w:name="a730760"/>
                  <w:bookmarkEnd w:id="43"/>
                  <w:r w:rsidRPr="00617F16">
                    <w:rPr>
                      <w:rFonts w:cs="Arial"/>
                      <w:color w:val="000000" w:themeColor="text1"/>
                    </w:rPr>
                    <w:t xml:space="preserve"> The Supplier will provide the Buyer with all reasonable assistance to ensure that such transfers of Buyer Personal Data are in accordance with Data Protection Legislation.</w:t>
                  </w:r>
                  <w:bookmarkEnd w:id="44"/>
                </w:p>
              </w:tc>
            </w:tr>
          </w:tbl>
          <w:p w14:paraId="362D0920" w14:textId="77777777" w:rsidR="00FC6214" w:rsidRDefault="00FC6214">
            <w:pPr>
              <w:spacing w:after="0" w:line="240" w:lineRule="auto"/>
              <w:rPr>
                <w:rFonts w:ascii="Helvetica Neue" w:eastAsia="Helvetica Neue" w:hAnsi="Helvetica Neue" w:cs="Helvetica Neue"/>
              </w:rPr>
            </w:pPr>
          </w:p>
          <w:p w14:paraId="13E36EA5" w14:textId="57E62395" w:rsidR="008A2B48" w:rsidRDefault="008A2B48">
            <w:pPr>
              <w:spacing w:after="0" w:line="240" w:lineRule="auto"/>
              <w:rPr>
                <w:rFonts w:ascii="Helvetica Neue" w:eastAsia="Helvetica Neue" w:hAnsi="Helvetica Neue" w:cs="Helvetica Neue"/>
              </w:rPr>
            </w:pPr>
            <w:r w:rsidRPr="00617F16">
              <w:rPr>
                <w:rFonts w:ascii="Helvetica Neue" w:eastAsia="Helvetica Neue" w:hAnsi="Helvetica Neue" w:cs="Helvetica Neue"/>
              </w:rPr>
              <w:t xml:space="preserve"> </w:t>
            </w:r>
          </w:p>
        </w:tc>
      </w:tr>
      <w:tr w:rsidR="00076044" w14:paraId="46BB4F75" w14:textId="77777777">
        <w:tc>
          <w:tcPr>
            <w:tcW w:w="2655" w:type="dxa"/>
          </w:tcPr>
          <w:p w14:paraId="209ECF8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5" w:type="dxa"/>
          </w:tcPr>
          <w:p w14:paraId="078C642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secure network.</w:t>
            </w:r>
          </w:p>
          <w:p w14:paraId="2FEA2A05" w14:textId="32EFE006" w:rsidR="00076044" w:rsidRDefault="004B26D3">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 xml:space="preserve">If the G-Cloud Services are to be delivered over PSN this should be detailed here: </w:t>
            </w:r>
            <w:r w:rsidR="00936224">
              <w:rPr>
                <w:rFonts w:ascii="Helvetica Neue" w:eastAsia="Helvetica Neue" w:hAnsi="Helvetica Neue" w:cs="Helvetica Neue"/>
                <w:highlight w:val="yellow"/>
              </w:rPr>
              <w:t>Not applicable.</w:t>
            </w:r>
          </w:p>
          <w:p w14:paraId="455AC819" w14:textId="77777777" w:rsidR="00076044" w:rsidRDefault="004B26D3">
            <w:pPr>
              <w:spacing w:after="0" w:line="240" w:lineRule="auto"/>
              <w:rPr>
                <w:rFonts w:ascii="Helvetica Neue" w:eastAsia="Helvetica Neue" w:hAnsi="Helvetica Neue" w:cs="Helvetica Neue"/>
                <w:highlight w:val="yellow"/>
              </w:rPr>
            </w:pPr>
            <w:r>
              <w:rPr>
                <w:rFonts w:ascii="Helvetica Neue" w:eastAsia="Helvetica Neue" w:hAnsi="Helvetica Neue" w:cs="Helvetica Neue"/>
                <w:highlight w:val="green"/>
              </w:rPr>
              <w:t>[Delete if not relevant.]</w:t>
            </w:r>
          </w:p>
        </w:tc>
      </w:tr>
    </w:tbl>
    <w:p w14:paraId="1AE41652" w14:textId="77777777" w:rsidR="00076044" w:rsidRDefault="00076044">
      <w:pPr>
        <w:rPr>
          <w:rFonts w:ascii="Helvetica Neue" w:eastAsia="Helvetica Neue" w:hAnsi="Helvetica Neue" w:cs="Helvetica Neue"/>
        </w:rPr>
      </w:pPr>
    </w:p>
    <w:p w14:paraId="3B3900F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14:paraId="14E6A78D"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6FB678F4"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464B1357"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14:paraId="4931BD42" w14:textId="77777777"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14365FD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0507DDA1" w14:textId="77777777"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14:paraId="19CE1C24" w14:textId="77777777"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14:paraId="18B8145E" w14:textId="77777777">
        <w:tc>
          <w:tcPr>
            <w:tcW w:w="2280" w:type="dxa"/>
            <w:tcMar>
              <w:top w:w="100" w:type="dxa"/>
              <w:left w:w="100" w:type="dxa"/>
              <w:bottom w:w="100" w:type="dxa"/>
              <w:right w:w="100" w:type="dxa"/>
            </w:tcMar>
          </w:tcPr>
          <w:p w14:paraId="131A62D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14:paraId="764E190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14:paraId="2D22523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076044" w14:paraId="069D5B5C" w14:textId="77777777" w:rsidTr="00D60DBE">
        <w:tc>
          <w:tcPr>
            <w:tcW w:w="2280" w:type="dxa"/>
            <w:tcMar>
              <w:top w:w="100" w:type="dxa"/>
              <w:left w:w="100" w:type="dxa"/>
              <w:bottom w:w="100" w:type="dxa"/>
              <w:right w:w="100" w:type="dxa"/>
            </w:tcMar>
          </w:tcPr>
          <w:p w14:paraId="68F2299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shd w:val="clear" w:color="auto" w:fill="000000" w:themeFill="text1"/>
            <w:tcMar>
              <w:top w:w="100" w:type="dxa"/>
              <w:left w:w="100" w:type="dxa"/>
              <w:bottom w:w="100" w:type="dxa"/>
              <w:right w:w="100" w:type="dxa"/>
            </w:tcMar>
          </w:tcPr>
          <w:p w14:paraId="2D31B48F" w14:textId="4E0AF39B" w:rsidR="00076044" w:rsidRDefault="00076044">
            <w:pPr>
              <w:spacing w:after="0" w:line="240" w:lineRule="auto"/>
              <w:rPr>
                <w:rFonts w:ascii="Helvetica Neue" w:eastAsia="Helvetica Neue" w:hAnsi="Helvetica Neue" w:cs="Helvetica Neue"/>
                <w:highlight w:val="yellow"/>
              </w:rPr>
            </w:pPr>
          </w:p>
        </w:tc>
        <w:tc>
          <w:tcPr>
            <w:tcW w:w="4170" w:type="dxa"/>
            <w:shd w:val="clear" w:color="auto" w:fill="000000" w:themeFill="text1"/>
            <w:tcMar>
              <w:top w:w="100" w:type="dxa"/>
              <w:left w:w="100" w:type="dxa"/>
              <w:bottom w:w="100" w:type="dxa"/>
              <w:right w:w="100" w:type="dxa"/>
            </w:tcMar>
          </w:tcPr>
          <w:p w14:paraId="66E8A8B7" w14:textId="30724DD8" w:rsidR="00076044" w:rsidRDefault="00076044">
            <w:pPr>
              <w:spacing w:after="0" w:line="240" w:lineRule="auto"/>
              <w:rPr>
                <w:rFonts w:ascii="Helvetica Neue" w:eastAsia="Helvetica Neue" w:hAnsi="Helvetica Neue" w:cs="Helvetica Neue"/>
              </w:rPr>
            </w:pPr>
          </w:p>
        </w:tc>
      </w:tr>
      <w:tr w:rsidR="00076044" w14:paraId="75D69FD8" w14:textId="77777777" w:rsidTr="00D60DBE">
        <w:tc>
          <w:tcPr>
            <w:tcW w:w="2280" w:type="dxa"/>
            <w:tcMar>
              <w:top w:w="100" w:type="dxa"/>
              <w:left w:w="100" w:type="dxa"/>
              <w:bottom w:w="100" w:type="dxa"/>
              <w:right w:w="100" w:type="dxa"/>
            </w:tcMar>
          </w:tcPr>
          <w:p w14:paraId="5DC69AF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shd w:val="clear" w:color="auto" w:fill="000000" w:themeFill="text1"/>
            <w:tcMar>
              <w:top w:w="100" w:type="dxa"/>
              <w:left w:w="100" w:type="dxa"/>
              <w:bottom w:w="100" w:type="dxa"/>
              <w:right w:w="100" w:type="dxa"/>
            </w:tcMar>
          </w:tcPr>
          <w:p w14:paraId="27338E3C" w14:textId="15304E90" w:rsidR="00076044" w:rsidRDefault="00076044">
            <w:pPr>
              <w:spacing w:after="0" w:line="240" w:lineRule="auto"/>
              <w:rPr>
                <w:rFonts w:ascii="Helvetica Neue" w:eastAsia="Helvetica Neue" w:hAnsi="Helvetica Neue" w:cs="Helvetica Neue"/>
              </w:rPr>
            </w:pPr>
          </w:p>
        </w:tc>
        <w:tc>
          <w:tcPr>
            <w:tcW w:w="4170" w:type="dxa"/>
            <w:shd w:val="clear" w:color="auto" w:fill="000000" w:themeFill="text1"/>
            <w:tcMar>
              <w:top w:w="100" w:type="dxa"/>
              <w:left w:w="100" w:type="dxa"/>
              <w:bottom w:w="100" w:type="dxa"/>
              <w:right w:w="100" w:type="dxa"/>
            </w:tcMar>
          </w:tcPr>
          <w:p w14:paraId="7FE4567B" w14:textId="2C211523" w:rsidR="00076044" w:rsidRDefault="00076044">
            <w:pPr>
              <w:spacing w:after="0" w:line="240" w:lineRule="auto"/>
              <w:rPr>
                <w:rFonts w:ascii="Helvetica Neue" w:eastAsia="Helvetica Neue" w:hAnsi="Helvetica Neue" w:cs="Helvetica Neue"/>
              </w:rPr>
            </w:pPr>
          </w:p>
        </w:tc>
      </w:tr>
      <w:tr w:rsidR="00076044" w14:paraId="7A4720E8" w14:textId="77777777" w:rsidTr="00D60DBE">
        <w:trPr>
          <w:trHeight w:val="840"/>
        </w:trPr>
        <w:tc>
          <w:tcPr>
            <w:tcW w:w="2280" w:type="dxa"/>
            <w:tcMar>
              <w:top w:w="100" w:type="dxa"/>
              <w:left w:w="100" w:type="dxa"/>
              <w:bottom w:w="100" w:type="dxa"/>
              <w:right w:w="100" w:type="dxa"/>
            </w:tcMar>
          </w:tcPr>
          <w:p w14:paraId="45BF28B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shd w:val="clear" w:color="auto" w:fill="000000" w:themeFill="text1"/>
            <w:tcMar>
              <w:top w:w="100" w:type="dxa"/>
              <w:left w:w="100" w:type="dxa"/>
              <w:bottom w:w="100" w:type="dxa"/>
              <w:right w:w="100" w:type="dxa"/>
            </w:tcMar>
          </w:tcPr>
          <w:p w14:paraId="5189C913" w14:textId="5AD11003" w:rsidR="00076044" w:rsidRDefault="00076044">
            <w:pPr>
              <w:spacing w:before="60" w:after="60"/>
              <w:rPr>
                <w:rFonts w:ascii="Helvetica Neue" w:eastAsia="Helvetica Neue" w:hAnsi="Helvetica Neue" w:cs="Helvetica Neue"/>
              </w:rPr>
            </w:pPr>
          </w:p>
        </w:tc>
        <w:tc>
          <w:tcPr>
            <w:tcW w:w="4170" w:type="dxa"/>
            <w:shd w:val="clear" w:color="auto" w:fill="000000" w:themeFill="text1"/>
            <w:tcMar>
              <w:top w:w="100" w:type="dxa"/>
              <w:left w:w="100" w:type="dxa"/>
              <w:bottom w:w="100" w:type="dxa"/>
              <w:right w:w="100" w:type="dxa"/>
            </w:tcMar>
          </w:tcPr>
          <w:p w14:paraId="2DF3BA84" w14:textId="0C34A600" w:rsidR="00076044" w:rsidRDefault="00076044">
            <w:pPr>
              <w:spacing w:before="60" w:after="60"/>
              <w:rPr>
                <w:rFonts w:ascii="Helvetica Neue" w:eastAsia="Helvetica Neue" w:hAnsi="Helvetica Neue" w:cs="Helvetica Neue"/>
              </w:rPr>
            </w:pPr>
          </w:p>
        </w:tc>
      </w:tr>
      <w:tr w:rsidR="00076044" w14:paraId="5765175F" w14:textId="77777777" w:rsidTr="00D60DBE">
        <w:tc>
          <w:tcPr>
            <w:tcW w:w="2280" w:type="dxa"/>
            <w:tcMar>
              <w:top w:w="100" w:type="dxa"/>
              <w:left w:w="100" w:type="dxa"/>
              <w:bottom w:w="100" w:type="dxa"/>
              <w:right w:w="100" w:type="dxa"/>
            </w:tcMar>
          </w:tcPr>
          <w:p w14:paraId="15C6650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shd w:val="clear" w:color="auto" w:fill="000000" w:themeFill="text1"/>
            <w:tcMar>
              <w:top w:w="100" w:type="dxa"/>
              <w:left w:w="100" w:type="dxa"/>
              <w:bottom w:w="100" w:type="dxa"/>
              <w:right w:w="100" w:type="dxa"/>
            </w:tcMar>
          </w:tcPr>
          <w:p w14:paraId="771DD9F6" w14:textId="46605E8A" w:rsidR="00076044" w:rsidRDefault="00076044">
            <w:pPr>
              <w:spacing w:after="0" w:line="240" w:lineRule="auto"/>
              <w:rPr>
                <w:rFonts w:ascii="Helvetica Neue" w:eastAsia="Helvetica Neue" w:hAnsi="Helvetica Neue" w:cs="Helvetica Neue"/>
              </w:rPr>
            </w:pPr>
          </w:p>
        </w:tc>
        <w:tc>
          <w:tcPr>
            <w:tcW w:w="4170" w:type="dxa"/>
            <w:shd w:val="clear" w:color="auto" w:fill="000000" w:themeFill="text1"/>
            <w:tcMar>
              <w:top w:w="100" w:type="dxa"/>
              <w:left w:w="100" w:type="dxa"/>
              <w:bottom w:w="100" w:type="dxa"/>
              <w:right w:w="100" w:type="dxa"/>
            </w:tcMar>
          </w:tcPr>
          <w:p w14:paraId="4F3FA335" w14:textId="3EB1CF09" w:rsidR="00076044" w:rsidRDefault="00076044">
            <w:pPr>
              <w:spacing w:after="0" w:line="240" w:lineRule="auto"/>
              <w:rPr>
                <w:rFonts w:ascii="Helvetica Neue" w:eastAsia="Helvetica Neue" w:hAnsi="Helvetica Neue" w:cs="Helvetica Neue"/>
              </w:rPr>
            </w:pPr>
          </w:p>
        </w:tc>
      </w:tr>
    </w:tbl>
    <w:p w14:paraId="5C3E7FA9" w14:textId="77777777" w:rsidR="00076044" w:rsidRDefault="00076044">
      <w:pPr>
        <w:spacing w:after="0"/>
        <w:rPr>
          <w:rFonts w:ascii="Helvetica Neue" w:eastAsia="Helvetica Neue" w:hAnsi="Helvetica Neue" w:cs="Helvetica Neue"/>
          <w:b/>
        </w:rPr>
      </w:pPr>
    </w:p>
    <w:p w14:paraId="64B462AA" w14:textId="77777777" w:rsidR="00076044" w:rsidRDefault="004B26D3">
      <w:pPr>
        <w:pStyle w:val="Heading1"/>
        <w:spacing w:after="200" w:line="276" w:lineRule="auto"/>
        <w:rPr>
          <w:rFonts w:ascii="Helvetica Neue" w:eastAsia="Helvetica Neue" w:hAnsi="Helvetica Neue" w:cs="Helvetica Neue"/>
          <w:sz w:val="36"/>
          <w:szCs w:val="36"/>
        </w:rPr>
      </w:pPr>
      <w:bookmarkStart w:id="45" w:name="_cv1yk8c1mek8" w:colFirst="0" w:colLast="0"/>
      <w:bookmarkEnd w:id="45"/>
      <w:r>
        <w:rPr>
          <w:rFonts w:ascii="Helvetica Neue" w:eastAsia="Helvetica Neue" w:hAnsi="Helvetica Neue" w:cs="Helvetica Neue"/>
          <w:sz w:val="36"/>
          <w:szCs w:val="36"/>
        </w:rPr>
        <w:t>Schedule 1 - Services</w:t>
      </w:r>
    </w:p>
    <w:p w14:paraId="7739FFA7" w14:textId="77777777" w:rsidR="00076044" w:rsidRDefault="004B26D3">
      <w:pPr>
        <w:spacing w:after="0"/>
        <w:rPr>
          <w:rFonts w:ascii="Helvetica Neue" w:eastAsia="Helvetica Neue" w:hAnsi="Helvetica Neue" w:cs="Helvetica Neue"/>
          <w:highlight w:val="green"/>
        </w:rPr>
      </w:pPr>
      <w:r>
        <w:rPr>
          <w:rFonts w:ascii="Helvetica Neue" w:eastAsia="Helvetica Neue" w:hAnsi="Helvetica Neue" w:cs="Helvetica Neue"/>
          <w:highlight w:val="green"/>
        </w:rPr>
        <w:t>[To be added in agreement between the Buyer and Supplier, and will be G-Cloud Services the Supplier is capable of providing through the Digital Marketplace.]</w:t>
      </w:r>
    </w:p>
    <w:p w14:paraId="07119917" w14:textId="77777777" w:rsidR="00076044" w:rsidRDefault="00076044">
      <w:pPr>
        <w:spacing w:after="0"/>
        <w:rPr>
          <w:rFonts w:ascii="Helvetica Neue" w:eastAsia="Helvetica Neue" w:hAnsi="Helvetica Neue" w:cs="Helvetica Neue"/>
          <w:b/>
        </w:rPr>
      </w:pPr>
    </w:p>
    <w:p w14:paraId="492ABEBA" w14:textId="3772184D" w:rsidR="00076044" w:rsidRDefault="00936224">
      <w:pPr>
        <w:spacing w:after="0"/>
        <w:rPr>
          <w:rFonts w:ascii="Helvetica Neue" w:eastAsia="Helvetica Neue" w:hAnsi="Helvetica Neue" w:cs="Helvetica Neue"/>
          <w:highlight w:val="yellow"/>
        </w:rPr>
      </w:pPr>
      <w:r w:rsidRPr="00617F16">
        <w:rPr>
          <w:rFonts w:ascii="Helvetica Neue" w:eastAsia="Helvetica Neue" w:hAnsi="Helvetica Neue" w:cs="Helvetica Neue"/>
          <w:b/>
          <w:highlight w:val="yellow"/>
          <w:u w:val="single"/>
        </w:rPr>
        <w:t>Delivering Service Integration (SIAM) Managed Services</w:t>
      </w:r>
    </w:p>
    <w:p w14:paraId="07E3C854" w14:textId="77777777" w:rsidR="00936224" w:rsidRDefault="00936224">
      <w:pPr>
        <w:spacing w:after="0"/>
        <w:rPr>
          <w:rFonts w:ascii="Helvetica Neue" w:eastAsia="Helvetica Neue" w:hAnsi="Helvetica Neue" w:cs="Helvetica Neue"/>
          <w:highlight w:val="yellow"/>
        </w:rPr>
      </w:pPr>
    </w:p>
    <w:p w14:paraId="4889016D" w14:textId="77777777" w:rsidR="00936224" w:rsidRPr="002517BD" w:rsidRDefault="00936224" w:rsidP="00936224">
      <w:pPr>
        <w:rPr>
          <w:sz w:val="22"/>
          <w:szCs w:val="22"/>
        </w:rPr>
      </w:pPr>
      <w:bookmarkStart w:id="46" w:name="_Toc404350712"/>
      <w:bookmarkStart w:id="47" w:name="_Toc404350867"/>
      <w:r w:rsidRPr="002517BD">
        <w:rPr>
          <w:bCs/>
          <w:sz w:val="22"/>
          <w:szCs w:val="22"/>
        </w:rPr>
        <w:t>The priority high level requirements and outcomes for the NIHR IS Function from 201</w:t>
      </w:r>
      <w:r>
        <w:rPr>
          <w:bCs/>
          <w:sz w:val="22"/>
          <w:szCs w:val="22"/>
        </w:rPr>
        <w:t>7</w:t>
      </w:r>
      <w:r w:rsidRPr="002517BD">
        <w:rPr>
          <w:bCs/>
          <w:sz w:val="22"/>
          <w:szCs w:val="22"/>
        </w:rPr>
        <w:t xml:space="preserve"> have been identified as follows; </w:t>
      </w:r>
      <w:r>
        <w:rPr>
          <w:sz w:val="22"/>
          <w:szCs w:val="22"/>
        </w:rPr>
        <w:t xml:space="preserve">Continuing care, </w:t>
      </w:r>
      <w:r w:rsidRPr="002517BD">
        <w:rPr>
          <w:sz w:val="22"/>
          <w:szCs w:val="22"/>
        </w:rPr>
        <w:t xml:space="preserve">maintenance </w:t>
      </w:r>
      <w:r>
        <w:rPr>
          <w:sz w:val="22"/>
          <w:szCs w:val="22"/>
        </w:rPr>
        <w:t xml:space="preserve">and delivery </w:t>
      </w:r>
      <w:r w:rsidRPr="002517BD">
        <w:rPr>
          <w:sz w:val="22"/>
          <w:szCs w:val="22"/>
        </w:rPr>
        <w:t>of central corporate functions, systems or services required by / for the Department of Health that are no longer under development including provision for updates and improvements. The following have been deemed as “essential services” which must have continuity of provision between contracts and between suppliers should there be any change in service provision:</w:t>
      </w:r>
      <w:bookmarkEnd w:id="46"/>
      <w:bookmarkEnd w:id="47"/>
    </w:p>
    <w:p w14:paraId="4B08944E" w14:textId="77777777" w:rsidR="00936224" w:rsidRPr="00AB0DEF" w:rsidRDefault="00936224" w:rsidP="00936224">
      <w:pPr>
        <w:rPr>
          <w:sz w:val="22"/>
          <w:szCs w:val="22"/>
        </w:rPr>
      </w:pPr>
    </w:p>
    <w:p w14:paraId="232E48C8" w14:textId="77777777" w:rsidR="00936224" w:rsidRDefault="00B3638B" w:rsidP="00936224">
      <w:pPr>
        <w:widowControl/>
        <w:numPr>
          <w:ilvl w:val="2"/>
          <w:numId w:val="53"/>
        </w:numPr>
        <w:tabs>
          <w:tab w:val="left" w:pos="1800"/>
        </w:tabs>
        <w:spacing w:after="120" w:line="240" w:lineRule="auto"/>
        <w:ind w:left="540" w:firstLine="0"/>
        <w:rPr>
          <w:sz w:val="22"/>
          <w:szCs w:val="22"/>
        </w:rPr>
      </w:pPr>
      <w:hyperlink r:id="rId23" w:history="1">
        <w:r w:rsidR="00936224" w:rsidRPr="00AB0DEF">
          <w:rPr>
            <w:rStyle w:val="Hyperlink"/>
            <w:b/>
            <w:sz w:val="22"/>
            <w:szCs w:val="22"/>
          </w:rPr>
          <w:t>The NIHR Hub</w:t>
        </w:r>
      </w:hyperlink>
      <w:r w:rsidR="00936224" w:rsidRPr="00AB0DEF">
        <w:rPr>
          <w:sz w:val="22"/>
          <w:szCs w:val="22"/>
        </w:rPr>
        <w:t xml:space="preserve">– is an online password protected; collaboration system developed in </w:t>
      </w:r>
      <w:hyperlink r:id="rId24" w:history="1">
        <w:r w:rsidR="00936224" w:rsidRPr="00AB0DEF">
          <w:rPr>
            <w:rStyle w:val="Hyperlink"/>
            <w:sz w:val="22"/>
            <w:szCs w:val="22"/>
          </w:rPr>
          <w:t xml:space="preserve">Google </w:t>
        </w:r>
        <w:r w:rsidR="00936224">
          <w:rPr>
            <w:rStyle w:val="Hyperlink"/>
            <w:sz w:val="22"/>
            <w:szCs w:val="22"/>
          </w:rPr>
          <w:t>G Suite</w:t>
        </w:r>
      </w:hyperlink>
      <w:r w:rsidR="00936224" w:rsidRPr="00AB0DEF">
        <w:rPr>
          <w:sz w:val="22"/>
          <w:szCs w:val="22"/>
        </w:rPr>
        <w:t xml:space="preserve"> and designed to be the main corporate administration and communication system for NIHR. It is a cloud based, business-facing multi-functional fully managed service utilising the full </w:t>
      </w:r>
      <w:r w:rsidR="00936224">
        <w:rPr>
          <w:sz w:val="22"/>
          <w:szCs w:val="22"/>
        </w:rPr>
        <w:t>range</w:t>
      </w:r>
      <w:r w:rsidR="00936224" w:rsidRPr="00AB0DEF">
        <w:rPr>
          <w:sz w:val="22"/>
          <w:szCs w:val="22"/>
        </w:rPr>
        <w:t xml:space="preserve"> of </w:t>
      </w:r>
      <w:r w:rsidR="00936224">
        <w:rPr>
          <w:sz w:val="22"/>
          <w:szCs w:val="22"/>
        </w:rPr>
        <w:t>G Suite</w:t>
      </w:r>
      <w:r w:rsidR="00936224" w:rsidRPr="00AB0DEF">
        <w:rPr>
          <w:sz w:val="22"/>
          <w:szCs w:val="22"/>
        </w:rPr>
        <w:t xml:space="preserve"> services including a corporate e-mail, Google Docs, Google+; and Hangouts for </w:t>
      </w:r>
      <w:r w:rsidR="00936224">
        <w:rPr>
          <w:sz w:val="22"/>
          <w:szCs w:val="22"/>
        </w:rPr>
        <w:t>8,500</w:t>
      </w:r>
      <w:r w:rsidR="00936224" w:rsidRPr="00AB0DEF">
        <w:rPr>
          <w:sz w:val="22"/>
          <w:szCs w:val="22"/>
        </w:rPr>
        <w:t xml:space="preserve"> licensed users in a protected environment. It has been augmented with the addition of </w:t>
      </w:r>
      <w:hyperlink r:id="rId25" w:history="1">
        <w:proofErr w:type="spellStart"/>
        <w:r w:rsidR="00936224" w:rsidRPr="00AB0DEF">
          <w:rPr>
            <w:rStyle w:val="Hyperlink"/>
            <w:sz w:val="22"/>
            <w:szCs w:val="22"/>
          </w:rPr>
          <w:t>CloudPages</w:t>
        </w:r>
        <w:proofErr w:type="spellEnd"/>
      </w:hyperlink>
      <w:r w:rsidR="00936224" w:rsidRPr="00AB0DEF">
        <w:rPr>
          <w:sz w:val="22"/>
          <w:szCs w:val="22"/>
        </w:rPr>
        <w:t xml:space="preserve">, an embedded service that provides the NIHR Directory of Hub users, and </w:t>
      </w:r>
      <w:hyperlink r:id="rId26" w:history="1">
        <w:proofErr w:type="spellStart"/>
        <w:r w:rsidR="00936224" w:rsidRPr="00AB0DEF">
          <w:rPr>
            <w:rStyle w:val="Hyperlink"/>
            <w:sz w:val="22"/>
            <w:szCs w:val="22"/>
          </w:rPr>
          <w:t>CloudLock</w:t>
        </w:r>
        <w:proofErr w:type="spellEnd"/>
      </w:hyperlink>
      <w:r w:rsidR="00936224" w:rsidRPr="00AB0DEF">
        <w:rPr>
          <w:sz w:val="22"/>
          <w:szCs w:val="22"/>
        </w:rPr>
        <w:t xml:space="preserve"> which provides an additional layer of security to monitor usage of the services provided and alerts of potential breaches of acceptable use of the system</w:t>
      </w:r>
      <w:r w:rsidR="00936224">
        <w:rPr>
          <w:sz w:val="22"/>
          <w:szCs w:val="22"/>
        </w:rPr>
        <w:t>. Currently the Hub has:</w:t>
      </w:r>
    </w:p>
    <w:p w14:paraId="41AAEF55" w14:textId="77777777" w:rsidR="00936224" w:rsidRDefault="00936224" w:rsidP="00936224">
      <w:pPr>
        <w:widowControl/>
        <w:numPr>
          <w:ilvl w:val="3"/>
          <w:numId w:val="53"/>
        </w:numPr>
        <w:tabs>
          <w:tab w:val="left" w:pos="1800"/>
        </w:tabs>
        <w:spacing w:after="120" w:line="240" w:lineRule="auto"/>
        <w:rPr>
          <w:sz w:val="22"/>
          <w:szCs w:val="22"/>
        </w:rPr>
      </w:pPr>
      <w:r>
        <w:rPr>
          <w:sz w:val="22"/>
          <w:szCs w:val="22"/>
        </w:rPr>
        <w:t xml:space="preserve"> approximately 7.6k users </w:t>
      </w:r>
    </w:p>
    <w:p w14:paraId="55AC5F14" w14:textId="77777777" w:rsidR="00936224" w:rsidRPr="00A43B0F" w:rsidRDefault="00936224" w:rsidP="00936224">
      <w:pPr>
        <w:widowControl/>
        <w:numPr>
          <w:ilvl w:val="3"/>
          <w:numId w:val="53"/>
        </w:numPr>
        <w:tabs>
          <w:tab w:val="left" w:pos="1800"/>
        </w:tabs>
        <w:spacing w:after="120" w:line="240" w:lineRule="auto"/>
        <w:rPr>
          <w:sz w:val="22"/>
          <w:szCs w:val="22"/>
        </w:rPr>
      </w:pPr>
      <w:r>
        <w:rPr>
          <w:sz w:val="22"/>
          <w:szCs w:val="22"/>
        </w:rPr>
        <w:t>a t</w:t>
      </w:r>
      <w:r w:rsidRPr="00A43B0F">
        <w:rPr>
          <w:sz w:val="22"/>
          <w:szCs w:val="22"/>
        </w:rPr>
        <w:t xml:space="preserve">otal </w:t>
      </w:r>
      <w:r>
        <w:rPr>
          <w:sz w:val="22"/>
          <w:szCs w:val="22"/>
        </w:rPr>
        <w:t xml:space="preserve"> of  2.5 million files in</w:t>
      </w:r>
      <w:r w:rsidRPr="00A43B0F">
        <w:rPr>
          <w:sz w:val="22"/>
          <w:szCs w:val="22"/>
        </w:rPr>
        <w:t xml:space="preserve"> both Google Docs and external files</w:t>
      </w:r>
    </w:p>
    <w:p w14:paraId="50C85BE1" w14:textId="77777777" w:rsidR="00936224" w:rsidRPr="00A43B0F" w:rsidRDefault="00936224" w:rsidP="00936224">
      <w:pPr>
        <w:widowControl/>
        <w:numPr>
          <w:ilvl w:val="3"/>
          <w:numId w:val="53"/>
        </w:numPr>
        <w:tabs>
          <w:tab w:val="left" w:pos="1800"/>
        </w:tabs>
        <w:spacing w:after="120" w:line="240" w:lineRule="auto"/>
        <w:rPr>
          <w:sz w:val="22"/>
          <w:szCs w:val="22"/>
        </w:rPr>
      </w:pPr>
      <w:r>
        <w:rPr>
          <w:sz w:val="22"/>
          <w:szCs w:val="22"/>
        </w:rPr>
        <w:t xml:space="preserve">using </w:t>
      </w:r>
      <w:r w:rsidRPr="00A43B0F">
        <w:rPr>
          <w:sz w:val="22"/>
          <w:szCs w:val="22"/>
        </w:rPr>
        <w:t>917,579MB</w:t>
      </w:r>
    </w:p>
    <w:p w14:paraId="3179A9DF" w14:textId="77777777" w:rsidR="00936224" w:rsidRPr="00A43B0F" w:rsidRDefault="00936224" w:rsidP="00936224">
      <w:pPr>
        <w:widowControl/>
        <w:numPr>
          <w:ilvl w:val="3"/>
          <w:numId w:val="53"/>
        </w:numPr>
        <w:tabs>
          <w:tab w:val="left" w:pos="1800"/>
        </w:tabs>
        <w:spacing w:after="120" w:line="240" w:lineRule="auto"/>
        <w:rPr>
          <w:sz w:val="22"/>
          <w:szCs w:val="22"/>
        </w:rPr>
      </w:pPr>
      <w:r>
        <w:rPr>
          <w:sz w:val="22"/>
          <w:szCs w:val="22"/>
        </w:rPr>
        <w:t xml:space="preserve">operates </w:t>
      </w:r>
      <w:r w:rsidRPr="00A43B0F">
        <w:rPr>
          <w:sz w:val="22"/>
          <w:szCs w:val="22"/>
        </w:rPr>
        <w:t>Hangouts</w:t>
      </w:r>
      <w:r>
        <w:rPr>
          <w:sz w:val="22"/>
          <w:szCs w:val="22"/>
        </w:rPr>
        <w:t xml:space="preserve"> / Meet at an</w:t>
      </w:r>
      <w:r w:rsidRPr="00A43B0F">
        <w:rPr>
          <w:sz w:val="22"/>
          <w:szCs w:val="22"/>
        </w:rPr>
        <w:t xml:space="preserve"> average </w:t>
      </w:r>
      <w:r>
        <w:rPr>
          <w:sz w:val="22"/>
          <w:szCs w:val="22"/>
        </w:rPr>
        <w:t xml:space="preserve">of </w:t>
      </w:r>
      <w:r w:rsidRPr="00A43B0F">
        <w:rPr>
          <w:sz w:val="22"/>
          <w:szCs w:val="22"/>
        </w:rPr>
        <w:t>1000 per month/250 per week</w:t>
      </w:r>
    </w:p>
    <w:p w14:paraId="23768F67" w14:textId="77777777" w:rsidR="00936224" w:rsidRDefault="00936224" w:rsidP="00936224">
      <w:pPr>
        <w:widowControl/>
        <w:numPr>
          <w:ilvl w:val="3"/>
          <w:numId w:val="53"/>
        </w:numPr>
        <w:tabs>
          <w:tab w:val="left" w:pos="1800"/>
        </w:tabs>
        <w:spacing w:after="120" w:line="240" w:lineRule="auto"/>
        <w:rPr>
          <w:sz w:val="22"/>
          <w:szCs w:val="22"/>
        </w:rPr>
      </w:pPr>
      <w:r>
        <w:rPr>
          <w:sz w:val="22"/>
          <w:szCs w:val="22"/>
        </w:rPr>
        <w:t xml:space="preserve">sent or received </w:t>
      </w:r>
      <w:r w:rsidRPr="00A43B0F">
        <w:rPr>
          <w:sz w:val="22"/>
          <w:szCs w:val="22"/>
        </w:rPr>
        <w:t xml:space="preserve"> 6.3 million emails over the last 6 months</w:t>
      </w:r>
    </w:p>
    <w:p w14:paraId="16682F86" w14:textId="77777777" w:rsidR="00936224" w:rsidRPr="00AB0DEF" w:rsidRDefault="00936224" w:rsidP="00936224">
      <w:pPr>
        <w:tabs>
          <w:tab w:val="left" w:pos="1800"/>
        </w:tabs>
        <w:spacing w:after="120"/>
        <w:ind w:left="567"/>
        <w:rPr>
          <w:sz w:val="22"/>
          <w:szCs w:val="22"/>
        </w:rPr>
      </w:pPr>
      <w:r>
        <w:rPr>
          <w:sz w:val="22"/>
          <w:szCs w:val="22"/>
        </w:rPr>
        <w:t xml:space="preserve">Annual licensing arrangements with Google are required to be managed within the ongoing contract with Google which expires in 2018, and will be subject to review. The NIHR has a network of “change champions” in place to support and develop the roll out of the NIHR Hub to eligible users; however, the supplier will be expected to monitor the service for administration and development purposes as well as providing regular reports back to the Authority of usage </w:t>
      </w:r>
      <w:r w:rsidRPr="00AB0DEF">
        <w:rPr>
          <w:sz w:val="22"/>
          <w:szCs w:val="22"/>
        </w:rPr>
        <w:t>;</w:t>
      </w:r>
    </w:p>
    <w:p w14:paraId="35F3D7A2" w14:textId="77777777" w:rsidR="00936224" w:rsidRPr="00AB0DEF" w:rsidRDefault="00B3638B" w:rsidP="00936224">
      <w:pPr>
        <w:widowControl/>
        <w:numPr>
          <w:ilvl w:val="2"/>
          <w:numId w:val="53"/>
        </w:numPr>
        <w:tabs>
          <w:tab w:val="left" w:pos="1800"/>
        </w:tabs>
        <w:spacing w:after="120" w:line="240" w:lineRule="auto"/>
        <w:ind w:left="540" w:firstLine="0"/>
        <w:rPr>
          <w:sz w:val="22"/>
          <w:szCs w:val="22"/>
        </w:rPr>
      </w:pPr>
      <w:hyperlink r:id="rId27" w:history="1">
        <w:r w:rsidR="00936224" w:rsidRPr="00AB0DEF">
          <w:rPr>
            <w:rStyle w:val="Hyperlink"/>
            <w:b/>
            <w:sz w:val="22"/>
            <w:szCs w:val="22"/>
          </w:rPr>
          <w:t>NIHR Website</w:t>
        </w:r>
      </w:hyperlink>
      <w:r w:rsidR="00936224" w:rsidRPr="00AB0DEF">
        <w:rPr>
          <w:b/>
          <w:sz w:val="22"/>
          <w:szCs w:val="22"/>
        </w:rPr>
        <w:t xml:space="preserve"> – </w:t>
      </w:r>
      <w:r w:rsidR="00936224" w:rsidRPr="00AB0DEF">
        <w:rPr>
          <w:sz w:val="22"/>
          <w:szCs w:val="22"/>
        </w:rPr>
        <w:t xml:space="preserve">is the main public facing website between the component parts of the NIHR and the public, researchers, academics, clinicians anybody else wishing to learn more about the NIHR. It has recently been rebuilt using the </w:t>
      </w:r>
      <w:hyperlink r:id="rId28" w:history="1">
        <w:proofErr w:type="spellStart"/>
        <w:r w:rsidR="00936224" w:rsidRPr="00AB0DEF">
          <w:rPr>
            <w:rStyle w:val="Hyperlink"/>
            <w:sz w:val="22"/>
            <w:szCs w:val="22"/>
          </w:rPr>
          <w:t>SiteKit</w:t>
        </w:r>
        <w:proofErr w:type="spellEnd"/>
      </w:hyperlink>
      <w:r w:rsidR="00936224" w:rsidRPr="00AB0DEF">
        <w:rPr>
          <w:sz w:val="22"/>
          <w:szCs w:val="22"/>
        </w:rPr>
        <w:t xml:space="preserve"> system which affords a much richer user experience and which enables full web 2.0 operation and supports multi-platform performance . It has been designed to allow multiple editors across pages and is administered across all the NIHR business units. Further developments to this system will be essential as the work of the NIHR continues;</w:t>
      </w:r>
    </w:p>
    <w:p w14:paraId="66A44548" w14:textId="77777777" w:rsidR="00936224" w:rsidRDefault="00B3638B" w:rsidP="00936224">
      <w:pPr>
        <w:widowControl/>
        <w:numPr>
          <w:ilvl w:val="2"/>
          <w:numId w:val="53"/>
        </w:numPr>
        <w:tabs>
          <w:tab w:val="left" w:pos="1800"/>
        </w:tabs>
        <w:spacing w:after="120" w:line="240" w:lineRule="auto"/>
        <w:ind w:left="540" w:firstLine="0"/>
        <w:rPr>
          <w:sz w:val="22"/>
          <w:szCs w:val="22"/>
        </w:rPr>
      </w:pPr>
      <w:hyperlink r:id="rId29" w:history="1">
        <w:r w:rsidR="00936224" w:rsidRPr="00630159">
          <w:rPr>
            <w:rStyle w:val="Hyperlink"/>
            <w:b/>
            <w:sz w:val="22"/>
            <w:szCs w:val="22"/>
          </w:rPr>
          <w:t>The UK Clinical Trials Gateway</w:t>
        </w:r>
      </w:hyperlink>
      <w:r w:rsidR="00936224" w:rsidRPr="00630159">
        <w:rPr>
          <w:sz w:val="22"/>
          <w:szCs w:val="22"/>
        </w:rPr>
        <w:t xml:space="preserve"> – a system developed originally in Microsoft </w:t>
      </w:r>
      <w:proofErr w:type="spellStart"/>
      <w:r w:rsidR="00936224" w:rsidRPr="00630159">
        <w:rPr>
          <w:sz w:val="22"/>
          <w:szCs w:val="22"/>
        </w:rPr>
        <w:t>Sharepoint</w:t>
      </w:r>
      <w:proofErr w:type="spellEnd"/>
      <w:r w:rsidR="00936224" w:rsidRPr="00630159">
        <w:rPr>
          <w:sz w:val="22"/>
          <w:szCs w:val="22"/>
        </w:rPr>
        <w:t xml:space="preserve"> 2010 and now hosted on Google services, which draws data from several external research trial registers, augments and present it with material to a website intended to inform patients and the public of trials in accordance with the Government’s policy of increased transparency. The Gateway also provides a generic web service feed utilised by NHS Choices and NHS Evidence. This service is planned to be transferred to the NIHR Clinical Research Network Coordinating Centre (NIHR CRNCC) and the successful management and delivery of this migration is essential </w:t>
      </w:r>
    </w:p>
    <w:p w14:paraId="4702B66B" w14:textId="77777777" w:rsidR="00936224" w:rsidRDefault="00936224" w:rsidP="00936224">
      <w:pPr>
        <w:widowControl/>
        <w:numPr>
          <w:ilvl w:val="2"/>
          <w:numId w:val="53"/>
        </w:numPr>
        <w:tabs>
          <w:tab w:val="left" w:pos="1800"/>
        </w:tabs>
        <w:spacing w:after="120" w:line="240" w:lineRule="auto"/>
        <w:ind w:left="540" w:firstLine="0"/>
        <w:rPr>
          <w:sz w:val="22"/>
          <w:szCs w:val="22"/>
        </w:rPr>
      </w:pPr>
      <w:r>
        <w:rPr>
          <w:sz w:val="22"/>
          <w:szCs w:val="22"/>
        </w:rPr>
        <w:t xml:space="preserve">A helpdesk service offering first line support to NIHR users of the services outlined above. This service is expected to make use of the existing helpdesk number and offer coverage from 08:00 to 18:00 each working day </w:t>
      </w:r>
      <w:r>
        <w:rPr>
          <w:b/>
          <w:sz w:val="22"/>
          <w:szCs w:val="22"/>
        </w:rPr>
        <w:t xml:space="preserve">at a bare </w:t>
      </w:r>
      <w:r w:rsidRPr="00756944">
        <w:rPr>
          <w:b/>
          <w:sz w:val="22"/>
          <w:szCs w:val="22"/>
        </w:rPr>
        <w:t>minimum</w:t>
      </w:r>
      <w:r>
        <w:rPr>
          <w:sz w:val="22"/>
          <w:szCs w:val="22"/>
        </w:rPr>
        <w:t xml:space="preserve">. Coverage beyond this time is anticipated to be part of the offering. First line support will be to support users with common problems such as password reset, and to make use of the extensive knowledge base that has been established. Where necessary support will be escalated to second line / third party support (e.g. for the NIHR website). A self-service ticketing arrangement for the generation and management of help and support has been implemented. Currently this service is embedded within the NIHR Hub and augmented by the </w:t>
      </w:r>
      <w:hyperlink r:id="rId30" w:history="1">
        <w:proofErr w:type="spellStart"/>
        <w:r w:rsidRPr="00EB2E56">
          <w:rPr>
            <w:rStyle w:val="Hyperlink"/>
            <w:sz w:val="22"/>
            <w:szCs w:val="22"/>
          </w:rPr>
          <w:t>ServiceNow</w:t>
        </w:r>
        <w:proofErr w:type="spellEnd"/>
      </w:hyperlink>
      <w:r>
        <w:rPr>
          <w:sz w:val="22"/>
          <w:szCs w:val="22"/>
        </w:rPr>
        <w:t xml:space="preserve"> product;</w:t>
      </w:r>
    </w:p>
    <w:p w14:paraId="4E1D09DA" w14:textId="77777777" w:rsidR="00936224" w:rsidRPr="00AB0DEF" w:rsidRDefault="00936224" w:rsidP="00936224">
      <w:pPr>
        <w:widowControl/>
        <w:numPr>
          <w:ilvl w:val="2"/>
          <w:numId w:val="53"/>
        </w:numPr>
        <w:tabs>
          <w:tab w:val="left" w:pos="1800"/>
        </w:tabs>
        <w:spacing w:after="120" w:line="240" w:lineRule="auto"/>
        <w:ind w:left="540" w:firstLine="0"/>
        <w:rPr>
          <w:sz w:val="22"/>
          <w:szCs w:val="22"/>
        </w:rPr>
      </w:pPr>
      <w:r>
        <w:rPr>
          <w:sz w:val="22"/>
          <w:szCs w:val="22"/>
        </w:rPr>
        <w:t>The ability to resource a</w:t>
      </w:r>
      <w:r w:rsidRPr="00AB0DEF">
        <w:rPr>
          <w:sz w:val="22"/>
          <w:szCs w:val="22"/>
        </w:rPr>
        <w:t xml:space="preserve"> scalable and flexible, though low level development group, for developments beyond those specified. Initially this is expected to be new low scale, low cost, high value developments, though with the capacity to include larger developments as and when necessary. This capacity is necessary to enable the NIHR IS Function support the development and delivery of Ministerial requirements or other opportunities.  As an example of the potential type of work this could support, under the previous contract this was used to deliver the Join </w:t>
      </w:r>
      <w:r>
        <w:rPr>
          <w:sz w:val="22"/>
          <w:szCs w:val="22"/>
        </w:rPr>
        <w:t xml:space="preserve">Dementia Research </w:t>
      </w:r>
      <w:r w:rsidRPr="00AB0DEF">
        <w:rPr>
          <w:sz w:val="22"/>
          <w:szCs w:val="22"/>
        </w:rPr>
        <w:t>recruitment system in support of the Pri</w:t>
      </w:r>
      <w:r>
        <w:rPr>
          <w:sz w:val="22"/>
          <w:szCs w:val="22"/>
        </w:rPr>
        <w:t>me Ministers Dementia Challenge as outlined in section 1 above. Any new development must be fully compatible with the current NIHR product suite and if necessary interoperate with other NIHR systems embedded in NIHR business units;</w:t>
      </w:r>
    </w:p>
    <w:p w14:paraId="4B0FC803" w14:textId="77777777" w:rsidR="00936224" w:rsidRDefault="00936224" w:rsidP="00936224">
      <w:pPr>
        <w:widowControl/>
        <w:numPr>
          <w:ilvl w:val="2"/>
          <w:numId w:val="53"/>
        </w:numPr>
        <w:tabs>
          <w:tab w:val="left" w:pos="1800"/>
        </w:tabs>
        <w:spacing w:after="120" w:line="240" w:lineRule="auto"/>
        <w:ind w:left="540" w:firstLine="0"/>
        <w:rPr>
          <w:sz w:val="22"/>
          <w:szCs w:val="22"/>
        </w:rPr>
      </w:pPr>
      <w:r w:rsidRPr="00AB0DEF">
        <w:rPr>
          <w:sz w:val="22"/>
          <w:szCs w:val="22"/>
        </w:rPr>
        <w:t xml:space="preserve">Contract management </w:t>
      </w:r>
      <w:r>
        <w:rPr>
          <w:sz w:val="22"/>
          <w:szCs w:val="22"/>
        </w:rPr>
        <w:t xml:space="preserve">and pass through costs </w:t>
      </w:r>
      <w:r w:rsidRPr="00AB0DEF">
        <w:rPr>
          <w:sz w:val="22"/>
          <w:szCs w:val="22"/>
        </w:rPr>
        <w:t xml:space="preserve">of a </w:t>
      </w:r>
      <w:r>
        <w:rPr>
          <w:sz w:val="22"/>
          <w:szCs w:val="22"/>
        </w:rPr>
        <w:t>small number</w:t>
      </w:r>
      <w:r w:rsidRPr="00AB0DEF">
        <w:rPr>
          <w:sz w:val="22"/>
          <w:szCs w:val="22"/>
        </w:rPr>
        <w:t xml:space="preserve"> knowledge based services provided as corporate tools to the wider NIHR. These currently include; </w:t>
      </w:r>
      <w:hyperlink r:id="rId31" w:history="1">
        <w:r w:rsidRPr="00877D2F">
          <w:rPr>
            <w:rStyle w:val="Hyperlink"/>
            <w:sz w:val="22"/>
            <w:szCs w:val="22"/>
          </w:rPr>
          <w:t>CHAIN</w:t>
        </w:r>
      </w:hyperlink>
      <w:r w:rsidRPr="00AB0DEF">
        <w:rPr>
          <w:sz w:val="22"/>
          <w:szCs w:val="22"/>
        </w:rPr>
        <w:t xml:space="preserve"> a peer to peer dissemination network</w:t>
      </w:r>
      <w:r>
        <w:rPr>
          <w:sz w:val="22"/>
          <w:szCs w:val="22"/>
        </w:rPr>
        <w:t xml:space="preserve">; the registration of NIHR studies onto an internationally recognised clinical trials register </w:t>
      </w:r>
      <w:hyperlink r:id="rId32" w:history="1">
        <w:r w:rsidRPr="00877D2F">
          <w:rPr>
            <w:rStyle w:val="Hyperlink"/>
            <w:sz w:val="22"/>
            <w:szCs w:val="22"/>
          </w:rPr>
          <w:t>ISRCTN</w:t>
        </w:r>
      </w:hyperlink>
      <w:r w:rsidRPr="00AB0DEF">
        <w:rPr>
          <w:sz w:val="22"/>
          <w:szCs w:val="22"/>
        </w:rPr>
        <w:t xml:space="preserve"> </w:t>
      </w:r>
      <w:r>
        <w:rPr>
          <w:sz w:val="22"/>
          <w:szCs w:val="22"/>
        </w:rPr>
        <w:t>and the associated registration costs; and the hosting of certain systems on Amazon Web Servers. This requirement is merely ensuring that the pass through costs are processed and paid accordingly there is minimal requirement on the supplier beyond this</w:t>
      </w:r>
    </w:p>
    <w:p w14:paraId="3778F06F" w14:textId="77777777" w:rsidR="00936224" w:rsidRPr="00AB0DEF" w:rsidRDefault="00B3638B" w:rsidP="00936224">
      <w:pPr>
        <w:widowControl/>
        <w:numPr>
          <w:ilvl w:val="2"/>
          <w:numId w:val="53"/>
        </w:numPr>
        <w:tabs>
          <w:tab w:val="left" w:pos="1800"/>
        </w:tabs>
        <w:spacing w:after="120" w:line="240" w:lineRule="auto"/>
        <w:ind w:left="540" w:firstLine="0"/>
        <w:rPr>
          <w:sz w:val="22"/>
          <w:szCs w:val="22"/>
        </w:rPr>
      </w:pPr>
      <w:hyperlink r:id="rId33" w:history="1">
        <w:r w:rsidR="00936224" w:rsidRPr="00A43B0F">
          <w:rPr>
            <w:rStyle w:val="Hyperlink"/>
            <w:b/>
            <w:sz w:val="22"/>
            <w:szCs w:val="22"/>
          </w:rPr>
          <w:t>Health Data Finder</w:t>
        </w:r>
      </w:hyperlink>
      <w:r w:rsidR="00936224" w:rsidRPr="00A43B0F">
        <w:rPr>
          <w:sz w:val="22"/>
          <w:szCs w:val="22"/>
        </w:rPr>
        <w:t xml:space="preserve"> is a </w:t>
      </w:r>
      <w:r w:rsidR="00936224">
        <w:rPr>
          <w:sz w:val="22"/>
          <w:szCs w:val="22"/>
        </w:rPr>
        <w:t>cloud</w:t>
      </w:r>
      <w:r w:rsidR="00936224" w:rsidRPr="00A43B0F">
        <w:rPr>
          <w:sz w:val="22"/>
          <w:szCs w:val="22"/>
        </w:rPr>
        <w:t xml:space="preserve"> based portal that enables researchers, to find information about the UK healthcare data sets that are available for research and to direct them to the relevant data custodian experts to request access to these data sets. The aim of the Health Data Finder for Research is to help navigate the UK health data landscape. It includes a Metadata Catalogue, which is a catalogue describing the data sets available for research and contains information about these data sets, including coverage, provenance, attributes, spatiality and temporality.</w:t>
      </w:r>
      <w:r w:rsidR="00936224">
        <w:rPr>
          <w:sz w:val="22"/>
          <w:szCs w:val="22"/>
        </w:rPr>
        <w:t xml:space="preserve"> </w:t>
      </w:r>
      <w:r w:rsidR="00936224" w:rsidRPr="00A43B0F">
        <w:rPr>
          <w:sz w:val="22"/>
          <w:szCs w:val="22"/>
        </w:rPr>
        <w:t xml:space="preserve">The Health Data Finder for Research has been developed in partnership with the following organisations: Clinical Practice Research Datalink, Health &amp; Social Care Information Centre, NIHR Health Informatics Collaborative and Public Health England. </w:t>
      </w:r>
      <w:r w:rsidR="00936224">
        <w:rPr>
          <w:sz w:val="22"/>
          <w:szCs w:val="22"/>
        </w:rPr>
        <w:t>The supplier will be expected to ensure the hosting, maintenance, development and monitoring the service for administration and development purposes as well as providing regular reports back to the Authority of usage</w:t>
      </w:r>
      <w:r w:rsidR="00936224" w:rsidRPr="00AB0DEF">
        <w:rPr>
          <w:sz w:val="22"/>
          <w:szCs w:val="22"/>
        </w:rPr>
        <w:t>.</w:t>
      </w:r>
      <w:r w:rsidR="00936224">
        <w:rPr>
          <w:sz w:val="22"/>
          <w:szCs w:val="22"/>
        </w:rPr>
        <w:t xml:space="preserve"> The supplier will also need to provide a project manager to be responsible for the management and delivery of the system as well as the operation and administration of the Project Steering Group and Project Delivery Boards.</w:t>
      </w:r>
    </w:p>
    <w:p w14:paraId="35ACA7E5" w14:textId="77777777" w:rsidR="00936224" w:rsidRPr="00AB0DEF" w:rsidRDefault="00936224" w:rsidP="00936224">
      <w:pPr>
        <w:tabs>
          <w:tab w:val="num" w:pos="1800"/>
          <w:tab w:val="num" w:pos="1843"/>
        </w:tabs>
        <w:spacing w:after="120"/>
        <w:ind w:left="540" w:hanging="540"/>
        <w:rPr>
          <w:sz w:val="22"/>
          <w:szCs w:val="22"/>
        </w:rPr>
      </w:pPr>
    </w:p>
    <w:p w14:paraId="3BB1C04D" w14:textId="77777777" w:rsidR="00936224" w:rsidRPr="00AB0DEF" w:rsidRDefault="00936224" w:rsidP="00936224">
      <w:pPr>
        <w:tabs>
          <w:tab w:val="num" w:pos="1800"/>
          <w:tab w:val="num" w:pos="1843"/>
        </w:tabs>
        <w:spacing w:after="120"/>
        <w:rPr>
          <w:sz w:val="22"/>
          <w:szCs w:val="22"/>
        </w:rPr>
      </w:pPr>
      <w:r w:rsidRPr="00AB0DEF">
        <w:rPr>
          <w:sz w:val="22"/>
          <w:szCs w:val="22"/>
        </w:rPr>
        <w:t xml:space="preserve">The above services will be required to be in place from the commencement of the contract and be delivered with no break in continuity. </w:t>
      </w:r>
      <w:r>
        <w:rPr>
          <w:sz w:val="22"/>
          <w:szCs w:val="22"/>
        </w:rPr>
        <w:t xml:space="preserve">It is anticipated that the supplier will operate on a monthly fee basis for the provision of all the above utilising a fixed fee where possible. It is also expected that the supplier will operate in line with Government policy on IT including “Cloud First” and any other applicable policies or future policies. </w:t>
      </w:r>
    </w:p>
    <w:p w14:paraId="7C01CEF3" w14:textId="77777777" w:rsidR="00076044" w:rsidRDefault="004B26D3">
      <w:pPr>
        <w:pStyle w:val="Heading1"/>
        <w:spacing w:after="200" w:line="276" w:lineRule="auto"/>
        <w:rPr>
          <w:rFonts w:ascii="Helvetica Neue" w:eastAsia="Helvetica Neue" w:hAnsi="Helvetica Neue" w:cs="Helvetica Neue"/>
          <w:sz w:val="36"/>
          <w:szCs w:val="36"/>
        </w:rPr>
      </w:pPr>
      <w:bookmarkStart w:id="48" w:name="_mi4cqc22ysv" w:colFirst="0" w:colLast="0"/>
      <w:bookmarkEnd w:id="48"/>
      <w:r>
        <w:rPr>
          <w:rFonts w:ascii="Helvetica Neue" w:eastAsia="Helvetica Neue" w:hAnsi="Helvetica Neue" w:cs="Helvetica Neue"/>
          <w:sz w:val="36"/>
          <w:szCs w:val="36"/>
        </w:rPr>
        <w:t>Schedule 2 - Call-Off Contract charges</w:t>
      </w:r>
    </w:p>
    <w:p w14:paraId="6C6D4A5E"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7CAEF5C" w14:textId="77777777" w:rsidR="00076044" w:rsidRDefault="00076044">
      <w:pPr>
        <w:spacing w:after="0"/>
        <w:rPr>
          <w:rFonts w:ascii="Helvetica Neue" w:eastAsia="Helvetica Neue" w:hAnsi="Helvetica Neue" w:cs="Helvetica Neue"/>
          <w:b/>
        </w:rPr>
      </w:pPr>
    </w:p>
    <w:p w14:paraId="672261D6" w14:textId="77777777" w:rsidR="00076044" w:rsidRDefault="00076044" w:rsidP="00D60DBE">
      <w:pPr>
        <w:shd w:val="clear" w:color="auto" w:fill="000000" w:themeFill="text1"/>
        <w:spacing w:after="0"/>
        <w:rPr>
          <w:rFonts w:ascii="Helvetica Neue" w:eastAsia="Helvetica Neue" w:hAnsi="Helvetica Neue" w:cs="Helvetica Neue"/>
          <w:b/>
        </w:rPr>
      </w:pPr>
    </w:p>
    <w:p w14:paraId="2D1046B4" w14:textId="77777777" w:rsidR="00076044" w:rsidRDefault="004B26D3">
      <w:pPr>
        <w:pStyle w:val="Heading1"/>
        <w:spacing w:after="0" w:line="276" w:lineRule="auto"/>
        <w:rPr>
          <w:rFonts w:ascii="Helvetica Neue" w:eastAsia="Helvetica Neue" w:hAnsi="Helvetica Neue" w:cs="Helvetica Neue"/>
          <w:sz w:val="36"/>
          <w:szCs w:val="36"/>
        </w:rPr>
      </w:pPr>
      <w:bookmarkStart w:id="49" w:name="_on10w3898fso" w:colFirst="0" w:colLast="0"/>
      <w:bookmarkEnd w:id="49"/>
      <w:r>
        <w:rPr>
          <w:rFonts w:ascii="Helvetica Neue" w:eastAsia="Helvetica Neue" w:hAnsi="Helvetica Neue" w:cs="Helvetica Neue"/>
          <w:sz w:val="36"/>
          <w:szCs w:val="36"/>
        </w:rPr>
        <w:t>Part B - Terms and conditions</w:t>
      </w:r>
    </w:p>
    <w:p w14:paraId="647539CF" w14:textId="77777777" w:rsidR="00076044" w:rsidRDefault="00076044">
      <w:pPr>
        <w:spacing w:after="0"/>
        <w:rPr>
          <w:rFonts w:ascii="Helvetica Neue" w:eastAsia="Helvetica Neue" w:hAnsi="Helvetica Neue" w:cs="Helvetica Neue"/>
          <w:b/>
        </w:rPr>
      </w:pPr>
    </w:p>
    <w:p w14:paraId="0037B2EA" w14:textId="77777777"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14:paraId="73D76005"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288B95AF" w14:textId="77777777"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rPr>
        <w:t>Ended</w:t>
      </w:r>
      <w:proofErr w:type="gramEnd"/>
      <w:r>
        <w:rPr>
          <w:rFonts w:ascii="Helvetica Neue" w:eastAsia="Helvetica Neue" w:hAnsi="Helvetica Neue" w:cs="Helvetica Neue"/>
        </w:rPr>
        <w:t xml:space="preserve"> earlier under clause 18 or extended by the Buyer under clause 1.3.</w:t>
      </w:r>
    </w:p>
    <w:p w14:paraId="0DFA11CD"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4D8993ED" w14:textId="77777777"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31FCDC9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14:paraId="4CA853FE" w14:textId="77777777"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70AB12C2" w14:textId="77777777" w:rsidR="009D75C5" w:rsidRDefault="004B26D3" w:rsidP="009D75C5">
      <w:pPr>
        <w:numPr>
          <w:ilvl w:val="1"/>
          <w:numId w:val="24"/>
        </w:numPr>
        <w:ind w:hanging="360"/>
        <w:contextualSpacing/>
        <w:rPr>
          <w:rFonts w:ascii="Helvetica Neue" w:eastAsia="Helvetica Neue" w:hAnsi="Helvetica Neue" w:cs="Helvetica Neue"/>
        </w:rPr>
      </w:pPr>
      <w:bookmarkStart w:id="50" w:name="_7ufvlylc57w" w:colFirst="0" w:colLast="0"/>
      <w:bookmarkEnd w:id="50"/>
      <w:r w:rsidRPr="009D75C5">
        <w:rPr>
          <w:rFonts w:ascii="Helvetica Neue" w:eastAsia="Helvetica Neue" w:hAnsi="Helvetica Neue" w:cs="Helvetica Neue"/>
        </w:rPr>
        <w:t>4.1 (Warranties and representations)</w:t>
      </w:r>
      <w:bookmarkStart w:id="51" w:name="_4qgmyaobct7l" w:colFirst="0" w:colLast="0"/>
      <w:bookmarkEnd w:id="51"/>
      <w:r w:rsidR="009D75C5" w:rsidRPr="009D75C5">
        <w:rPr>
          <w:rFonts w:ascii="Helvetica Neue" w:eastAsia="Helvetica Neue" w:hAnsi="Helvetica Neue" w:cs="Helvetica Neue"/>
        </w:rPr>
        <w:t xml:space="preserve"> </w:t>
      </w:r>
    </w:p>
    <w:p w14:paraId="6DFB945C" w14:textId="77777777" w:rsidR="00076044" w:rsidRPr="009D75C5" w:rsidRDefault="004B26D3" w:rsidP="000B1C76">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67777F3C" w14:textId="77777777" w:rsidR="00076044" w:rsidRDefault="004B26D3">
      <w:pPr>
        <w:numPr>
          <w:ilvl w:val="1"/>
          <w:numId w:val="24"/>
        </w:numPr>
        <w:ind w:hanging="360"/>
        <w:contextualSpacing/>
        <w:rPr>
          <w:rFonts w:ascii="Helvetica Neue" w:eastAsia="Helvetica Neue" w:hAnsi="Helvetica Neue" w:cs="Helvetica Neue"/>
        </w:rPr>
      </w:pPr>
      <w:bookmarkStart w:id="52" w:name="_zggo63kp7s7a" w:colFirst="0" w:colLast="0"/>
      <w:bookmarkEnd w:id="52"/>
      <w:r>
        <w:rPr>
          <w:rFonts w:ascii="Helvetica Neue" w:eastAsia="Helvetica Neue" w:hAnsi="Helvetica Neue" w:cs="Helvetica Neue"/>
        </w:rPr>
        <w:t>4.11 to 4.12 (IR35)</w:t>
      </w:r>
    </w:p>
    <w:p w14:paraId="6E591DB3" w14:textId="77777777" w:rsidR="00076044" w:rsidRDefault="004B26D3">
      <w:pPr>
        <w:numPr>
          <w:ilvl w:val="1"/>
          <w:numId w:val="24"/>
        </w:numPr>
        <w:ind w:hanging="360"/>
        <w:contextualSpacing/>
        <w:rPr>
          <w:rFonts w:ascii="Helvetica Neue" w:eastAsia="Helvetica Neue" w:hAnsi="Helvetica Neue" w:cs="Helvetica Neue"/>
        </w:rPr>
      </w:pPr>
      <w:bookmarkStart w:id="53" w:name="_l0wad9mkk14m" w:colFirst="0" w:colLast="0"/>
      <w:bookmarkEnd w:id="53"/>
      <w:r>
        <w:rPr>
          <w:rFonts w:ascii="Helvetica Neue" w:eastAsia="Helvetica Neue" w:hAnsi="Helvetica Neue" w:cs="Helvetica Neue"/>
        </w:rPr>
        <w:t>5.4 to 5.5 (Force majeure)</w:t>
      </w:r>
    </w:p>
    <w:p w14:paraId="6BD5545C" w14:textId="77777777" w:rsidR="003B01E7" w:rsidRDefault="004B26D3" w:rsidP="003B01E7">
      <w:pPr>
        <w:numPr>
          <w:ilvl w:val="1"/>
          <w:numId w:val="24"/>
        </w:numPr>
        <w:ind w:hanging="360"/>
        <w:contextualSpacing/>
        <w:rPr>
          <w:rFonts w:ascii="Helvetica Neue" w:eastAsia="Helvetica Neue" w:hAnsi="Helvetica Neue" w:cs="Helvetica Neue"/>
        </w:rPr>
      </w:pPr>
      <w:bookmarkStart w:id="54" w:name="_t2msquoose3b" w:colFirst="0" w:colLast="0"/>
      <w:bookmarkEnd w:id="54"/>
      <w:r w:rsidRPr="003B01E7">
        <w:rPr>
          <w:rFonts w:ascii="Helvetica Neue" w:eastAsia="Helvetica Neue" w:hAnsi="Helvetica Neue" w:cs="Helvetica Neue"/>
        </w:rPr>
        <w:t>5.8 (Continuing rights)</w:t>
      </w:r>
      <w:bookmarkStart w:id="55" w:name="_z5chnjhzaet0" w:colFirst="0" w:colLast="0"/>
      <w:bookmarkEnd w:id="55"/>
      <w:r w:rsidR="003B01E7" w:rsidRPr="003B01E7">
        <w:rPr>
          <w:rFonts w:ascii="Helvetica Neue" w:eastAsia="Helvetica Neue" w:hAnsi="Helvetica Neue" w:cs="Helvetica Neue"/>
        </w:rPr>
        <w:t xml:space="preserve"> </w:t>
      </w:r>
    </w:p>
    <w:p w14:paraId="721242D5" w14:textId="77777777"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419AD77F" w14:textId="77777777" w:rsidR="00076044" w:rsidRDefault="004B26D3">
      <w:pPr>
        <w:numPr>
          <w:ilvl w:val="1"/>
          <w:numId w:val="24"/>
        </w:numPr>
        <w:ind w:hanging="360"/>
        <w:contextualSpacing/>
        <w:rPr>
          <w:rFonts w:ascii="Helvetica Neue" w:eastAsia="Helvetica Neue" w:hAnsi="Helvetica Neue" w:cs="Helvetica Neue"/>
        </w:rPr>
      </w:pPr>
      <w:bookmarkStart w:id="56" w:name="_xi3yu141afy3" w:colFirst="0" w:colLast="0"/>
      <w:bookmarkEnd w:id="56"/>
      <w:r>
        <w:rPr>
          <w:rFonts w:ascii="Helvetica Neue" w:eastAsia="Helvetica Neue" w:hAnsi="Helvetica Neue" w:cs="Helvetica Neue"/>
        </w:rPr>
        <w:t>5.12 (Fraud)</w:t>
      </w:r>
    </w:p>
    <w:p w14:paraId="6C49EF30" w14:textId="77777777" w:rsidR="00076044" w:rsidRDefault="004B26D3">
      <w:pPr>
        <w:numPr>
          <w:ilvl w:val="1"/>
          <w:numId w:val="24"/>
        </w:numPr>
        <w:ind w:hanging="360"/>
        <w:contextualSpacing/>
        <w:rPr>
          <w:rFonts w:ascii="Helvetica Neue" w:eastAsia="Helvetica Neue" w:hAnsi="Helvetica Neue" w:cs="Helvetica Neue"/>
        </w:rPr>
      </w:pPr>
      <w:bookmarkStart w:id="57" w:name="_ata7ymz16ovs" w:colFirst="0" w:colLast="0"/>
      <w:bookmarkEnd w:id="57"/>
      <w:r>
        <w:rPr>
          <w:rFonts w:ascii="Helvetica Neue" w:eastAsia="Helvetica Neue" w:hAnsi="Helvetica Neue" w:cs="Helvetica Neue"/>
        </w:rPr>
        <w:t>5.13 (Notice of fraud)</w:t>
      </w:r>
    </w:p>
    <w:p w14:paraId="6B69EC49" w14:textId="77777777" w:rsidR="00076044" w:rsidRDefault="004B26D3">
      <w:pPr>
        <w:numPr>
          <w:ilvl w:val="1"/>
          <w:numId w:val="24"/>
        </w:numPr>
        <w:ind w:hanging="360"/>
        <w:contextualSpacing/>
        <w:rPr>
          <w:rFonts w:ascii="Helvetica Neue" w:eastAsia="Helvetica Neue" w:hAnsi="Helvetica Neue" w:cs="Helvetica Neue"/>
        </w:rPr>
      </w:pPr>
      <w:bookmarkStart w:id="58" w:name="_fkyoint63nz9" w:colFirst="0" w:colLast="0"/>
      <w:bookmarkEnd w:id="58"/>
      <w:r>
        <w:rPr>
          <w:rFonts w:ascii="Helvetica Neue" w:eastAsia="Helvetica Neue" w:hAnsi="Helvetica Neue" w:cs="Helvetica Neue"/>
        </w:rPr>
        <w:t>7.1 to 7.2 (Transparency)</w:t>
      </w:r>
    </w:p>
    <w:p w14:paraId="599AA36E" w14:textId="77777777" w:rsidR="00076044" w:rsidRDefault="004B26D3">
      <w:pPr>
        <w:numPr>
          <w:ilvl w:val="1"/>
          <w:numId w:val="24"/>
        </w:numPr>
        <w:ind w:hanging="360"/>
        <w:contextualSpacing/>
        <w:rPr>
          <w:rFonts w:ascii="Helvetica Neue" w:eastAsia="Helvetica Neue" w:hAnsi="Helvetica Neue" w:cs="Helvetica Neue"/>
        </w:rPr>
      </w:pPr>
      <w:bookmarkStart w:id="59" w:name="_9iemmotrtveu" w:colFirst="0" w:colLast="0"/>
      <w:bookmarkEnd w:id="59"/>
      <w:r>
        <w:rPr>
          <w:rFonts w:ascii="Helvetica Neue" w:eastAsia="Helvetica Neue" w:hAnsi="Helvetica Neue" w:cs="Helvetica Neue"/>
        </w:rPr>
        <w:t>8.3 (Order of precedence)</w:t>
      </w:r>
    </w:p>
    <w:p w14:paraId="1C7C96FE" w14:textId="77777777" w:rsidR="00076044" w:rsidRDefault="004B26D3">
      <w:pPr>
        <w:numPr>
          <w:ilvl w:val="1"/>
          <w:numId w:val="24"/>
        </w:numPr>
        <w:ind w:hanging="360"/>
        <w:contextualSpacing/>
        <w:rPr>
          <w:rFonts w:ascii="Helvetica Neue" w:eastAsia="Helvetica Neue" w:hAnsi="Helvetica Neue" w:cs="Helvetica Neue"/>
        </w:rPr>
      </w:pPr>
      <w:bookmarkStart w:id="60" w:name="_tf0ykdt5ev" w:colFirst="0" w:colLast="0"/>
      <w:bookmarkEnd w:id="60"/>
      <w:r>
        <w:rPr>
          <w:rFonts w:ascii="Helvetica Neue" w:eastAsia="Helvetica Neue" w:hAnsi="Helvetica Neue" w:cs="Helvetica Neue"/>
        </w:rPr>
        <w:t>8.4 (Relationship)</w:t>
      </w:r>
    </w:p>
    <w:p w14:paraId="72B9548E" w14:textId="77777777" w:rsidR="00076044" w:rsidRDefault="004B26D3">
      <w:pPr>
        <w:numPr>
          <w:ilvl w:val="1"/>
          <w:numId w:val="24"/>
        </w:numPr>
        <w:ind w:hanging="360"/>
        <w:contextualSpacing/>
        <w:rPr>
          <w:rFonts w:ascii="Helvetica Neue" w:eastAsia="Helvetica Neue" w:hAnsi="Helvetica Neue" w:cs="Helvetica Neue"/>
        </w:rPr>
      </w:pPr>
      <w:bookmarkStart w:id="61" w:name="_naatyuhqkhsy" w:colFirst="0" w:colLast="0"/>
      <w:bookmarkEnd w:id="61"/>
      <w:r>
        <w:rPr>
          <w:rFonts w:ascii="Helvetica Neue" w:eastAsia="Helvetica Neue" w:hAnsi="Helvetica Neue" w:cs="Helvetica Neue"/>
        </w:rPr>
        <w:t>8.7 to 8.9 (Entire agreement)</w:t>
      </w:r>
    </w:p>
    <w:p w14:paraId="4AEDB3F6" w14:textId="77777777" w:rsidR="00076044" w:rsidRDefault="004B26D3">
      <w:pPr>
        <w:numPr>
          <w:ilvl w:val="1"/>
          <w:numId w:val="24"/>
        </w:numPr>
        <w:ind w:hanging="360"/>
        <w:contextualSpacing/>
        <w:rPr>
          <w:rFonts w:ascii="Helvetica Neue" w:eastAsia="Helvetica Neue" w:hAnsi="Helvetica Neue" w:cs="Helvetica Neue"/>
        </w:rPr>
      </w:pPr>
      <w:bookmarkStart w:id="62" w:name="_xnkwn0kmcpb3" w:colFirst="0" w:colLast="0"/>
      <w:bookmarkEnd w:id="62"/>
      <w:r>
        <w:rPr>
          <w:rFonts w:ascii="Helvetica Neue" w:eastAsia="Helvetica Neue" w:hAnsi="Helvetica Neue" w:cs="Helvetica Neue"/>
        </w:rPr>
        <w:t>8.10 (Law and jurisdiction)</w:t>
      </w:r>
    </w:p>
    <w:p w14:paraId="1C1DBF42" w14:textId="77777777" w:rsidR="00076044" w:rsidRDefault="004B26D3">
      <w:pPr>
        <w:numPr>
          <w:ilvl w:val="1"/>
          <w:numId w:val="24"/>
        </w:numPr>
        <w:ind w:hanging="360"/>
        <w:contextualSpacing/>
        <w:rPr>
          <w:rFonts w:ascii="Helvetica Neue" w:eastAsia="Helvetica Neue" w:hAnsi="Helvetica Neue" w:cs="Helvetica Neue"/>
        </w:rPr>
      </w:pPr>
      <w:bookmarkStart w:id="63" w:name="_cpz8pmimqxjf" w:colFirst="0" w:colLast="0"/>
      <w:bookmarkEnd w:id="63"/>
      <w:r>
        <w:rPr>
          <w:rFonts w:ascii="Helvetica Neue" w:eastAsia="Helvetica Neue" w:hAnsi="Helvetica Neue" w:cs="Helvetica Neue"/>
        </w:rPr>
        <w:t>8.11 to 8.12 (Legislative change)</w:t>
      </w:r>
    </w:p>
    <w:p w14:paraId="3C3F071E" w14:textId="77777777" w:rsidR="00076044" w:rsidRDefault="004B26D3">
      <w:pPr>
        <w:numPr>
          <w:ilvl w:val="1"/>
          <w:numId w:val="24"/>
        </w:numPr>
        <w:ind w:hanging="360"/>
        <w:contextualSpacing/>
        <w:rPr>
          <w:rFonts w:ascii="Helvetica Neue" w:eastAsia="Helvetica Neue" w:hAnsi="Helvetica Neue" w:cs="Helvetica Neue"/>
        </w:rPr>
      </w:pPr>
      <w:bookmarkStart w:id="64" w:name="_vxjr3igvbeu1" w:colFirst="0" w:colLast="0"/>
      <w:bookmarkEnd w:id="64"/>
      <w:r>
        <w:rPr>
          <w:rFonts w:ascii="Helvetica Neue" w:eastAsia="Helvetica Neue" w:hAnsi="Helvetica Neue" w:cs="Helvetica Neue"/>
        </w:rPr>
        <w:t>8.13 to 8.17 (Bribery and corruption)</w:t>
      </w:r>
    </w:p>
    <w:p w14:paraId="5900CFF5" w14:textId="77777777" w:rsidR="00076044" w:rsidRDefault="004B26D3">
      <w:pPr>
        <w:numPr>
          <w:ilvl w:val="1"/>
          <w:numId w:val="24"/>
        </w:numPr>
        <w:ind w:hanging="360"/>
        <w:contextualSpacing/>
        <w:rPr>
          <w:rFonts w:ascii="Helvetica Neue" w:eastAsia="Helvetica Neue" w:hAnsi="Helvetica Neue" w:cs="Helvetica Neue"/>
        </w:rPr>
      </w:pPr>
      <w:bookmarkStart w:id="65" w:name="_kszap48p7wt0" w:colFirst="0" w:colLast="0"/>
      <w:bookmarkEnd w:id="65"/>
      <w:r>
        <w:rPr>
          <w:rFonts w:ascii="Helvetica Neue" w:eastAsia="Helvetica Neue" w:hAnsi="Helvetica Neue" w:cs="Helvetica Neue"/>
        </w:rPr>
        <w:t>8.18 to 8.27 (Freedom of Information Act)</w:t>
      </w:r>
    </w:p>
    <w:p w14:paraId="0F36BD7A" w14:textId="77777777" w:rsidR="00076044" w:rsidRDefault="004B26D3">
      <w:pPr>
        <w:numPr>
          <w:ilvl w:val="1"/>
          <w:numId w:val="24"/>
        </w:numPr>
        <w:ind w:hanging="360"/>
        <w:contextualSpacing/>
        <w:rPr>
          <w:rFonts w:ascii="Helvetica Neue" w:eastAsia="Helvetica Neue" w:hAnsi="Helvetica Neue" w:cs="Helvetica Neue"/>
        </w:rPr>
      </w:pPr>
      <w:bookmarkStart w:id="66" w:name="_m9g4hob710e0" w:colFirst="0" w:colLast="0"/>
      <w:bookmarkEnd w:id="66"/>
      <w:r>
        <w:rPr>
          <w:rFonts w:ascii="Helvetica Neue" w:eastAsia="Helvetica Neue" w:hAnsi="Helvetica Neue" w:cs="Helvetica Neue"/>
        </w:rPr>
        <w:t xml:space="preserve">8.28 to 8.29 (Promoting tax compliance) </w:t>
      </w:r>
    </w:p>
    <w:p w14:paraId="420FB222" w14:textId="77777777" w:rsidR="00076044" w:rsidRDefault="004B26D3">
      <w:pPr>
        <w:numPr>
          <w:ilvl w:val="1"/>
          <w:numId w:val="24"/>
        </w:numPr>
        <w:ind w:hanging="360"/>
        <w:contextualSpacing/>
        <w:rPr>
          <w:rFonts w:ascii="Helvetica Neue" w:eastAsia="Helvetica Neue" w:hAnsi="Helvetica Neue" w:cs="Helvetica Neue"/>
        </w:rPr>
      </w:pPr>
      <w:bookmarkStart w:id="67" w:name="_nep14ssihkdx" w:colFirst="0" w:colLast="0"/>
      <w:bookmarkEnd w:id="67"/>
      <w:r>
        <w:rPr>
          <w:rFonts w:ascii="Helvetica Neue" w:eastAsia="Helvetica Neue" w:hAnsi="Helvetica Neue" w:cs="Helvetica Neue"/>
        </w:rPr>
        <w:t>8.30 to 8.31 (Official Secrets Act)</w:t>
      </w:r>
    </w:p>
    <w:p w14:paraId="6F31A0C2" w14:textId="77777777" w:rsidR="00076044" w:rsidRDefault="004B26D3">
      <w:pPr>
        <w:numPr>
          <w:ilvl w:val="1"/>
          <w:numId w:val="24"/>
        </w:numPr>
        <w:ind w:hanging="360"/>
        <w:contextualSpacing/>
        <w:rPr>
          <w:rFonts w:ascii="Helvetica Neue" w:eastAsia="Helvetica Neue" w:hAnsi="Helvetica Neue" w:cs="Helvetica Neue"/>
        </w:rPr>
      </w:pPr>
      <w:bookmarkStart w:id="68" w:name="_pfv9e4x6613e" w:colFirst="0" w:colLast="0"/>
      <w:bookmarkEnd w:id="68"/>
      <w:r>
        <w:rPr>
          <w:rFonts w:ascii="Helvetica Neue" w:eastAsia="Helvetica Neue" w:hAnsi="Helvetica Neue" w:cs="Helvetica Neue"/>
        </w:rPr>
        <w:t>8.32 to 8.35 (Transfer and subcontracting)</w:t>
      </w:r>
    </w:p>
    <w:p w14:paraId="5DF12D95" w14:textId="77777777" w:rsidR="00076044" w:rsidRDefault="004B26D3">
      <w:pPr>
        <w:numPr>
          <w:ilvl w:val="1"/>
          <w:numId w:val="24"/>
        </w:numPr>
        <w:ind w:hanging="360"/>
        <w:contextualSpacing/>
        <w:rPr>
          <w:rFonts w:ascii="Helvetica Neue" w:eastAsia="Helvetica Neue" w:hAnsi="Helvetica Neue" w:cs="Helvetica Neue"/>
        </w:rPr>
      </w:pPr>
      <w:bookmarkStart w:id="69" w:name="_6sdo70ih1iyh" w:colFirst="0" w:colLast="0"/>
      <w:bookmarkEnd w:id="69"/>
      <w:r>
        <w:rPr>
          <w:rFonts w:ascii="Helvetica Neue" w:eastAsia="Helvetica Neue" w:hAnsi="Helvetica Neue" w:cs="Helvetica Neue"/>
        </w:rPr>
        <w:t>8.38 to 8.41 (Complaints handling and resolution)</w:t>
      </w:r>
    </w:p>
    <w:p w14:paraId="086E97C1" w14:textId="77777777" w:rsidR="00076044" w:rsidRDefault="004B26D3">
      <w:pPr>
        <w:numPr>
          <w:ilvl w:val="1"/>
          <w:numId w:val="24"/>
        </w:numPr>
        <w:ind w:hanging="360"/>
        <w:contextualSpacing/>
        <w:rPr>
          <w:rFonts w:ascii="Helvetica Neue" w:eastAsia="Helvetica Neue" w:hAnsi="Helvetica Neue" w:cs="Helvetica Neue"/>
        </w:rPr>
      </w:pPr>
      <w:bookmarkStart w:id="70" w:name="_y7s12y9u6ri2" w:colFirst="0" w:colLast="0"/>
      <w:bookmarkEnd w:id="70"/>
      <w:r>
        <w:rPr>
          <w:rFonts w:ascii="Helvetica Neue" w:eastAsia="Helvetica Neue" w:hAnsi="Helvetica Neue" w:cs="Helvetica Neue"/>
        </w:rPr>
        <w:t>8.49 to 8.51 (Publicity and branding)</w:t>
      </w:r>
    </w:p>
    <w:p w14:paraId="15C08CCD" w14:textId="77777777" w:rsidR="00076044" w:rsidRDefault="004B26D3">
      <w:pPr>
        <w:numPr>
          <w:ilvl w:val="1"/>
          <w:numId w:val="24"/>
        </w:numPr>
        <w:ind w:hanging="360"/>
        <w:contextualSpacing/>
        <w:rPr>
          <w:rFonts w:ascii="Helvetica Neue" w:eastAsia="Helvetica Neue" w:hAnsi="Helvetica Neue" w:cs="Helvetica Neue"/>
        </w:rPr>
      </w:pPr>
      <w:bookmarkStart w:id="71" w:name="_jcyecnr8hxv0" w:colFirst="0" w:colLast="0"/>
      <w:bookmarkEnd w:id="71"/>
      <w:r>
        <w:rPr>
          <w:rFonts w:ascii="Helvetica Neue" w:eastAsia="Helvetica Neue" w:hAnsi="Helvetica Neue" w:cs="Helvetica Neue"/>
        </w:rPr>
        <w:t>8.42 to 8.48 (Conflicts of interest and ethical walls)</w:t>
      </w:r>
    </w:p>
    <w:p w14:paraId="16E6451B" w14:textId="77777777" w:rsidR="00076044" w:rsidRDefault="004B26D3">
      <w:pPr>
        <w:numPr>
          <w:ilvl w:val="1"/>
          <w:numId w:val="24"/>
        </w:numPr>
        <w:ind w:hanging="360"/>
        <w:contextualSpacing/>
        <w:rPr>
          <w:rFonts w:ascii="Helvetica Neue" w:eastAsia="Helvetica Neue" w:hAnsi="Helvetica Neue" w:cs="Helvetica Neue"/>
        </w:rPr>
      </w:pPr>
      <w:bookmarkStart w:id="72" w:name="_7xyhk85tkatg" w:colFirst="0" w:colLast="0"/>
      <w:bookmarkEnd w:id="72"/>
      <w:r>
        <w:rPr>
          <w:rFonts w:ascii="Helvetica Neue" w:eastAsia="Helvetica Neue" w:hAnsi="Helvetica Neue" w:cs="Helvetica Neue"/>
        </w:rPr>
        <w:t>8.52 to 8.54 (Equality and diversity)</w:t>
      </w:r>
    </w:p>
    <w:p w14:paraId="1AF5CBDE" w14:textId="77777777" w:rsidR="009D75C5" w:rsidRDefault="004B26D3" w:rsidP="009D75C5">
      <w:pPr>
        <w:numPr>
          <w:ilvl w:val="1"/>
          <w:numId w:val="24"/>
        </w:numPr>
        <w:ind w:hanging="360"/>
        <w:contextualSpacing/>
        <w:rPr>
          <w:rFonts w:ascii="Helvetica Neue" w:eastAsia="Helvetica Neue" w:hAnsi="Helvetica Neue" w:cs="Helvetica Neue"/>
        </w:rPr>
      </w:pPr>
      <w:bookmarkStart w:id="73" w:name="_ssevvrz51zz4" w:colFirst="0" w:colLast="0"/>
      <w:bookmarkEnd w:id="73"/>
      <w:r w:rsidRPr="009D75C5">
        <w:rPr>
          <w:rFonts w:ascii="Helvetica Neue" w:eastAsia="Helvetica Neue" w:hAnsi="Helvetica Neue" w:cs="Helvetica Neue"/>
        </w:rPr>
        <w:t>8.57 to 8.62 (Data protection and disclosure)</w:t>
      </w:r>
      <w:bookmarkStart w:id="74" w:name="_339cc6spjks0" w:colFirst="0" w:colLast="0"/>
      <w:bookmarkEnd w:id="74"/>
      <w:r w:rsidR="009D75C5" w:rsidRPr="009D75C5">
        <w:rPr>
          <w:rFonts w:ascii="Helvetica Neue" w:eastAsia="Helvetica Neue" w:hAnsi="Helvetica Neue" w:cs="Helvetica Neue"/>
        </w:rPr>
        <w:t xml:space="preserve"> </w:t>
      </w:r>
    </w:p>
    <w:p w14:paraId="629AB9D2" w14:textId="77777777" w:rsidR="00076044" w:rsidRPr="009D75C5" w:rsidRDefault="004B26D3" w:rsidP="000B1C76">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14:paraId="64D793A4" w14:textId="77777777" w:rsidR="00076044" w:rsidRDefault="004B26D3">
      <w:pPr>
        <w:numPr>
          <w:ilvl w:val="1"/>
          <w:numId w:val="24"/>
        </w:numPr>
        <w:ind w:hanging="360"/>
        <w:contextualSpacing/>
        <w:rPr>
          <w:rFonts w:ascii="Helvetica Neue" w:eastAsia="Helvetica Neue" w:hAnsi="Helvetica Neue" w:cs="Helvetica Neue"/>
        </w:rPr>
      </w:pPr>
      <w:bookmarkStart w:id="75" w:name="_wo0xnjlyfmiu" w:colFirst="0" w:colLast="0"/>
      <w:bookmarkEnd w:id="75"/>
      <w:r>
        <w:rPr>
          <w:rFonts w:ascii="Helvetica Neue" w:eastAsia="Helvetica Neue" w:hAnsi="Helvetica Neue" w:cs="Helvetica Neue"/>
        </w:rPr>
        <w:t xml:space="preserve">8.68 to 8.82 (Managing disputes) </w:t>
      </w:r>
    </w:p>
    <w:p w14:paraId="3D47D910" w14:textId="77777777" w:rsidR="009D75C5" w:rsidRDefault="004B26D3" w:rsidP="009D75C5">
      <w:pPr>
        <w:numPr>
          <w:ilvl w:val="1"/>
          <w:numId w:val="24"/>
        </w:numPr>
        <w:ind w:hanging="360"/>
        <w:contextualSpacing/>
        <w:rPr>
          <w:rFonts w:ascii="Helvetica Neue" w:eastAsia="Helvetica Neue" w:hAnsi="Helvetica Neue" w:cs="Helvetica Neue"/>
        </w:rPr>
      </w:pPr>
      <w:bookmarkStart w:id="76" w:name="_jl72q32rn20u" w:colFirst="0" w:colLast="0"/>
      <w:bookmarkEnd w:id="76"/>
      <w:r w:rsidRPr="009D75C5">
        <w:rPr>
          <w:rFonts w:ascii="Helvetica Neue" w:eastAsia="Helvetica Neue" w:hAnsi="Helvetica Neue" w:cs="Helvetica Neue"/>
        </w:rPr>
        <w:t>8.83 to 8.91 (Confidentiality)</w:t>
      </w:r>
      <w:bookmarkStart w:id="77" w:name="_h1o9qz8mt2t2" w:colFirst="0" w:colLast="0"/>
      <w:bookmarkEnd w:id="77"/>
      <w:r w:rsidR="009D75C5" w:rsidRPr="009D75C5">
        <w:rPr>
          <w:rFonts w:ascii="Helvetica Neue" w:eastAsia="Helvetica Neue" w:hAnsi="Helvetica Neue" w:cs="Helvetica Neue"/>
        </w:rPr>
        <w:t xml:space="preserve"> </w:t>
      </w:r>
    </w:p>
    <w:p w14:paraId="085F1687" w14:textId="77777777" w:rsidR="00076044" w:rsidRPr="009D75C5" w:rsidRDefault="004B26D3" w:rsidP="000B1C76">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42EFF91B" w14:textId="77777777" w:rsidR="009D75C5" w:rsidRDefault="004B26D3" w:rsidP="009D75C5">
      <w:pPr>
        <w:numPr>
          <w:ilvl w:val="1"/>
          <w:numId w:val="24"/>
        </w:numPr>
        <w:ind w:hanging="360"/>
        <w:contextualSpacing/>
        <w:rPr>
          <w:rFonts w:ascii="Helvetica Neue" w:eastAsia="Helvetica Neue" w:hAnsi="Helvetica Neue" w:cs="Helvetica Neue"/>
        </w:rPr>
      </w:pPr>
      <w:bookmarkStart w:id="78" w:name="_3aps8o6kcxyn" w:colFirst="0" w:colLast="0"/>
      <w:bookmarkEnd w:id="78"/>
      <w:r w:rsidRPr="009D75C5">
        <w:rPr>
          <w:rFonts w:ascii="Helvetica Neue" w:eastAsia="Helvetica Neue" w:hAnsi="Helvetica Neue" w:cs="Helvetica Neue"/>
        </w:rPr>
        <w:t>paragraphs 1 to 10 of the Framework Agreement glossary and interpretations</w:t>
      </w:r>
      <w:bookmarkStart w:id="79" w:name="_c6k4662biabv" w:colFirst="0" w:colLast="0"/>
      <w:bookmarkEnd w:id="79"/>
    </w:p>
    <w:p w14:paraId="0B346644" w14:textId="77777777" w:rsidR="00076044" w:rsidRPr="009D75C5" w:rsidRDefault="004B26D3" w:rsidP="000B1C76">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7443EFEE" w14:textId="77777777" w:rsidR="00076044" w:rsidRDefault="004B26D3">
      <w:pPr>
        <w:numPr>
          <w:ilvl w:val="0"/>
          <w:numId w:val="24"/>
        </w:numPr>
        <w:ind w:hanging="724"/>
        <w:contextualSpacing/>
        <w:rPr>
          <w:rFonts w:ascii="Helvetica Neue" w:eastAsia="Helvetica Neue" w:hAnsi="Helvetica Neue" w:cs="Helvetica Neue"/>
        </w:rPr>
      </w:pPr>
      <w:bookmarkStart w:id="80" w:name="_itt780udfb5v" w:colFirst="0" w:colLast="0"/>
      <w:bookmarkEnd w:id="80"/>
      <w:r>
        <w:rPr>
          <w:rFonts w:ascii="Helvetica Neue" w:eastAsia="Helvetica Neue" w:hAnsi="Helvetica Neue" w:cs="Helvetica Neue"/>
        </w:rPr>
        <w:t>The Framework Agreement provisions in clause 2.1 will be modified as follows:</w:t>
      </w:r>
    </w:p>
    <w:p w14:paraId="6D586443" w14:textId="77777777" w:rsidR="00076044" w:rsidRDefault="004B26D3">
      <w:pPr>
        <w:numPr>
          <w:ilvl w:val="1"/>
          <w:numId w:val="24"/>
        </w:numPr>
        <w:ind w:hanging="360"/>
        <w:rPr>
          <w:rFonts w:ascii="Helvetica Neue" w:eastAsia="Helvetica Neue" w:hAnsi="Helvetica Neue" w:cs="Helvetica Neue"/>
        </w:rPr>
      </w:pPr>
      <w:bookmarkStart w:id="81" w:name="_kt588v8j7m1" w:colFirst="0" w:colLast="0"/>
      <w:bookmarkEnd w:id="81"/>
      <w:r>
        <w:rPr>
          <w:rFonts w:ascii="Helvetica Neue" w:eastAsia="Helvetica Neue" w:hAnsi="Helvetica Neue" w:cs="Helvetica Neue"/>
        </w:rPr>
        <w:t>a reference to the ‘Framework Agreement’ will be a reference to the ‘Call-Off Contract’</w:t>
      </w:r>
    </w:p>
    <w:p w14:paraId="730B4045" w14:textId="77777777" w:rsidR="00076044" w:rsidRDefault="004B26D3">
      <w:pPr>
        <w:numPr>
          <w:ilvl w:val="1"/>
          <w:numId w:val="24"/>
        </w:numPr>
        <w:ind w:hanging="360"/>
        <w:rPr>
          <w:rFonts w:ascii="Helvetica Neue" w:eastAsia="Helvetica Neue" w:hAnsi="Helvetica Neue" w:cs="Helvetica Neue"/>
        </w:rPr>
      </w:pPr>
      <w:bookmarkStart w:id="82" w:name="_qrz2iq8tz5in" w:colFirst="0" w:colLast="0"/>
      <w:bookmarkEnd w:id="82"/>
      <w:r>
        <w:rPr>
          <w:rFonts w:ascii="Helvetica Neue" w:eastAsia="Helvetica Neue" w:hAnsi="Helvetica Neue" w:cs="Helvetica Neue"/>
        </w:rPr>
        <w:t>a reference to ‘CCS’ will be a reference to ‘the Buyer’</w:t>
      </w:r>
    </w:p>
    <w:p w14:paraId="11AD807E" w14:textId="77777777" w:rsidR="00076044" w:rsidRDefault="004B26D3">
      <w:pPr>
        <w:numPr>
          <w:ilvl w:val="1"/>
          <w:numId w:val="24"/>
        </w:numPr>
        <w:ind w:hanging="360"/>
        <w:rPr>
          <w:rFonts w:ascii="Helvetica Neue" w:eastAsia="Helvetica Neue" w:hAnsi="Helvetica Neue" w:cs="Helvetica Neue"/>
        </w:rPr>
      </w:pPr>
      <w:bookmarkStart w:id="83" w:name="_70gqqitra65j" w:colFirst="0" w:colLast="0"/>
      <w:bookmarkEnd w:id="83"/>
      <w:r>
        <w:rPr>
          <w:rFonts w:ascii="Helvetica Neue" w:eastAsia="Helvetica Neue" w:hAnsi="Helvetica Neue" w:cs="Helvetica Neue"/>
        </w:rPr>
        <w:t>a reference to the ‘Parties’ and a ‘Party’ will be a reference to the Buyer and Supplier as Parties under this Call-Off Contract</w:t>
      </w:r>
    </w:p>
    <w:p w14:paraId="48272B21" w14:textId="77777777" w:rsidR="00076044" w:rsidRDefault="004B26D3">
      <w:pPr>
        <w:numPr>
          <w:ilvl w:val="0"/>
          <w:numId w:val="24"/>
        </w:numPr>
        <w:ind w:hanging="724"/>
        <w:contextualSpacing/>
        <w:rPr>
          <w:rFonts w:ascii="Helvetica Neue" w:eastAsia="Helvetica Neue" w:hAnsi="Helvetica Neue" w:cs="Helvetica Neue"/>
        </w:rPr>
      </w:pPr>
      <w:bookmarkStart w:id="84" w:name="_1p9gmbf49p16" w:colFirst="0" w:colLast="0"/>
      <w:bookmarkEnd w:id="84"/>
      <w:r>
        <w:rPr>
          <w:rFonts w:ascii="Helvetica Neue" w:eastAsia="Helvetica Neue" w:hAnsi="Helvetica Neue" w:cs="Helvetica Neue"/>
        </w:rPr>
        <w:t>The Framework Agreement incorporated clauses will be referred to as ‘incorporated Framework clause XX’, where ‘XX’ is the Framework Agreement clause number.</w:t>
      </w:r>
    </w:p>
    <w:p w14:paraId="21AE6429" w14:textId="77777777" w:rsidR="00076044" w:rsidRDefault="004B26D3">
      <w:pPr>
        <w:numPr>
          <w:ilvl w:val="0"/>
          <w:numId w:val="24"/>
        </w:numPr>
        <w:ind w:hanging="724"/>
        <w:contextualSpacing/>
        <w:rPr>
          <w:rFonts w:ascii="Helvetica Neue" w:eastAsia="Helvetica Neue" w:hAnsi="Helvetica Neue" w:cs="Helvetica Neue"/>
        </w:rPr>
      </w:pPr>
      <w:bookmarkStart w:id="85" w:name="_r6hnjzux63jf" w:colFirst="0" w:colLast="0"/>
      <w:bookmarkEnd w:id="85"/>
      <w:r>
        <w:rPr>
          <w:rFonts w:ascii="Helvetica Neue" w:eastAsia="Helvetica Neue" w:hAnsi="Helvetica Neue" w:cs="Helvetica Neue"/>
        </w:rPr>
        <w:t>When an Order Form is signed, the terms and conditions agreed in it will be incorporated into this Call-Off Contract.</w:t>
      </w:r>
    </w:p>
    <w:p w14:paraId="3A45443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0E562110"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193F0FB2" w14:textId="77777777"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2349F1F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66D34898"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5294E934"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35C33EA4"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1E46EFBF"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226847E2"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159A663F" w14:textId="77777777"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5F513AC1"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4A47DCF9" w14:textId="77777777"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41F514A6"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7225F620"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The Buyer may End this Call-Off Contract for Material Breach if the Supplier is delivering the Services </w:t>
      </w:r>
      <w:proofErr w:type="gramStart"/>
      <w:r>
        <w:rPr>
          <w:rFonts w:ascii="Helvetica Neue" w:eastAsia="Helvetica Neue" w:hAnsi="Helvetica Neue" w:cs="Helvetica Neue"/>
        </w:rPr>
        <w:t>Inside</w:t>
      </w:r>
      <w:proofErr w:type="gramEnd"/>
      <w:r>
        <w:rPr>
          <w:rFonts w:ascii="Helvetica Neue" w:eastAsia="Helvetica Neue" w:hAnsi="Helvetica Neue" w:cs="Helvetica Neue"/>
        </w:rPr>
        <w:t xml:space="preserve"> IR35.</w:t>
      </w:r>
    </w:p>
    <w:p w14:paraId="356010F4"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17726B3"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3147480" w14:textId="77777777"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12C6135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14:paraId="53DFC279" w14:textId="77777777"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4A3470B3"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58D46D93"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687C857A"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0C199ACD" w14:textId="77777777" w:rsidR="00076044" w:rsidRDefault="004B26D3">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4D545927" w14:textId="77777777" w:rsidR="006F53C9" w:rsidRDefault="006F53C9" w:rsidP="006F53C9">
      <w:pPr>
        <w:contextualSpacing/>
        <w:rPr>
          <w:rFonts w:ascii="Helvetica Neue" w:eastAsia="Helvetica Neue" w:hAnsi="Helvetica Neue" w:cs="Helvetica Neue"/>
        </w:rPr>
      </w:pPr>
    </w:p>
    <w:p w14:paraId="37ED0D3A" w14:textId="77777777" w:rsidR="00076044" w:rsidRDefault="004B26D3">
      <w:pPr>
        <w:rPr>
          <w:rFonts w:ascii="Helvetica Neue" w:eastAsia="Helvetica Neue" w:hAnsi="Helvetica Neue" w:cs="Helvetica Neue"/>
          <w:b/>
        </w:rPr>
      </w:pPr>
      <w:bookmarkStart w:id="86" w:name="_23ckvvd" w:colFirst="0" w:colLast="0"/>
      <w:bookmarkEnd w:id="86"/>
      <w:r>
        <w:rPr>
          <w:rFonts w:ascii="Helvetica Neue" w:eastAsia="Helvetica Neue" w:hAnsi="Helvetica Neue" w:cs="Helvetica Neue"/>
          <w:b/>
        </w:rPr>
        <w:t>6. Business continuity and disaster recovery</w:t>
      </w:r>
    </w:p>
    <w:p w14:paraId="1C213EAB"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426DDC5F"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0BABEF79" w14:textId="77777777"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5E0EA8F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73749B1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5B6EA442"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3EA06F30"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2BD65DE7"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9DD3C1C"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1757EC2B"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230BF9FA"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1D81A2D2"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11501235"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7D72C68"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4CF719E"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5467A16" w14:textId="77777777"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BC686F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4A349DED" w14:textId="77777777"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5F9B720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14:paraId="697243B8"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5F9CC721"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14:paraId="1C901C4D"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9A6B3F"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42112F58"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28522C8B"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383A7B6"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1CC5DB71"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6D804E4C"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6E48A80D"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7463F108"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3922B8EB"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041CD057"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60713939"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72AD3292"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7979F655"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56EC1F47"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3B78BF22" w14:textId="77777777"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14:paraId="22495B1D"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14:paraId="73392041" w14:textId="77777777"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71974AB5"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14:paraId="5419ED93" w14:textId="77777777"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01BC08E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14:paraId="25AF54D9"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5256E020"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69E10D8E"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79D1E9EF"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05085E81"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2D1E24E6"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787A6192"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09FE0BF6"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721DA1D3"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75D60419"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2E683B61"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6FBABB4C"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69B04240"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29EA83F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24D57818" w14:textId="77777777"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2C6CF0A2" w14:textId="77777777"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6A584E5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14:paraId="58C34BFB"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5746C23C"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09660C5"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340B51C4"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314C8AC5"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607474BE"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6EAF7A4E"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5CF40802"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18E4105E" w14:textId="77777777"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00549F3F"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496DF719" w14:textId="77777777"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14:paraId="1AAD514D" w14:textId="77777777" w:rsidR="00076044" w:rsidRDefault="004B26D3" w:rsidP="000E600F">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0614C953"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667C1A2A"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4204B31F"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49587B63"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6282579C"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14:paraId="3D67E2EC"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34">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35">
        <w:r>
          <w:rPr>
            <w:rFonts w:ascii="Helvetica Neue" w:eastAsia="Helvetica Neue" w:hAnsi="Helvetica Neue" w:cs="Helvetica Neue"/>
            <w:color w:val="1155CC"/>
            <w:u w:val="single"/>
          </w:rPr>
          <w:t>https://www.gov.uk/government/publications/government-security-classifications</w:t>
        </w:r>
      </w:hyperlink>
    </w:p>
    <w:p w14:paraId="55795D1D"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36">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37">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2BF5F229"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38">
        <w:r>
          <w:rPr>
            <w:rFonts w:ascii="Helvetica Neue" w:eastAsia="Helvetica Neue" w:hAnsi="Helvetica Neue" w:cs="Helvetica Neue"/>
            <w:color w:val="1155CC"/>
            <w:u w:val="single"/>
          </w:rPr>
          <w:t>https://www.ncsc.gov.uk/guidance/risk-management-collection</w:t>
        </w:r>
      </w:hyperlink>
    </w:p>
    <w:p w14:paraId="1557D375"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39">
        <w:r>
          <w:rPr>
            <w:rFonts w:ascii="Helvetica Neue" w:eastAsia="Helvetica Neue" w:hAnsi="Helvetica Neue" w:cs="Helvetica Neue"/>
          </w:rPr>
          <w:t xml:space="preserve"> </w:t>
        </w:r>
      </w:hyperlink>
      <w:r>
        <w:rPr>
          <w:rFonts w:ascii="Helvetica Neue" w:eastAsia="Helvetica Neue" w:hAnsi="Helvetica Neue" w:cs="Helvetica Neue"/>
        </w:rPr>
        <w:t>i</w:t>
      </w:r>
      <w:hyperlink r:id="rId40">
        <w:r>
          <w:rPr>
            <w:rFonts w:ascii="Helvetica Neue" w:eastAsia="Helvetica Neue" w:hAnsi="Helvetica Neue" w:cs="Helvetica Neue"/>
          </w:rPr>
          <w:t>n</w:t>
        </w:r>
      </w:hyperlink>
      <w:r>
        <w:rPr>
          <w:rFonts w:ascii="Helvetica Neue" w:eastAsia="Helvetica Neue" w:hAnsi="Helvetica Neue" w:cs="Helvetica Neue"/>
        </w:rPr>
        <w:t xml:space="preserve"> </w:t>
      </w:r>
      <w:hyperlink r:id="rId41">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42">
        <w:r>
          <w:rPr>
            <w:rFonts w:ascii="Helvetica Neue" w:eastAsia="Helvetica Neue" w:hAnsi="Helvetica Neue" w:cs="Helvetica Neue"/>
            <w:color w:val="1155CC"/>
            <w:u w:val="single"/>
          </w:rPr>
          <w:t>https://www.gov.uk/government/publications/technology-code-of-practice/technology-code-of-practice</w:t>
        </w:r>
      </w:hyperlink>
    </w:p>
    <w:p w14:paraId="6557EAB2" w14:textId="77777777"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43">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78D39B88"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6902ADAF"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6CE0764"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48FE419F" w14:textId="77777777"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5D2856B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6F9472AA"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2CFFD414" w14:textId="77777777" w:rsidR="00076044" w:rsidRDefault="00B3638B">
      <w:pPr>
        <w:numPr>
          <w:ilvl w:val="0"/>
          <w:numId w:val="37"/>
        </w:numPr>
        <w:ind w:hanging="724"/>
        <w:rPr>
          <w:rFonts w:ascii="Helvetica Neue" w:eastAsia="Helvetica Neue" w:hAnsi="Helvetica Neue" w:cs="Helvetica Neue"/>
        </w:rPr>
      </w:pPr>
      <w:hyperlink r:id="rId44">
        <w:r w:rsidR="004B26D3">
          <w:rPr>
            <w:rFonts w:ascii="Helvetica Neue" w:eastAsia="Helvetica Neue" w:hAnsi="Helvetica Neue" w:cs="Helvetica Neue"/>
          </w:rPr>
          <w:t>T</w:t>
        </w:r>
      </w:hyperlink>
      <w:hyperlink r:id="rId45">
        <w:r w:rsidR="004B26D3">
          <w:rPr>
            <w:rFonts w:ascii="Helvetica Neue" w:eastAsia="Helvetica Neue" w:hAnsi="Helvetica Neue" w:cs="Helvetica Neue"/>
          </w:rPr>
          <w:t>he Supplier will deliver the Services in a way that enables the Buyer to comply with its obligations under the T</w:t>
        </w:r>
      </w:hyperlink>
      <w:hyperlink r:id="rId46">
        <w:r w:rsidR="004B26D3">
          <w:rPr>
            <w:rFonts w:ascii="Helvetica Neue" w:eastAsia="Helvetica Neue" w:hAnsi="Helvetica Neue" w:cs="Helvetica Neue"/>
          </w:rPr>
          <w:t>echnology Code of Practice</w:t>
        </w:r>
      </w:hyperlink>
      <w:hyperlink r:id="rId47">
        <w:r w:rsidR="004B26D3">
          <w:rPr>
            <w:rFonts w:ascii="Helvetica Neue" w:eastAsia="Helvetica Neue" w:hAnsi="Helvetica Neue" w:cs="Helvetica Neue"/>
          </w:rPr>
          <w:t>,</w:t>
        </w:r>
      </w:hyperlink>
      <w:hyperlink r:id="rId48">
        <w:r w:rsidR="004B26D3">
          <w:rPr>
            <w:rFonts w:ascii="Helvetica Neue" w:eastAsia="Helvetica Neue" w:hAnsi="Helvetica Neue" w:cs="Helvetica Neue"/>
          </w:rPr>
          <w:t xml:space="preserve"> which is available at </w:t>
        </w:r>
      </w:hyperlink>
      <w:hyperlink r:id="rId49">
        <w:r w:rsidR="004B26D3">
          <w:rPr>
            <w:rFonts w:ascii="Helvetica Neue" w:eastAsia="Helvetica Neue" w:hAnsi="Helvetica Neue" w:cs="Helvetica Neue"/>
            <w:color w:val="1155CC"/>
            <w:u w:val="single"/>
          </w:rPr>
          <w:t>https://www.gov.uk/government/publications/technology-code-of-practice/technology-code-of-practice</w:t>
        </w:r>
      </w:hyperlink>
    </w:p>
    <w:p w14:paraId="6D77C187"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26485613"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 xml:space="preserve">If any PSN Services are </w:t>
      </w:r>
      <w:proofErr w:type="gramStart"/>
      <w:r>
        <w:rPr>
          <w:rFonts w:ascii="Helvetica Neue" w:eastAsia="Helvetica Neue" w:hAnsi="Helvetica Neue" w:cs="Helvetica Neue"/>
        </w:rPr>
        <w:t>Subcontracted</w:t>
      </w:r>
      <w:proofErr w:type="gramEnd"/>
      <w:r>
        <w:rPr>
          <w:rFonts w:ascii="Helvetica Neue" w:eastAsia="Helvetica Neue" w:hAnsi="Helvetica Neue" w:cs="Helvetica Neue"/>
        </w:rPr>
        <w:t xml:space="preserve"> by the Supplier, the Supplier must ensure that the services have the relevant PSN compliance certification.</w:t>
      </w:r>
    </w:p>
    <w:p w14:paraId="401ADE76" w14:textId="77777777"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50">
        <w:r>
          <w:rPr>
            <w:rFonts w:ascii="Helvetica Neue" w:eastAsia="Helvetica Neue" w:hAnsi="Helvetica Neue" w:cs="Helvetica Neue"/>
          </w:rPr>
          <w:t>.</w:t>
        </w:r>
      </w:hyperlink>
    </w:p>
    <w:p w14:paraId="61D51A4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475CEABB"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52A5EDD6"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2A205C8" w14:textId="77777777" w:rsidR="00EA56D3" w:rsidRDefault="00EA56D3" w:rsidP="00EA56D3">
      <w:pPr>
        <w:ind w:left="720"/>
        <w:rPr>
          <w:rFonts w:ascii="Helvetica Neue" w:eastAsia="Helvetica Neue" w:hAnsi="Helvetica Neue" w:cs="Helvetica Neue"/>
        </w:rPr>
      </w:pPr>
    </w:p>
    <w:p w14:paraId="5CC497BB"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14:paraId="7CFDC51C"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E7FBDC2"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759F753E" w14:textId="0DD4157E"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w:t>
      </w:r>
      <w:r w:rsidR="00C04351">
        <w:rPr>
          <w:rFonts w:ascii="Helvetica Neue" w:eastAsia="Helvetica Neue" w:hAnsi="Helvetica Neue" w:cs="Helvetica Neue"/>
        </w:rPr>
        <w:t xml:space="preserve">alert the Buyer as soon as practically possible, and </w:t>
      </w:r>
      <w:r>
        <w:rPr>
          <w:rFonts w:ascii="Helvetica Neue" w:eastAsia="Helvetica Neue" w:hAnsi="Helvetica Neue" w:cs="Helvetica Neue"/>
        </w:rPr>
        <w:t xml:space="preserve">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0161CD74"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14:paraId="20138D6B"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9251724"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0EF59A2F"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7F28AD96"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51">
        <w:r>
          <w:rPr>
            <w:rFonts w:ascii="Helvetica Neue" w:eastAsia="Helvetica Neue" w:hAnsi="Helvetica Neue" w:cs="Helvetica Neue"/>
            <w:color w:val="1155CC"/>
            <w:u w:val="single"/>
          </w:rPr>
          <w:t>https://www.ncsc.gov.uk/guidance/10-steps-cyber-security</w:t>
        </w:r>
      </w:hyperlink>
    </w:p>
    <w:p w14:paraId="56985800"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2D74EE0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14:paraId="79DBC626" w14:textId="77777777"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7F4D9091"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5DB0191D" w14:textId="77777777"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47C052E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3839ABA2"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177A2A6A"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44B9DFB4"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29C7C2E6"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6F8CC878"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06F39869"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4A2AAE83"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6275C48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14:paraId="5B0199A7"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67708C5C"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63C58674"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2BC3F299"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173EA4FC"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94C2360" w14:textId="77777777"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58F5ECD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6D8B110C"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0B19F49F"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7DCA2397"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EC46206"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5EF157EB"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6BC6C71B"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43D156DC" w14:textId="77777777"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50FE2018" w14:textId="77777777"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14:paraId="40222152"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78651024"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58292E9C"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3EEE087D"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4CC879E0"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1F877BE"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7416870B"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1F4794BA"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1821746C" w14:textId="77777777"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567C065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6F0BE66F"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ED0851D" w14:textId="77777777">
        <w:tc>
          <w:tcPr>
            <w:tcW w:w="3303" w:type="dxa"/>
          </w:tcPr>
          <w:p w14:paraId="36941E5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6B5BFC2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42E4CE7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3EF26768" w14:textId="77777777">
        <w:tc>
          <w:tcPr>
            <w:tcW w:w="3303" w:type="dxa"/>
          </w:tcPr>
          <w:p w14:paraId="008F8EF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1E6D578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63C2B04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7475D273" w14:textId="77777777" w:rsidR="00076044" w:rsidRDefault="00076044">
      <w:pPr>
        <w:rPr>
          <w:rFonts w:ascii="Helvetica Neue" w:eastAsia="Helvetica Neue" w:hAnsi="Helvetica Neue" w:cs="Helvetica Neue"/>
        </w:rPr>
      </w:pPr>
    </w:p>
    <w:p w14:paraId="67178587" w14:textId="77777777"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0C6A80B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14:paraId="6CD87279"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46AC7A2D"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61D7F1AE"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45F782E"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during that period.</w:t>
      </w:r>
    </w:p>
    <w:p w14:paraId="4D9239A1"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7DB9A2D0"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5A7F0C9"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6CD262A"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273DD640"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0A51298C"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66B3A098" w14:textId="77777777"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1424E507" w14:textId="77777777"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6672F00B"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626FC02B"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42C1A38"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5AF6C60F"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4819270F"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07FC3CB9" w14:textId="77777777"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72B2499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3CBF0605"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0756BC92"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258CDCD8" w14:textId="77777777"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28011FF7"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E3403DF" w14:textId="77777777"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C85643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64637D61" w14:textId="77777777" w:rsidR="00E605E6" w:rsidRDefault="004B26D3">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57CDF0CB" w14:textId="77777777" w:rsidR="00076044" w:rsidRDefault="004B26D3" w:rsidP="00E605E6">
      <w:pPr>
        <w:ind w:left="720"/>
        <w:rPr>
          <w:rFonts w:ascii="Helvetica Neue" w:eastAsia="Helvetica Neue" w:hAnsi="Helvetica Neue" w:cs="Helvetica Neue"/>
        </w:rPr>
      </w:pPr>
      <w:proofErr w:type="gramStart"/>
      <w:r>
        <w:rPr>
          <w:rFonts w:ascii="Helvetica Neue" w:eastAsia="Helvetica Neue" w:hAnsi="Helvetica Neue" w:cs="Helvetica Neue"/>
        </w:rPr>
        <w:t>than</w:t>
      </w:r>
      <w:proofErr w:type="gramEnd"/>
      <w:r>
        <w:rPr>
          <w:rFonts w:ascii="Helvetica Neue" w:eastAsia="Helvetica Neue" w:hAnsi="Helvetica Neue" w:cs="Helvetica Neue"/>
        </w:rPr>
        <w:t xml:space="preserve"> the number of consecutive days set out in the Order Form, the other Party may End this Call-Off Contract with immediate effect by written notice.</w:t>
      </w:r>
    </w:p>
    <w:p w14:paraId="129B6D9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6FC73B00" w14:textId="77777777"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492F5B59"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8D031FC"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261A636B" w14:textId="77777777"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5D64D5A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0065B3C7"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58AE84AD"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3A24C135"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2F14E6BF"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4FE4F4B8"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1D8D0DB0"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4752E06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51784DA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0F47BEE9"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4E73AFCF" w14:textId="77777777" w:rsidR="00076044" w:rsidRDefault="004B26D3">
      <w:pPr>
        <w:numPr>
          <w:ilvl w:val="0"/>
          <w:numId w:val="50"/>
        </w:numPr>
        <w:ind w:hanging="724"/>
        <w:rPr>
          <w:rFonts w:ascii="Helvetica Neue" w:eastAsia="Helvetica Neue" w:hAnsi="Helvetica Neue" w:cs="Helvetica Neue"/>
        </w:rPr>
      </w:pPr>
      <w:r>
        <w:rPr>
          <w:rFonts w:ascii="Helvetica Neue" w:eastAsia="Helvetica Neue" w:hAnsi="Helvetica Neue" w:cs="Helvetica Neue"/>
        </w:rPr>
        <w:t xml:space="preserve">The Supplier will ensure that its health and safety policy statement (as required by the Health and Safety at Work </w:t>
      </w:r>
      <w:proofErr w:type="spellStart"/>
      <w:r>
        <w:rPr>
          <w:rFonts w:ascii="Helvetica Neue" w:eastAsia="Helvetica Neue" w:hAnsi="Helvetica Neue" w:cs="Helvetica Neue"/>
        </w:rPr>
        <w:t>etc</w:t>
      </w:r>
      <w:proofErr w:type="spellEnd"/>
      <w:r>
        <w:rPr>
          <w:rFonts w:ascii="Helvetica Neue" w:eastAsia="Helvetica Neue" w:hAnsi="Helvetica Neue" w:cs="Helvetica Neue"/>
        </w:rPr>
        <w:t xml:space="preserve"> Act 1974) is made available to the Buyer on request.</w:t>
      </w:r>
    </w:p>
    <w:p w14:paraId="472C76C2"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0FD4D329"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72B587D6"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39290292" w14:textId="77777777"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75546F2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433A373D" w14:textId="77777777"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2B65FEF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02F43C54"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6EBB2520" w14:textId="77777777"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1C8C28D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14:paraId="4806FC4C"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F09BAB0"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34BCBED"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14:paraId="4DDB22B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14:paraId="6ACF4AE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2D794EE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14:paraId="21D46C0D"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notice period</w:t>
      </w:r>
    </w:p>
    <w:p w14:paraId="6D4205C9"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18E4F2C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2242480F"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14:paraId="63D32EC7"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37B68580"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702C46F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6DABEFF6"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p>
    <w:p w14:paraId="7821960B"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3B861091"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21366C29"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FE0206F" w14:textId="77777777" w:rsidR="00E605E6" w:rsidRDefault="00E605E6" w:rsidP="00E605E6">
      <w:pPr>
        <w:ind w:left="720"/>
        <w:rPr>
          <w:rFonts w:ascii="Helvetica Neue" w:eastAsia="Helvetica Neue" w:hAnsi="Helvetica Neue" w:cs="Helvetica Neue"/>
        </w:rPr>
      </w:pPr>
    </w:p>
    <w:p w14:paraId="14491D5D"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3F846DC"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76C34A19"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3CFE9BAA"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0EA6A8E5" w14:textId="77777777" w:rsidR="00076044" w:rsidRDefault="004B26D3">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2AAA0E64"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The provisions of this clause apply during the Term of this Call-Off Contract and indefinitely after it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or expires.</w:t>
      </w:r>
    </w:p>
    <w:p w14:paraId="58F6EAD1" w14:textId="77777777"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39B41A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14:paraId="4631479B"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6B94CCCA" w14:textId="77777777"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4681462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14:paraId="686D7892"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4AB76589" w14:textId="77777777"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78BF1334"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5550BB4F" w14:textId="77777777"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152EA4A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14:paraId="396EBA03"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67E2D2CA"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03BD7716" w14:textId="77777777"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rPr>
        <w:t>days notice</w:t>
      </w:r>
      <w:proofErr w:type="spellEnd"/>
      <w:r>
        <w:rPr>
          <w:rFonts w:ascii="Helvetica Neue" w:eastAsia="Helvetica Neue" w:hAnsi="Helvetica Neue" w:cs="Helvetica Neue"/>
        </w:rPr>
        <w:t xml:space="preserve"> to the Supplier.</w:t>
      </w:r>
    </w:p>
    <w:p w14:paraId="168E4975" w14:textId="77777777" w:rsidR="00076044" w:rsidRDefault="00076044">
      <w:pPr>
        <w:rPr>
          <w:rFonts w:ascii="Helvetica Neue" w:eastAsia="Helvetica Neue" w:hAnsi="Helvetica Neue" w:cs="Helvetica Neue"/>
        </w:rPr>
      </w:pPr>
    </w:p>
    <w:p w14:paraId="6BA4C566" w14:textId="246C8C80" w:rsidR="00076044" w:rsidRDefault="004B26D3">
      <w:pPr>
        <w:pStyle w:val="Heading1"/>
        <w:rPr>
          <w:rFonts w:ascii="Helvetica Neue" w:eastAsia="Helvetica Neue" w:hAnsi="Helvetica Neue" w:cs="Helvetica Neue"/>
        </w:rPr>
      </w:pPr>
      <w:bookmarkStart w:id="87" w:name="_sz1ppi95pvt0" w:colFirst="0" w:colLast="0"/>
      <w:bookmarkEnd w:id="87"/>
      <w:r>
        <w:rPr>
          <w:rFonts w:ascii="Helvetica Neue" w:eastAsia="Helvetica Neue" w:hAnsi="Helvetica Neue" w:cs="Helvetica Neue"/>
          <w:sz w:val="36"/>
          <w:szCs w:val="36"/>
        </w:rPr>
        <w:t>Schedule 3 - Collaboration agreement</w:t>
      </w:r>
      <w:r w:rsidR="00FC6214">
        <w:rPr>
          <w:rFonts w:ascii="Helvetica Neue" w:eastAsia="Helvetica Neue" w:hAnsi="Helvetica Neue" w:cs="Helvetica Neue"/>
          <w:sz w:val="36"/>
          <w:szCs w:val="36"/>
        </w:rPr>
        <w:t xml:space="preserve"> – Not applicable</w:t>
      </w:r>
    </w:p>
    <w:p w14:paraId="2B35C73A"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52">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4928C892" w14:textId="77777777" w:rsidR="00076044" w:rsidRDefault="00076044">
      <w:pPr>
        <w:rPr>
          <w:rFonts w:ascii="Helvetica Neue" w:eastAsia="Helvetica Neue" w:hAnsi="Helvetica Neue" w:cs="Helvetica Neue"/>
        </w:rPr>
      </w:pPr>
    </w:p>
    <w:p w14:paraId="3CA37456" w14:textId="1AE23764" w:rsidR="00076044" w:rsidRDefault="004B26D3">
      <w:pPr>
        <w:pStyle w:val="Heading1"/>
        <w:rPr>
          <w:rFonts w:ascii="Helvetica Neue" w:eastAsia="Helvetica Neue" w:hAnsi="Helvetica Neue" w:cs="Helvetica Neue"/>
        </w:rPr>
      </w:pPr>
      <w:bookmarkStart w:id="88" w:name="_iz3oef672jgx" w:colFirst="0" w:colLast="0"/>
      <w:bookmarkEnd w:id="88"/>
      <w:r>
        <w:rPr>
          <w:rFonts w:ascii="Helvetica Neue" w:eastAsia="Helvetica Neue" w:hAnsi="Helvetica Neue" w:cs="Helvetica Neue"/>
          <w:sz w:val="36"/>
          <w:szCs w:val="36"/>
        </w:rPr>
        <w:t>Schedule 4 - Alternative clauses</w:t>
      </w:r>
      <w:r w:rsidR="00FC6214">
        <w:rPr>
          <w:rFonts w:ascii="Helvetica Neue" w:eastAsia="Helvetica Neue" w:hAnsi="Helvetica Neue" w:cs="Helvetica Neue"/>
          <w:sz w:val="36"/>
          <w:szCs w:val="36"/>
        </w:rPr>
        <w:t xml:space="preserve"> – Not applicable</w:t>
      </w:r>
    </w:p>
    <w:p w14:paraId="65B2E546"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53">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1B12AD10" w14:textId="77777777" w:rsidR="00076044" w:rsidRDefault="00076044">
      <w:pPr>
        <w:rPr>
          <w:rFonts w:ascii="Helvetica Neue" w:eastAsia="Helvetica Neue" w:hAnsi="Helvetica Neue" w:cs="Helvetica Neue"/>
        </w:rPr>
      </w:pPr>
    </w:p>
    <w:p w14:paraId="3685F13D" w14:textId="2F1B1ECF" w:rsidR="00076044" w:rsidRDefault="004B26D3">
      <w:pPr>
        <w:pStyle w:val="Heading1"/>
        <w:rPr>
          <w:rFonts w:ascii="Helvetica Neue" w:eastAsia="Helvetica Neue" w:hAnsi="Helvetica Neue" w:cs="Helvetica Neue"/>
          <w:sz w:val="36"/>
          <w:szCs w:val="36"/>
        </w:rPr>
      </w:pPr>
      <w:bookmarkStart w:id="89" w:name="_lkwoqmwlexpr" w:colFirst="0" w:colLast="0"/>
      <w:bookmarkEnd w:id="89"/>
      <w:r>
        <w:rPr>
          <w:rFonts w:ascii="Helvetica Neue" w:eastAsia="Helvetica Neue" w:hAnsi="Helvetica Neue" w:cs="Helvetica Neue"/>
          <w:sz w:val="36"/>
          <w:szCs w:val="36"/>
        </w:rPr>
        <w:t xml:space="preserve">Schedule 5 </w:t>
      </w:r>
      <w:r w:rsidR="00FC6214">
        <w:rPr>
          <w:rFonts w:ascii="Helvetica Neue" w:eastAsia="Helvetica Neue" w:hAnsi="Helvetica Neue" w:cs="Helvetica Neue"/>
          <w:sz w:val="36"/>
          <w:szCs w:val="36"/>
        </w:rPr>
        <w:t>–</w:t>
      </w:r>
      <w:r>
        <w:rPr>
          <w:rFonts w:ascii="Helvetica Neue" w:eastAsia="Helvetica Neue" w:hAnsi="Helvetica Neue" w:cs="Helvetica Neue"/>
          <w:sz w:val="36"/>
          <w:szCs w:val="36"/>
        </w:rPr>
        <w:t xml:space="preserve"> Guarantee</w:t>
      </w:r>
      <w:r w:rsidR="00FC6214">
        <w:rPr>
          <w:rFonts w:ascii="Helvetica Neue" w:eastAsia="Helvetica Neue" w:hAnsi="Helvetica Neue" w:cs="Helvetica Neue"/>
          <w:sz w:val="36"/>
          <w:szCs w:val="36"/>
        </w:rPr>
        <w:t xml:space="preserve"> – Not applicable</w:t>
      </w:r>
    </w:p>
    <w:p w14:paraId="4B84945D"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54">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383CA082" w14:textId="77777777" w:rsidR="00076044" w:rsidRDefault="00076044">
      <w:pPr>
        <w:rPr>
          <w:rFonts w:ascii="Helvetica Neue" w:eastAsia="Helvetica Neue" w:hAnsi="Helvetica Neue" w:cs="Helvetica Neue"/>
        </w:rPr>
      </w:pPr>
    </w:p>
    <w:p w14:paraId="08E66436" w14:textId="77777777" w:rsidR="00076044" w:rsidRDefault="004B26D3">
      <w:pPr>
        <w:pStyle w:val="Heading1"/>
        <w:rPr>
          <w:rFonts w:ascii="Helvetica Neue" w:eastAsia="Helvetica Neue" w:hAnsi="Helvetica Neue" w:cs="Helvetica Neue"/>
          <w:sz w:val="36"/>
          <w:szCs w:val="36"/>
        </w:rPr>
      </w:pPr>
      <w:bookmarkStart w:id="90" w:name="_3isya5h4h0ui" w:colFirst="0" w:colLast="0"/>
      <w:bookmarkEnd w:id="90"/>
      <w:r>
        <w:rPr>
          <w:rFonts w:ascii="Helvetica Neue" w:eastAsia="Helvetica Neue" w:hAnsi="Helvetica Neue" w:cs="Helvetica Neue"/>
          <w:sz w:val="36"/>
          <w:szCs w:val="36"/>
        </w:rPr>
        <w:t>Schedule 6 - Glossary and interpretations</w:t>
      </w:r>
    </w:p>
    <w:p w14:paraId="099F1BF3"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0CD66E8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FFF2D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134F4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583DDEE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5C03F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1023E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14:paraId="78522721"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9C641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B86D9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7A20AF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B409F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EE0AC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6FEAE0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FE0EC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899BC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14:paraId="7529A63C"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59DB4BB3" w14:textId="77777777"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4CF3EE43" w14:textId="77777777" w:rsidR="00076044" w:rsidRDefault="00076044">
            <w:pPr>
              <w:spacing w:after="0" w:line="240" w:lineRule="auto"/>
              <w:rPr>
                <w:rFonts w:ascii="Helvetica Neue" w:eastAsia="Helvetica Neue" w:hAnsi="Helvetica Neue" w:cs="Helvetica Neue"/>
              </w:rPr>
            </w:pPr>
          </w:p>
          <w:p w14:paraId="450871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7810B68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BA4D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391CC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104304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3775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B1A63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112E86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E49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1A334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4C5541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0DBAD0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A8D2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095027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B1029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BCD55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35099D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F9878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D254B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2EEF0B3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F370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34CED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3E54DD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8DBD9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AEC1F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21A407D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D49C3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7975A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23049D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CDEAD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B83B1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20BF9F2C"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724A2F47" w14:textId="77777777" w:rsidR="00076044" w:rsidRDefault="004B26D3">
            <w:pPr>
              <w:numPr>
                <w:ilvl w:val="0"/>
                <w:numId w:val="17"/>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information clearly designated as being confidential or which ought reasonably be considered to be confidential (whether or not it is marked 'confidential').</w:t>
            </w:r>
          </w:p>
        </w:tc>
      </w:tr>
      <w:tr w:rsidR="00076044" w14:paraId="37B490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2A31A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4BEECB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2B8C12A8" w14:textId="77777777"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261A36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0F31B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52F42E9F" w14:textId="77777777"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AD797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493810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B73B0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5FB88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3B93A26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EF33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9DBE2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1F0E3B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C9F58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DDFB8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14:paraId="3607A464"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5E3A6033" w14:textId="77777777"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0089767F" w14:textId="77777777" w:rsidR="00076044" w:rsidRDefault="00076044">
            <w:pPr>
              <w:spacing w:after="0" w:line="240" w:lineRule="auto"/>
              <w:rPr>
                <w:rFonts w:ascii="Helvetica Neue" w:eastAsia="Helvetica Neue" w:hAnsi="Helvetica Neue" w:cs="Helvetica Neue"/>
              </w:rPr>
            </w:pPr>
          </w:p>
          <w:p w14:paraId="3493A42E"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6F9200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0C70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3A4C6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081BF3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1B75F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8929F8" w14:textId="77777777"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55">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4EB8AC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59384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D0361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681F999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CC41D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07038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58C24FD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53917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FF6B4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6D9AD3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7EB46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DC2C4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36944A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AE6C5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803594"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3F69EE4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E8D18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BAD980"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1A36B27C" w14:textId="77777777" w:rsidR="00076044" w:rsidRDefault="00B3638B">
            <w:pPr>
              <w:widowControl/>
              <w:spacing w:after="0" w:line="240" w:lineRule="auto"/>
              <w:rPr>
                <w:rFonts w:ascii="Helvetica Neue" w:eastAsia="Helvetica Neue" w:hAnsi="Helvetica Neue" w:cs="Helvetica Neue"/>
              </w:rPr>
            </w:pPr>
            <w:hyperlink r:id="rId56">
              <w:r w:rsidR="004B26D3">
                <w:rPr>
                  <w:rFonts w:ascii="Helvetica Neue" w:eastAsia="Helvetica Neue" w:hAnsi="Helvetica Neue" w:cs="Helvetica Neue"/>
                  <w:color w:val="1155CC"/>
                  <w:u w:val="single"/>
                </w:rPr>
                <w:t>http://tools.hmrc.gov.uk/esi</w:t>
              </w:r>
            </w:hyperlink>
          </w:p>
        </w:tc>
      </w:tr>
      <w:tr w:rsidR="00076044" w14:paraId="492BCC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E5F7B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A5D525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3C8096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57441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DAFD6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5237CE87"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41FAEBC8"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14:paraId="52343039"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372AC902"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7F6E2472" w14:textId="77777777"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3F7917A2" w14:textId="77777777" w:rsidR="00076044" w:rsidRDefault="00076044">
            <w:pPr>
              <w:spacing w:after="0" w:line="240" w:lineRule="auto"/>
              <w:rPr>
                <w:rFonts w:ascii="Helvetica Neue" w:eastAsia="Helvetica Neue" w:hAnsi="Helvetica Neue" w:cs="Helvetica Neue"/>
              </w:rPr>
            </w:pPr>
          </w:p>
          <w:p w14:paraId="238C832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60917A0A"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4803B4EA"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51404255"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293DA21A" w14:textId="77777777"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14:paraId="4594AA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1AFBF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417E3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15DA8AB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5EB1A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D1CE0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365748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09291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7AF6B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469787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724EC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Freedom of Information Act or </w:t>
            </w:r>
            <w:proofErr w:type="spellStart"/>
            <w:r>
              <w:rPr>
                <w:rFonts w:ascii="Helvetica Neue" w:eastAsia="Helvetica Neue" w:hAnsi="Helvetica Neue" w:cs="Helvetica Neue"/>
                <w:b/>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4581F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12A1F5F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31FD0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5503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3DB837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65C4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3E651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055695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232EE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CB325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363109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A8EF8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F9CCC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127600A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49BAE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93E99D"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57D46AC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02FD1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B4956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w:t>
            </w:r>
            <w:proofErr w:type="gramStart"/>
            <w:r>
              <w:rPr>
                <w:rFonts w:ascii="Helvetica Neue" w:eastAsia="Helvetica Neue" w:hAnsi="Helvetica Neue" w:cs="Helvetica Neue"/>
              </w:rPr>
              <w:t>2000.</w:t>
            </w:r>
            <w:proofErr w:type="gramEnd"/>
          </w:p>
        </w:tc>
      </w:tr>
      <w:tr w:rsidR="00076044" w14:paraId="43D310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B1156B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3999E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7FC249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25802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B2A074"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0C4DB3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94FD4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C5909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14:paraId="1F48DE1A"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14:paraId="497D5EFD"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14:paraId="69B1FE0D"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6C6C395F"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0EE1ECFF" w14:textId="77777777" w:rsidR="00076044" w:rsidRDefault="004B26D3">
            <w:pPr>
              <w:numPr>
                <w:ilvl w:val="0"/>
                <w:numId w:val="31"/>
              </w:numPr>
              <w:spacing w:after="0" w:line="240" w:lineRule="auto"/>
              <w:ind w:hanging="360"/>
              <w:contextualSpacing/>
              <w:rPr>
                <w:rFonts w:ascii="Helvetica Neue" w:eastAsia="Helvetica Neue" w:hAnsi="Helvetica Neue" w:cs="Helvetica Neue"/>
              </w:rPr>
            </w:pP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Schedule A1 moratorium.</w:t>
            </w:r>
          </w:p>
        </w:tc>
      </w:tr>
      <w:tr w:rsidR="00076044" w14:paraId="7DB4EC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E4617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7B2F6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14:paraId="47D645DA"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242A852"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52400963" w14:textId="77777777"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14:paraId="5E8754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D8BA4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6E297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5E3918D0"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14:paraId="4F79BCF4"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14:paraId="0C52AADF" w14:textId="77777777" w:rsidR="00076044" w:rsidRDefault="004B26D3">
            <w:pPr>
              <w:numPr>
                <w:ilvl w:val="0"/>
                <w:numId w:val="4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14:paraId="5A71D266" w14:textId="77777777" w:rsidR="00076044" w:rsidRDefault="00076044">
            <w:pPr>
              <w:spacing w:after="0" w:line="240" w:lineRule="auto"/>
              <w:rPr>
                <w:rFonts w:ascii="Helvetica Neue" w:eastAsia="Helvetica Neue" w:hAnsi="Helvetica Neue" w:cs="Helvetica Neue"/>
              </w:rPr>
            </w:pPr>
          </w:p>
          <w:p w14:paraId="5BA1856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608172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C45FE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0B66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0BDB7C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0B679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90ECDC"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2A918A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50A0B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3356B0"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0B02677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813E7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459F6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32D63E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487A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8D8FE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4D31695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24B2B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E8B9E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484EB9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A37A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A489F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44596C5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3EAA9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2303E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7B86C85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9F158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09016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3125125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BFC2B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9DA08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58A6EB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3E957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F9A11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2BA4EB1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A41FD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65DB9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767A247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DBD20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146BD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375F4B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D6EC9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3FF9C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2C4048E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E303E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1A2D1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55738B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38E02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FC91D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5B790B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C5D3E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5F9F8F" w14:textId="77777777"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3AA2A4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C7F7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64F1F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417DB8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892AC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3AF2B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57">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34D3B7F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0DDAE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938EA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274AD9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4553C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ABB2F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5CFE6881"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26FBF97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2B9E8447"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7B457227"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3239449F" w14:textId="77777777"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5A0A4461"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56EE150E"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06AA8F6F"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584D4487" w14:textId="77777777"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0E0745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877B0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88F40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7A0D38C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F2E0F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AE555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75D18C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4932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1954A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14:paraId="0D6E3E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B7BB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5BC8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1BE8DF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60422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D614C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3C29D3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CE5D1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D5EE7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580FC8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AB41A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02BCB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Any services which </w:t>
            </w:r>
            <w:proofErr w:type="gramStart"/>
            <w:r>
              <w:rPr>
                <w:rFonts w:ascii="Helvetica Neue" w:eastAsia="Helvetica Neue" w:hAnsi="Helvetica Neue" w:cs="Helvetica Neue"/>
              </w:rPr>
              <w:t>are the same</w:t>
            </w:r>
            <w:proofErr w:type="gramEnd"/>
            <w:r>
              <w:rPr>
                <w:rFonts w:ascii="Helvetica Neue" w:eastAsia="Helvetica Neue" w:hAnsi="Helvetica Neue" w:cs="Helvetica Neue"/>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42621F4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952DA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05AA4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5D8DB2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56336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FE6C4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6F449C5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F9008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96EE6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726C896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2E94E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413B0A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w:t>
            </w:r>
            <w:proofErr w:type="gramStart"/>
            <w:r>
              <w:rPr>
                <w:rFonts w:ascii="Helvetica Neue" w:eastAsia="Helvetica Neue" w:hAnsi="Helvetica Neue" w:cs="Helvetica Neue"/>
              </w:rPr>
              <w:t>  provided</w:t>
            </w:r>
            <w:proofErr w:type="gramEnd"/>
            <w:r>
              <w:rPr>
                <w:rFonts w:ascii="Helvetica Neue" w:eastAsia="Helvetica Neue" w:hAnsi="Helvetica Neue" w:cs="Helvetica Neue"/>
              </w:rPr>
              <w:t xml:space="preserve"> as part of their Application that includes, but isn’t limited to, those items listed in Section 2 (Services Offered) of the Framework Agreement.</w:t>
            </w:r>
          </w:p>
        </w:tc>
      </w:tr>
      <w:tr w:rsidR="00076044" w14:paraId="4E766D9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DFF7A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2BB2C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701B89B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56DF8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FCABF5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4F6601F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7FA0F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4E7833"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58">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14:paraId="7B09E44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767090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1006B"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1FC44D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878F1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889B8C"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046D7A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D5B41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6A0C7A"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39C410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FE030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C7318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419172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B39C9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8B3588"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0027171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EB3EF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DC153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67B17F0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AD3F5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63EE15"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06C0CA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643DC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A331F7"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75B75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307D1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3C207E"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11F1F2CB"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15AA0E9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37FD780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14:paraId="09FC1836" w14:textId="693D614F" w:rsidR="00FC6214" w:rsidRDefault="00FC6214" w:rsidP="005D2376">
      <w:pPr>
        <w:rPr>
          <w:rFonts w:ascii="Helvetica Neue" w:eastAsia="Helvetica Neue" w:hAnsi="Helvetica Neue" w:cs="Helvetica Neue"/>
        </w:rPr>
      </w:pPr>
    </w:p>
    <w:p w14:paraId="72CB08CF" w14:textId="77777777" w:rsidR="00FC6214" w:rsidRDefault="00FC6214">
      <w:pPr>
        <w:rPr>
          <w:rFonts w:ascii="Helvetica Neue" w:eastAsia="Helvetica Neue" w:hAnsi="Helvetica Neue" w:cs="Helvetica Neue"/>
        </w:rPr>
      </w:pPr>
      <w:r>
        <w:rPr>
          <w:rFonts w:ascii="Helvetica Neue" w:eastAsia="Helvetica Neue" w:hAnsi="Helvetica Neue" w:cs="Helvetica Neue"/>
        </w:rPr>
        <w:br w:type="page"/>
      </w:r>
    </w:p>
    <w:p w14:paraId="04D5D48F" w14:textId="77777777" w:rsidR="00FC6214" w:rsidRDefault="00FC6214" w:rsidP="00FC6214">
      <w:pPr>
        <w:pStyle w:val="Heading2"/>
        <w:jc w:val="center"/>
        <w:rPr>
          <w:b/>
        </w:rPr>
      </w:pPr>
      <w:r>
        <w:rPr>
          <w:b/>
        </w:rPr>
        <w:t>Appendix 1</w:t>
      </w:r>
    </w:p>
    <w:p w14:paraId="1A48147E" w14:textId="77777777" w:rsidR="00FC6214" w:rsidRPr="0065448B" w:rsidRDefault="00FC6214" w:rsidP="00FC6214">
      <w:pPr>
        <w:pStyle w:val="Heading2"/>
        <w:jc w:val="center"/>
        <w:rPr>
          <w:b/>
        </w:rPr>
      </w:pPr>
      <w:r w:rsidRPr="00CB7620">
        <w:rPr>
          <w:rFonts w:eastAsia="Helvetica Neue"/>
          <w:b/>
        </w:rPr>
        <w:t xml:space="preserve">Specific </w:t>
      </w:r>
      <w:r>
        <w:rPr>
          <w:rFonts w:eastAsia="Helvetica Neue"/>
          <w:b/>
        </w:rPr>
        <w:t xml:space="preserve">TOS for </w:t>
      </w:r>
      <w:r w:rsidRPr="0065448B">
        <w:rPr>
          <w:b/>
        </w:rPr>
        <w:t>Salesforce.com</w:t>
      </w:r>
    </w:p>
    <w:p w14:paraId="5A46F57F" w14:textId="77777777" w:rsidR="00FC6214" w:rsidRPr="0065448B" w:rsidRDefault="00FC6214" w:rsidP="00FC6214">
      <w:pPr>
        <w:spacing w:after="0"/>
      </w:pPr>
    </w:p>
    <w:p w14:paraId="6F44ED2A" w14:textId="77777777" w:rsidR="00FC6214" w:rsidRPr="00293DF1" w:rsidRDefault="00FC6214" w:rsidP="00FC6214">
      <w:pPr>
        <w:spacing w:after="0"/>
        <w:rPr>
          <w:i/>
        </w:rPr>
      </w:pPr>
      <w:r w:rsidRPr="00293DF1">
        <w:rPr>
          <w:i/>
        </w:rPr>
        <w:t xml:space="preserve">In the following terms, the “Reseller” means the Supplier and “Customer” means the Buyer.  SFDC means Salesforce.com EMEA Limited. </w:t>
      </w:r>
    </w:p>
    <w:p w14:paraId="424B50E7" w14:textId="77777777" w:rsidR="00FC6214" w:rsidRPr="00CB7620" w:rsidRDefault="00FC6214" w:rsidP="00FC6214">
      <w:pPr>
        <w:spacing w:after="0"/>
      </w:pPr>
    </w:p>
    <w:p w14:paraId="5E6B9671" w14:textId="77777777" w:rsidR="00FC6214" w:rsidRPr="00CB7620" w:rsidRDefault="00FC6214" w:rsidP="00FC6214">
      <w:pPr>
        <w:spacing w:after="0" w:line="259" w:lineRule="auto"/>
        <w:jc w:val="center"/>
      </w:pPr>
      <w:r w:rsidRPr="00CB7620">
        <w:rPr>
          <w:b/>
          <w:u w:val="single" w:color="000000"/>
        </w:rPr>
        <w:t>SFDC Pass-Through Terms</w:t>
      </w:r>
      <w:r w:rsidRPr="00CB7620">
        <w:rPr>
          <w:b/>
        </w:rPr>
        <w:t xml:space="preserve"> </w:t>
      </w:r>
    </w:p>
    <w:p w14:paraId="607755CD" w14:textId="77777777" w:rsidR="00FC6214" w:rsidRPr="00CB7620" w:rsidRDefault="00FC6214" w:rsidP="00FC6214">
      <w:pPr>
        <w:spacing w:after="0"/>
        <w:ind w:left="-5" w:right="947"/>
      </w:pPr>
      <w:r w:rsidRPr="00CB7620">
        <w:t xml:space="preserve">These SFDC Pass-Through Terms apply between Contractor as "Reseller" for the purposes of these SFDC Pass-Through Terms and its Customer in respect of Services ordered for the Opportunity. </w:t>
      </w:r>
    </w:p>
    <w:p w14:paraId="5D2370C3" w14:textId="77777777" w:rsidR="00FC6214" w:rsidRPr="00CB7620" w:rsidRDefault="00FC6214" w:rsidP="00FC6214">
      <w:pPr>
        <w:widowControl/>
        <w:numPr>
          <w:ilvl w:val="0"/>
          <w:numId w:val="61"/>
        </w:numPr>
        <w:spacing w:after="0" w:line="250" w:lineRule="auto"/>
        <w:ind w:right="95" w:hanging="567"/>
      </w:pPr>
      <w:r w:rsidRPr="00CB7620">
        <w:t xml:space="preserve">SFDC is not a party to these SFDC Pass-Through Terms, which apply solely between Contractor and Customer, and Customer has not right to enforce or bring any claim against SFDC in respect of these SFDC Pass-Through Terms. However, SFDC is a third party beneficiary to these SFDC Pass-Through Terms, and shall have the benefit of and the right to enforce these SFDC Pass-Through Terms between Customer and Reseller.   </w:t>
      </w:r>
    </w:p>
    <w:p w14:paraId="33A9DA22" w14:textId="77777777" w:rsidR="00FC6214" w:rsidRPr="00CB7620" w:rsidRDefault="00FC6214" w:rsidP="00FC6214">
      <w:pPr>
        <w:widowControl/>
        <w:numPr>
          <w:ilvl w:val="0"/>
          <w:numId w:val="61"/>
        </w:numPr>
        <w:spacing w:after="0" w:line="250" w:lineRule="auto"/>
        <w:ind w:right="95" w:hanging="567"/>
      </w:pPr>
      <w:r w:rsidRPr="00CB7620">
        <w:rPr>
          <w:b/>
        </w:rPr>
        <w:t xml:space="preserve">DEFINITIONS </w:t>
      </w:r>
      <w:r w:rsidRPr="00CB7620">
        <w:t>“</w:t>
      </w:r>
      <w:r w:rsidRPr="00CB7620">
        <w:rPr>
          <w:b/>
        </w:rPr>
        <w:t>Content</w:t>
      </w:r>
      <w:r w:rsidRPr="00CB7620">
        <w:t xml:space="preserve">” means information obtained by SFDC from its content licensors or publicly available sources and provided to Customer pursuant to an Order Form, as more fully described in the Documentation.  </w:t>
      </w:r>
    </w:p>
    <w:p w14:paraId="16221668" w14:textId="77777777" w:rsidR="00FC6214" w:rsidRPr="00CB7620" w:rsidRDefault="00FC6214" w:rsidP="00FC6214">
      <w:pPr>
        <w:spacing w:after="0"/>
        <w:ind w:left="577" w:right="95"/>
      </w:pPr>
      <w:r w:rsidRPr="00CB7620">
        <w:t>“</w:t>
      </w:r>
      <w:r w:rsidRPr="00CB7620">
        <w:rPr>
          <w:b/>
        </w:rPr>
        <w:t>Customer</w:t>
      </w:r>
      <w:r w:rsidRPr="00CB7620">
        <w:t xml:space="preserve">” means the customer ordering Services from Reseller.  </w:t>
      </w:r>
    </w:p>
    <w:p w14:paraId="34C25545" w14:textId="77777777" w:rsidR="00FC6214" w:rsidRPr="00CB7620" w:rsidRDefault="00FC6214" w:rsidP="00FC6214">
      <w:pPr>
        <w:spacing w:after="0"/>
        <w:ind w:left="577" w:right="95"/>
      </w:pPr>
      <w:r w:rsidRPr="00CB7620">
        <w:t>“</w:t>
      </w:r>
      <w:r w:rsidRPr="00CB7620">
        <w:rPr>
          <w:b/>
        </w:rPr>
        <w:t>Customer Data</w:t>
      </w:r>
      <w:r w:rsidRPr="00CB7620">
        <w:t xml:space="preserve">” means electronic data and information submitted by or for Customer to the Services or collected and processed by or for Customer using the Services, excluding Content and Non-SFDC Applications. </w:t>
      </w:r>
    </w:p>
    <w:p w14:paraId="1E4E0878" w14:textId="77777777" w:rsidR="00FC6214" w:rsidRPr="00CB7620" w:rsidRDefault="00FC6214" w:rsidP="00FC6214">
      <w:pPr>
        <w:spacing w:after="0"/>
        <w:ind w:left="577" w:right="95"/>
      </w:pPr>
      <w:r w:rsidRPr="00CB7620">
        <w:t>“</w:t>
      </w:r>
      <w:r w:rsidRPr="00CB7620">
        <w:rPr>
          <w:b/>
        </w:rPr>
        <w:t>Data Controller</w:t>
      </w:r>
      <w:r w:rsidRPr="00CB7620">
        <w:t>”</w:t>
      </w:r>
      <w:r w:rsidRPr="00CB7620">
        <w:rPr>
          <w:b/>
        </w:rPr>
        <w:t xml:space="preserve"> </w:t>
      </w:r>
      <w:r w:rsidRPr="00CB7620">
        <w:t>has the meaning specified for “controller” in Data Protection Laws and Regulations.</w:t>
      </w:r>
      <w:r w:rsidRPr="00CB7620">
        <w:rPr>
          <w:b/>
        </w:rPr>
        <w:t xml:space="preserve"> </w:t>
      </w:r>
    </w:p>
    <w:p w14:paraId="32A79340" w14:textId="77777777" w:rsidR="00FC6214" w:rsidRPr="00CB7620" w:rsidRDefault="00FC6214" w:rsidP="00FC6214">
      <w:pPr>
        <w:spacing w:after="0"/>
        <w:ind w:left="577" w:right="95"/>
      </w:pPr>
      <w:r w:rsidRPr="00CB7620">
        <w:t>“</w:t>
      </w:r>
      <w:r w:rsidRPr="00CB7620">
        <w:rPr>
          <w:b/>
        </w:rPr>
        <w:t>Data Processor</w:t>
      </w:r>
      <w:r w:rsidRPr="00CB7620">
        <w:t xml:space="preserve">” has the meaning specified for “processor” in Data Protection Laws and Regulations. </w:t>
      </w:r>
      <w:r w:rsidRPr="00CB7620">
        <w:rPr>
          <w:b/>
        </w:rPr>
        <w:t xml:space="preserve"> </w:t>
      </w:r>
    </w:p>
    <w:p w14:paraId="61C8C5CE" w14:textId="77777777" w:rsidR="00FC6214" w:rsidRPr="00CB7620" w:rsidRDefault="00FC6214" w:rsidP="00FC6214">
      <w:pPr>
        <w:spacing w:after="0"/>
        <w:ind w:left="577" w:right="95"/>
      </w:pPr>
      <w:r w:rsidRPr="00CB7620">
        <w:t>“</w:t>
      </w:r>
      <w:r w:rsidRPr="00CB7620">
        <w:rPr>
          <w:b/>
        </w:rPr>
        <w:t>Data Protection Laws and Regulations</w:t>
      </w:r>
      <w:r w:rsidRPr="00CB7620">
        <w:t xml:space="preserve">” means all applicable laws and regulations of the European Union, the European Economic Area and their member states regarding processing of Personal Data.  </w:t>
      </w:r>
    </w:p>
    <w:p w14:paraId="6E595B95" w14:textId="77777777" w:rsidR="00FC6214" w:rsidRPr="00CB7620" w:rsidRDefault="00FC6214" w:rsidP="00FC6214">
      <w:pPr>
        <w:spacing w:after="0"/>
        <w:ind w:left="577" w:right="95"/>
      </w:pPr>
      <w:r w:rsidRPr="00CB7620">
        <w:t>“</w:t>
      </w:r>
      <w:r w:rsidRPr="00CB7620">
        <w:rPr>
          <w:b/>
        </w:rPr>
        <w:t>Documentation</w:t>
      </w:r>
      <w:r w:rsidRPr="00CB7620">
        <w:t xml:space="preserve">” means SFDC’s online user guides, help and training material for the applicable Services, accessible via help.salesforce.com or login to the applicable Services, as updated from time to time, including without limitation any notices and license information, external usage policies, and security, privacy and architecture documentation for the applicable Services accessible through the Trust and Compliance section of the help.salesforce.com website, current </w:t>
      </w:r>
      <w:proofErr w:type="spellStart"/>
      <w:r w:rsidRPr="00CB7620">
        <w:t>url</w:t>
      </w:r>
      <w:proofErr w:type="spellEnd"/>
      <w:r w:rsidRPr="00CB7620">
        <w:t xml:space="preserve"> at: </w:t>
      </w:r>
    </w:p>
    <w:p w14:paraId="751B449C" w14:textId="77777777" w:rsidR="00FC6214" w:rsidRPr="00CB7620" w:rsidRDefault="00B3638B" w:rsidP="00FC6214">
      <w:pPr>
        <w:spacing w:after="0"/>
        <w:ind w:left="577" w:right="95"/>
      </w:pPr>
      <w:hyperlink r:id="rId59">
        <w:r w:rsidR="00FC6214" w:rsidRPr="00CB7620">
          <w:t>https://help.salesforce.com/apex/HTViewSolution?urlname=Trust</w:t>
        </w:r>
      </w:hyperlink>
      <w:hyperlink r:id="rId60">
        <w:r w:rsidR="00FC6214" w:rsidRPr="00CB7620">
          <w:t>-</w:t>
        </w:r>
      </w:hyperlink>
      <w:hyperlink r:id="rId61">
        <w:r w:rsidR="00FC6214" w:rsidRPr="00CB7620">
          <w:t>and</w:t>
        </w:r>
      </w:hyperlink>
      <w:hyperlink r:id="rId62">
        <w:r w:rsidR="00FC6214" w:rsidRPr="00CB7620">
          <w:t>-</w:t>
        </w:r>
      </w:hyperlink>
      <w:hyperlink r:id="rId63">
        <w:r w:rsidR="00FC6214" w:rsidRPr="00CB7620">
          <w:t>Compliance</w:t>
        </w:r>
      </w:hyperlink>
      <w:hyperlink r:id="rId64"/>
      <w:hyperlink r:id="rId65">
        <w:r w:rsidR="00FC6214" w:rsidRPr="00CB7620">
          <w:t>Documentation&amp;language=en_US</w:t>
        </w:r>
      </w:hyperlink>
      <w:hyperlink r:id="rId66">
        <w:r w:rsidR="00FC6214" w:rsidRPr="00CB7620">
          <w:t xml:space="preserve"> </w:t>
        </w:r>
      </w:hyperlink>
      <w:r w:rsidR="00FC6214" w:rsidRPr="00CB7620">
        <w:t>or any successor website, as updated from time to time. “</w:t>
      </w:r>
      <w:r w:rsidR="00FC6214" w:rsidRPr="00CB7620">
        <w:rPr>
          <w:b/>
        </w:rPr>
        <w:t>Malicious Code</w:t>
      </w:r>
      <w:r w:rsidR="00FC6214" w:rsidRPr="00CB7620">
        <w:t xml:space="preserve">” means code, files, scripts, agents or programs intended to do harm, including, for example, viruses, worms, time bombs and Trojan horses. </w:t>
      </w:r>
    </w:p>
    <w:p w14:paraId="3223FAA7" w14:textId="77777777" w:rsidR="00FC6214" w:rsidRPr="00CB7620" w:rsidRDefault="00FC6214" w:rsidP="00FC6214">
      <w:pPr>
        <w:spacing w:after="0"/>
        <w:ind w:left="577" w:right="95"/>
      </w:pPr>
      <w:r w:rsidRPr="00CB7620">
        <w:t>“</w:t>
      </w:r>
      <w:r w:rsidRPr="00CB7620">
        <w:rPr>
          <w:b/>
        </w:rPr>
        <w:t>Marketplace</w:t>
      </w:r>
      <w:r w:rsidRPr="00CB7620">
        <w:t xml:space="preserve">” means an online directory, </w:t>
      </w:r>
      <w:proofErr w:type="spellStart"/>
      <w:r w:rsidRPr="00CB7620">
        <w:t>catalog</w:t>
      </w:r>
      <w:proofErr w:type="spellEnd"/>
      <w:r w:rsidRPr="00CB7620">
        <w:t xml:space="preserve"> or marketplace of applications that interoperate with the Services, including, for example, the AppExchange located at </w:t>
      </w:r>
      <w:hyperlink r:id="rId67">
        <w:r w:rsidRPr="00CB7620">
          <w:rPr>
            <w:color w:val="0000FF"/>
            <w:u w:val="single" w:color="0000FF"/>
          </w:rPr>
          <w:t>http://www.salesforce.com/appexchange</w:t>
        </w:r>
      </w:hyperlink>
      <w:hyperlink r:id="rId68">
        <w:r w:rsidRPr="00CB7620">
          <w:t>,</w:t>
        </w:r>
      </w:hyperlink>
      <w:r w:rsidRPr="00CB7620">
        <w:t xml:space="preserve"> the </w:t>
      </w:r>
      <w:proofErr w:type="spellStart"/>
      <w:r w:rsidRPr="00CB7620">
        <w:t>Heroku</w:t>
      </w:r>
      <w:proofErr w:type="spellEnd"/>
      <w:r w:rsidRPr="00CB7620">
        <w:t xml:space="preserve"> add-ons </w:t>
      </w:r>
      <w:proofErr w:type="spellStart"/>
      <w:r w:rsidRPr="00CB7620">
        <w:t>catalog</w:t>
      </w:r>
      <w:proofErr w:type="spellEnd"/>
      <w:r w:rsidRPr="00CB7620">
        <w:t xml:space="preserve"> located at </w:t>
      </w:r>
      <w:hyperlink r:id="rId69">
        <w:r w:rsidRPr="00CB7620">
          <w:rPr>
            <w:color w:val="0000FF"/>
            <w:u w:val="single" w:color="0000FF"/>
          </w:rPr>
          <w:t>https://addons.heroku.com/</w:t>
        </w:r>
      </w:hyperlink>
      <w:hyperlink r:id="rId70">
        <w:r w:rsidRPr="00CB7620">
          <w:t>,</w:t>
        </w:r>
      </w:hyperlink>
      <w:r w:rsidRPr="00CB7620">
        <w:t xml:space="preserve"> and any successor websites. </w:t>
      </w:r>
    </w:p>
    <w:p w14:paraId="29539463" w14:textId="77777777" w:rsidR="00FC6214" w:rsidRPr="00CB7620" w:rsidRDefault="00FC6214" w:rsidP="00FC6214">
      <w:pPr>
        <w:spacing w:after="0"/>
        <w:ind w:left="577" w:right="95"/>
      </w:pPr>
      <w:r w:rsidRPr="00CB7620">
        <w:t>“</w:t>
      </w:r>
      <w:r w:rsidRPr="00CB7620">
        <w:rPr>
          <w:b/>
        </w:rPr>
        <w:t>Non-SFDC Application</w:t>
      </w:r>
      <w:r w:rsidRPr="00CB7620">
        <w:t xml:space="preserve">” means a Web-based or offline software application that is provided by Reseller, Customer or a third party and interoperates with a Service, including, for example, an application that is developed by or for Customer, is listed on a Marketplace, or is identified as Salesforce Labs or by a similar designation.  </w:t>
      </w:r>
    </w:p>
    <w:p w14:paraId="06706AE4" w14:textId="77777777" w:rsidR="00FC6214" w:rsidRPr="00CB7620" w:rsidRDefault="00FC6214" w:rsidP="00FC6214">
      <w:pPr>
        <w:spacing w:after="0"/>
        <w:ind w:left="577" w:right="95"/>
      </w:pPr>
      <w:r w:rsidRPr="00CB7620">
        <w:t>“</w:t>
      </w:r>
      <w:r w:rsidRPr="00CB7620">
        <w:rPr>
          <w:b/>
        </w:rPr>
        <w:t>Order Form</w:t>
      </w:r>
      <w:r w:rsidRPr="00CB7620">
        <w:t xml:space="preserve">” means the ordering document specifying the Services to be provided hereunder that is entered into between Customer and Reseller, including any Product Specific Terms addenda and supplements thereto.  </w:t>
      </w:r>
    </w:p>
    <w:p w14:paraId="21C166E6" w14:textId="77777777" w:rsidR="00FC6214" w:rsidRPr="00CB7620" w:rsidRDefault="00FC6214" w:rsidP="00FC6214">
      <w:pPr>
        <w:spacing w:after="0"/>
        <w:ind w:left="577" w:right="95"/>
      </w:pPr>
      <w:r w:rsidRPr="00CB7620">
        <w:t>“</w:t>
      </w:r>
      <w:r w:rsidRPr="00CB7620">
        <w:rPr>
          <w:b/>
        </w:rPr>
        <w:t>Personal Data</w:t>
      </w:r>
      <w:r w:rsidRPr="00CB7620">
        <w:t xml:space="preserve">” has the meaning specified for “personal data” in Data Protection Laws and Regulations where such data is submitted to the Services as Customer Data.  </w:t>
      </w:r>
    </w:p>
    <w:p w14:paraId="139556A1" w14:textId="77777777" w:rsidR="00FC6214" w:rsidRPr="00CB7620" w:rsidRDefault="00FC6214" w:rsidP="00FC6214">
      <w:pPr>
        <w:spacing w:after="0"/>
        <w:ind w:left="577" w:right="95"/>
      </w:pPr>
      <w:r w:rsidRPr="00CB7620">
        <w:t>“</w:t>
      </w:r>
      <w:r w:rsidRPr="00CB7620">
        <w:rPr>
          <w:b/>
        </w:rPr>
        <w:t>Product Specific Terms</w:t>
      </w:r>
      <w:r w:rsidRPr="00CB7620">
        <w:t xml:space="preserve">” means standard terms from SFDC that apply specifically to one or more particular Service, as set out in the applicable order from between SFDC and Reseller, which Contractor is obliged to set out in the applicable Order Form. </w:t>
      </w:r>
    </w:p>
    <w:p w14:paraId="6329267E" w14:textId="77777777" w:rsidR="00FC6214" w:rsidRPr="00CB7620" w:rsidRDefault="00FC6214" w:rsidP="00FC6214">
      <w:pPr>
        <w:spacing w:after="0"/>
        <w:ind w:left="577" w:right="95"/>
      </w:pPr>
      <w:r w:rsidRPr="00CB7620">
        <w:t xml:space="preserve"> “</w:t>
      </w:r>
      <w:r w:rsidRPr="00CB7620">
        <w:rPr>
          <w:b/>
        </w:rPr>
        <w:t>Reseller</w:t>
      </w:r>
      <w:r w:rsidRPr="00CB7620">
        <w:t xml:space="preserve">” means the Contractor authorized by SFDC to resell Services from whom Customer orders Services. </w:t>
      </w:r>
    </w:p>
    <w:p w14:paraId="3CB69EF8" w14:textId="77777777" w:rsidR="00FC6214" w:rsidRPr="00CB7620" w:rsidRDefault="00FC6214" w:rsidP="00FC6214">
      <w:pPr>
        <w:spacing w:after="0"/>
        <w:ind w:left="577" w:right="95"/>
      </w:pPr>
      <w:r w:rsidRPr="00CB7620">
        <w:t>“</w:t>
      </w:r>
      <w:r w:rsidRPr="00CB7620">
        <w:rPr>
          <w:b/>
        </w:rPr>
        <w:t>Services</w:t>
      </w:r>
      <w:r w:rsidRPr="00CB7620">
        <w:t>” means the products and services that are ordered by Customer under an Order Form and made available online by SFDC, including associated offline components, as described in the Documentation.  “Services” exclude Content and Non-SFDC Applications.   “</w:t>
      </w:r>
      <w:r w:rsidRPr="00CB7620">
        <w:rPr>
          <w:b/>
        </w:rPr>
        <w:t>SFDC</w:t>
      </w:r>
      <w:r w:rsidRPr="00CB7620">
        <w:t xml:space="preserve">” means salesforce.com EMEA Limited, a limited liability company having its registered office at Floor 26 Salesforce Tower, 110 Bishopsgate, London EC2N 4AY, United Kingdom or any of its Affiliates, as applicable, where Affiliates means any entity that directly or indirectly controls, is controlled by, or is under common control with the subject entity.  “Control,” for purposes of this definition, means direct or indirect ownership or control of more than 50% of the voting interests of the subject entity.   </w:t>
      </w:r>
    </w:p>
    <w:p w14:paraId="44FD58D9" w14:textId="77777777" w:rsidR="00FC6214" w:rsidRPr="00CB7620" w:rsidRDefault="00FC6214" w:rsidP="00FC6214">
      <w:pPr>
        <w:spacing w:after="0"/>
        <w:ind w:left="577" w:right="95"/>
      </w:pPr>
      <w:r w:rsidRPr="00CB7620">
        <w:t xml:space="preserve"> “</w:t>
      </w:r>
      <w:r w:rsidRPr="00CB7620">
        <w:rPr>
          <w:b/>
        </w:rPr>
        <w:t>User</w:t>
      </w:r>
      <w:r w:rsidRPr="00CB7620">
        <w:t xml:space="preserve">” means an individual who is authorized by Customer to use a Service, for whom Customer has ordered the Service, and to whom Customer (or when applicable, Contractor at Customer’s request, or SFDC at Customer’s request) has supplied a user identification and password.  Users may include, for example, employees, consultants, contractors and agents of Customer, and third parties with which Customer transacts business. </w:t>
      </w:r>
    </w:p>
    <w:p w14:paraId="464664FB" w14:textId="77777777" w:rsidR="00FC6214" w:rsidRPr="00CB7620" w:rsidRDefault="00FC6214" w:rsidP="00FC6214">
      <w:pPr>
        <w:pStyle w:val="Heading1"/>
        <w:tabs>
          <w:tab w:val="center" w:pos="1917"/>
        </w:tabs>
        <w:spacing w:after="0"/>
        <w:ind w:left="-15" w:right="95"/>
      </w:pPr>
      <w:r w:rsidRPr="00CB7620">
        <w:rPr>
          <w:sz w:val="20"/>
        </w:rPr>
        <w:t xml:space="preserve">3. </w:t>
      </w:r>
      <w:r w:rsidRPr="00CB7620">
        <w:rPr>
          <w:sz w:val="20"/>
        </w:rPr>
        <w:tab/>
      </w:r>
      <w:r w:rsidRPr="00CB7620">
        <w:t xml:space="preserve">SFDC RESPONSIBILITIES </w:t>
      </w:r>
    </w:p>
    <w:p w14:paraId="159CDD75" w14:textId="77777777" w:rsidR="00FC6214" w:rsidRPr="00CB7620" w:rsidRDefault="00FC6214" w:rsidP="00FC6214">
      <w:pPr>
        <w:widowControl/>
        <w:numPr>
          <w:ilvl w:val="0"/>
          <w:numId w:val="62"/>
        </w:numPr>
        <w:spacing w:after="0" w:line="250" w:lineRule="auto"/>
        <w:ind w:right="95" w:hanging="567"/>
      </w:pPr>
      <w:r w:rsidRPr="00CB7620">
        <w:rPr>
          <w:b/>
        </w:rPr>
        <w:t xml:space="preserve">Provision of Services. </w:t>
      </w:r>
      <w:r w:rsidRPr="00CB7620">
        <w:t>SFDC will (a) make the Services and Content available to Customer pursuant to these SFDC Pass-Through Terms and the applicable Order Forms, and (b) use commercially reasonable efforts to make the online Services available 24 hours a day, 7 days a week, except for:  (</w:t>
      </w:r>
      <w:proofErr w:type="spellStart"/>
      <w:r w:rsidRPr="00CB7620">
        <w:t>i</w:t>
      </w:r>
      <w:proofErr w:type="spellEnd"/>
      <w:r w:rsidRPr="00CB7620">
        <w:t xml:space="preserve">) planned downtime (of which SFDC shall give at least 8 hours electronic notice and which SFDC shall schedule to the extent practicable during the weekend hours between 6:00 p.m. Friday and 3:00 a.m. Monday Pacific time), and (ii) any unavailability caused by circumstances beyond SFDC’s reasonable control, including, for example, an act of God, act of government, flood, fire, earthquake, civil unrest, act of terror, strike or other </w:t>
      </w:r>
      <w:proofErr w:type="spellStart"/>
      <w:r w:rsidRPr="00CB7620">
        <w:t>labor</w:t>
      </w:r>
      <w:proofErr w:type="spellEnd"/>
      <w:r w:rsidRPr="00CB7620">
        <w:t xml:space="preserve"> problem (other than one involving SFDC employees), Internet service provider failure or delay, Non-SFDC Application, or denial of service attack. </w:t>
      </w:r>
    </w:p>
    <w:p w14:paraId="3DE8970A" w14:textId="77777777" w:rsidR="00FC6214" w:rsidRPr="00CB7620" w:rsidRDefault="00FC6214" w:rsidP="00FC6214">
      <w:pPr>
        <w:widowControl/>
        <w:numPr>
          <w:ilvl w:val="0"/>
          <w:numId w:val="62"/>
        </w:numPr>
        <w:spacing w:after="0" w:line="250" w:lineRule="auto"/>
        <w:ind w:right="95" w:hanging="567"/>
      </w:pPr>
      <w:r w:rsidRPr="00CB7620">
        <w:rPr>
          <w:b/>
        </w:rPr>
        <w:t>Protection of Customer Data.</w:t>
      </w:r>
      <w:r w:rsidRPr="00CB7620">
        <w:t xml:space="preserve">  To the extent that Customer Data comprises Personal Data, Customer hereby agrees that SFDC and its Affiliates are each acting as individual Data Processors on behalf of Customer.  SFDC shall, and shall procure that its Affiliates, shall: (a) process Customer Data in accordance with these SFDC Pass-Through Terms and Customer’s instructions (b) implement and maintain organisational, administrative, physical and technical safeguards for the protection of the security, confidentiality and integrity of Customer Data, as described in the Documentation, including, but not limited to, measures to protect against unauthorised access to or alteration, disclosure, destruction or loss of Customer Data, (c) not modify Customer Data, (d) not disclose Customer Data except as compelled by law in accordance with the “Confidentiality: Compelled Disclosure” section below or as expressly permitted in writing by Customer, and (e) not otherwise process Customer Data except to provide the Services and prevent or address service or technical problems. By submitting Customer Data to the Services, Customer acts as Data Controller under applicable Data Protection Laws and Regulations. Customer shall (</w:t>
      </w:r>
      <w:proofErr w:type="spellStart"/>
      <w:r w:rsidRPr="00CB7620">
        <w:t>i</w:t>
      </w:r>
      <w:proofErr w:type="spellEnd"/>
      <w:r w:rsidRPr="00CB7620">
        <w:t xml:space="preserve">) have sole responsibility for the accuracy, quality, integrity, legality and reliability of Customer Data and of the means by which it acquired Customer Data, (ii) ensure that data processing instructions given to SFDC comply with applicable Data Protection Laws and Regulations, and (iii) comply with all applicable Data Protection Laws and Regulations in collecting, compiling, storing, accessing and using Customer Data in connection with the Services. </w:t>
      </w:r>
    </w:p>
    <w:p w14:paraId="1EF723B1" w14:textId="77777777" w:rsidR="00FC6214" w:rsidRPr="00CB7620" w:rsidRDefault="00FC6214" w:rsidP="00FC6214">
      <w:pPr>
        <w:pStyle w:val="Heading1"/>
        <w:tabs>
          <w:tab w:val="center" w:pos="2394"/>
        </w:tabs>
        <w:spacing w:after="0"/>
        <w:ind w:left="-15" w:right="95"/>
      </w:pPr>
      <w:r w:rsidRPr="00CB7620">
        <w:rPr>
          <w:sz w:val="20"/>
        </w:rPr>
        <w:t xml:space="preserve">4. </w:t>
      </w:r>
      <w:r w:rsidRPr="00CB7620">
        <w:rPr>
          <w:sz w:val="20"/>
        </w:rPr>
        <w:tab/>
      </w:r>
      <w:r w:rsidRPr="00CB7620">
        <w:t xml:space="preserve">USE OF SERVICES AND CONTENT </w:t>
      </w:r>
    </w:p>
    <w:p w14:paraId="0A20F49A" w14:textId="77777777" w:rsidR="00FC6214" w:rsidRPr="00CB7620" w:rsidRDefault="00FC6214" w:rsidP="00FC6214">
      <w:pPr>
        <w:widowControl/>
        <w:numPr>
          <w:ilvl w:val="0"/>
          <w:numId w:val="63"/>
        </w:numPr>
        <w:spacing w:after="0" w:line="250" w:lineRule="auto"/>
        <w:ind w:right="95" w:hanging="567"/>
      </w:pPr>
      <w:r w:rsidRPr="00CB7620">
        <w:rPr>
          <w:b/>
        </w:rPr>
        <w:t>Subscriptions.</w:t>
      </w:r>
      <w:r w:rsidRPr="00CB7620">
        <w:t xml:space="preserve">  Unless otherwise provided in the applicable Order Form, Services and Content are purchased as subscriptions.    </w:t>
      </w:r>
    </w:p>
    <w:p w14:paraId="2D546D5F" w14:textId="77777777" w:rsidR="00FC6214" w:rsidRPr="00CB7620" w:rsidRDefault="00FC6214" w:rsidP="00FC6214">
      <w:pPr>
        <w:widowControl/>
        <w:numPr>
          <w:ilvl w:val="0"/>
          <w:numId w:val="63"/>
        </w:numPr>
        <w:spacing w:after="0" w:line="250" w:lineRule="auto"/>
        <w:ind w:right="95" w:hanging="567"/>
      </w:pPr>
      <w:r w:rsidRPr="00CB7620">
        <w:rPr>
          <w:b/>
        </w:rPr>
        <w:t>Usage Limits.</w:t>
      </w:r>
      <w:r w:rsidRPr="00CB7620">
        <w:t xml:space="preserve">  Services and Content are subject to usage limits, including, for example, the quantities specified in Order Forms.  Unless otherwise specified, (a) a quantity in an Order Form refers to Users, and the Service or Content may not be accessed by more than that number of Users, (b) a User’s password may not be shared with any other individual, and (c) a User identification may be reassigned to a new individual replacing one who no longer requires ongoing use of the Services.   </w:t>
      </w:r>
    </w:p>
    <w:p w14:paraId="1AF49C8C" w14:textId="77777777" w:rsidR="00FC6214" w:rsidRPr="00CB7620" w:rsidRDefault="00FC6214" w:rsidP="00FC6214">
      <w:pPr>
        <w:widowControl/>
        <w:numPr>
          <w:ilvl w:val="0"/>
          <w:numId w:val="63"/>
        </w:numPr>
        <w:spacing w:after="0" w:line="250" w:lineRule="auto"/>
        <w:ind w:right="95" w:hanging="567"/>
      </w:pPr>
      <w:r w:rsidRPr="00CB7620">
        <w:rPr>
          <w:b/>
        </w:rPr>
        <w:t>Customer Responsibilities.</w:t>
      </w:r>
      <w:r w:rsidRPr="00CB7620">
        <w:t xml:space="preserve">  Customer will (a) be responsible for Users’ compliance with these SFDC Pass-Through Terms, (b) comply with Product Specific Terms, including any Product Specific Terms notified to Customer which Contractor has failed to include in the applicable Order Form, (c) be responsible for the accuracy, quality and legality of Customer Data and the means by which Customer acquired Customer Data, (d) submit Customer Data only in accordance with the Documentation and applicable laws and government regulations, (e) use commercially reasonable efforts to prevent unauthorized access to or use of Services and Content, and notify SFDC promptly of any such unauthorized access or use, (e) use Services and Content only in accordance with the Documentation, Order Forms, and applicable laws and government regulations, and (f) comply with terms of service of </w:t>
      </w:r>
      <w:proofErr w:type="spellStart"/>
      <w:r w:rsidRPr="00CB7620">
        <w:t>NonSFDC</w:t>
      </w:r>
      <w:proofErr w:type="spellEnd"/>
      <w:r w:rsidRPr="00CB7620">
        <w:t xml:space="preserve"> Applications with which Customer uses Services or Content. </w:t>
      </w:r>
    </w:p>
    <w:p w14:paraId="352661D4" w14:textId="77777777" w:rsidR="00FC6214" w:rsidRPr="00CB7620" w:rsidRDefault="00FC6214" w:rsidP="00FC6214">
      <w:pPr>
        <w:widowControl/>
        <w:numPr>
          <w:ilvl w:val="0"/>
          <w:numId w:val="63"/>
        </w:numPr>
        <w:spacing w:after="0" w:line="250" w:lineRule="auto"/>
        <w:ind w:right="95" w:hanging="567"/>
      </w:pPr>
      <w:r w:rsidRPr="00CB7620">
        <w:rPr>
          <w:b/>
        </w:rPr>
        <w:t>Support</w:t>
      </w:r>
      <w:r w:rsidRPr="00CB7620">
        <w:t xml:space="preserve">. Customer acknowledges and agrees that all Customer support inquiries and matters must be made through Contractor, and that Contractor may have access to Customer’s instance of the Services, including Customer Data, for the purposes of providing such support, and accordingly Customer and Contractor will enter appropriate contractual protection. Any additional access required by Contractor and requested by Customer shall be agreed to by the parties.  </w:t>
      </w:r>
    </w:p>
    <w:p w14:paraId="1C83D9FC" w14:textId="77777777" w:rsidR="00FC6214" w:rsidRPr="00CB7620" w:rsidRDefault="00FC6214" w:rsidP="00FC6214">
      <w:pPr>
        <w:widowControl/>
        <w:numPr>
          <w:ilvl w:val="0"/>
          <w:numId w:val="63"/>
        </w:numPr>
        <w:spacing w:after="0" w:line="250" w:lineRule="auto"/>
        <w:ind w:right="95" w:hanging="567"/>
      </w:pPr>
      <w:r w:rsidRPr="00CB7620">
        <w:rPr>
          <w:b/>
        </w:rPr>
        <w:t>Usage Restrictions.</w:t>
      </w:r>
      <w:r w:rsidRPr="00CB7620">
        <w:t xml:space="preserve">  Customer will not (a) make any Service or Content available to, or use any Service or Content for the benefit of, anyone other than Customer or Users, (b) sell, resell, license, sublicense, distribute, rent or lease any Service or Content, or include any Service or Content in a service bureau or outsourcing offering, (c) use a Service to store or transmit infringing, libellous, or otherwise unlawful or tortious material, or to store or transmit material in violation of third-party privacy rights, (d) use a Service to store or transmit Malicious Code, (e) interfere with or disrupt the integrity or performance of any Service or third-party data contained therein, (f) attempt to gain unauthorized access to any Service or Content or its related systems or networks, (g) permit direct or indirect access to or use of any Service or Content in a way that circumvents a contractual usage limit, (h) copy a Service or any part, feature, function or user interface thereof, (</w:t>
      </w:r>
      <w:proofErr w:type="spellStart"/>
      <w:r w:rsidRPr="00CB7620">
        <w:t>i</w:t>
      </w:r>
      <w:proofErr w:type="spellEnd"/>
      <w:r w:rsidRPr="00CB7620">
        <w:t xml:space="preserve">) copy Content except as permitted herein or in an Order Form or the Documentation, (j) access the Services or Content in order to build a competitive product or services, (k) frame or mirror any part of any Service or Content, other than framing on Customer's own intranets or otherwise for its own internal business purposes or as permitted in the Documentation, (l) access any Service or Content in order to build a competitive product or service, or (m) reverse engineer any Service (to the extent such restriction is permitted by law).   </w:t>
      </w:r>
    </w:p>
    <w:p w14:paraId="094E5578" w14:textId="77777777" w:rsidR="00FC6214" w:rsidRPr="00CB7620" w:rsidRDefault="00FC6214" w:rsidP="00FC6214">
      <w:pPr>
        <w:widowControl/>
        <w:numPr>
          <w:ilvl w:val="0"/>
          <w:numId w:val="63"/>
        </w:numPr>
        <w:spacing w:after="0" w:line="250" w:lineRule="auto"/>
        <w:ind w:right="95" w:hanging="567"/>
      </w:pPr>
      <w:r w:rsidRPr="00CB7620">
        <w:rPr>
          <w:b/>
        </w:rPr>
        <w:t>External-Facing Services</w:t>
      </w:r>
      <w:r w:rsidRPr="00CB7620">
        <w:t xml:space="preserve">.  If Customer subscribes to a Service for creation and hosting of external-facing websites, Customer will comply with, and be responsible for Users’ compliance with, SFDC’s External-Facing Services Policy at </w:t>
      </w:r>
      <w:hyperlink r:id="rId71">
        <w:r w:rsidRPr="00CB7620">
          <w:rPr>
            <w:color w:val="0000FF"/>
            <w:u w:val="single" w:color="0000FF"/>
          </w:rPr>
          <w:t>http://www.salesforce.com/company/legal/</w:t>
        </w:r>
      </w:hyperlink>
      <w:hyperlink r:id="rId72">
        <w:r w:rsidRPr="00CB7620">
          <w:t>,</w:t>
        </w:r>
      </w:hyperlink>
      <w:r w:rsidRPr="00CB7620">
        <w:t xml:space="preserve"> and be solely responsible for complying with applicable law in any use of cookies or other tracking technologies on such websites. </w:t>
      </w:r>
    </w:p>
    <w:p w14:paraId="1D31838F" w14:textId="77777777" w:rsidR="00FC6214" w:rsidRPr="00CB7620" w:rsidRDefault="00FC6214" w:rsidP="00FC6214">
      <w:pPr>
        <w:widowControl/>
        <w:numPr>
          <w:ilvl w:val="0"/>
          <w:numId w:val="63"/>
        </w:numPr>
        <w:spacing w:after="0" w:line="250" w:lineRule="auto"/>
        <w:ind w:right="95" w:hanging="567"/>
      </w:pPr>
      <w:r w:rsidRPr="00CB7620">
        <w:rPr>
          <w:b/>
        </w:rPr>
        <w:t>Removal of Content and Non-SFDC Applications.</w:t>
      </w:r>
      <w:r w:rsidRPr="00CB7620">
        <w:t xml:space="preserve">  If SFDC is required by a licensor or any third party rights holder to remove Content, or receives information that Content provided to Customer may violate applicable law or third-party rights, SFDC may discontinue Customer’s access to such Content through the Services. In addition, SFDC may on notice to Contractor or to Customer require Customer to discontinue all use of such Content and, to the extent not prohibited by law, promptly remove such Content from its systems.   If SFDC receives information that a Non-SFDC Application hosted on a Service by Customer may violate SFDC’s External-Facing Services Policy or applicable law or third-party rights, SFDC may so notify Customer or Contractor and in such event Customer will promptly disable such </w:t>
      </w:r>
      <w:proofErr w:type="spellStart"/>
      <w:r w:rsidRPr="00CB7620">
        <w:t>NonSFDC</w:t>
      </w:r>
      <w:proofErr w:type="spellEnd"/>
      <w:r w:rsidRPr="00CB7620">
        <w:t xml:space="preserve"> Application or modify the Non-SFDC Application to resolve the potential violation.  If Customer does not take required action in accordance with the above, SFDC may disable the applicable Content, Service and/or Non-SFDC Application until the potential violation is resolved. If so requested by SFDC, Customer shall certify such deletion and discontinuance of use in writing and SFDC shall be authorized to provide a copy of such certification to any such third party claimant or governmental authority, as applicable </w:t>
      </w:r>
    </w:p>
    <w:p w14:paraId="0F90C9D0" w14:textId="77777777" w:rsidR="00FC6214" w:rsidRPr="00CB7620" w:rsidRDefault="00FC6214" w:rsidP="00FC6214">
      <w:pPr>
        <w:pStyle w:val="Heading1"/>
        <w:tabs>
          <w:tab w:val="center" w:pos="1826"/>
        </w:tabs>
        <w:spacing w:after="0"/>
        <w:ind w:left="-15" w:right="95"/>
      </w:pPr>
      <w:r w:rsidRPr="00CB7620">
        <w:rPr>
          <w:sz w:val="20"/>
        </w:rPr>
        <w:t xml:space="preserve">5. </w:t>
      </w:r>
      <w:r w:rsidRPr="00CB7620">
        <w:rPr>
          <w:sz w:val="20"/>
        </w:rPr>
        <w:tab/>
      </w:r>
      <w:r w:rsidRPr="00CB7620">
        <w:t xml:space="preserve">NON-SFDC PROVIDERS </w:t>
      </w:r>
    </w:p>
    <w:p w14:paraId="409AE144" w14:textId="77777777" w:rsidR="00FC6214" w:rsidRPr="00CB7620" w:rsidRDefault="00FC6214" w:rsidP="00FC6214">
      <w:pPr>
        <w:widowControl/>
        <w:numPr>
          <w:ilvl w:val="0"/>
          <w:numId w:val="64"/>
        </w:numPr>
        <w:spacing w:after="0" w:line="250" w:lineRule="auto"/>
        <w:ind w:right="95" w:hanging="567"/>
      </w:pPr>
      <w:r w:rsidRPr="00CB7620">
        <w:rPr>
          <w:b/>
        </w:rPr>
        <w:t>Acquisition of Non-SFDC Products and Services.</w:t>
      </w:r>
      <w:r w:rsidRPr="00CB7620">
        <w:t xml:space="preserve">  SFDC or third parties may make available (for example, through a Marketplace or otherwise) third-party products or services, including, for example, Non-SFDC Applications and implementation and other consulting services.  Any acquisition by Customer of such non-SFDC products or services, and any exchange of data between Customer and any non-SFDC provider, is solely between Customer and the applicable non-SFDC provider.  SFDC does not warrant or support </w:t>
      </w:r>
      <w:proofErr w:type="spellStart"/>
      <w:r w:rsidRPr="00CB7620">
        <w:t>NonSFDC</w:t>
      </w:r>
      <w:proofErr w:type="spellEnd"/>
      <w:r w:rsidRPr="00CB7620">
        <w:t xml:space="preserve"> Applications or other non-SFDC products or services, whether or not they are designated by SFDC as “certified” or otherwise. </w:t>
      </w:r>
    </w:p>
    <w:p w14:paraId="10C0CA18" w14:textId="77777777" w:rsidR="00FC6214" w:rsidRPr="00CB7620" w:rsidRDefault="00FC6214" w:rsidP="00FC6214">
      <w:pPr>
        <w:widowControl/>
        <w:numPr>
          <w:ilvl w:val="0"/>
          <w:numId w:val="64"/>
        </w:numPr>
        <w:spacing w:after="0" w:line="250" w:lineRule="auto"/>
        <w:ind w:right="95" w:hanging="567"/>
      </w:pPr>
      <w:r w:rsidRPr="00CB7620">
        <w:rPr>
          <w:b/>
        </w:rPr>
        <w:t xml:space="preserve">Non-SFDC Applications and Customer Data. </w:t>
      </w:r>
      <w:r w:rsidRPr="00CB7620">
        <w:t xml:space="preserve"> If Customer installs or enables Non-SFDC Applications for use with the Services, Customer acknowledges that SFDC may allow providers of those Non-SFDC Applications to access Customer Data as required for the interoperation and support of such Non-SFDC Applications with the Services.  Separate terms shall apply between Customer and the Non-SFDC Application providers regarding the use of such Non-SFDC Applications, and Customer shall be responsible for evaluating whether such terms with the Non-SFDC Application providers ensure appropriate protection of and access to Customer Data, and address responsibility for any disclosure, modification or deletion of Customer Data by the Non-SFDC Application providers, or any breach of Data Protection </w:t>
      </w:r>
    </w:p>
    <w:p w14:paraId="4F15ACC5" w14:textId="77777777" w:rsidR="00FC6214" w:rsidRPr="00CB7620" w:rsidRDefault="00FC6214" w:rsidP="00FC6214">
      <w:pPr>
        <w:spacing w:after="0"/>
        <w:ind w:left="577" w:right="95"/>
      </w:pPr>
      <w:r w:rsidRPr="00CB7620">
        <w:t xml:space="preserve">Laws and Regulations resulting from Non-SFDC Application providers’ access to Customer Data.  Non-SFDC Application providers shall not be considered subcontractors or sub-Data Processors of SFDC or any of its Affiliates. SFDC and its Affiliates shall not be responsible for any disclosure, modification, corruption, loss or deletion of Customer Data, or any breach of applicable Data Protection Laws and Regulations, resulting from any access by a Non-SFDC Application provider to Customer Data through a Non-SFDC Application installed by Customer or the Users.    </w:t>
      </w:r>
    </w:p>
    <w:p w14:paraId="0D91E84C" w14:textId="77777777" w:rsidR="00FC6214" w:rsidRPr="00CB7620" w:rsidRDefault="00FC6214" w:rsidP="00FC6214">
      <w:pPr>
        <w:widowControl/>
        <w:numPr>
          <w:ilvl w:val="0"/>
          <w:numId w:val="64"/>
        </w:numPr>
        <w:spacing w:after="0" w:line="250" w:lineRule="auto"/>
        <w:ind w:right="95" w:hanging="567"/>
      </w:pPr>
      <w:r w:rsidRPr="00CB7620">
        <w:rPr>
          <w:b/>
        </w:rPr>
        <w:t xml:space="preserve">Integration with Non-SFDC Applications.  </w:t>
      </w:r>
      <w:r w:rsidRPr="00CB7620">
        <w:t xml:space="preserve">The Services may contain features designed to interoperate with Non-SFDC Applications.  To use such features, Customer may be required to obtain access to Non-SFDC Applications from their providers.  If the provider of a </w:t>
      </w:r>
      <w:proofErr w:type="spellStart"/>
      <w:r w:rsidRPr="00CB7620">
        <w:t>NonSFDC</w:t>
      </w:r>
      <w:proofErr w:type="spellEnd"/>
      <w:r w:rsidRPr="00CB7620">
        <w:t xml:space="preserve"> Application ceases to make the Non-SFDC Application available for interoperation with the corresponding Service features on reasonable terms, SFDC may cease providing those Service features without entitling Customer to any refund, credit, or other compensation.  </w:t>
      </w:r>
    </w:p>
    <w:p w14:paraId="31896036" w14:textId="77777777" w:rsidR="00FC6214" w:rsidRPr="00CB7620" w:rsidRDefault="00FC6214" w:rsidP="00FC6214">
      <w:pPr>
        <w:pStyle w:val="Heading1"/>
        <w:tabs>
          <w:tab w:val="center" w:pos="1691"/>
        </w:tabs>
        <w:spacing w:after="0"/>
        <w:ind w:left="-15" w:right="95"/>
      </w:pPr>
      <w:r w:rsidRPr="00CB7620">
        <w:rPr>
          <w:sz w:val="20"/>
        </w:rPr>
        <w:t xml:space="preserve">6. </w:t>
      </w:r>
      <w:r w:rsidRPr="00CB7620">
        <w:rPr>
          <w:sz w:val="20"/>
        </w:rPr>
        <w:tab/>
      </w:r>
      <w:r w:rsidRPr="00CB7620">
        <w:t xml:space="preserve">FEES AND PAYMENT </w:t>
      </w:r>
    </w:p>
    <w:p w14:paraId="7E3CBEB8" w14:textId="77777777" w:rsidR="00FC6214" w:rsidRPr="00CB7620" w:rsidRDefault="00FC6214" w:rsidP="00FC6214">
      <w:pPr>
        <w:widowControl/>
        <w:numPr>
          <w:ilvl w:val="0"/>
          <w:numId w:val="70"/>
        </w:numPr>
        <w:spacing w:after="0" w:line="250" w:lineRule="auto"/>
        <w:ind w:right="95" w:hanging="567"/>
      </w:pPr>
      <w:r w:rsidRPr="00CB7620">
        <w:rPr>
          <w:b/>
        </w:rPr>
        <w:t>Fees and Payment.</w:t>
      </w:r>
      <w:r w:rsidRPr="00CB7620">
        <w:t xml:space="preserve">  Payment of fees due under any Order Form, and the related payment terms, is exclusively between Customer and Reseller.  </w:t>
      </w:r>
      <w:r w:rsidRPr="00CB7620">
        <w:rPr>
          <w:b/>
        </w:rPr>
        <w:t xml:space="preserve"> </w:t>
      </w:r>
    </w:p>
    <w:p w14:paraId="7B6DA781" w14:textId="77777777" w:rsidR="00FC6214" w:rsidRPr="00CB7620" w:rsidRDefault="00FC6214" w:rsidP="00FC6214">
      <w:pPr>
        <w:pStyle w:val="Heading1"/>
        <w:tabs>
          <w:tab w:val="center" w:pos="1748"/>
        </w:tabs>
        <w:spacing w:after="0"/>
        <w:ind w:left="-15" w:right="95"/>
      </w:pPr>
      <w:r>
        <w:rPr>
          <w:sz w:val="20"/>
        </w:rPr>
        <w:t>7</w:t>
      </w:r>
      <w:r w:rsidRPr="00CB7620">
        <w:rPr>
          <w:sz w:val="20"/>
        </w:rPr>
        <w:t xml:space="preserve">. </w:t>
      </w:r>
      <w:r w:rsidRPr="00CB7620">
        <w:rPr>
          <w:sz w:val="20"/>
        </w:rPr>
        <w:tab/>
      </w:r>
      <w:r w:rsidRPr="00CB7620">
        <w:t xml:space="preserve">Suspension of Service </w:t>
      </w:r>
    </w:p>
    <w:p w14:paraId="38BFFA12" w14:textId="77777777" w:rsidR="00FC6214" w:rsidRPr="00CB7620" w:rsidRDefault="00FC6214" w:rsidP="00FC6214">
      <w:pPr>
        <w:widowControl/>
        <w:numPr>
          <w:ilvl w:val="0"/>
          <w:numId w:val="71"/>
        </w:numPr>
        <w:spacing w:after="0" w:line="250" w:lineRule="auto"/>
        <w:ind w:right="95"/>
      </w:pPr>
      <w:r w:rsidRPr="00CB7620">
        <w:t>Customer acknowledges that if any charge is owing by Contractor to SFDC in respect of Customer and is 30 days or more overdue, SFDC may, without limiting its other rights and remedies, suspend Services after following this process:</w:t>
      </w:r>
      <w:r w:rsidRPr="00CB7620">
        <w:rPr>
          <w:b/>
        </w:rPr>
        <w:t xml:space="preserve"> </w:t>
      </w:r>
    </w:p>
    <w:p w14:paraId="37E96845" w14:textId="77777777" w:rsidR="00FC6214" w:rsidRPr="00CB7620" w:rsidRDefault="00FC6214" w:rsidP="00FC6214">
      <w:pPr>
        <w:widowControl/>
        <w:numPr>
          <w:ilvl w:val="0"/>
          <w:numId w:val="65"/>
        </w:numPr>
        <w:spacing w:after="0" w:line="250" w:lineRule="auto"/>
        <w:ind w:right="95" w:hanging="540"/>
      </w:pPr>
      <w:r w:rsidRPr="00CB7620">
        <w:t xml:space="preserve">SFDC shall give both Customer and Contractor 10 or more days’ prior notice that Reseller’s account is overdue; </w:t>
      </w:r>
    </w:p>
    <w:p w14:paraId="1051EFD8" w14:textId="77777777" w:rsidR="00FC6214" w:rsidRPr="00CB7620" w:rsidRDefault="00FC6214" w:rsidP="00FC6214">
      <w:pPr>
        <w:widowControl/>
        <w:numPr>
          <w:ilvl w:val="0"/>
          <w:numId w:val="65"/>
        </w:numPr>
        <w:spacing w:after="0" w:line="250" w:lineRule="auto"/>
        <w:ind w:right="95" w:hanging="540"/>
      </w:pPr>
      <w:r w:rsidRPr="00CB7620">
        <w:t xml:space="preserve">if after such period such charges still remain unpaid, SFDC shall give Customer notice (“Second Notice”) that Reseller’s account is still overdue, and upon such Second Notice (a) Customer may by written notice to the Contractor withdraw its designation as Customer’s Contractor (becoming a “Former Reseller”), and (b) either Customer and SFDC shall in good faith and without delay negotiate with and appoint an alternative </w:t>
      </w:r>
    </w:p>
    <w:p w14:paraId="326ADD9A" w14:textId="77777777" w:rsidR="00FC6214" w:rsidRPr="00CB7620" w:rsidRDefault="00FC6214" w:rsidP="00FC6214">
      <w:pPr>
        <w:spacing w:after="0"/>
        <w:ind w:left="1090" w:right="95"/>
      </w:pPr>
      <w:r w:rsidRPr="00CB7620">
        <w:t xml:space="preserve">Contractor (“New Reseller”) and SFDC and Former Contractor shall assign the applicable order from between SFDC and the Former Contractor to the New Reseller, provided such assignment is effective within 30 days of the date of the Second Notice, or Customer shall elect not to appoint a New Contractor in which case Customer shall engage good faith discussions with SFDC to agree a mutually acceptable payment schedule; </w:t>
      </w:r>
    </w:p>
    <w:p w14:paraId="48C43642" w14:textId="77777777" w:rsidR="00FC6214" w:rsidRPr="00CB7620" w:rsidRDefault="00FC6214" w:rsidP="00FC6214">
      <w:pPr>
        <w:widowControl/>
        <w:numPr>
          <w:ilvl w:val="0"/>
          <w:numId w:val="65"/>
        </w:numPr>
        <w:spacing w:after="0" w:line="250" w:lineRule="auto"/>
        <w:ind w:right="95" w:hanging="540"/>
      </w:pPr>
      <w:r w:rsidRPr="00CB7620">
        <w:t xml:space="preserve">if SFDC and Customer are unable to appoint an alternative Contractor and assign the order form within 30 days of the date of the Second Notice, or if Customer elects not to appoint an alternative Reseller, Customer shall have 30 days (or such later date as Customer and SFDC agree) from the date of the Second Notice to pay directly to SFDC the outstanding fees due from the Former Contractor and to execute an assignment to assign the applicable order from between SFDC and the Former Contractor from Former Contractor to Customer; </w:t>
      </w:r>
    </w:p>
    <w:p w14:paraId="2A626F99" w14:textId="77777777" w:rsidR="00FC6214" w:rsidRPr="00CB7620" w:rsidRDefault="00FC6214" w:rsidP="00FC6214">
      <w:pPr>
        <w:widowControl/>
        <w:numPr>
          <w:ilvl w:val="0"/>
          <w:numId w:val="65"/>
        </w:numPr>
        <w:spacing w:after="0" w:line="250" w:lineRule="auto"/>
        <w:ind w:right="95" w:hanging="540"/>
      </w:pPr>
      <w:proofErr w:type="gramStart"/>
      <w:r w:rsidRPr="00CB7620">
        <w:t>if</w:t>
      </w:r>
      <w:proofErr w:type="gramEnd"/>
      <w:r w:rsidRPr="00CB7620">
        <w:t xml:space="preserve"> following such 30 days (or such later date as Customer and SFDC agree) period the charges still remain overdue, SFDC may suspend the Services until such amounts are paid in full. </w:t>
      </w:r>
    </w:p>
    <w:p w14:paraId="1D601075" w14:textId="77777777" w:rsidR="00FC6214" w:rsidRPr="00CB7620" w:rsidRDefault="00FC6214" w:rsidP="00FC6214">
      <w:pPr>
        <w:widowControl/>
        <w:numPr>
          <w:ilvl w:val="0"/>
          <w:numId w:val="71"/>
        </w:numPr>
        <w:spacing w:after="0" w:line="250" w:lineRule="auto"/>
        <w:ind w:right="95"/>
      </w:pPr>
      <w:r w:rsidRPr="00CB7620">
        <w:rPr>
          <w:b/>
        </w:rPr>
        <w:t xml:space="preserve">Future </w:t>
      </w:r>
      <w:r w:rsidRPr="0065448B">
        <w:t>Functionality</w:t>
      </w:r>
      <w:r w:rsidRPr="00CB7620">
        <w:rPr>
          <w:b/>
        </w:rPr>
        <w:t xml:space="preserve">. </w:t>
      </w:r>
      <w:r w:rsidRPr="00CB7620">
        <w:t xml:space="preserve">Customer agrees that its purchases are not contingent on the delivery of any future functionality or features, or dependent on any oral or written public comments made by SFDC or Contractor regarding future functionality or features. </w:t>
      </w:r>
      <w:r w:rsidRPr="00CB7620">
        <w:rPr>
          <w:b/>
        </w:rPr>
        <w:t xml:space="preserve"> </w:t>
      </w:r>
    </w:p>
    <w:p w14:paraId="0964241C" w14:textId="77777777" w:rsidR="00FC6214" w:rsidRPr="00CB7620" w:rsidRDefault="00FC6214" w:rsidP="00FC6214">
      <w:pPr>
        <w:pStyle w:val="Heading1"/>
        <w:tabs>
          <w:tab w:val="center" w:pos="2656"/>
        </w:tabs>
        <w:spacing w:after="0"/>
        <w:ind w:left="-15" w:right="95"/>
      </w:pPr>
      <w:r>
        <w:rPr>
          <w:sz w:val="20"/>
        </w:rPr>
        <w:t>8</w:t>
      </w:r>
      <w:r w:rsidRPr="00CB7620">
        <w:rPr>
          <w:sz w:val="20"/>
        </w:rPr>
        <w:t xml:space="preserve">. </w:t>
      </w:r>
      <w:r w:rsidRPr="00CB7620">
        <w:rPr>
          <w:sz w:val="20"/>
        </w:rPr>
        <w:tab/>
      </w:r>
      <w:r w:rsidRPr="00CB7620">
        <w:t xml:space="preserve">PROPRIETARY RIGHTS AND LICENSES </w:t>
      </w:r>
    </w:p>
    <w:p w14:paraId="61CA0436" w14:textId="77777777" w:rsidR="00FC6214" w:rsidRPr="00CB7620" w:rsidRDefault="00FC6214" w:rsidP="00FC6214">
      <w:pPr>
        <w:widowControl/>
        <w:numPr>
          <w:ilvl w:val="0"/>
          <w:numId w:val="66"/>
        </w:numPr>
        <w:spacing w:after="0" w:line="250" w:lineRule="auto"/>
        <w:ind w:right="95" w:hanging="567"/>
      </w:pPr>
      <w:r w:rsidRPr="00CB7620">
        <w:rPr>
          <w:b/>
        </w:rPr>
        <w:t>Reservation of Rights.</w:t>
      </w:r>
      <w:r w:rsidRPr="00CB7620">
        <w:t xml:space="preserve">   Subject to the limited rights expressly granted hereunder, SFDC and its licensors reserve all of their right, title and interest in and to the Services and Content, including all of their related intellectual property rights.  No rights are granted to Customer hereunder other than as expressly set forth herein. </w:t>
      </w:r>
    </w:p>
    <w:p w14:paraId="1E1074BE" w14:textId="77777777" w:rsidR="00FC6214" w:rsidRPr="00CB7620" w:rsidRDefault="00FC6214" w:rsidP="00FC6214">
      <w:pPr>
        <w:widowControl/>
        <w:numPr>
          <w:ilvl w:val="0"/>
          <w:numId w:val="66"/>
        </w:numPr>
        <w:spacing w:after="0" w:line="250" w:lineRule="auto"/>
        <w:ind w:right="95" w:hanging="567"/>
      </w:pPr>
      <w:r w:rsidRPr="00CB7620">
        <w:rPr>
          <w:b/>
        </w:rPr>
        <w:t>Access to Content</w:t>
      </w:r>
      <w:r w:rsidRPr="00CB7620">
        <w:t>.  Access to Content is subject to the terms of applicable Order Forms, these SFDC Pass-Through Terms and the Documentation.</w:t>
      </w:r>
      <w:r w:rsidRPr="00CB7620">
        <w:rPr>
          <w:color w:val="00000A"/>
        </w:rPr>
        <w:t xml:space="preserve"> </w:t>
      </w:r>
      <w:r w:rsidRPr="00CB7620">
        <w:t xml:space="preserve"> </w:t>
      </w:r>
    </w:p>
    <w:p w14:paraId="785B70CA" w14:textId="77777777" w:rsidR="00FC6214" w:rsidRPr="00CB7620" w:rsidRDefault="00FC6214" w:rsidP="00FC6214">
      <w:pPr>
        <w:widowControl/>
        <w:numPr>
          <w:ilvl w:val="0"/>
          <w:numId w:val="66"/>
        </w:numPr>
        <w:spacing w:after="0" w:line="250" w:lineRule="auto"/>
        <w:ind w:right="95" w:hanging="567"/>
      </w:pPr>
      <w:r w:rsidRPr="00CB7620">
        <w:rPr>
          <w:b/>
        </w:rPr>
        <w:t>License by Customer to Host Customer Data and Applications.</w:t>
      </w:r>
      <w:r w:rsidRPr="00CB7620">
        <w:t xml:space="preserve">  Customer grants SFDC and its Affiliates a worldwide, limited-term license to host, copy, transmit and display Customer Data, and any Non-SFDC Applications and program code created by or for Customer using a Service, as necessary for SFDC to provide the Services in accordance with these SFDC Pass-Through Terms.  Subject to the limited licenses granted herein, SFDC acquires no right, title or interest from Customer or its licensors under these SFDC Pass-Through Terms in or to any Customer Data, Non-SFDC Application or program code.</w:t>
      </w:r>
      <w:r w:rsidRPr="00CB7620">
        <w:rPr>
          <w:b/>
        </w:rPr>
        <w:t xml:space="preserve"> </w:t>
      </w:r>
    </w:p>
    <w:p w14:paraId="6702F86E" w14:textId="77777777" w:rsidR="00FC6214" w:rsidRPr="00CB7620" w:rsidRDefault="00FC6214" w:rsidP="00FC6214">
      <w:pPr>
        <w:widowControl/>
        <w:numPr>
          <w:ilvl w:val="0"/>
          <w:numId w:val="66"/>
        </w:numPr>
        <w:spacing w:after="0" w:line="250" w:lineRule="auto"/>
        <w:ind w:right="95" w:hanging="567"/>
      </w:pPr>
      <w:r w:rsidRPr="00CB7620">
        <w:rPr>
          <w:b/>
        </w:rPr>
        <w:t>License by Customer to Use Feedback</w:t>
      </w:r>
      <w:r w:rsidRPr="00CB7620">
        <w:t xml:space="preserve">. Customer grants to SFDC and its Affiliates a worldwide, perpetual, irrevocable, royalty-free license to use and incorporate into the Services any suggestion, enhancement request, recommendation, correction or other feedback provided by Customer or Users relating to the operation of the Services.   </w:t>
      </w:r>
    </w:p>
    <w:p w14:paraId="78018852" w14:textId="77777777" w:rsidR="00FC6214" w:rsidRDefault="00FC6214" w:rsidP="00FC6214">
      <w:pPr>
        <w:spacing w:after="0"/>
        <w:ind w:left="-5" w:right="95"/>
        <w:rPr>
          <w:b/>
        </w:rPr>
      </w:pPr>
      <w:r>
        <w:rPr>
          <w:b/>
        </w:rPr>
        <w:t>9.</w:t>
      </w:r>
      <w:r w:rsidRPr="00CB7620">
        <w:rPr>
          <w:b/>
        </w:rPr>
        <w:t xml:space="preserve"> </w:t>
      </w:r>
      <w:r w:rsidRPr="00CB7620">
        <w:rPr>
          <w:b/>
        </w:rPr>
        <w:tab/>
      </w:r>
      <w:r w:rsidRPr="00293DF1">
        <w:rPr>
          <w:b/>
          <w:sz w:val="22"/>
        </w:rPr>
        <w:t xml:space="preserve">COMPELLED DISCLOSURE. </w:t>
      </w:r>
    </w:p>
    <w:p w14:paraId="6DD7B55C" w14:textId="77777777" w:rsidR="00FC6214" w:rsidRPr="00CB7620" w:rsidRDefault="00FC6214" w:rsidP="00FC6214">
      <w:pPr>
        <w:spacing w:after="0"/>
        <w:ind w:left="567" w:right="95"/>
      </w:pPr>
      <w:r w:rsidRPr="00CB7620">
        <w:t>Either Customer or SFDC (the “Receiving Party”) may disclose confidential information of the other party (the “Disclosing Party”) to the extent compelled by law to do so, provided the Receiving Party gives the Disclosing Party prior notice of the compelled disclosure (to the extent legally permitted) and reasonable assistance, at the Disclosing Party's cost,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 Disclosing Party will reimburse the Receiving Party for its reasonable cost of compiling and providing secure access to that Confidential Information.</w:t>
      </w:r>
      <w:r w:rsidRPr="00CB7620">
        <w:rPr>
          <w:b/>
        </w:rPr>
        <w:t xml:space="preserve"> </w:t>
      </w:r>
    </w:p>
    <w:p w14:paraId="07558921" w14:textId="77777777" w:rsidR="00FC6214" w:rsidRPr="00CB7620" w:rsidRDefault="00FC6214" w:rsidP="00FC6214">
      <w:pPr>
        <w:pStyle w:val="Heading1"/>
        <w:spacing w:after="0"/>
        <w:ind w:right="95"/>
      </w:pPr>
      <w:r>
        <w:t>10.</w:t>
      </w:r>
      <w:r>
        <w:tab/>
      </w:r>
      <w:r w:rsidRPr="00CB7620">
        <w:t xml:space="preserve">DISCLAIMERS </w:t>
      </w:r>
    </w:p>
    <w:p w14:paraId="777A7075" w14:textId="77777777" w:rsidR="00FC6214" w:rsidRPr="00CB7620" w:rsidRDefault="00FC6214" w:rsidP="00FC6214">
      <w:pPr>
        <w:widowControl/>
        <w:numPr>
          <w:ilvl w:val="0"/>
          <w:numId w:val="72"/>
        </w:numPr>
        <w:spacing w:after="0" w:line="250" w:lineRule="auto"/>
        <w:ind w:right="95" w:hanging="567"/>
      </w:pPr>
      <w:r w:rsidRPr="00CB7620">
        <w:rPr>
          <w:b/>
        </w:rPr>
        <w:t>Disclaimers.</w:t>
      </w:r>
      <w:r w:rsidRPr="00CB7620">
        <w:t xml:space="preserve">  SFDC makes not warranties of any kind and excludes all warranties, representations, terms, conditions or other commitments of any kind, whether express or implied, statutory or otherwise, and SFDC specifically disclaims all implied warranties, including (without limitation) any warranties, representations, terms, conditions or other commitments of merchantability or fitness for a particular purpose or of satisfactory quality or of reasonable skill and care, in each case, to the maximum extent permitted by applicable law. Without prejudice to the foregoing, Content and Beta Services are provided ‘as is’ and without warranty of any kind, and each party disclaims all liability and indemnification obligations for any harm, damages or other liability caused by any third party hosting providers. </w:t>
      </w:r>
    </w:p>
    <w:p w14:paraId="2F391E8F" w14:textId="77777777" w:rsidR="00FC6214" w:rsidRPr="00CB7620" w:rsidRDefault="00FC6214" w:rsidP="00FC6214">
      <w:pPr>
        <w:widowControl/>
        <w:numPr>
          <w:ilvl w:val="0"/>
          <w:numId w:val="72"/>
        </w:numPr>
        <w:spacing w:after="0" w:line="250" w:lineRule="auto"/>
        <w:ind w:right="95" w:hanging="572"/>
      </w:pPr>
      <w:r w:rsidRPr="00CB7620">
        <w:rPr>
          <w:b/>
        </w:rPr>
        <w:t xml:space="preserve"> </w:t>
      </w:r>
      <w:r w:rsidRPr="00CB7620">
        <w:rPr>
          <w:b/>
        </w:rPr>
        <w:tab/>
        <w:t xml:space="preserve">Warranties and Indemnities between Contractor and Customer. </w:t>
      </w:r>
      <w:r w:rsidRPr="00CB7620">
        <w:t>For the avoidance of doubt, Contractor and Customer are free to agree warranties and indemnities in respect of the Services. Any such warranties and indemnities shall not form part of these SFDC Pass-Through Terms.</w:t>
      </w:r>
      <w:r w:rsidRPr="00CB7620">
        <w:rPr>
          <w:b/>
        </w:rPr>
        <w:t xml:space="preserve"> </w:t>
      </w:r>
    </w:p>
    <w:p w14:paraId="3D5616B6" w14:textId="77777777" w:rsidR="00FC6214" w:rsidRPr="00CB7620" w:rsidRDefault="00FC6214" w:rsidP="00FC6214">
      <w:pPr>
        <w:pStyle w:val="Heading1"/>
        <w:tabs>
          <w:tab w:val="center" w:pos="1935"/>
        </w:tabs>
        <w:spacing w:after="0"/>
        <w:ind w:left="-15" w:right="95"/>
      </w:pPr>
      <w:r>
        <w:rPr>
          <w:sz w:val="20"/>
        </w:rPr>
        <w:t>11.</w:t>
      </w:r>
      <w:r>
        <w:rPr>
          <w:sz w:val="20"/>
        </w:rPr>
        <w:tab/>
      </w:r>
      <w:r w:rsidRPr="00CB7620">
        <w:t xml:space="preserve">LIMITATION OF LIABILITY </w:t>
      </w:r>
    </w:p>
    <w:p w14:paraId="2AB217E3" w14:textId="77777777" w:rsidR="00FC6214" w:rsidRPr="00CB7620" w:rsidRDefault="00FC6214" w:rsidP="00FC6214">
      <w:pPr>
        <w:widowControl/>
        <w:numPr>
          <w:ilvl w:val="0"/>
          <w:numId w:val="67"/>
        </w:numPr>
        <w:spacing w:after="0" w:line="250" w:lineRule="auto"/>
        <w:ind w:right="95" w:hanging="567"/>
      </w:pPr>
      <w:r w:rsidRPr="00CB7620">
        <w:rPr>
          <w:b/>
        </w:rPr>
        <w:t xml:space="preserve">No Liability. </w:t>
      </w:r>
      <w:r w:rsidRPr="00CB7620">
        <w:t>In no event shall SFDC have any liability to Customer or any User for any damages whatsoever, including but not limited to direct, indirect, special, incidental, punitive, or consequential damages, or damages based on lost profits, however caused and, whether in contract, tort or under any other theory of liability, whether or not Customer has been advised of the possibility of such damages. SFDC disclaims all liability and indemnification obligations for any harm or damages caused by any third-party hosting providers.</w:t>
      </w:r>
      <w:r w:rsidRPr="00CB7620">
        <w:rPr>
          <w:b/>
        </w:rPr>
        <w:t xml:space="preserve">   </w:t>
      </w:r>
    </w:p>
    <w:p w14:paraId="0D4B3C28" w14:textId="77777777" w:rsidR="00FC6214" w:rsidRPr="00CB7620" w:rsidRDefault="00FC6214" w:rsidP="00FC6214">
      <w:pPr>
        <w:widowControl/>
        <w:numPr>
          <w:ilvl w:val="0"/>
          <w:numId w:val="67"/>
        </w:numPr>
        <w:spacing w:after="0" w:line="250" w:lineRule="auto"/>
        <w:ind w:right="95" w:hanging="567"/>
      </w:pPr>
      <w:r w:rsidRPr="00CB7620">
        <w:rPr>
          <w:b/>
        </w:rPr>
        <w:t>Limitation of Restrictions.</w:t>
      </w:r>
      <w:r w:rsidRPr="00CB7620">
        <w:t xml:space="preserve">  Nothing in this “Liability” section shall exclude or limit the liability of Customer or SFDC for death or personal injury caused by that party’s negligence or for fraud or fraudulent misrepresentation or for any other liability to the extent that the same may not be excluded or limited as a matter of applicable law. </w:t>
      </w:r>
    </w:p>
    <w:p w14:paraId="1A4F7219" w14:textId="77777777" w:rsidR="00FC6214" w:rsidRPr="00CB7620" w:rsidRDefault="00FC6214" w:rsidP="00FC6214">
      <w:pPr>
        <w:pStyle w:val="Heading1"/>
        <w:tabs>
          <w:tab w:val="center" w:pos="1941"/>
        </w:tabs>
        <w:spacing w:after="0"/>
        <w:ind w:left="-15" w:right="95"/>
      </w:pPr>
      <w:r>
        <w:rPr>
          <w:sz w:val="20"/>
        </w:rPr>
        <w:t>12</w:t>
      </w:r>
      <w:r w:rsidRPr="00CB7620">
        <w:rPr>
          <w:sz w:val="20"/>
        </w:rPr>
        <w:t xml:space="preserve">. </w:t>
      </w:r>
      <w:r w:rsidRPr="00CB7620">
        <w:rPr>
          <w:sz w:val="20"/>
        </w:rPr>
        <w:tab/>
      </w:r>
      <w:r w:rsidRPr="00CB7620">
        <w:t xml:space="preserve">TERM AND TERMINATION </w:t>
      </w:r>
    </w:p>
    <w:p w14:paraId="74D8D8F5" w14:textId="77777777" w:rsidR="00FC6214" w:rsidRPr="00CB7620" w:rsidRDefault="00FC6214" w:rsidP="00FC6214">
      <w:pPr>
        <w:widowControl/>
        <w:numPr>
          <w:ilvl w:val="0"/>
          <w:numId w:val="68"/>
        </w:numPr>
        <w:spacing w:after="0" w:line="250" w:lineRule="auto"/>
        <w:ind w:right="95" w:hanging="567"/>
      </w:pPr>
      <w:r w:rsidRPr="00CB7620">
        <w:rPr>
          <w:b/>
        </w:rPr>
        <w:t>Term.</w:t>
      </w:r>
      <w:r w:rsidRPr="00CB7620">
        <w:t xml:space="preserve"> Services commence on the start date specified in the applicable Ordering Form entered into between Customer and Contractor and continue for the subscription term specified therein and any renewal term. </w:t>
      </w:r>
    </w:p>
    <w:p w14:paraId="3E0831D4" w14:textId="77777777" w:rsidR="00FC6214" w:rsidRPr="00CB7620" w:rsidRDefault="00FC6214" w:rsidP="00FC6214">
      <w:pPr>
        <w:widowControl/>
        <w:numPr>
          <w:ilvl w:val="0"/>
          <w:numId w:val="68"/>
        </w:numPr>
        <w:spacing w:after="0" w:line="250" w:lineRule="auto"/>
        <w:ind w:right="95" w:hanging="567"/>
      </w:pPr>
      <w:r w:rsidRPr="00CB7620">
        <w:rPr>
          <w:b/>
        </w:rPr>
        <w:t>Termination.</w:t>
      </w:r>
      <w:r w:rsidRPr="00CB7620">
        <w:t xml:space="preserve">  SFDC may terminate these SFDC Pass-Through Terms for cause (</w:t>
      </w:r>
      <w:proofErr w:type="spellStart"/>
      <w:r w:rsidRPr="00CB7620">
        <w:t>i</w:t>
      </w:r>
      <w:proofErr w:type="spellEnd"/>
      <w:r w:rsidRPr="00CB7620">
        <w:t xml:space="preserve">) upon 30 days written notice to Customer or Contractor of a breach (a) of these SFDC Pass-Through Terms, or (b) by Contractor of its payment obligations to SFDC with respect to the Services it is providing to Customer in connection with these SFDC Pass-Through Terms, if such breach remains uncured at the expiration of such period, or (ii) immediately on written notice to Customer or Contractor if Customer becomes the subject of a petition in bankruptcy or any other proceeding (whether voluntary or involuntary) relating to insolvency, administration, receivership, administrative receivership, liquidation or assignment for the benefit of creditors, or if the other party suspends or ceases, or threatens to suspend or cease, carrying on all or a substantial part of its business, or takes or suffers any similar or analogous procedure, action or event in consequence of debt in any jurisdiction. Following any termination or expiration of Reseller’s agreement with SFDC pursuant to which Contractor is providing the Services to Customer, each Customer subscription to the Services outstanding at the time of such termination or expiration shall remain in effect for the duration of its subscription term and shall continue to be governed by these SFDC Pass-Through Terms as if it had not been terminated (“Legacy Orders”), provided that Customer is not in breach of these SFDC Pass-Through Terms and SFDC has received all payments due in connection with such Legacy Orders. In no case will any termination, expiration or suspension hereunder give rise to any liability of SFDC to Customer for a refund or damages. Except as provided herein, SFDC is under no obligation to provide the Services to Customer, or to assume the relationship with Customer. </w:t>
      </w:r>
    </w:p>
    <w:p w14:paraId="5B6C718C" w14:textId="77777777" w:rsidR="00FC6214" w:rsidRPr="00CB7620" w:rsidRDefault="00FC6214" w:rsidP="00FC6214">
      <w:pPr>
        <w:pStyle w:val="Heading1"/>
        <w:tabs>
          <w:tab w:val="center" w:pos="1820"/>
        </w:tabs>
        <w:spacing w:after="0"/>
        <w:ind w:left="-15" w:right="95"/>
      </w:pPr>
      <w:r w:rsidRPr="00CB7620">
        <w:rPr>
          <w:sz w:val="20"/>
        </w:rPr>
        <w:t>1</w:t>
      </w:r>
      <w:r>
        <w:rPr>
          <w:sz w:val="20"/>
        </w:rPr>
        <w:t>3</w:t>
      </w:r>
      <w:r w:rsidRPr="00CB7620">
        <w:rPr>
          <w:sz w:val="20"/>
        </w:rPr>
        <w:t xml:space="preserve">. </w:t>
      </w:r>
      <w:r w:rsidRPr="00CB7620">
        <w:rPr>
          <w:sz w:val="20"/>
        </w:rPr>
        <w:tab/>
      </w:r>
      <w:r w:rsidRPr="00CB7620">
        <w:t xml:space="preserve">GENERAL PROVISIONS </w:t>
      </w:r>
    </w:p>
    <w:p w14:paraId="6A4CF866" w14:textId="77777777" w:rsidR="00FC6214" w:rsidRPr="00CB7620" w:rsidRDefault="00FC6214" w:rsidP="00FC6214">
      <w:pPr>
        <w:widowControl/>
        <w:numPr>
          <w:ilvl w:val="0"/>
          <w:numId w:val="69"/>
        </w:numPr>
        <w:spacing w:after="0" w:line="250" w:lineRule="auto"/>
        <w:ind w:right="95" w:hanging="567"/>
      </w:pPr>
      <w:r w:rsidRPr="00CB7620">
        <w:rPr>
          <w:b/>
        </w:rPr>
        <w:t xml:space="preserve">Export Compliance.  </w:t>
      </w:r>
      <w:r w:rsidRPr="00CB7620">
        <w:t>The Services, Content, other SFDC technology, and derivatives thereof may be subject to export laws and regulations of the United States and other jurisdictions.  Customer represents that it is not named on any U.S. government denied-party list.  Customer will not permit any User to access or use any Service or Content in a U.S.-embargoed country (currently Cuba, Iran, North Korea, Sudan or Syria) or in violation of any U.S. export law or regulation.</w:t>
      </w:r>
      <w:r w:rsidRPr="00CB7620">
        <w:rPr>
          <w:b/>
        </w:rPr>
        <w:t xml:space="preserve"> </w:t>
      </w:r>
    </w:p>
    <w:p w14:paraId="25E25A84" w14:textId="77777777" w:rsidR="00FC6214" w:rsidRPr="00CB7620" w:rsidRDefault="00FC6214" w:rsidP="00FC6214">
      <w:pPr>
        <w:widowControl/>
        <w:numPr>
          <w:ilvl w:val="0"/>
          <w:numId w:val="69"/>
        </w:numPr>
        <w:spacing w:after="0" w:line="250" w:lineRule="auto"/>
        <w:ind w:right="95" w:hanging="567"/>
      </w:pPr>
      <w:r w:rsidRPr="00CB7620">
        <w:rPr>
          <w:b/>
        </w:rPr>
        <w:t>Anti-Corruption.</w:t>
      </w:r>
      <w:r w:rsidRPr="00CB7620">
        <w:t xml:space="preserve"> Customer has not received or been offered any illegal or improper bribe, kickback, payment, gift, or thing of value from a SFDC or Contractor employee or agent in connection with these SFDC Pass-Through Terms, and shall comply with all applicable laws, regulations and sanctions relating to anti-bribery and anti-corruption including without limitation the Bribery Act 2010 (as such statute is amended from time to time).  If Customer learns of any violation of the above restriction, it will use reasonable efforts to promptly notify SFDC’s Legal Department at </w:t>
      </w:r>
      <w:r w:rsidRPr="00CB7620">
        <w:rPr>
          <w:color w:val="0000FF"/>
          <w:u w:val="single" w:color="0000FF"/>
        </w:rPr>
        <w:t>legalcompliance@salesforce.com</w:t>
      </w:r>
      <w:r w:rsidRPr="00CB7620">
        <w:t xml:space="preserve">. </w:t>
      </w:r>
    </w:p>
    <w:p w14:paraId="77B73E49" w14:textId="77777777" w:rsidR="00FC6214" w:rsidRPr="00CB7620" w:rsidRDefault="00FC6214" w:rsidP="00FC6214">
      <w:pPr>
        <w:widowControl/>
        <w:numPr>
          <w:ilvl w:val="0"/>
          <w:numId w:val="69"/>
        </w:numPr>
        <w:spacing w:after="0" w:line="250" w:lineRule="auto"/>
        <w:ind w:right="95" w:hanging="567"/>
      </w:pPr>
      <w:r w:rsidRPr="00CB7620">
        <w:rPr>
          <w:b/>
        </w:rPr>
        <w:t>Third-Party Beneficiaries.</w:t>
      </w:r>
      <w:r w:rsidRPr="00CB7620">
        <w:t xml:space="preserve">  Except for SFDC and for SFDC’s Content licensors, who shall have the benefit of SFDC’s rights and protections hereunder with respect to the applicable Content, nothing in these SFDC Pass-Through Terms shall confer, or is intended to confer, on any third party any benefit or the right to enforce any term of these SFDC Pass-Through Terms under the Contracts (Rights of Third Parties) Act 1999 (as such statute is amended from time to time). The rights of the parties to terminate, rescind or agree any variation, waiver or settlement under these SFDC Pass-Through Terms is not subject to the consent of any person that is not a party to these SFDC Pass-Through Terms. </w:t>
      </w:r>
    </w:p>
    <w:p w14:paraId="4BDD6989" w14:textId="77777777" w:rsidR="00FC6214" w:rsidRPr="00CB7620" w:rsidRDefault="00FC6214" w:rsidP="00FC6214">
      <w:pPr>
        <w:widowControl/>
        <w:numPr>
          <w:ilvl w:val="0"/>
          <w:numId w:val="69"/>
        </w:numPr>
        <w:spacing w:after="0" w:line="250" w:lineRule="auto"/>
        <w:ind w:right="95" w:hanging="567"/>
      </w:pPr>
      <w:r w:rsidRPr="00CB7620">
        <w:rPr>
          <w:b/>
        </w:rPr>
        <w:t>Notices.</w:t>
      </w:r>
      <w:r w:rsidRPr="00CB7620">
        <w:t xml:space="preserve"> Except as otherwise specified in these SFDC Pass-Through Terms, all notices related to these SFDC Pass-Through Terms will be in writing and will be effective upon (a) personal delivery, (b) the second business day after mailing, (c) the second business day after sending by confirmed facsimile, or (d), except for notices of termination (“</w:t>
      </w:r>
      <w:r w:rsidRPr="00CB7620">
        <w:rPr>
          <w:b/>
        </w:rPr>
        <w:t>Legal Notices</w:t>
      </w:r>
      <w:r w:rsidRPr="00CB7620">
        <w:t>”), the day of sending by email. Legal Notices to Customer will be addressed to Customer and be clearly identifiable as Legal Notices.  All other notices to Customer will be addressed to the relevant Services system administrator designated by Customer.</w:t>
      </w:r>
      <w:r w:rsidRPr="00CB7620">
        <w:rPr>
          <w:b/>
        </w:rPr>
        <w:t xml:space="preserve"> </w:t>
      </w:r>
    </w:p>
    <w:p w14:paraId="08267FB8" w14:textId="77777777" w:rsidR="00FC6214" w:rsidRPr="00CB7620" w:rsidRDefault="00FC6214" w:rsidP="00FC6214">
      <w:pPr>
        <w:widowControl/>
        <w:numPr>
          <w:ilvl w:val="0"/>
          <w:numId w:val="69"/>
        </w:numPr>
        <w:spacing w:after="0" w:line="250" w:lineRule="auto"/>
        <w:ind w:right="95" w:hanging="567"/>
      </w:pPr>
      <w:r w:rsidRPr="00CB7620">
        <w:rPr>
          <w:b/>
        </w:rPr>
        <w:t>Waiver.</w:t>
      </w:r>
      <w:r w:rsidRPr="00CB7620">
        <w:t xml:space="preserve"> No failure or delay by SFDC in exercising any right under these SFDC Pass-Through Terms will constitute a waiver of that right. </w:t>
      </w:r>
    </w:p>
    <w:p w14:paraId="47FE6C3E" w14:textId="77777777" w:rsidR="00FC6214" w:rsidRPr="00CB7620" w:rsidRDefault="00FC6214" w:rsidP="00FC6214">
      <w:pPr>
        <w:spacing w:after="0"/>
      </w:pPr>
    </w:p>
    <w:p w14:paraId="068B5B6C" w14:textId="77777777" w:rsidR="00FC6214" w:rsidRPr="00CB7620" w:rsidRDefault="00FC6214" w:rsidP="00FC6214">
      <w:pPr>
        <w:spacing w:after="0"/>
      </w:pPr>
    </w:p>
    <w:p w14:paraId="2B3EE9FE" w14:textId="77777777" w:rsidR="00FC6214" w:rsidRPr="00CB7620" w:rsidRDefault="00FC6214" w:rsidP="00FC6214">
      <w:pPr>
        <w:widowControl/>
        <w:spacing w:after="0" w:line="259" w:lineRule="auto"/>
      </w:pPr>
      <w:r w:rsidRPr="00CB7620">
        <w:br w:type="page"/>
      </w:r>
    </w:p>
    <w:p w14:paraId="27A3921D" w14:textId="77777777" w:rsidR="00FC6214" w:rsidRPr="0065448B" w:rsidRDefault="00FC6214" w:rsidP="00FC6214">
      <w:pPr>
        <w:pStyle w:val="Heading2"/>
        <w:jc w:val="center"/>
        <w:rPr>
          <w:b/>
        </w:rPr>
      </w:pPr>
      <w:r w:rsidRPr="00CB7620">
        <w:rPr>
          <w:rFonts w:eastAsia="Helvetica Neue"/>
          <w:b/>
        </w:rPr>
        <w:t xml:space="preserve">Specific </w:t>
      </w:r>
      <w:r>
        <w:rPr>
          <w:rFonts w:eastAsia="Helvetica Neue"/>
          <w:b/>
        </w:rPr>
        <w:t xml:space="preserve">TOS for </w:t>
      </w:r>
      <w:r w:rsidRPr="0065448B">
        <w:rPr>
          <w:b/>
        </w:rPr>
        <w:t>CLOUD LOCK</w:t>
      </w:r>
    </w:p>
    <w:p w14:paraId="49291809" w14:textId="77777777" w:rsidR="00FC6214" w:rsidRPr="00CB7620" w:rsidRDefault="00FC6214" w:rsidP="00FC6214">
      <w:pPr>
        <w:tabs>
          <w:tab w:val="left" w:pos="1407"/>
        </w:tabs>
        <w:spacing w:after="0"/>
        <w:jc w:val="center"/>
      </w:pPr>
    </w:p>
    <w:p w14:paraId="488BDF45" w14:textId="77777777" w:rsidR="00FC6214" w:rsidRPr="0065448B" w:rsidRDefault="00FC6214" w:rsidP="00FC6214">
      <w:pPr>
        <w:tabs>
          <w:tab w:val="left" w:pos="1407"/>
        </w:tabs>
        <w:spacing w:after="0"/>
        <w:jc w:val="center"/>
        <w:rPr>
          <w:b/>
        </w:rPr>
      </w:pPr>
      <w:r w:rsidRPr="0065448B">
        <w:rPr>
          <w:b/>
        </w:rPr>
        <w:t>END CUSTOMER AGREEMENT</w:t>
      </w:r>
    </w:p>
    <w:p w14:paraId="39013747" w14:textId="77777777" w:rsidR="00FC6214" w:rsidRPr="00CB7620" w:rsidRDefault="00FC6214" w:rsidP="00FC6214">
      <w:pPr>
        <w:tabs>
          <w:tab w:val="left" w:pos="1407"/>
        </w:tabs>
        <w:spacing w:after="0"/>
      </w:pPr>
      <w:r>
        <w:t xml:space="preserve">This </w:t>
      </w:r>
      <w:r w:rsidRPr="00CB7620">
        <w:t xml:space="preserve">“End Customer Agreement” sets forth the terms upon which </w:t>
      </w:r>
      <w:proofErr w:type="spellStart"/>
      <w:r w:rsidRPr="00CB7620">
        <w:t>CloudLock</w:t>
      </w:r>
      <w:proofErr w:type="spellEnd"/>
      <w:r w:rsidRPr="00CB7620">
        <w:t>, Inc. (“</w:t>
      </w:r>
      <w:proofErr w:type="spellStart"/>
      <w:r w:rsidRPr="00CB7620">
        <w:t>CloudLock</w:t>
      </w:r>
      <w:proofErr w:type="spellEnd"/>
      <w:r w:rsidRPr="00CB7620">
        <w:t xml:space="preserve">”)  is willing to allow the UK Department of Health (the “End Customer”) to receive the benefit of license rights to </w:t>
      </w:r>
      <w:proofErr w:type="spellStart"/>
      <w:r w:rsidRPr="00CB7620">
        <w:t>CloudLock’s</w:t>
      </w:r>
      <w:proofErr w:type="spellEnd"/>
      <w:r w:rsidRPr="00CB7620">
        <w:t xml:space="preserve"> hosted application services and related materials (collectively the “Services”) that have been licensed to PA Consulting Services Ltd (“Customer”).</w:t>
      </w:r>
    </w:p>
    <w:p w14:paraId="7EB27721" w14:textId="77777777" w:rsidR="00FC6214" w:rsidRPr="00CB7620" w:rsidRDefault="00FC6214" w:rsidP="00FC6214">
      <w:pPr>
        <w:tabs>
          <w:tab w:val="left" w:pos="1407"/>
        </w:tabs>
        <w:spacing w:after="0"/>
      </w:pPr>
      <w:r w:rsidRPr="00CB7620">
        <w:t xml:space="preserve">1. For the term of Customer’s agreement with </w:t>
      </w:r>
      <w:proofErr w:type="spellStart"/>
      <w:r w:rsidRPr="00CB7620">
        <w:t>CloudLock</w:t>
      </w:r>
      <w:proofErr w:type="spellEnd"/>
      <w:r w:rsidRPr="00CB7620">
        <w:t xml:space="preserve">, End Customer has a non-exclusive, non-transferable, license to use the Services within the scope of the license rights granted to Customer.  End Customer shall use the Services in accordance with applicable laws and with Google’s Acceptable Use Policy.  Except for the limited license rights expressly granted by </w:t>
      </w:r>
      <w:proofErr w:type="spellStart"/>
      <w:r w:rsidRPr="00CB7620">
        <w:t>CloudLock</w:t>
      </w:r>
      <w:proofErr w:type="spellEnd"/>
      <w:r w:rsidRPr="00CB7620">
        <w:t xml:space="preserve">, </w:t>
      </w:r>
      <w:proofErr w:type="spellStart"/>
      <w:r w:rsidRPr="00CB7620">
        <w:t>CloudLock</w:t>
      </w:r>
      <w:proofErr w:type="spellEnd"/>
      <w:r w:rsidRPr="00CB7620">
        <w:t xml:space="preserve"> owns and retains its ownership of the Services, including all intellectual property rights therein.</w:t>
      </w:r>
    </w:p>
    <w:p w14:paraId="1F91331D" w14:textId="77777777" w:rsidR="00FC6214" w:rsidRPr="00CB7620" w:rsidRDefault="00FC6214" w:rsidP="00FC6214">
      <w:pPr>
        <w:tabs>
          <w:tab w:val="left" w:pos="1407"/>
        </w:tabs>
        <w:spacing w:after="0"/>
      </w:pPr>
      <w:r w:rsidRPr="00CB7620">
        <w:t xml:space="preserve">2. End Customer shall not reverse engineer the Services or provide the Services to or for the benefit of any third parties (other than employees, contractors and agents of End Customer authorized by End Customer to use the Services on behalf of End Customer).  The terms and conditions of </w:t>
      </w:r>
      <w:proofErr w:type="spellStart"/>
      <w:r w:rsidRPr="00CB7620">
        <w:t>CloudLock’s</w:t>
      </w:r>
      <w:proofErr w:type="spellEnd"/>
      <w:r w:rsidRPr="00CB7620">
        <w:t xml:space="preserve"> agreement with the Customer and any non-public information related to the Services, including without limitation </w:t>
      </w:r>
      <w:proofErr w:type="spellStart"/>
      <w:r w:rsidRPr="00CB7620">
        <w:t>CloudLock’s</w:t>
      </w:r>
      <w:proofErr w:type="spellEnd"/>
      <w:r w:rsidRPr="00CB7620">
        <w:t xml:space="preserve"> technical documentation provided to Customer or End Customer, constitute “Confidential Information” of </w:t>
      </w:r>
      <w:proofErr w:type="spellStart"/>
      <w:r w:rsidRPr="00CB7620">
        <w:t>CloudLock</w:t>
      </w:r>
      <w:proofErr w:type="spellEnd"/>
      <w:r w:rsidRPr="00CB7620">
        <w:t xml:space="preserve">.  End Customer shall use such Confidential Information solely for the purposes of use of the Services and shall not disclose such Confidential Information to any third party (other than employees, contractors and agents of End Customer authorized by End Customer to use the Services on behalf of End Customer).  </w:t>
      </w:r>
    </w:p>
    <w:p w14:paraId="20629868" w14:textId="77777777" w:rsidR="00FC6214" w:rsidRPr="00CB7620" w:rsidRDefault="00FC6214" w:rsidP="00FC6214">
      <w:pPr>
        <w:tabs>
          <w:tab w:val="left" w:pos="1407"/>
        </w:tabs>
        <w:spacing w:after="0"/>
      </w:pPr>
      <w:r w:rsidRPr="00CB7620">
        <w:t xml:space="preserve">3. </w:t>
      </w:r>
      <w:proofErr w:type="spellStart"/>
      <w:r w:rsidRPr="00CB7620">
        <w:t>CloudLock</w:t>
      </w:r>
      <w:proofErr w:type="spellEnd"/>
      <w:r w:rsidRPr="00CB7620">
        <w:t xml:space="preserve"> does not claim any ownership in End Customer’s data stored in its Google environment or in data created by use of the Services by Customer or End Customer.  Solely for the performance of the Services for Customer and End Customer, </w:t>
      </w:r>
      <w:proofErr w:type="spellStart"/>
      <w:r w:rsidRPr="00CB7620">
        <w:t>CloudLock</w:t>
      </w:r>
      <w:proofErr w:type="spellEnd"/>
      <w:r w:rsidRPr="00CB7620">
        <w:t xml:space="preserve"> has the right to view, modify, collect and use meta data derived from Customer and End Customer’s data (which may include, by way of example, file modification dates, audit trails, and the number of times a file has been accessed) (collectively “Customer Meta Data”).  </w:t>
      </w:r>
      <w:proofErr w:type="spellStart"/>
      <w:r w:rsidRPr="00CB7620">
        <w:t>CloudLock</w:t>
      </w:r>
      <w:proofErr w:type="spellEnd"/>
      <w:r w:rsidRPr="00CB7620">
        <w:t xml:space="preserve"> may use anonymized statistical information derived from such Customer Meta Data and aggregate it with statistical information from other customers (“Non-Identifiable Aggregated Data”) for </w:t>
      </w:r>
      <w:proofErr w:type="spellStart"/>
      <w:r w:rsidRPr="00CB7620">
        <w:t>CloudLock’s</w:t>
      </w:r>
      <w:proofErr w:type="spellEnd"/>
      <w:r w:rsidRPr="00CB7620">
        <w:t xml:space="preserve"> business purposes, including without limitation for </w:t>
      </w:r>
      <w:proofErr w:type="spellStart"/>
      <w:r w:rsidRPr="00CB7620">
        <w:t>analyzing</w:t>
      </w:r>
      <w:proofErr w:type="spellEnd"/>
      <w:r w:rsidRPr="00CB7620">
        <w:t xml:space="preserve"> customer needs and improving its services.  Non-Identifiable Aggregated Data shall not disclose any Customer or End Customer data.  </w:t>
      </w:r>
      <w:proofErr w:type="spellStart"/>
      <w:r w:rsidRPr="00CB7620">
        <w:t>CloudLock</w:t>
      </w:r>
      <w:proofErr w:type="spellEnd"/>
      <w:r w:rsidRPr="00CB7620">
        <w:t xml:space="preserve"> shall own all right, title and interest in any such Non-Identifiable Aggregated Data.</w:t>
      </w:r>
    </w:p>
    <w:p w14:paraId="017DA274" w14:textId="77777777" w:rsidR="00FC6214" w:rsidRPr="00CB7620" w:rsidRDefault="00FC6214" w:rsidP="00FC6214">
      <w:pPr>
        <w:tabs>
          <w:tab w:val="left" w:pos="1407"/>
        </w:tabs>
        <w:spacing w:after="0"/>
      </w:pPr>
      <w:r w:rsidRPr="00CB7620">
        <w:t xml:space="preserve">4. This Section 4 applies only if the Services include </w:t>
      </w:r>
      <w:proofErr w:type="spellStart"/>
      <w:r w:rsidRPr="00CB7620">
        <w:t>CloudLock</w:t>
      </w:r>
      <w:proofErr w:type="spellEnd"/>
      <w:r w:rsidRPr="00CB7620">
        <w:t xml:space="preserve"> Compliance Scan (the “Compliance Services”). End Customer grants </w:t>
      </w:r>
      <w:proofErr w:type="spellStart"/>
      <w:r w:rsidRPr="00CB7620">
        <w:t>CloudLock</w:t>
      </w:r>
      <w:proofErr w:type="spellEnd"/>
      <w:r w:rsidRPr="00CB7620">
        <w:t xml:space="preserve"> the limited right to perform an automated scan of End Customer’s data and the content thereof (“End Customer Content”) solely for the purpose of providing the Compliance Services. For clarity, </w:t>
      </w:r>
      <w:proofErr w:type="spellStart"/>
      <w:r w:rsidRPr="00CB7620">
        <w:t>CloudLock</w:t>
      </w:r>
      <w:proofErr w:type="spellEnd"/>
      <w:r w:rsidRPr="00CB7620">
        <w:t xml:space="preserve"> will not store or retain any End Customer Content, except to the extent that it constitutes Customer Meta-Data. Customer or End Customer as applicable may use the Compliance Services only for Customer’s or End Customer’s internal business purposes and in compliance with applicable laws and regulations, including without limitation laws and regulations applying to privacy and personal information. Customer</w:t>
      </w:r>
      <w:r>
        <w:t xml:space="preserve"> or End Customer as applicable </w:t>
      </w:r>
      <w:r w:rsidRPr="00CB7620">
        <w:t>is solely responsible for ensuring that only appropriate personnel of Customer or End Customer have access to the Compliance Services and that such personnel have been trained in proper use of the Compliance Services.</w:t>
      </w:r>
    </w:p>
    <w:p w14:paraId="4BCDF95B" w14:textId="77777777" w:rsidR="00FC6214" w:rsidRPr="00CB7620" w:rsidRDefault="00FC6214" w:rsidP="00FC6214">
      <w:pPr>
        <w:tabs>
          <w:tab w:val="left" w:pos="1407"/>
        </w:tabs>
        <w:spacing w:after="0"/>
      </w:pPr>
      <w:r w:rsidRPr="00CB7620">
        <w:t xml:space="preserve">5. </w:t>
      </w:r>
      <w:proofErr w:type="spellStart"/>
      <w:r w:rsidRPr="00CB7620">
        <w:t>CloudLock</w:t>
      </w:r>
      <w:proofErr w:type="spellEnd"/>
      <w:r w:rsidRPr="00CB7620">
        <w:t xml:space="preserve"> makes no representations or warranties to End Customer with respect to the Services.  </w:t>
      </w:r>
      <w:proofErr w:type="spellStart"/>
      <w:r w:rsidRPr="00CB7620">
        <w:t>CloudLock’s</w:t>
      </w:r>
      <w:proofErr w:type="spellEnd"/>
      <w:r w:rsidRPr="00CB7620">
        <w:t xml:space="preserve"> warranties are given exclusively to Customer, which Customer may pass to End Customer.  End Customer shall have recourse only against Customer with respect to any errors or problems with the Services.</w:t>
      </w:r>
    </w:p>
    <w:p w14:paraId="37E40143" w14:textId="77777777" w:rsidR="00FC6214" w:rsidRPr="00CB7620" w:rsidRDefault="00FC6214" w:rsidP="00FC6214">
      <w:pPr>
        <w:tabs>
          <w:tab w:val="left" w:pos="1407"/>
        </w:tabs>
        <w:spacing w:after="0"/>
      </w:pPr>
      <w:r w:rsidRPr="00CB7620">
        <w:t xml:space="preserve">6. In no event shall </w:t>
      </w:r>
      <w:proofErr w:type="spellStart"/>
      <w:r w:rsidRPr="00CB7620">
        <w:t>CloudLock</w:t>
      </w:r>
      <w:proofErr w:type="spellEnd"/>
      <w:r w:rsidRPr="00CB7620">
        <w:t xml:space="preserve"> have any liability to End Customer for any indirect, incidental, punitive or consequential damages, or any damages on account of loss of profits or lost revenues.  </w:t>
      </w:r>
      <w:proofErr w:type="spellStart"/>
      <w:r w:rsidRPr="00CB7620">
        <w:t>CloudLock’s</w:t>
      </w:r>
      <w:proofErr w:type="spellEnd"/>
      <w:r w:rsidRPr="00CB7620">
        <w:t xml:space="preserve"> maximum aggregate liability to End Customer and Customer combined for any damages shall be the limitation of liability set forth in </w:t>
      </w:r>
      <w:proofErr w:type="spellStart"/>
      <w:r w:rsidRPr="00CB7620">
        <w:t>CloudLock’s</w:t>
      </w:r>
      <w:proofErr w:type="spellEnd"/>
      <w:r w:rsidRPr="00CB7620">
        <w:t xml:space="preserve"> agreement with the Customer, which End Customer acknowledges it has reviewed.  This limitation shall not apply to death or bodily injury caused by </w:t>
      </w:r>
      <w:proofErr w:type="spellStart"/>
      <w:r w:rsidRPr="00CB7620">
        <w:t>CloudLock’s</w:t>
      </w:r>
      <w:proofErr w:type="spellEnd"/>
      <w:r w:rsidRPr="00CB7620">
        <w:t xml:space="preserve"> negligence, to fraudulent misrepresentation or where liability may not be limited by law.</w:t>
      </w:r>
    </w:p>
    <w:p w14:paraId="4111272E" w14:textId="77777777" w:rsidR="00FC6214" w:rsidRPr="00CB7620" w:rsidRDefault="00FC6214" w:rsidP="00FC6214">
      <w:pPr>
        <w:tabs>
          <w:tab w:val="left" w:pos="1407"/>
        </w:tabs>
        <w:spacing w:after="0"/>
      </w:pPr>
      <w:r w:rsidRPr="00CB7620">
        <w:t xml:space="preserve">7. </w:t>
      </w:r>
      <w:proofErr w:type="spellStart"/>
      <w:r w:rsidRPr="00CB7620">
        <w:t>CloudLock</w:t>
      </w:r>
      <w:proofErr w:type="spellEnd"/>
      <w:r w:rsidRPr="00CB7620">
        <w:t xml:space="preserve"> shall have the right to enforce this Exhibit C and any term of </w:t>
      </w:r>
      <w:proofErr w:type="spellStart"/>
      <w:r w:rsidRPr="00CB7620">
        <w:t>CloudLock’s</w:t>
      </w:r>
      <w:proofErr w:type="spellEnd"/>
      <w:r w:rsidRPr="00CB7620">
        <w:t xml:space="preserve"> agreement with the Customer (to the extent the latter is applicable to End Customer) against End Customer under the Contracts (Rights of Third Parties) Act 1999.  </w:t>
      </w:r>
      <w:proofErr w:type="spellStart"/>
      <w:r w:rsidRPr="00CB7620">
        <w:t>CloudLock</w:t>
      </w:r>
      <w:proofErr w:type="spellEnd"/>
      <w:r w:rsidRPr="00CB7620">
        <w:t xml:space="preserve"> acknowledges that the End Customer has the right to enforce any term of </w:t>
      </w:r>
      <w:proofErr w:type="spellStart"/>
      <w:r w:rsidRPr="00CB7620">
        <w:t>CloudLock’s</w:t>
      </w:r>
      <w:proofErr w:type="spellEnd"/>
      <w:r w:rsidRPr="00CB7620">
        <w:t xml:space="preserve"> agreement with the Customer under the Contracts (Rights of Third Parties) Act 1999 and as set out in clause 14 of that agreement.</w:t>
      </w:r>
    </w:p>
    <w:p w14:paraId="4A18E042" w14:textId="77777777" w:rsidR="00FC6214" w:rsidRPr="00CB7620" w:rsidRDefault="00FC6214" w:rsidP="00FC6214">
      <w:pPr>
        <w:tabs>
          <w:tab w:val="left" w:pos="1407"/>
        </w:tabs>
        <w:spacing w:after="0"/>
      </w:pPr>
      <w:r w:rsidRPr="00CB7620">
        <w:t xml:space="preserve">8. This Exhibit C shall be governed by the laws of England and </w:t>
      </w:r>
      <w:proofErr w:type="spellStart"/>
      <w:r w:rsidRPr="00CB7620">
        <w:t>CloudLock</w:t>
      </w:r>
      <w:proofErr w:type="spellEnd"/>
      <w:r w:rsidRPr="00CB7620">
        <w:t xml:space="preserve"> and End Customer submit to the exclusive jurisdiction of the English Courts.</w:t>
      </w:r>
    </w:p>
    <w:p w14:paraId="376027EF" w14:textId="77777777" w:rsidR="00FC6214" w:rsidRPr="00CB7620" w:rsidRDefault="00FC6214" w:rsidP="00FC6214">
      <w:pPr>
        <w:spacing w:after="0"/>
      </w:pPr>
    </w:p>
    <w:p w14:paraId="2A5A6765" w14:textId="5B73CEEA" w:rsidR="00076044" w:rsidRDefault="00076044" w:rsidP="00FC6214">
      <w:pPr>
        <w:rPr>
          <w:rFonts w:ascii="Helvetica Neue" w:eastAsia="Helvetica Neue" w:hAnsi="Helvetica Neue" w:cs="Helvetica Neue"/>
        </w:rPr>
      </w:pPr>
    </w:p>
    <w:sectPr w:rsidR="00076044" w:rsidSect="005B5A0F">
      <w:headerReference w:type="default" r:id="rId73"/>
      <w:footerReference w:type="default" r:id="rId74"/>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47C94" w14:textId="77777777" w:rsidR="00E232E8" w:rsidRDefault="00E232E8">
      <w:pPr>
        <w:spacing w:after="0" w:line="240" w:lineRule="auto"/>
      </w:pPr>
      <w:r>
        <w:separator/>
      </w:r>
    </w:p>
  </w:endnote>
  <w:endnote w:type="continuationSeparator" w:id="0">
    <w:p w14:paraId="256FEBCC" w14:textId="77777777" w:rsidR="00E232E8" w:rsidRDefault="00E2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Nunito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E01FF" w14:textId="77777777" w:rsidR="00E232E8" w:rsidRDefault="00E232E8">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B3638B">
      <w:rPr>
        <w:noProof/>
        <w:sz w:val="16"/>
        <w:szCs w:val="16"/>
      </w:rPr>
      <w:t>25</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72273" w14:textId="77777777" w:rsidR="00E232E8" w:rsidRDefault="00E232E8">
      <w:pPr>
        <w:spacing w:after="0" w:line="240" w:lineRule="auto"/>
      </w:pPr>
      <w:r>
        <w:separator/>
      </w:r>
    </w:p>
  </w:footnote>
  <w:footnote w:type="continuationSeparator" w:id="0">
    <w:p w14:paraId="6C15519B" w14:textId="77777777" w:rsidR="00E232E8" w:rsidRDefault="00E23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E55DA" w14:textId="77777777" w:rsidR="00E232E8" w:rsidRDefault="00E232E8">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262E7C"/>
    <w:multiLevelType w:val="hybridMultilevel"/>
    <w:tmpl w:val="13AE3FAE"/>
    <w:lvl w:ilvl="0" w:tplc="58CC17CE">
      <w:start w:val="1"/>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A6ED3F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360B3A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65A116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A624A3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03A098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002939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AC00C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35CA78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3045EC"/>
    <w:multiLevelType w:val="hybridMultilevel"/>
    <w:tmpl w:val="9A7E5D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F573EE7"/>
    <w:multiLevelType w:val="multilevel"/>
    <w:tmpl w:val="D04A25AA"/>
    <w:lvl w:ilvl="0">
      <w:start w:val="1"/>
      <w:numFmt w:val="decimal"/>
      <w:lvlText w:val="%1."/>
      <w:lvlJc w:val="left"/>
      <w:pPr>
        <w:tabs>
          <w:tab w:val="num" w:pos="720"/>
        </w:tabs>
        <w:ind w:left="720" w:hanging="720"/>
      </w:pPr>
      <w:rPr>
        <w:b/>
        <w:i w:val="0"/>
        <w:caps/>
        <w:color w:val="000000"/>
        <w:sz w:val="20"/>
      </w:rPr>
    </w:lvl>
    <w:lvl w:ilvl="1">
      <w:start w:val="1"/>
      <w:numFmt w:val="bullet"/>
      <w:lvlText w:val=""/>
      <w:lvlJc w:val="left"/>
      <w:pPr>
        <w:tabs>
          <w:tab w:val="num" w:pos="720"/>
        </w:tabs>
        <w:ind w:left="720" w:hanging="720"/>
      </w:pPr>
      <w:rPr>
        <w:rFonts w:ascii="Symbol" w:hAnsi="Symbol" w:hint="default"/>
        <w:b w:val="0"/>
        <w:i w:val="0"/>
        <w:caps w:val="0"/>
        <w:color w:val="000000"/>
        <w:sz w:val="20"/>
      </w:rPr>
    </w:lvl>
    <w:lvl w:ilvl="2">
      <w:start w:val="1"/>
      <w:numFmt w:val="lowerLetter"/>
      <w:lvlText w:val="(%3)"/>
      <w:lvlJc w:val="left"/>
      <w:pPr>
        <w:tabs>
          <w:tab w:val="num" w:pos="1559"/>
        </w:tabs>
        <w:ind w:left="1559" w:hanging="567"/>
      </w:pPr>
      <w:rPr>
        <w:rFonts w:hint="default"/>
        <w:b w:val="0"/>
        <w:i w:val="0"/>
        <w:color w:val="000000"/>
        <w:sz w:val="20"/>
      </w:rPr>
    </w:lvl>
    <w:lvl w:ilvl="3">
      <w:start w:val="1"/>
      <w:numFmt w:val="lowerRoman"/>
      <w:lvlText w:val="(%4)"/>
      <w:lvlJc w:val="left"/>
      <w:pPr>
        <w:tabs>
          <w:tab w:val="num" w:pos="2421"/>
        </w:tabs>
        <w:ind w:left="2268" w:hanging="567"/>
      </w:pPr>
      <w:rPr>
        <w:b w:val="0"/>
        <w:i w:val="0"/>
        <w:color w:val="00000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9" w15:restartNumberingAfterBreak="0">
    <w:nsid w:val="0FE7477A"/>
    <w:multiLevelType w:val="hybridMultilevel"/>
    <w:tmpl w:val="AF76F7EC"/>
    <w:lvl w:ilvl="0" w:tplc="B9EE608A">
      <w:start w:val="1"/>
      <w:numFmt w:val="decimal"/>
      <w:lvlText w:val="%1."/>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2CC641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DE0584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0A0089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8F6F7B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0087F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2AAF26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CC0842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A16321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273035D"/>
    <w:multiLevelType w:val="hybridMultilevel"/>
    <w:tmpl w:val="85769494"/>
    <w:lvl w:ilvl="0" w:tplc="580A0230">
      <w:start w:val="1"/>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93A60A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7DED35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C9EEE0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296E64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9A4D72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72DB0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832633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E50D1A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9980351"/>
    <w:multiLevelType w:val="multilevel"/>
    <w:tmpl w:val="F6DA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8"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9"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6D02226"/>
    <w:multiLevelType w:val="hybridMultilevel"/>
    <w:tmpl w:val="81365180"/>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81C65B6"/>
    <w:multiLevelType w:val="hybridMultilevel"/>
    <w:tmpl w:val="8B8E3F04"/>
    <w:lvl w:ilvl="0" w:tplc="F7422AC6">
      <w:start w:val="1"/>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674FF6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16A0E8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C2F93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1580EE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9907DC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BD6D44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3A0FF3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2CAFF6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1"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2"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3BD1833"/>
    <w:multiLevelType w:val="hybridMultilevel"/>
    <w:tmpl w:val="007AB2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4E7498E"/>
    <w:multiLevelType w:val="multilevel"/>
    <w:tmpl w:val="D04A25AA"/>
    <w:lvl w:ilvl="0">
      <w:start w:val="1"/>
      <w:numFmt w:val="decimal"/>
      <w:lvlText w:val="%1."/>
      <w:lvlJc w:val="left"/>
      <w:pPr>
        <w:tabs>
          <w:tab w:val="num" w:pos="720"/>
        </w:tabs>
        <w:ind w:left="720" w:hanging="720"/>
      </w:pPr>
      <w:rPr>
        <w:b/>
        <w:i w:val="0"/>
        <w:caps/>
        <w:color w:val="000000"/>
        <w:sz w:val="20"/>
      </w:rPr>
    </w:lvl>
    <w:lvl w:ilvl="1">
      <w:start w:val="1"/>
      <w:numFmt w:val="bullet"/>
      <w:lvlText w:val=""/>
      <w:lvlJc w:val="left"/>
      <w:pPr>
        <w:tabs>
          <w:tab w:val="num" w:pos="720"/>
        </w:tabs>
        <w:ind w:left="720" w:hanging="720"/>
      </w:pPr>
      <w:rPr>
        <w:rFonts w:ascii="Symbol" w:hAnsi="Symbol" w:hint="default"/>
        <w:b w:val="0"/>
        <w:i w:val="0"/>
        <w:caps w:val="0"/>
        <w:color w:val="000000"/>
        <w:sz w:val="20"/>
      </w:rPr>
    </w:lvl>
    <w:lvl w:ilvl="2">
      <w:start w:val="1"/>
      <w:numFmt w:val="lowerLetter"/>
      <w:lvlText w:val="(%3)"/>
      <w:lvlJc w:val="left"/>
      <w:pPr>
        <w:tabs>
          <w:tab w:val="num" w:pos="1559"/>
        </w:tabs>
        <w:ind w:left="1559" w:hanging="567"/>
      </w:pPr>
      <w:rPr>
        <w:rFonts w:hint="default"/>
        <w:b w:val="0"/>
        <w:i w:val="0"/>
        <w:color w:val="000000"/>
        <w:sz w:val="20"/>
      </w:rPr>
    </w:lvl>
    <w:lvl w:ilvl="3">
      <w:start w:val="1"/>
      <w:numFmt w:val="lowerRoman"/>
      <w:lvlText w:val="(%4)"/>
      <w:lvlJc w:val="left"/>
      <w:pPr>
        <w:tabs>
          <w:tab w:val="num" w:pos="2421"/>
        </w:tabs>
        <w:ind w:left="2268" w:hanging="567"/>
      </w:pPr>
      <w:rPr>
        <w:b w:val="0"/>
        <w:i w:val="0"/>
        <w:color w:val="00000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5" w15:restartNumberingAfterBreak="0">
    <w:nsid w:val="353D1864"/>
    <w:multiLevelType w:val="hybridMultilevel"/>
    <w:tmpl w:val="F4AE4EA8"/>
    <w:lvl w:ilvl="0" w:tplc="09CE6532">
      <w:start w:val="1"/>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A3CA26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E5A1A8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A468AA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D04ED4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EAEBD0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BC2D08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118E76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962F9D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37BA0C43"/>
    <w:multiLevelType w:val="hybridMultilevel"/>
    <w:tmpl w:val="51B056F6"/>
    <w:lvl w:ilvl="0" w:tplc="71DC90C0">
      <w:start w:val="1"/>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226554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75E423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BBA4DF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83AC48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D2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3EC260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4BAA3C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51E8B1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8E8629C"/>
    <w:multiLevelType w:val="hybridMultilevel"/>
    <w:tmpl w:val="924C0CF6"/>
    <w:lvl w:ilvl="0" w:tplc="BD78441E">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88FABC">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42DA12">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DA4694">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98781E">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DC6344">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66759E">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467476">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7C084C">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3CD86227"/>
    <w:multiLevelType w:val="hybridMultilevel"/>
    <w:tmpl w:val="BC64FF3C"/>
    <w:lvl w:ilvl="0" w:tplc="62C0C46A">
      <w:start w:val="1"/>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E4E54A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28E631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3F0D44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65662B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D90D50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586B7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910384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0A8A21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47636CFB"/>
    <w:multiLevelType w:val="multilevel"/>
    <w:tmpl w:val="60E23B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15:restartNumberingAfterBreak="0">
    <w:nsid w:val="59EA2B19"/>
    <w:multiLevelType w:val="hybridMultilevel"/>
    <w:tmpl w:val="5DA874E8"/>
    <w:lvl w:ilvl="0" w:tplc="5DC2616C">
      <w:start w:val="1"/>
      <w:numFmt w:val="decimal"/>
      <w:lvlText w:val="%1)"/>
      <w:lvlJc w:val="left"/>
      <w:pPr>
        <w:ind w:left="389" w:hanging="360"/>
      </w:pPr>
      <w:rPr>
        <w:rFonts w:hint="default"/>
        <w:i w:val="0"/>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55"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5E954177"/>
    <w:multiLevelType w:val="hybridMultilevel"/>
    <w:tmpl w:val="626E9020"/>
    <w:lvl w:ilvl="0" w:tplc="8D3EEBB2">
      <w:start w:val="1"/>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6683E3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874383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018F92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72E374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09E097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45AE2D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2F0B55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068B9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EEB3A22"/>
    <w:multiLevelType w:val="hybridMultilevel"/>
    <w:tmpl w:val="BC64FF3C"/>
    <w:lvl w:ilvl="0" w:tplc="62C0C46A">
      <w:start w:val="1"/>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E4E54A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28E631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3F0D44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65662B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D90D50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586B7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910384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0A8A21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656A5015"/>
    <w:multiLevelType w:val="hybridMultilevel"/>
    <w:tmpl w:val="51B056F6"/>
    <w:lvl w:ilvl="0" w:tplc="71DC90C0">
      <w:start w:val="1"/>
      <w:numFmt w:val="decimal"/>
      <w:lvlText w:val="(%1)"/>
      <w:lvlJc w:val="left"/>
      <w:pPr>
        <w:ind w:left="5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226554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75E423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BBA4DF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83AC48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D2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3EC260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4BAA3C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51E8B1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6DD739B"/>
    <w:multiLevelType w:val="multilevel"/>
    <w:tmpl w:val="D04A25AA"/>
    <w:lvl w:ilvl="0">
      <w:start w:val="1"/>
      <w:numFmt w:val="decimal"/>
      <w:lvlText w:val="%1."/>
      <w:lvlJc w:val="left"/>
      <w:pPr>
        <w:tabs>
          <w:tab w:val="num" w:pos="720"/>
        </w:tabs>
        <w:ind w:left="720" w:hanging="720"/>
      </w:pPr>
      <w:rPr>
        <w:b/>
        <w:i w:val="0"/>
        <w:caps/>
        <w:color w:val="000000"/>
        <w:sz w:val="20"/>
      </w:rPr>
    </w:lvl>
    <w:lvl w:ilvl="1">
      <w:start w:val="1"/>
      <w:numFmt w:val="bullet"/>
      <w:lvlText w:val=""/>
      <w:lvlJc w:val="left"/>
      <w:pPr>
        <w:tabs>
          <w:tab w:val="num" w:pos="720"/>
        </w:tabs>
        <w:ind w:left="720" w:hanging="720"/>
      </w:pPr>
      <w:rPr>
        <w:rFonts w:ascii="Symbol" w:hAnsi="Symbol" w:hint="default"/>
        <w:b w:val="0"/>
        <w:i w:val="0"/>
        <w:caps w:val="0"/>
        <w:color w:val="000000"/>
        <w:sz w:val="20"/>
      </w:rPr>
    </w:lvl>
    <w:lvl w:ilvl="2">
      <w:start w:val="1"/>
      <w:numFmt w:val="lowerLetter"/>
      <w:lvlText w:val="(%3)"/>
      <w:lvlJc w:val="left"/>
      <w:pPr>
        <w:tabs>
          <w:tab w:val="num" w:pos="1559"/>
        </w:tabs>
        <w:ind w:left="1559" w:hanging="567"/>
      </w:pPr>
      <w:rPr>
        <w:rFonts w:hint="default"/>
        <w:b w:val="0"/>
        <w:i w:val="0"/>
        <w:color w:val="000000"/>
        <w:sz w:val="20"/>
      </w:rPr>
    </w:lvl>
    <w:lvl w:ilvl="3">
      <w:start w:val="1"/>
      <w:numFmt w:val="lowerRoman"/>
      <w:lvlText w:val="(%4)"/>
      <w:lvlJc w:val="left"/>
      <w:pPr>
        <w:tabs>
          <w:tab w:val="num" w:pos="2421"/>
        </w:tabs>
        <w:ind w:left="2268" w:hanging="567"/>
      </w:pPr>
      <w:rPr>
        <w:b w:val="0"/>
        <w:i w:val="0"/>
        <w:color w:val="00000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61" w15:restartNumberingAfterBreak="0">
    <w:nsid w:val="688C0AD5"/>
    <w:multiLevelType w:val="multilevel"/>
    <w:tmpl w:val="83049972"/>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62"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7"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77D61255"/>
    <w:multiLevelType w:val="multilevel"/>
    <w:tmpl w:val="392836FC"/>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color w:val="000000"/>
        <w:sz w:val="20"/>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color w:val="00000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70" w15:restartNumberingAfterBreak="0">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1702"/>
        </w:tabs>
        <w:ind w:left="1702" w:hanging="567"/>
      </w:pPr>
      <w:rPr>
        <w:rFonts w:ascii="Arial" w:hAnsi="Arial" w:hint="default"/>
        <w:b w:val="0"/>
        <w:i w:val="0"/>
        <w:sz w:val="24"/>
      </w:rPr>
    </w:lvl>
    <w:lvl w:ilvl="2">
      <w:start w:val="1"/>
      <w:numFmt w:val="lowerLetter"/>
      <w:lvlText w:val="(%3)"/>
      <w:lvlJc w:val="left"/>
      <w:pPr>
        <w:tabs>
          <w:tab w:val="num" w:pos="2978"/>
        </w:tabs>
        <w:ind w:left="2978"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1"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2" w15:restartNumberingAfterBreak="0">
    <w:nsid w:val="7E222C44"/>
    <w:multiLevelType w:val="hybridMultilevel"/>
    <w:tmpl w:val="51B056F6"/>
    <w:lvl w:ilvl="0" w:tplc="71DC90C0">
      <w:start w:val="1"/>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226554A">
      <w:start w:val="1"/>
      <w:numFmt w:val="lowerLetter"/>
      <w:lvlText w:val="%2"/>
      <w:lvlJc w:val="left"/>
      <w:pPr>
        <w:ind w:left="5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75E4236">
      <w:start w:val="1"/>
      <w:numFmt w:val="lowerRoman"/>
      <w:lvlText w:val="%3"/>
      <w:lvlJc w:val="left"/>
      <w:pPr>
        <w:ind w:left="12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BBA4DFE">
      <w:start w:val="1"/>
      <w:numFmt w:val="decimal"/>
      <w:lvlText w:val="%4"/>
      <w:lvlJc w:val="left"/>
      <w:pPr>
        <w:ind w:left="19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83AC48E">
      <w:start w:val="1"/>
      <w:numFmt w:val="lowerLetter"/>
      <w:lvlText w:val="%5"/>
      <w:lvlJc w:val="left"/>
      <w:pPr>
        <w:ind w:left="26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D2C4EA0">
      <w:start w:val="1"/>
      <w:numFmt w:val="lowerRoman"/>
      <w:lvlText w:val="%6"/>
      <w:lvlJc w:val="left"/>
      <w:pPr>
        <w:ind w:left="33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3EC2606">
      <w:start w:val="1"/>
      <w:numFmt w:val="decimal"/>
      <w:lvlText w:val="%7"/>
      <w:lvlJc w:val="left"/>
      <w:pPr>
        <w:ind w:left="41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4BAA3C0">
      <w:start w:val="1"/>
      <w:numFmt w:val="lowerLetter"/>
      <w:lvlText w:val="%8"/>
      <w:lvlJc w:val="left"/>
      <w:pPr>
        <w:ind w:left="48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51E8B1E">
      <w:start w:val="1"/>
      <w:numFmt w:val="lowerRoman"/>
      <w:lvlText w:val="%9"/>
      <w:lvlJc w:val="left"/>
      <w:pPr>
        <w:ind w:left="55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44"/>
  </w:num>
  <w:num w:numId="2">
    <w:abstractNumId w:val="28"/>
  </w:num>
  <w:num w:numId="3">
    <w:abstractNumId w:val="39"/>
  </w:num>
  <w:num w:numId="4">
    <w:abstractNumId w:val="30"/>
  </w:num>
  <w:num w:numId="5">
    <w:abstractNumId w:val="19"/>
  </w:num>
  <w:num w:numId="6">
    <w:abstractNumId w:val="46"/>
  </w:num>
  <w:num w:numId="7">
    <w:abstractNumId w:val="31"/>
  </w:num>
  <w:num w:numId="8">
    <w:abstractNumId w:val="11"/>
  </w:num>
  <w:num w:numId="9">
    <w:abstractNumId w:val="58"/>
  </w:num>
  <w:num w:numId="10">
    <w:abstractNumId w:val="4"/>
  </w:num>
  <w:num w:numId="11">
    <w:abstractNumId w:val="67"/>
  </w:num>
  <w:num w:numId="12">
    <w:abstractNumId w:val="29"/>
  </w:num>
  <w:num w:numId="13">
    <w:abstractNumId w:val="36"/>
  </w:num>
  <w:num w:numId="14">
    <w:abstractNumId w:val="62"/>
  </w:num>
  <w:num w:numId="15">
    <w:abstractNumId w:val="50"/>
  </w:num>
  <w:num w:numId="16">
    <w:abstractNumId w:val="6"/>
  </w:num>
  <w:num w:numId="17">
    <w:abstractNumId w:val="24"/>
  </w:num>
  <w:num w:numId="18">
    <w:abstractNumId w:val="43"/>
  </w:num>
  <w:num w:numId="19">
    <w:abstractNumId w:val="64"/>
  </w:num>
  <w:num w:numId="20">
    <w:abstractNumId w:val="53"/>
  </w:num>
  <w:num w:numId="21">
    <w:abstractNumId w:val="49"/>
  </w:num>
  <w:num w:numId="22">
    <w:abstractNumId w:val="48"/>
  </w:num>
  <w:num w:numId="23">
    <w:abstractNumId w:val="14"/>
  </w:num>
  <w:num w:numId="24">
    <w:abstractNumId w:val="20"/>
  </w:num>
  <w:num w:numId="25">
    <w:abstractNumId w:val="65"/>
  </w:num>
  <w:num w:numId="26">
    <w:abstractNumId w:val="25"/>
  </w:num>
  <w:num w:numId="27">
    <w:abstractNumId w:val="52"/>
  </w:num>
  <w:num w:numId="28">
    <w:abstractNumId w:val="0"/>
  </w:num>
  <w:num w:numId="29">
    <w:abstractNumId w:val="12"/>
  </w:num>
  <w:num w:numId="30">
    <w:abstractNumId w:val="3"/>
  </w:num>
  <w:num w:numId="31">
    <w:abstractNumId w:val="22"/>
  </w:num>
  <w:num w:numId="32">
    <w:abstractNumId w:val="66"/>
  </w:num>
  <w:num w:numId="33">
    <w:abstractNumId w:val="41"/>
  </w:num>
  <w:num w:numId="34">
    <w:abstractNumId w:val="27"/>
  </w:num>
  <w:num w:numId="35">
    <w:abstractNumId w:val="32"/>
  </w:num>
  <w:num w:numId="36">
    <w:abstractNumId w:val="7"/>
  </w:num>
  <w:num w:numId="37">
    <w:abstractNumId w:val="42"/>
  </w:num>
  <w:num w:numId="38">
    <w:abstractNumId w:val="51"/>
  </w:num>
  <w:num w:numId="39">
    <w:abstractNumId w:val="68"/>
  </w:num>
  <w:num w:numId="40">
    <w:abstractNumId w:val="63"/>
  </w:num>
  <w:num w:numId="41">
    <w:abstractNumId w:val="18"/>
  </w:num>
  <w:num w:numId="42">
    <w:abstractNumId w:val="26"/>
  </w:num>
  <w:num w:numId="43">
    <w:abstractNumId w:val="71"/>
  </w:num>
  <w:num w:numId="44">
    <w:abstractNumId w:val="55"/>
  </w:num>
  <w:num w:numId="45">
    <w:abstractNumId w:val="47"/>
  </w:num>
  <w:num w:numId="46">
    <w:abstractNumId w:val="45"/>
  </w:num>
  <w:num w:numId="47">
    <w:abstractNumId w:val="16"/>
  </w:num>
  <w:num w:numId="48">
    <w:abstractNumId w:val="17"/>
  </w:num>
  <w:num w:numId="49">
    <w:abstractNumId w:val="61"/>
  </w:num>
  <w:num w:numId="50">
    <w:abstractNumId w:val="10"/>
  </w:num>
  <w:num w:numId="51">
    <w:abstractNumId w:val="5"/>
  </w:num>
  <w:num w:numId="52">
    <w:abstractNumId w:val="54"/>
  </w:num>
  <w:num w:numId="53">
    <w:abstractNumId w:val="70"/>
  </w:num>
  <w:num w:numId="54">
    <w:abstractNumId w:val="15"/>
  </w:num>
  <w:num w:numId="55">
    <w:abstractNumId w:val="2"/>
  </w:num>
  <w:num w:numId="56">
    <w:abstractNumId w:val="21"/>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33"/>
  </w:num>
  <w:num w:numId="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35"/>
  </w:num>
  <w:num w:numId="63">
    <w:abstractNumId w:val="1"/>
  </w:num>
  <w:num w:numId="64">
    <w:abstractNumId w:val="37"/>
  </w:num>
  <w:num w:numId="65">
    <w:abstractNumId w:val="38"/>
  </w:num>
  <w:num w:numId="66">
    <w:abstractNumId w:val="57"/>
  </w:num>
  <w:num w:numId="67">
    <w:abstractNumId w:val="13"/>
  </w:num>
  <w:num w:numId="68">
    <w:abstractNumId w:val="23"/>
  </w:num>
  <w:num w:numId="69">
    <w:abstractNumId w:val="56"/>
  </w:num>
  <w:num w:numId="70">
    <w:abstractNumId w:val="59"/>
  </w:num>
  <w:num w:numId="71">
    <w:abstractNumId w:val="72"/>
  </w:num>
  <w:num w:numId="72">
    <w:abstractNumId w:val="40"/>
  </w:num>
  <w:num w:numId="73">
    <w:abstractNumId w:val="34"/>
  </w:num>
  <w:num w:numId="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num>
  <w:num w:numId="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47B45"/>
    <w:rsid w:val="00065A22"/>
    <w:rsid w:val="00076044"/>
    <w:rsid w:val="000B1C76"/>
    <w:rsid w:val="000E1C92"/>
    <w:rsid w:val="000E600F"/>
    <w:rsid w:val="00107032"/>
    <w:rsid w:val="00185C0D"/>
    <w:rsid w:val="0019451F"/>
    <w:rsid w:val="001A7C6C"/>
    <w:rsid w:val="001B35BA"/>
    <w:rsid w:val="002C1712"/>
    <w:rsid w:val="002D00E5"/>
    <w:rsid w:val="0031051C"/>
    <w:rsid w:val="00371D98"/>
    <w:rsid w:val="003773AC"/>
    <w:rsid w:val="003B01E7"/>
    <w:rsid w:val="004B26D3"/>
    <w:rsid w:val="004B6BCA"/>
    <w:rsid w:val="004D0518"/>
    <w:rsid w:val="00507CA9"/>
    <w:rsid w:val="005150FE"/>
    <w:rsid w:val="0055666D"/>
    <w:rsid w:val="00571865"/>
    <w:rsid w:val="005B5A0F"/>
    <w:rsid w:val="005D2376"/>
    <w:rsid w:val="005D7AFA"/>
    <w:rsid w:val="0061094C"/>
    <w:rsid w:val="00617F16"/>
    <w:rsid w:val="00624C06"/>
    <w:rsid w:val="00670746"/>
    <w:rsid w:val="00693199"/>
    <w:rsid w:val="006C6CB4"/>
    <w:rsid w:val="006F53C9"/>
    <w:rsid w:val="007423C5"/>
    <w:rsid w:val="007649D0"/>
    <w:rsid w:val="00775488"/>
    <w:rsid w:val="00784D8E"/>
    <w:rsid w:val="007A4905"/>
    <w:rsid w:val="008207FB"/>
    <w:rsid w:val="0083638C"/>
    <w:rsid w:val="00841879"/>
    <w:rsid w:val="00892645"/>
    <w:rsid w:val="008A2B48"/>
    <w:rsid w:val="008D3341"/>
    <w:rsid w:val="008F5502"/>
    <w:rsid w:val="00912EAA"/>
    <w:rsid w:val="00936224"/>
    <w:rsid w:val="00963ABE"/>
    <w:rsid w:val="00966457"/>
    <w:rsid w:val="009C546D"/>
    <w:rsid w:val="009D0C14"/>
    <w:rsid w:val="009D75C5"/>
    <w:rsid w:val="00A03DA8"/>
    <w:rsid w:val="00A46CBB"/>
    <w:rsid w:val="00AB418B"/>
    <w:rsid w:val="00B3638B"/>
    <w:rsid w:val="00B86525"/>
    <w:rsid w:val="00BC1971"/>
    <w:rsid w:val="00C04351"/>
    <w:rsid w:val="00C61593"/>
    <w:rsid w:val="00C70B44"/>
    <w:rsid w:val="00CC3F00"/>
    <w:rsid w:val="00CD732D"/>
    <w:rsid w:val="00D208E0"/>
    <w:rsid w:val="00D354D3"/>
    <w:rsid w:val="00D60DBE"/>
    <w:rsid w:val="00D639F1"/>
    <w:rsid w:val="00DD17E0"/>
    <w:rsid w:val="00DE31EC"/>
    <w:rsid w:val="00E232E8"/>
    <w:rsid w:val="00E43A0C"/>
    <w:rsid w:val="00E605E6"/>
    <w:rsid w:val="00EA56D3"/>
    <w:rsid w:val="00F27C5F"/>
    <w:rsid w:val="00F508D9"/>
    <w:rsid w:val="00FA346C"/>
    <w:rsid w:val="00FB3A54"/>
    <w:rsid w:val="00FB6A2C"/>
    <w:rsid w:val="00FC6214"/>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0BBE2"/>
  <w15:docId w15:val="{FC062C33-F734-43EC-BFB3-F10AEB5B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character" w:styleId="CommentReference">
    <w:name w:val="annotation reference"/>
    <w:basedOn w:val="DefaultParagraphFont"/>
    <w:uiPriority w:val="99"/>
    <w:semiHidden/>
    <w:unhideWhenUsed/>
    <w:rsid w:val="00A03DA8"/>
    <w:rPr>
      <w:sz w:val="16"/>
      <w:szCs w:val="16"/>
    </w:rPr>
  </w:style>
  <w:style w:type="paragraph" w:styleId="CommentText">
    <w:name w:val="annotation text"/>
    <w:basedOn w:val="Normal"/>
    <w:link w:val="CommentTextChar"/>
    <w:uiPriority w:val="99"/>
    <w:semiHidden/>
    <w:unhideWhenUsed/>
    <w:rsid w:val="00A03DA8"/>
    <w:pPr>
      <w:spacing w:line="240" w:lineRule="auto"/>
    </w:pPr>
  </w:style>
  <w:style w:type="character" w:customStyle="1" w:styleId="CommentTextChar">
    <w:name w:val="Comment Text Char"/>
    <w:basedOn w:val="DefaultParagraphFont"/>
    <w:link w:val="CommentText"/>
    <w:uiPriority w:val="99"/>
    <w:semiHidden/>
    <w:rsid w:val="00A03DA8"/>
  </w:style>
  <w:style w:type="paragraph" w:styleId="CommentSubject">
    <w:name w:val="annotation subject"/>
    <w:basedOn w:val="CommentText"/>
    <w:next w:val="CommentText"/>
    <w:link w:val="CommentSubjectChar"/>
    <w:uiPriority w:val="99"/>
    <w:semiHidden/>
    <w:unhideWhenUsed/>
    <w:rsid w:val="00A03DA8"/>
    <w:rPr>
      <w:b/>
      <w:bCs/>
    </w:rPr>
  </w:style>
  <w:style w:type="character" w:customStyle="1" w:styleId="CommentSubjectChar">
    <w:name w:val="Comment Subject Char"/>
    <w:basedOn w:val="CommentTextChar"/>
    <w:link w:val="CommentSubject"/>
    <w:uiPriority w:val="99"/>
    <w:semiHidden/>
    <w:rsid w:val="00A03DA8"/>
    <w:rPr>
      <w:b/>
      <w:bCs/>
    </w:rPr>
  </w:style>
  <w:style w:type="character" w:styleId="IntenseEmphasis">
    <w:name w:val="Intense Emphasis"/>
    <w:basedOn w:val="DefaultParagraphFont"/>
    <w:uiPriority w:val="21"/>
    <w:qFormat/>
    <w:rsid w:val="008A2B48"/>
    <w:rPr>
      <w:i/>
      <w:iCs/>
      <w:color w:val="4472C4" w:themeColor="accent1"/>
    </w:rPr>
  </w:style>
  <w:style w:type="table" w:styleId="TableGrid">
    <w:name w:val="Table Grid"/>
    <w:basedOn w:val="TableNormal"/>
    <w:uiPriority w:val="39"/>
    <w:rsid w:val="008A2B48"/>
    <w:pPr>
      <w:widowControl/>
      <w:spacing w:after="0" w:line="240" w:lineRule="auto"/>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tableheadingsblack">
    <w:name w:val="PA table headings_black"/>
    <w:qFormat/>
    <w:rsid w:val="005D7AFA"/>
    <w:rPr>
      <w:rFonts w:ascii="Arial Bold" w:hAnsi="Arial Bold"/>
      <w:b/>
      <w:color w:val="auto"/>
    </w:rPr>
  </w:style>
  <w:style w:type="character" w:customStyle="1" w:styleId="PAcharacterboldtext">
    <w:name w:val="PA character_bold text"/>
    <w:qFormat/>
    <w:rsid w:val="005D7AFA"/>
    <w:rPr>
      <w:rFonts w:ascii="Arial" w:hAnsi="Arial"/>
      <w:b/>
      <w:lang w:val="en-GB"/>
    </w:rPr>
  </w:style>
  <w:style w:type="character" w:customStyle="1" w:styleId="PAHIGHLIGHTTOEDIT">
    <w:name w:val="PA HIGHLIGHT TO EDIT"/>
    <w:qFormat/>
    <w:rsid w:val="005D7AFA"/>
    <w:rPr>
      <w:rFonts w:ascii="Arial" w:hAnsi="Arial"/>
      <w:color w:val="auto"/>
      <w:bdr w:val="none" w:sz="0" w:space="0" w:color="auto"/>
      <w:shd w:val="clear" w:color="auto" w:fill="FFFF00"/>
    </w:rPr>
  </w:style>
  <w:style w:type="table" w:customStyle="1" w:styleId="PAtableformatright-alignedforfigures">
    <w:name w:val="PA table format_ right-aligned for figures"/>
    <w:basedOn w:val="TableNormal"/>
    <w:rsid w:val="005D7AFA"/>
    <w:pPr>
      <w:widowControl/>
      <w:spacing w:before="60" w:after="60" w:line="240" w:lineRule="exact"/>
      <w:jc w:val="right"/>
    </w:pPr>
    <w:rPr>
      <w:rFonts w:eastAsia="Times New Roman" w:cs="Times New Roman"/>
      <w:sz w:val="18"/>
      <w:szCs w:val="18"/>
    </w:rPr>
    <w:tblPr>
      <w:tblStyleRowBandSize w:val="1"/>
      <w:tblStyleColBandSize w:val="1"/>
      <w:tblBorders>
        <w:bottom w:val="single" w:sz="4" w:space="0" w:color="3876BE"/>
        <w:insideH w:val="single" w:sz="4" w:space="0" w:color="3876BE"/>
      </w:tblBorders>
    </w:tblPr>
    <w:tcPr>
      <w:shd w:val="clear" w:color="auto" w:fill="auto"/>
      <w:noWrap/>
    </w:tcPr>
    <w:tblStylePr w:type="firstRow">
      <w:pPr>
        <w:wordWrap/>
        <w:spacing w:beforeLines="0" w:beforeAutospacing="0" w:afterLines="0" w:afterAutospacing="0" w:line="280" w:lineRule="exact"/>
      </w:pPr>
      <w:rPr>
        <w:rFonts w:ascii="Arial" w:hAnsi="Arial"/>
        <w:b/>
        <w:i w:val="0"/>
        <w:color w:val="auto"/>
        <w:sz w:val="18"/>
        <w:szCs w:val="18"/>
      </w:rPr>
      <w:tblPr/>
      <w:tcPr>
        <w:tcBorders>
          <w:top w:val="nil"/>
          <w:left w:val="nil"/>
          <w:bottom w:val="nil"/>
          <w:right w:val="nil"/>
          <w:insideH w:val="nil"/>
          <w:insideV w:val="single" w:sz="4" w:space="0" w:color="FFFFFF"/>
          <w:tl2br w:val="nil"/>
          <w:tr2bl w:val="nil"/>
        </w:tcBorders>
        <w:shd w:val="clear" w:color="auto" w:fill="D6E3F3"/>
      </w:tcPr>
    </w:tblStylePr>
    <w:tblStylePr w:type="lastRow">
      <w:tblPr/>
      <w:tcPr>
        <w:tcBorders>
          <w:bottom w:val="single" w:sz="8" w:space="0" w:color="3876BE"/>
        </w:tcBorders>
        <w:shd w:val="clear" w:color="auto" w:fill="auto"/>
      </w:tcPr>
    </w:tblStylePr>
    <w:tblStylePr w:type="firstCol">
      <w:pPr>
        <w:wordWrap/>
        <w:jc w:val="left"/>
      </w:pPr>
      <w:rPr>
        <w:sz w:val="18"/>
      </w:rPr>
    </w:tblStylePr>
    <w:tblStylePr w:type="band1Horz">
      <w:rPr>
        <w:sz w:val="18"/>
      </w:rPr>
      <w:tblPr/>
      <w:tcPr>
        <w:tcBorders>
          <w:top w:val="nil"/>
          <w:left w:val="nil"/>
          <w:bottom w:val="single" w:sz="4" w:space="0" w:color="3876BE"/>
          <w:right w:val="nil"/>
          <w:insideH w:val="single" w:sz="4" w:space="0" w:color="3876BE"/>
          <w:insideV w:val="single" w:sz="4" w:space="0" w:color="DDDDDD"/>
          <w:tl2br w:val="nil"/>
          <w:tr2bl w:val="nil"/>
        </w:tcBorders>
        <w:shd w:val="clear" w:color="auto" w:fill="auto"/>
      </w:tcPr>
    </w:tblStylePr>
    <w:tblStylePr w:type="band2Horz">
      <w:pPr>
        <w:wordWrap/>
        <w:jc w:val="right"/>
      </w:pPr>
      <w:rPr>
        <w:rFonts w:ascii="Arial" w:hAnsi="Arial"/>
        <w:color w:val="000000"/>
        <w:sz w:val="20"/>
      </w:rPr>
      <w:tblPr/>
      <w:tcPr>
        <w:tcBorders>
          <w:top w:val="single" w:sz="4" w:space="0" w:color="4472C4" w:themeColor="accent1"/>
          <w:left w:val="nil"/>
          <w:bottom w:val="single" w:sz="4" w:space="0" w:color="3876BE"/>
          <w:right w:val="nil"/>
          <w:insideH w:val="nil"/>
          <w:insideV w:val="single" w:sz="4" w:space="0" w:color="DDDDDD"/>
          <w:tl2br w:val="nil"/>
          <w:tr2bl w:val="nil"/>
        </w:tcBorders>
        <w:shd w:val="clear" w:color="auto" w:fill="auto"/>
      </w:tcPr>
    </w:tblStylePr>
    <w:tblStylePr w:type="nwCell">
      <w:rPr>
        <w:rFonts w:ascii="Arial" w:hAnsi="Arial"/>
        <w:b/>
        <w:color w:val="000000"/>
        <w:sz w:val="18"/>
      </w:rPr>
      <w:tblPr/>
      <w:tcPr>
        <w:shd w:val="clear" w:color="auto" w:fill="D6E3F3"/>
      </w:tcPr>
    </w:tblStylePr>
  </w:style>
  <w:style w:type="paragraph" w:customStyle="1" w:styleId="PAtabletextbodytext">
    <w:name w:val="PA table text_ body text"/>
    <w:basedOn w:val="Normal"/>
    <w:link w:val="PAtabletextbodytextCharChar"/>
    <w:qFormat/>
    <w:rsid w:val="005D7AFA"/>
    <w:pPr>
      <w:widowControl/>
      <w:spacing w:before="60" w:after="60" w:line="220" w:lineRule="atLeast"/>
    </w:pPr>
    <w:rPr>
      <w:rFonts w:eastAsia="Arial Unicode MS" w:cs="Times New Roman"/>
      <w:color w:val="auto"/>
      <w:sz w:val="18"/>
      <w:lang w:eastAsia="en-US"/>
    </w:rPr>
  </w:style>
  <w:style w:type="character" w:customStyle="1" w:styleId="PAtabletextbodytextCharChar">
    <w:name w:val="PA table text_ body text Char Char"/>
    <w:basedOn w:val="DefaultParagraphFont"/>
    <w:link w:val="PAtabletextbodytext"/>
    <w:rsid w:val="005D7AFA"/>
    <w:rPr>
      <w:rFonts w:eastAsia="Arial Unicode MS" w:cs="Times New Roman"/>
      <w:color w:val="auto"/>
      <w:sz w:val="18"/>
      <w:lang w:eastAsia="en-US"/>
    </w:rPr>
  </w:style>
  <w:style w:type="paragraph" w:styleId="ListParagraph">
    <w:name w:val="List Paragraph"/>
    <w:basedOn w:val="Normal"/>
    <w:uiPriority w:val="34"/>
    <w:qFormat/>
    <w:rsid w:val="00FC6214"/>
    <w:pPr>
      <w:ind w:left="720"/>
      <w:contextualSpacing/>
    </w:pPr>
  </w:style>
  <w:style w:type="paragraph" w:customStyle="1" w:styleId="TitleClause">
    <w:name w:val="Title Clause"/>
    <w:basedOn w:val="Normal"/>
    <w:rsid w:val="00FC6214"/>
    <w:pPr>
      <w:keepNext/>
      <w:widowControl/>
      <w:numPr>
        <w:numId w:val="57"/>
      </w:numPr>
      <w:spacing w:before="240" w:after="240" w:line="300" w:lineRule="atLeast"/>
      <w:jc w:val="both"/>
      <w:outlineLvl w:val="0"/>
    </w:pPr>
    <w:rPr>
      <w:rFonts w:eastAsia="Times New Roman" w:cs="Times New Roman"/>
      <w:b/>
      <w:kern w:val="28"/>
      <w:sz w:val="22"/>
      <w:lang w:eastAsia="en-US"/>
    </w:rPr>
  </w:style>
  <w:style w:type="paragraph" w:customStyle="1" w:styleId="Parasubclause1">
    <w:name w:val="Para subclause 1"/>
    <w:aliases w:val="BIWS Heading 2"/>
    <w:basedOn w:val="Normal"/>
    <w:rsid w:val="00FC6214"/>
    <w:pPr>
      <w:widowControl/>
      <w:spacing w:before="240" w:after="120" w:line="300" w:lineRule="atLeast"/>
      <w:ind w:left="720"/>
      <w:jc w:val="both"/>
    </w:pPr>
    <w:rPr>
      <w:rFonts w:eastAsia="Times New Roman" w:cs="Times New Roman"/>
      <w:sz w:val="22"/>
      <w:lang w:eastAsia="en-US"/>
    </w:rPr>
  </w:style>
  <w:style w:type="paragraph" w:customStyle="1" w:styleId="Untitledsubclause1">
    <w:name w:val="Untitled subclause 1"/>
    <w:basedOn w:val="Normal"/>
    <w:rsid w:val="00FC6214"/>
    <w:pPr>
      <w:widowControl/>
      <w:numPr>
        <w:ilvl w:val="1"/>
        <w:numId w:val="57"/>
      </w:numPr>
      <w:spacing w:before="280" w:after="120" w:line="300" w:lineRule="atLeast"/>
      <w:jc w:val="both"/>
      <w:outlineLvl w:val="1"/>
    </w:pPr>
    <w:rPr>
      <w:rFonts w:eastAsia="Times New Roman" w:cs="Times New Roman"/>
      <w:sz w:val="22"/>
      <w:lang w:eastAsia="en-US"/>
    </w:rPr>
  </w:style>
  <w:style w:type="paragraph" w:customStyle="1" w:styleId="Untitledsubclause2">
    <w:name w:val="Untitled subclause 2"/>
    <w:basedOn w:val="Normal"/>
    <w:rsid w:val="00FC6214"/>
    <w:pPr>
      <w:widowControl/>
      <w:numPr>
        <w:ilvl w:val="2"/>
        <w:numId w:val="57"/>
      </w:numPr>
      <w:spacing w:after="120" w:line="300" w:lineRule="atLeast"/>
      <w:jc w:val="both"/>
      <w:outlineLvl w:val="2"/>
    </w:pPr>
    <w:rPr>
      <w:rFonts w:eastAsia="Times New Roman" w:cs="Times New Roman"/>
      <w:sz w:val="22"/>
      <w:lang w:eastAsia="en-US"/>
    </w:rPr>
  </w:style>
  <w:style w:type="paragraph" w:customStyle="1" w:styleId="Untitledsubclause3">
    <w:name w:val="Untitled subclause 3"/>
    <w:basedOn w:val="Normal"/>
    <w:rsid w:val="00FC6214"/>
    <w:pPr>
      <w:widowControl/>
      <w:numPr>
        <w:ilvl w:val="3"/>
        <w:numId w:val="57"/>
      </w:numPr>
      <w:tabs>
        <w:tab w:val="left" w:pos="2261"/>
      </w:tabs>
      <w:spacing w:after="120" w:line="300" w:lineRule="atLeast"/>
      <w:jc w:val="both"/>
      <w:outlineLvl w:val="3"/>
    </w:pPr>
    <w:rPr>
      <w:rFonts w:eastAsia="Times New Roman" w:cs="Times New Roman"/>
      <w:sz w:val="22"/>
      <w:lang w:eastAsia="en-US"/>
    </w:rPr>
  </w:style>
  <w:style w:type="paragraph" w:customStyle="1" w:styleId="Untitledsubclause4">
    <w:name w:val="Untitled subclause 4"/>
    <w:basedOn w:val="Normal"/>
    <w:rsid w:val="00FC6214"/>
    <w:pPr>
      <w:widowControl/>
      <w:numPr>
        <w:ilvl w:val="4"/>
        <w:numId w:val="57"/>
      </w:numPr>
      <w:spacing w:after="120" w:line="300" w:lineRule="atLeast"/>
      <w:jc w:val="both"/>
      <w:outlineLvl w:val="4"/>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848754">
      <w:bodyDiv w:val="1"/>
      <w:marLeft w:val="0"/>
      <w:marRight w:val="0"/>
      <w:marTop w:val="0"/>
      <w:marBottom w:val="0"/>
      <w:divBdr>
        <w:top w:val="none" w:sz="0" w:space="0" w:color="auto"/>
        <w:left w:val="none" w:sz="0" w:space="0" w:color="auto"/>
        <w:bottom w:val="none" w:sz="0" w:space="0" w:color="auto"/>
        <w:right w:val="none" w:sz="0" w:space="0" w:color="auto"/>
      </w:divBdr>
    </w:div>
    <w:div w:id="743843131">
      <w:bodyDiv w:val="1"/>
      <w:marLeft w:val="0"/>
      <w:marRight w:val="0"/>
      <w:marTop w:val="0"/>
      <w:marBottom w:val="0"/>
      <w:divBdr>
        <w:top w:val="none" w:sz="0" w:space="0" w:color="auto"/>
        <w:left w:val="none" w:sz="0" w:space="0" w:color="auto"/>
        <w:bottom w:val="none" w:sz="0" w:space="0" w:color="auto"/>
        <w:right w:val="none" w:sz="0" w:space="0" w:color="auto"/>
      </w:divBdr>
    </w:div>
    <w:div w:id="860899430">
      <w:bodyDiv w:val="1"/>
      <w:marLeft w:val="0"/>
      <w:marRight w:val="0"/>
      <w:marTop w:val="0"/>
      <w:marBottom w:val="0"/>
      <w:divBdr>
        <w:top w:val="none" w:sz="0" w:space="0" w:color="auto"/>
        <w:left w:val="none" w:sz="0" w:space="0" w:color="auto"/>
        <w:bottom w:val="none" w:sz="0" w:space="0" w:color="auto"/>
        <w:right w:val="none" w:sz="0" w:space="0" w:color="auto"/>
      </w:divBdr>
    </w:div>
    <w:div w:id="1114132525">
      <w:bodyDiv w:val="1"/>
      <w:marLeft w:val="0"/>
      <w:marRight w:val="0"/>
      <w:marTop w:val="0"/>
      <w:marBottom w:val="0"/>
      <w:divBdr>
        <w:top w:val="none" w:sz="0" w:space="0" w:color="auto"/>
        <w:left w:val="none" w:sz="0" w:space="0" w:color="auto"/>
        <w:bottom w:val="none" w:sz="0" w:space="0" w:color="auto"/>
        <w:right w:val="none" w:sz="0" w:space="0" w:color="auto"/>
      </w:divBdr>
    </w:div>
    <w:div w:id="136617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cloud.google.com/terms/aup" TargetMode="External"/><Relationship Id="rId26" Type="http://schemas.openxmlformats.org/officeDocument/2006/relationships/hyperlink" Target="https://www.google.co.uk/url?sa=t&amp;rct=j&amp;q=&amp;esrc=s&amp;source=web&amp;cd=1&amp;cad=rja&amp;uact=8&amp;sqi=2&amp;ved=0CDoQFjAA&amp;url=http%3A%2F%2Fwww.cloudlock.com%2F&amp;ei=ajg1VInlJtaOsQTzw4CAAg&amp;usg=AFQjCNGUkOrz_otZAj_lDqE6yYlU9GByvw&amp;bvm=bv.76943099,d.cWc" TargetMode="External"/><Relationship Id="rId39" Type="http://schemas.openxmlformats.org/officeDocument/2006/relationships/hyperlink" Target="https://www.cesg.gov.uk/risk-management-collection" TargetMode="External"/><Relationship Id="rId21" Type="http://schemas.openxmlformats.org/officeDocument/2006/relationships/hyperlink" Target="https://www.apache.org/licenses/LICENSE-2.0.html" TargetMode="External"/><Relationship Id="rId34" Type="http://schemas.openxmlformats.org/officeDocument/2006/relationships/hyperlink" Target="https://www.gov.uk/government/publications/security-policy-framework" TargetMode="External"/><Relationship Id="rId42" Type="http://schemas.openxmlformats.org/officeDocument/2006/relationships/hyperlink" Target="https://www.gov.uk/government/publications/technology-code-of-practice/technology-code-of-practice" TargetMode="External"/><Relationship Id="rId47" Type="http://schemas.openxmlformats.org/officeDocument/2006/relationships/hyperlink" Target="https://www.gov.uk/government/publications/cyber-risk-management-a-board-level-responsibility/10-steps-summary" TargetMode="External"/><Relationship Id="rId50" Type="http://schemas.openxmlformats.org/officeDocument/2006/relationships/hyperlink" Target="https://www.gov.uk/government/publications/cyber-risk-management-a-board-level-responsibility/10-steps-summary" TargetMode="External"/><Relationship Id="rId55" Type="http://schemas.openxmlformats.org/officeDocument/2006/relationships/hyperlink" Target="https://www.digitalmarketplace.service.gov.uk" TargetMode="External"/><Relationship Id="rId63" Type="http://schemas.openxmlformats.org/officeDocument/2006/relationships/hyperlink" Target="https://help.salesforce.com/apex/HTViewSolution?urlname=Trust-and-Compliance-Documentation&amp;language=en_US" TargetMode="External"/><Relationship Id="rId68" Type="http://schemas.openxmlformats.org/officeDocument/2006/relationships/hyperlink" Target="http://www.salesforce.com/appexchange"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www.salesforce.com/company/legal/" TargetMode="External"/><Relationship Id="rId2" Type="http://schemas.openxmlformats.org/officeDocument/2006/relationships/customXml" Target="../customXml/item2.xml"/><Relationship Id="rId16" Type="http://schemas.openxmlformats.org/officeDocument/2006/relationships/hyperlink" Target="https://aws.amazon.com/aup/" TargetMode="External"/><Relationship Id="rId29" Type="http://schemas.openxmlformats.org/officeDocument/2006/relationships/hyperlink" Target="http://www.ukctg.nihr.ac.uk" TargetMode="External"/><Relationship Id="rId11" Type="http://schemas.openxmlformats.org/officeDocument/2006/relationships/footnotes" Target="footnotes.xml"/><Relationship Id="rId24" Type="http://schemas.openxmlformats.org/officeDocument/2006/relationships/hyperlink" Target="http://www.google.com/enterprise/apps/business/" TargetMode="External"/><Relationship Id="rId32" Type="http://schemas.openxmlformats.org/officeDocument/2006/relationships/hyperlink" Target="http://www.isrctn.com/" TargetMode="External"/><Relationship Id="rId37" Type="http://schemas.openxmlformats.org/officeDocument/2006/relationships/hyperlink" Target="https://www.cpni.gov.uk/protection-sensitive-information-and-assets" TargetMode="External"/><Relationship Id="rId40" Type="http://schemas.openxmlformats.org/officeDocument/2006/relationships/hyperlink" Target="https://www.cesg.gov.uk/risk-management-collection" TargetMode="External"/><Relationship Id="rId45" Type="http://schemas.openxmlformats.org/officeDocument/2006/relationships/hyperlink" Target="https://www.gov.uk/government/publications/cyber-risk-management-a-board-level-responsibility/10-steps-summary" TargetMode="External"/><Relationship Id="rId53" Type="http://schemas.openxmlformats.org/officeDocument/2006/relationships/hyperlink" Target="https://www.gov.uk/guidance/g-cloud-templates-and-legal-documents" TargetMode="External"/><Relationship Id="rId58" Type="http://schemas.openxmlformats.org/officeDocument/2006/relationships/hyperlink" Target="https://www.gov.uk/service-manual/agile-delivery/spend-controls-check-if-you-need-approval-to-spend-money-on-a-service" TargetMode="External"/><Relationship Id="rId66" Type="http://schemas.openxmlformats.org/officeDocument/2006/relationships/hyperlink" Target="https://help.salesforce.com/apex/HTViewSolution?urlname=Trust-and-Compliance-Documentation&amp;language=en_US" TargetMode="External"/><Relationship Id="rId7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suite.google.com/intl/en/terms/use_policy.html" TargetMode="External"/><Relationship Id="rId23" Type="http://schemas.openxmlformats.org/officeDocument/2006/relationships/hyperlink" Target="http://iws.ims.gov.uk/twa/cmorandd/randd/Document%20Library/Information%20and%20Intelligence/Information%20Manager/NIHR%20IS%20Function%20Contract,%20PA/hub.nihr.ac.uk" TargetMode="External"/><Relationship Id="rId28" Type="http://schemas.openxmlformats.org/officeDocument/2006/relationships/hyperlink" Target="http://www.sitekit.net/" TargetMode="External"/><Relationship Id="rId36" Type="http://schemas.openxmlformats.org/officeDocument/2006/relationships/hyperlink" Target="https://www.cpni.gov.uk/content/adopt-risk-management-approach"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www.legislation.gov.uk/ukpga/1998/29/contents" TargetMode="External"/><Relationship Id="rId61" Type="http://schemas.openxmlformats.org/officeDocument/2006/relationships/hyperlink" Target="https://help.salesforce.com/apex/HTViewSolution?urlname=Trust-and-Compliance-Documentation&amp;language=en_US" TargetMode="External"/><Relationship Id="rId10" Type="http://schemas.openxmlformats.org/officeDocument/2006/relationships/webSettings" Target="webSettings.xml"/><Relationship Id="rId19" Type="http://schemas.openxmlformats.org/officeDocument/2006/relationships/hyperlink" Target="https://cloud.google.com/terms/aup" TargetMode="External"/><Relationship Id="rId31" Type="http://schemas.openxmlformats.org/officeDocument/2006/relationships/hyperlink" Target="http://chain.ulcc.ac.uk/chain/index.html" TargetMode="External"/><Relationship Id="rId44" Type="http://schemas.openxmlformats.org/officeDocument/2006/relationships/hyperlink" Target="https://www.gov.uk/government/publications/cyber-risk-management-a-board-level-responsibility/10-steps-summary" TargetMode="External"/><Relationship Id="rId52" Type="http://schemas.openxmlformats.org/officeDocument/2006/relationships/hyperlink" Target="https://www.gov.uk/guidance/g-cloud-templates-and-legal-documents" TargetMode="External"/><Relationship Id="rId60" Type="http://schemas.openxmlformats.org/officeDocument/2006/relationships/hyperlink" Target="https://help.salesforce.com/apex/HTViewSolution?urlname=Trust-and-Compliance-Documentation&amp;language=en_US" TargetMode="External"/><Relationship Id="rId65" Type="http://schemas.openxmlformats.org/officeDocument/2006/relationships/hyperlink" Target="https://help.salesforce.com/apex/HTViewSolution?urlname=Trust-and-Compliance-Documentation&amp;language=en_US"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suite.google.com/intl/en-GB/terms/premier_terms_prepay.html" TargetMode="External"/><Relationship Id="rId22" Type="http://schemas.openxmlformats.org/officeDocument/2006/relationships/hyperlink" Target="http://wso2.com/update/license-1.0" TargetMode="External"/><Relationship Id="rId27" Type="http://schemas.openxmlformats.org/officeDocument/2006/relationships/hyperlink" Target="http://www.nihr.ac.uk/" TargetMode="External"/><Relationship Id="rId30" Type="http://schemas.openxmlformats.org/officeDocument/2006/relationships/hyperlink" Target="http://info.servicenow.com/LP=2221?gclid=CMuNzeSKjMICFesBwwodG7AALgg" TargetMode="External"/><Relationship Id="rId35" Type="http://schemas.openxmlformats.org/officeDocument/2006/relationships/hyperlink" Target="https://www.gov.uk/government/publications/government-security-classifications" TargetMode="External"/><Relationship Id="rId43" Type="http://schemas.openxmlformats.org/officeDocument/2006/relationships/hyperlink" Target="https://www.ncsc.gov.uk/guidance/implementing-cloud-security-principles" TargetMode="External"/><Relationship Id="rId48" Type="http://schemas.openxmlformats.org/officeDocument/2006/relationships/hyperlink" Target="https://www.gov.uk/government/publications/cyber-risk-management-a-board-level-responsibility/10-steps-summary" TargetMode="External"/><Relationship Id="rId56" Type="http://schemas.openxmlformats.org/officeDocument/2006/relationships/hyperlink" Target="http://tools.hmrc.gov.uk/esi" TargetMode="External"/><Relationship Id="rId64" Type="http://schemas.openxmlformats.org/officeDocument/2006/relationships/hyperlink" Target="https://help.salesforce.com/apex/HTViewSolution?urlname=Trust-and-Compliance-Documentation&amp;language=en_US" TargetMode="External"/><Relationship Id="rId69" Type="http://schemas.openxmlformats.org/officeDocument/2006/relationships/hyperlink" Target="https://addons.heroku.com/" TargetMode="External"/><Relationship Id="rId8" Type="http://schemas.openxmlformats.org/officeDocument/2006/relationships/styles" Target="styles.xml"/><Relationship Id="rId51" Type="http://schemas.openxmlformats.org/officeDocument/2006/relationships/hyperlink" Target="https://www.ncsc.gov.uk/guidance/10-steps-cyber-security" TargetMode="External"/><Relationship Id="rId72" Type="http://schemas.openxmlformats.org/officeDocument/2006/relationships/hyperlink" Target="http://www.salesforce.com/company/legal/"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cloudpagesforwork.com/terms-conditions/" TargetMode="External"/><Relationship Id="rId25" Type="http://schemas.openxmlformats.org/officeDocument/2006/relationships/hyperlink" Target="https://www.google.co.uk/url?sa=t&amp;rct=j&amp;q=&amp;esrc=s&amp;source=web&amp;cd=1&amp;cad=rja&amp;uact=8&amp;ved=0CDUQFjAA&amp;url=http%3A%2F%2Fwww.cloudsolutions.co.uk%2Fcloudpages.html&amp;ei=UDg1VMPpG7eMsQSjy4HYBg&amp;usg=AFQjCNFSdMvpfrOam3Ypll51k5lXJUGa3A&amp;bvm=bv.76943099,d.cWc" TargetMode="External"/><Relationship Id="rId33" Type="http://schemas.openxmlformats.org/officeDocument/2006/relationships/hyperlink" Target="http://www.hdf.nihr.ac.uk/" TargetMode="External"/><Relationship Id="rId38" Type="http://schemas.openxmlformats.org/officeDocument/2006/relationships/hyperlink" Target="https://www.ncsc.gov.uk/guidance/risk-management-collection" TargetMode="External"/><Relationship Id="rId46" Type="http://schemas.openxmlformats.org/officeDocument/2006/relationships/hyperlink" Target="https://www.gov.uk/government/publications/cyber-risk-management-a-board-level-responsibility/10-steps-summary" TargetMode="External"/><Relationship Id="rId59" Type="http://schemas.openxmlformats.org/officeDocument/2006/relationships/hyperlink" Target="https://help.salesforce.com/apex/HTViewSolution?urlname=Trust-and-Compliance-Documentation&amp;language=en_US" TargetMode="External"/><Relationship Id="rId67" Type="http://schemas.openxmlformats.org/officeDocument/2006/relationships/hyperlink" Target="http://www.salesforce.com/appexchange" TargetMode="External"/><Relationship Id="rId20" Type="http://schemas.openxmlformats.org/officeDocument/2006/relationships/hyperlink" Target="https://www.firebase.com/terms/acceptable-usage-policy.html" TargetMode="External"/><Relationship Id="rId41" Type="http://schemas.openxmlformats.org/officeDocument/2006/relationships/hyperlink" Target="https://www.cesg.gov.uk/risk-management-collection" TargetMode="External"/><Relationship Id="rId54" Type="http://schemas.openxmlformats.org/officeDocument/2006/relationships/hyperlink" Target="https://www.gov.uk/guidance/g-cloud-templates-and-legal-documents" TargetMode="External"/><Relationship Id="rId62" Type="http://schemas.openxmlformats.org/officeDocument/2006/relationships/hyperlink" Target="https://help.salesforce.com/apex/HTViewSolution?urlname=Trust-and-Compliance-Documentation&amp;language=en_US" TargetMode="External"/><Relationship Id="rId70" Type="http://schemas.openxmlformats.org/officeDocument/2006/relationships/hyperlink" Target="https://addons.heroku.co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AAFXSQ5MW4ZD-192-1381459</_dlc_DocId>
    <_dlc_DocIdUrl xmlns="1eee4ddb-a1f9-40b8-9282-d53ea582adeb">
      <Url>http://iws.ims.gov.uk/twa/cmorandd/randd/_layouts/DocIdRedir.aspx?ID=AAFXSQ5MW4ZD-192-1381459</Url>
      <Description>AAFXSQ5MW4ZD-192-1381459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DD5F1D227E8B5D4EA99B28C8E9A04181" ma:contentTypeVersion="67" ma:contentTypeDescription="DH specific document content type for use in File Plan" ma:contentTypeScope="" ma:versionID="391505c01f7a4cefcb5a05bfcff3041c">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8636d3865457fc738ba8f8b6acaa8a58"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3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95E9E6-4445-4801-A11A-54AC4206ECF4}">
  <ds:schemaRefs>
    <ds:schemaRef ds:uri="http://schemas.microsoft.com/sharepoint/events"/>
  </ds:schemaRefs>
</ds:datastoreItem>
</file>

<file path=customXml/itemProps2.xml><?xml version="1.0" encoding="utf-8"?>
<ds:datastoreItem xmlns:ds="http://schemas.openxmlformats.org/officeDocument/2006/customXml" ds:itemID="{A1B235EB-0BFC-4FF0-98BA-75EC9AFF41F3}">
  <ds:schemaRefs>
    <ds:schemaRef ds:uri="http://schemas.microsoft.com/sharepoint/v3/contenttype/forms"/>
  </ds:schemaRefs>
</ds:datastoreItem>
</file>

<file path=customXml/itemProps3.xml><?xml version="1.0" encoding="utf-8"?>
<ds:datastoreItem xmlns:ds="http://schemas.openxmlformats.org/officeDocument/2006/customXml" ds:itemID="{90E8A957-4662-4502-BA79-1581D4B1E2CF}">
  <ds:schemaRefs>
    <ds:schemaRef ds:uri="http://purl.org/dc/terms/"/>
    <ds:schemaRef ds:uri="http://schemas.microsoft.com/office/infopath/2007/PartnerControls"/>
    <ds:schemaRef ds:uri="http://schemas.microsoft.com/office/2006/documentManagement/types"/>
    <ds:schemaRef ds:uri="http://schemas.microsoft.com/sharepoint/v3"/>
    <ds:schemaRef ds:uri="http://purl.org/dc/elements/1.1/"/>
    <ds:schemaRef ds:uri="http://schemas.microsoft.com/office/2006/metadata/properties"/>
    <ds:schemaRef ds:uri="1eee4ddb-a1f9-40b8-9282-d53ea582adeb"/>
    <ds:schemaRef ds:uri="http://schemas.openxmlformats.org/package/2006/metadata/core-propertie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5B270115-CAF6-4C1C-B1F7-75A492881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705D26-935D-485A-98BB-48AC4D88CD14}">
  <ds:schemaRefs>
    <ds:schemaRef ds:uri="http://schemas.microsoft.com/office/2006/metadata/customXsn"/>
  </ds:schemaRefs>
</ds:datastoreItem>
</file>

<file path=customXml/itemProps6.xml><?xml version="1.0" encoding="utf-8"?>
<ds:datastoreItem xmlns:ds="http://schemas.openxmlformats.org/officeDocument/2006/customXml" ds:itemID="{7EC44CDB-725A-4B62-8B7C-A94C6FF19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50</Pages>
  <Words>19126</Words>
  <Characters>108186</Characters>
  <Application>Microsoft Office Word</Application>
  <DocSecurity>0</DocSecurity>
  <Lines>901</Lines>
  <Paragraphs>254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127058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Macdonald</dc:creator>
  <cp:lastModifiedBy>Clover, Patrick</cp:lastModifiedBy>
  <cp:revision>4</cp:revision>
  <cp:lastPrinted>2017-10-26T14:57:00Z</cp:lastPrinted>
  <dcterms:created xsi:type="dcterms:W3CDTF">2017-12-05T15:48:00Z</dcterms:created>
  <dcterms:modified xsi:type="dcterms:W3CDTF">2017-12-05T16:01:00Z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0x010100B9957A1BF2FBE8478EF96F1BD89AD4CA00DD5F1D227E8B5D4EA99B28C8E9A04181</vt:lpwstr>
  </property>
  <property fmtid="{D5CDD505-2E9C-101B-9397-08002B2CF9AE}" pid="3" name="_dlc_DocIdItemGuid">
    <vt:lpwstr>e649f739-6b32-4c83-a439-ec0cd1fb9415</vt:lpwstr>
  </property>
</Properties>
</file>