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3C47F47C" w:rsidR="00835BD7" w:rsidRDefault="00835BD7" w:rsidP="00835BD7">
          <w:pPr>
            <w:pStyle w:val="Subtitle"/>
            <w:jc w:val="left"/>
            <w:rPr>
              <w:rFonts w:ascii="Arial" w:hAnsi="Arial"/>
              <w:sz w:val="44"/>
              <w:szCs w:val="44"/>
            </w:rPr>
          </w:pPr>
          <w:r>
            <w:rPr>
              <w:rFonts w:ascii="Arial" w:hAnsi="Arial"/>
              <w:sz w:val="44"/>
              <w:szCs w:val="44"/>
            </w:rPr>
            <w:t xml:space="preserve">for </w:t>
          </w:r>
          <w:r w:rsidR="001808C3">
            <w:rPr>
              <w:rFonts w:ascii="Arial" w:hAnsi="Arial"/>
              <w:sz w:val="44"/>
              <w:szCs w:val="44"/>
            </w:rPr>
            <w:t>Security and Control Environment Testing of D365 and Interfaces</w:t>
          </w:r>
        </w:p>
        <w:p w14:paraId="0BF401CB" w14:textId="77777777" w:rsidR="00835BD7" w:rsidRDefault="00835BD7" w:rsidP="00835BD7">
          <w:pPr>
            <w:pStyle w:val="Subtitle"/>
            <w:jc w:val="left"/>
            <w:rPr>
              <w:rFonts w:ascii="Arial" w:hAnsi="Arial"/>
              <w:sz w:val="44"/>
              <w:szCs w:val="44"/>
            </w:rPr>
          </w:pPr>
        </w:p>
        <w:p w14:paraId="2AF58404" w14:textId="14F154E8" w:rsidR="00835BD7" w:rsidRDefault="00835BD7" w:rsidP="00835BD7">
          <w:pPr>
            <w:pStyle w:val="Subtitle"/>
            <w:jc w:val="left"/>
            <w:rPr>
              <w:rFonts w:ascii="Arial" w:hAnsi="Arial"/>
              <w:sz w:val="44"/>
              <w:szCs w:val="44"/>
            </w:rPr>
          </w:pPr>
          <w:r>
            <w:rPr>
              <w:rFonts w:ascii="Arial" w:hAnsi="Arial"/>
              <w:sz w:val="44"/>
              <w:szCs w:val="44"/>
            </w:rPr>
            <w:t>ITT</w:t>
          </w:r>
          <w:r w:rsidR="001808C3">
            <w:rPr>
              <w:rFonts w:ascii="Arial" w:hAnsi="Arial"/>
              <w:sz w:val="44"/>
              <w:szCs w:val="44"/>
            </w:rPr>
            <w:t xml:space="preserve"> </w:t>
          </w:r>
          <w:r w:rsidR="00D062FD" w:rsidRPr="00D062FD">
            <w:rPr>
              <w:rFonts w:ascii="Arial" w:hAnsi="Arial"/>
              <w:sz w:val="44"/>
              <w:szCs w:val="44"/>
            </w:rPr>
            <w:t>2</w:t>
          </w:r>
          <w:r w:rsidR="00D40471">
            <w:rPr>
              <w:rFonts w:ascii="Arial" w:hAnsi="Arial"/>
              <w:sz w:val="44"/>
              <w:szCs w:val="44"/>
            </w:rPr>
            <w:t>40</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12F764C0" w:rsidR="00835BD7" w:rsidRDefault="00835BD7" w:rsidP="00835BD7">
          <w:pPr>
            <w:spacing w:line="-240" w:lineRule="auto"/>
            <w:jc w:val="both"/>
            <w:rPr>
              <w:sz w:val="24"/>
            </w:rPr>
          </w:pPr>
          <w:r w:rsidRPr="0091018E">
            <w:rPr>
              <w:b/>
              <w:sz w:val="24"/>
            </w:rPr>
            <w:t>Version:</w:t>
          </w:r>
          <w:r w:rsidRPr="0091018E">
            <w:rPr>
              <w:sz w:val="24"/>
            </w:rPr>
            <w:tab/>
          </w:r>
          <w:r w:rsidR="001808C3">
            <w:rPr>
              <w:sz w:val="24"/>
            </w:rPr>
            <w:t>1.0</w:t>
          </w:r>
        </w:p>
        <w:p w14:paraId="5D473515" w14:textId="77777777" w:rsidR="00835BD7" w:rsidRPr="0091018E" w:rsidRDefault="00835BD7" w:rsidP="00835BD7">
          <w:pPr>
            <w:spacing w:line="-240" w:lineRule="auto"/>
            <w:jc w:val="both"/>
            <w:rPr>
              <w:sz w:val="24"/>
            </w:rPr>
          </w:pPr>
        </w:p>
        <w:p w14:paraId="0FCC5740" w14:textId="3B7ED62F"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522A79">
            <w:rPr>
              <w:sz w:val="24"/>
            </w:rPr>
            <w:t>1</w:t>
          </w:r>
          <w:r w:rsidR="00D40471">
            <w:rPr>
              <w:sz w:val="24"/>
            </w:rPr>
            <w:t>4 March</w:t>
          </w:r>
          <w:r w:rsidR="00522A79">
            <w:rPr>
              <w:sz w:val="24"/>
            </w:rPr>
            <w:t xml:space="preserve"> 2019</w:t>
          </w:r>
        </w:p>
        <w:p w14:paraId="2D3BE5F4" w14:textId="77777777" w:rsidR="00835BD7" w:rsidRPr="0091018E" w:rsidRDefault="00835BD7" w:rsidP="00835BD7">
          <w:pPr>
            <w:spacing w:line="-240" w:lineRule="auto"/>
            <w:rPr>
              <w:sz w:val="24"/>
            </w:rPr>
          </w:pPr>
        </w:p>
        <w:p w14:paraId="6DF181DA" w14:textId="3465DD2F"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1808C3">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34897960"/>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6AA30799" w14:textId="4440CCE9" w:rsidR="00CC27EC"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34897960" w:history="1">
        <w:r w:rsidR="00CC27EC" w:rsidRPr="001E292E">
          <w:rPr>
            <w:rStyle w:val="Hyperlink"/>
            <w:noProof/>
          </w:rPr>
          <w:t>Contents</w:t>
        </w:r>
        <w:r w:rsidR="00CC27EC">
          <w:rPr>
            <w:noProof/>
            <w:webHidden/>
          </w:rPr>
          <w:tab/>
        </w:r>
        <w:r w:rsidR="00CC27EC">
          <w:rPr>
            <w:noProof/>
            <w:webHidden/>
          </w:rPr>
          <w:fldChar w:fldCharType="begin"/>
        </w:r>
        <w:r w:rsidR="00CC27EC">
          <w:rPr>
            <w:noProof/>
            <w:webHidden/>
          </w:rPr>
          <w:instrText xml:space="preserve"> PAGEREF _Toc534897960 \h </w:instrText>
        </w:r>
        <w:r w:rsidR="00CC27EC">
          <w:rPr>
            <w:noProof/>
            <w:webHidden/>
          </w:rPr>
        </w:r>
        <w:r w:rsidR="00CC27EC">
          <w:rPr>
            <w:noProof/>
            <w:webHidden/>
          </w:rPr>
          <w:fldChar w:fldCharType="separate"/>
        </w:r>
        <w:r w:rsidR="00CC27EC">
          <w:rPr>
            <w:noProof/>
            <w:webHidden/>
          </w:rPr>
          <w:t>1</w:t>
        </w:r>
        <w:r w:rsidR="00CC27EC">
          <w:rPr>
            <w:noProof/>
            <w:webHidden/>
          </w:rPr>
          <w:fldChar w:fldCharType="end"/>
        </w:r>
      </w:hyperlink>
    </w:p>
    <w:p w14:paraId="0B675FB0" w14:textId="24B87073" w:rsidR="00CC27EC" w:rsidRDefault="00597BC6">
      <w:pPr>
        <w:pStyle w:val="TOC1"/>
        <w:rPr>
          <w:rFonts w:asciiTheme="minorHAnsi" w:eastAsiaTheme="minorEastAsia" w:hAnsiTheme="minorHAnsi" w:cstheme="minorBidi"/>
          <w:caps w:val="0"/>
          <w:noProof/>
          <w:sz w:val="22"/>
          <w:lang w:eastAsia="en-GB"/>
        </w:rPr>
      </w:pPr>
      <w:hyperlink w:anchor="_Toc534897961" w:history="1">
        <w:r w:rsidR="00CC27EC" w:rsidRPr="001E292E">
          <w:rPr>
            <w:rStyle w:val="Hyperlink"/>
            <w:noProof/>
          </w:rPr>
          <w:t>1.</w:t>
        </w:r>
        <w:r w:rsidR="00CC27EC">
          <w:rPr>
            <w:rFonts w:asciiTheme="minorHAnsi" w:eastAsiaTheme="minorEastAsia" w:hAnsiTheme="minorHAnsi" w:cstheme="minorBidi"/>
            <w:caps w:val="0"/>
            <w:noProof/>
            <w:sz w:val="22"/>
            <w:lang w:eastAsia="en-GB"/>
          </w:rPr>
          <w:tab/>
        </w:r>
        <w:r w:rsidR="00CC27EC" w:rsidRPr="001E292E">
          <w:rPr>
            <w:rStyle w:val="Hyperlink"/>
            <w:noProof/>
          </w:rPr>
          <w:t>Introduction</w:t>
        </w:r>
        <w:r w:rsidR="00CC27EC">
          <w:rPr>
            <w:noProof/>
            <w:webHidden/>
          </w:rPr>
          <w:tab/>
        </w:r>
        <w:r w:rsidR="00CC27EC">
          <w:rPr>
            <w:noProof/>
            <w:webHidden/>
          </w:rPr>
          <w:fldChar w:fldCharType="begin"/>
        </w:r>
        <w:r w:rsidR="00CC27EC">
          <w:rPr>
            <w:noProof/>
            <w:webHidden/>
          </w:rPr>
          <w:instrText xml:space="preserve"> PAGEREF _Toc534897961 \h </w:instrText>
        </w:r>
        <w:r w:rsidR="00CC27EC">
          <w:rPr>
            <w:noProof/>
            <w:webHidden/>
          </w:rPr>
        </w:r>
        <w:r w:rsidR="00CC27EC">
          <w:rPr>
            <w:noProof/>
            <w:webHidden/>
          </w:rPr>
          <w:fldChar w:fldCharType="separate"/>
        </w:r>
        <w:r w:rsidR="00CC27EC">
          <w:rPr>
            <w:noProof/>
            <w:webHidden/>
          </w:rPr>
          <w:t>1</w:t>
        </w:r>
        <w:r w:rsidR="00CC27EC">
          <w:rPr>
            <w:noProof/>
            <w:webHidden/>
          </w:rPr>
          <w:fldChar w:fldCharType="end"/>
        </w:r>
      </w:hyperlink>
    </w:p>
    <w:p w14:paraId="17CE9405" w14:textId="54758F30" w:rsidR="00CC27EC" w:rsidRDefault="00597BC6">
      <w:pPr>
        <w:pStyle w:val="TOC1"/>
        <w:rPr>
          <w:rFonts w:asciiTheme="minorHAnsi" w:eastAsiaTheme="minorEastAsia" w:hAnsiTheme="minorHAnsi" w:cstheme="minorBidi"/>
          <w:caps w:val="0"/>
          <w:noProof/>
          <w:sz w:val="22"/>
          <w:lang w:eastAsia="en-GB"/>
        </w:rPr>
      </w:pPr>
      <w:hyperlink w:anchor="_Toc534897962" w:history="1">
        <w:r w:rsidR="00CC27EC" w:rsidRPr="001E292E">
          <w:rPr>
            <w:rStyle w:val="Hyperlink"/>
            <w:noProof/>
          </w:rPr>
          <w:t>2.</w:t>
        </w:r>
        <w:r w:rsidR="00CC27EC">
          <w:rPr>
            <w:rFonts w:asciiTheme="minorHAnsi" w:eastAsiaTheme="minorEastAsia" w:hAnsiTheme="minorHAnsi" w:cstheme="minorBidi"/>
            <w:caps w:val="0"/>
            <w:noProof/>
            <w:sz w:val="22"/>
            <w:lang w:eastAsia="en-GB"/>
          </w:rPr>
          <w:tab/>
        </w:r>
        <w:r w:rsidR="00CC27EC" w:rsidRPr="001E292E">
          <w:rPr>
            <w:rStyle w:val="Hyperlink"/>
            <w:noProof/>
          </w:rPr>
          <w:t>OVERVIEW OF Invitation to tender</w:t>
        </w:r>
        <w:r w:rsidR="00CC27EC">
          <w:rPr>
            <w:noProof/>
            <w:webHidden/>
          </w:rPr>
          <w:tab/>
        </w:r>
        <w:r w:rsidR="00CC27EC">
          <w:rPr>
            <w:noProof/>
            <w:webHidden/>
          </w:rPr>
          <w:fldChar w:fldCharType="begin"/>
        </w:r>
        <w:r w:rsidR="00CC27EC">
          <w:rPr>
            <w:noProof/>
            <w:webHidden/>
          </w:rPr>
          <w:instrText xml:space="preserve"> PAGEREF _Toc534897962 \h </w:instrText>
        </w:r>
        <w:r w:rsidR="00CC27EC">
          <w:rPr>
            <w:noProof/>
            <w:webHidden/>
          </w:rPr>
        </w:r>
        <w:r w:rsidR="00CC27EC">
          <w:rPr>
            <w:noProof/>
            <w:webHidden/>
          </w:rPr>
          <w:fldChar w:fldCharType="separate"/>
        </w:r>
        <w:r w:rsidR="00CC27EC">
          <w:rPr>
            <w:noProof/>
            <w:webHidden/>
          </w:rPr>
          <w:t>2</w:t>
        </w:r>
        <w:r w:rsidR="00CC27EC">
          <w:rPr>
            <w:noProof/>
            <w:webHidden/>
          </w:rPr>
          <w:fldChar w:fldCharType="end"/>
        </w:r>
      </w:hyperlink>
    </w:p>
    <w:p w14:paraId="6B113651" w14:textId="2946BA1B" w:rsidR="00CC27EC" w:rsidRDefault="00597BC6">
      <w:pPr>
        <w:pStyle w:val="TOC1"/>
        <w:rPr>
          <w:rFonts w:asciiTheme="minorHAnsi" w:eastAsiaTheme="minorEastAsia" w:hAnsiTheme="minorHAnsi" w:cstheme="minorBidi"/>
          <w:caps w:val="0"/>
          <w:noProof/>
          <w:sz w:val="22"/>
          <w:lang w:eastAsia="en-GB"/>
        </w:rPr>
      </w:pPr>
      <w:hyperlink w:anchor="_Toc534897963" w:history="1">
        <w:r w:rsidR="00CC27EC" w:rsidRPr="001E292E">
          <w:rPr>
            <w:rStyle w:val="Hyperlink"/>
            <w:noProof/>
          </w:rPr>
          <w:t>3.</w:t>
        </w:r>
        <w:r w:rsidR="00CC27EC">
          <w:rPr>
            <w:rFonts w:asciiTheme="minorHAnsi" w:eastAsiaTheme="minorEastAsia" w:hAnsiTheme="minorHAnsi" w:cstheme="minorBidi"/>
            <w:caps w:val="0"/>
            <w:noProof/>
            <w:sz w:val="22"/>
            <w:lang w:eastAsia="en-GB"/>
          </w:rPr>
          <w:tab/>
        </w:r>
        <w:r w:rsidR="00CC27EC" w:rsidRPr="001E292E">
          <w:rPr>
            <w:rStyle w:val="Hyperlink"/>
            <w:noProof/>
          </w:rPr>
          <w:t>The Contract</w:t>
        </w:r>
        <w:r w:rsidR="00CC27EC">
          <w:rPr>
            <w:noProof/>
            <w:webHidden/>
          </w:rPr>
          <w:tab/>
        </w:r>
        <w:r w:rsidR="00CC27EC">
          <w:rPr>
            <w:noProof/>
            <w:webHidden/>
          </w:rPr>
          <w:fldChar w:fldCharType="begin"/>
        </w:r>
        <w:r w:rsidR="00CC27EC">
          <w:rPr>
            <w:noProof/>
            <w:webHidden/>
          </w:rPr>
          <w:instrText xml:space="preserve"> PAGEREF _Toc534897963 \h </w:instrText>
        </w:r>
        <w:r w:rsidR="00CC27EC">
          <w:rPr>
            <w:noProof/>
            <w:webHidden/>
          </w:rPr>
        </w:r>
        <w:r w:rsidR="00CC27EC">
          <w:rPr>
            <w:noProof/>
            <w:webHidden/>
          </w:rPr>
          <w:fldChar w:fldCharType="separate"/>
        </w:r>
        <w:r w:rsidR="00CC27EC">
          <w:rPr>
            <w:noProof/>
            <w:webHidden/>
          </w:rPr>
          <w:t>3</w:t>
        </w:r>
        <w:r w:rsidR="00CC27EC">
          <w:rPr>
            <w:noProof/>
            <w:webHidden/>
          </w:rPr>
          <w:fldChar w:fldCharType="end"/>
        </w:r>
      </w:hyperlink>
    </w:p>
    <w:p w14:paraId="0E5DAB9A" w14:textId="722F6582" w:rsidR="00CC27EC" w:rsidRDefault="00597BC6">
      <w:pPr>
        <w:pStyle w:val="TOC1"/>
        <w:rPr>
          <w:rFonts w:asciiTheme="minorHAnsi" w:eastAsiaTheme="minorEastAsia" w:hAnsiTheme="minorHAnsi" w:cstheme="minorBidi"/>
          <w:caps w:val="0"/>
          <w:noProof/>
          <w:sz w:val="22"/>
          <w:lang w:eastAsia="en-GB"/>
        </w:rPr>
      </w:pPr>
      <w:hyperlink w:anchor="_Toc534897964" w:history="1">
        <w:r w:rsidR="00CC27EC" w:rsidRPr="001E292E">
          <w:rPr>
            <w:rStyle w:val="Hyperlink"/>
            <w:noProof/>
          </w:rPr>
          <w:t>4.</w:t>
        </w:r>
        <w:r w:rsidR="00CC27EC">
          <w:rPr>
            <w:rFonts w:asciiTheme="minorHAnsi" w:eastAsiaTheme="minorEastAsia" w:hAnsiTheme="minorHAnsi" w:cstheme="minorBidi"/>
            <w:caps w:val="0"/>
            <w:noProof/>
            <w:sz w:val="22"/>
            <w:lang w:eastAsia="en-GB"/>
          </w:rPr>
          <w:tab/>
        </w:r>
        <w:r w:rsidR="00CC27EC" w:rsidRPr="001E292E">
          <w:rPr>
            <w:rStyle w:val="Hyperlink"/>
            <w:noProof/>
          </w:rPr>
          <w:t>Requirements</w:t>
        </w:r>
        <w:r w:rsidR="00CC27EC">
          <w:rPr>
            <w:noProof/>
            <w:webHidden/>
          </w:rPr>
          <w:tab/>
        </w:r>
        <w:r w:rsidR="00CC27EC">
          <w:rPr>
            <w:noProof/>
            <w:webHidden/>
          </w:rPr>
          <w:fldChar w:fldCharType="begin"/>
        </w:r>
        <w:r w:rsidR="00CC27EC">
          <w:rPr>
            <w:noProof/>
            <w:webHidden/>
          </w:rPr>
          <w:instrText xml:space="preserve"> PAGEREF _Toc534897964 \h </w:instrText>
        </w:r>
        <w:r w:rsidR="00CC27EC">
          <w:rPr>
            <w:noProof/>
            <w:webHidden/>
          </w:rPr>
        </w:r>
        <w:r w:rsidR="00CC27EC">
          <w:rPr>
            <w:noProof/>
            <w:webHidden/>
          </w:rPr>
          <w:fldChar w:fldCharType="separate"/>
        </w:r>
        <w:r w:rsidR="00CC27EC">
          <w:rPr>
            <w:noProof/>
            <w:webHidden/>
          </w:rPr>
          <w:t>3</w:t>
        </w:r>
        <w:r w:rsidR="00CC27EC">
          <w:rPr>
            <w:noProof/>
            <w:webHidden/>
          </w:rPr>
          <w:fldChar w:fldCharType="end"/>
        </w:r>
      </w:hyperlink>
    </w:p>
    <w:p w14:paraId="3A8CF542" w14:textId="4C4D9A64" w:rsidR="00CC27EC" w:rsidRDefault="00597BC6">
      <w:pPr>
        <w:pStyle w:val="TOC1"/>
        <w:rPr>
          <w:rFonts w:asciiTheme="minorHAnsi" w:eastAsiaTheme="minorEastAsia" w:hAnsiTheme="minorHAnsi" w:cstheme="minorBidi"/>
          <w:caps w:val="0"/>
          <w:noProof/>
          <w:sz w:val="22"/>
          <w:lang w:eastAsia="en-GB"/>
        </w:rPr>
      </w:pPr>
      <w:hyperlink w:anchor="_Toc534897965" w:history="1">
        <w:r w:rsidR="00CC27EC" w:rsidRPr="001E292E">
          <w:rPr>
            <w:rStyle w:val="Hyperlink"/>
            <w:noProof/>
          </w:rPr>
          <w:t>5.</w:t>
        </w:r>
        <w:r w:rsidR="00CC27EC">
          <w:rPr>
            <w:rFonts w:asciiTheme="minorHAnsi" w:eastAsiaTheme="minorEastAsia" w:hAnsiTheme="minorHAnsi" w:cstheme="minorBidi"/>
            <w:caps w:val="0"/>
            <w:noProof/>
            <w:sz w:val="22"/>
            <w:lang w:eastAsia="en-GB"/>
          </w:rPr>
          <w:tab/>
        </w:r>
        <w:r w:rsidR="00CC27EC" w:rsidRPr="001E292E">
          <w:rPr>
            <w:rStyle w:val="Hyperlink"/>
            <w:noProof/>
          </w:rPr>
          <w:t>PROCUREMENT TIMETABLE</w:t>
        </w:r>
        <w:r w:rsidR="00CC27EC">
          <w:rPr>
            <w:noProof/>
            <w:webHidden/>
          </w:rPr>
          <w:tab/>
        </w:r>
        <w:r w:rsidR="00CC27EC">
          <w:rPr>
            <w:noProof/>
            <w:webHidden/>
          </w:rPr>
          <w:fldChar w:fldCharType="begin"/>
        </w:r>
        <w:r w:rsidR="00CC27EC">
          <w:rPr>
            <w:noProof/>
            <w:webHidden/>
          </w:rPr>
          <w:instrText xml:space="preserve"> PAGEREF _Toc534897965 \h </w:instrText>
        </w:r>
        <w:r w:rsidR="00CC27EC">
          <w:rPr>
            <w:noProof/>
            <w:webHidden/>
          </w:rPr>
        </w:r>
        <w:r w:rsidR="00CC27EC">
          <w:rPr>
            <w:noProof/>
            <w:webHidden/>
          </w:rPr>
          <w:fldChar w:fldCharType="separate"/>
        </w:r>
        <w:r w:rsidR="00CC27EC">
          <w:rPr>
            <w:noProof/>
            <w:webHidden/>
          </w:rPr>
          <w:t>3</w:t>
        </w:r>
        <w:r w:rsidR="00CC27EC">
          <w:rPr>
            <w:noProof/>
            <w:webHidden/>
          </w:rPr>
          <w:fldChar w:fldCharType="end"/>
        </w:r>
      </w:hyperlink>
    </w:p>
    <w:p w14:paraId="4CA9B54D" w14:textId="3DED2BB1" w:rsidR="00CC27EC" w:rsidRDefault="00597BC6">
      <w:pPr>
        <w:pStyle w:val="TOC1"/>
        <w:rPr>
          <w:rFonts w:asciiTheme="minorHAnsi" w:eastAsiaTheme="minorEastAsia" w:hAnsiTheme="minorHAnsi" w:cstheme="minorBidi"/>
          <w:caps w:val="0"/>
          <w:noProof/>
          <w:sz w:val="22"/>
          <w:lang w:eastAsia="en-GB"/>
        </w:rPr>
      </w:pPr>
      <w:hyperlink w:anchor="_Toc534897966" w:history="1">
        <w:r w:rsidR="00CC27EC" w:rsidRPr="001E292E">
          <w:rPr>
            <w:rStyle w:val="Hyperlink"/>
            <w:noProof/>
          </w:rPr>
          <w:t>6.</w:t>
        </w:r>
        <w:r w:rsidR="00CC27EC">
          <w:rPr>
            <w:rFonts w:asciiTheme="minorHAnsi" w:eastAsiaTheme="minorEastAsia" w:hAnsiTheme="minorHAnsi" w:cstheme="minorBidi"/>
            <w:caps w:val="0"/>
            <w:noProof/>
            <w:sz w:val="22"/>
            <w:lang w:eastAsia="en-GB"/>
          </w:rPr>
          <w:tab/>
        </w:r>
        <w:r w:rsidR="00CC27EC" w:rsidRPr="001E292E">
          <w:rPr>
            <w:rStyle w:val="Hyperlink"/>
            <w:noProof/>
          </w:rPr>
          <w:t>questions AND CLARIFICATIONS</w:t>
        </w:r>
        <w:r w:rsidR="00CC27EC">
          <w:rPr>
            <w:noProof/>
            <w:webHidden/>
          </w:rPr>
          <w:tab/>
        </w:r>
        <w:r w:rsidR="00CC27EC">
          <w:rPr>
            <w:noProof/>
            <w:webHidden/>
          </w:rPr>
          <w:fldChar w:fldCharType="begin"/>
        </w:r>
        <w:r w:rsidR="00CC27EC">
          <w:rPr>
            <w:noProof/>
            <w:webHidden/>
          </w:rPr>
          <w:instrText xml:space="preserve"> PAGEREF _Toc534897966 \h </w:instrText>
        </w:r>
        <w:r w:rsidR="00CC27EC">
          <w:rPr>
            <w:noProof/>
            <w:webHidden/>
          </w:rPr>
        </w:r>
        <w:r w:rsidR="00CC27EC">
          <w:rPr>
            <w:noProof/>
            <w:webHidden/>
          </w:rPr>
          <w:fldChar w:fldCharType="separate"/>
        </w:r>
        <w:r w:rsidR="00CC27EC">
          <w:rPr>
            <w:noProof/>
            <w:webHidden/>
          </w:rPr>
          <w:t>4</w:t>
        </w:r>
        <w:r w:rsidR="00CC27EC">
          <w:rPr>
            <w:noProof/>
            <w:webHidden/>
          </w:rPr>
          <w:fldChar w:fldCharType="end"/>
        </w:r>
      </w:hyperlink>
    </w:p>
    <w:p w14:paraId="259D1A06" w14:textId="16864C2F" w:rsidR="00CC27EC" w:rsidRDefault="00597BC6">
      <w:pPr>
        <w:pStyle w:val="TOC1"/>
        <w:rPr>
          <w:rFonts w:asciiTheme="minorHAnsi" w:eastAsiaTheme="minorEastAsia" w:hAnsiTheme="minorHAnsi" w:cstheme="minorBidi"/>
          <w:caps w:val="0"/>
          <w:noProof/>
          <w:sz w:val="22"/>
          <w:lang w:eastAsia="en-GB"/>
        </w:rPr>
      </w:pPr>
      <w:hyperlink w:anchor="_Toc534897967" w:history="1">
        <w:r w:rsidR="00CC27EC" w:rsidRPr="001E292E">
          <w:rPr>
            <w:rStyle w:val="Hyperlink"/>
            <w:noProof/>
          </w:rPr>
          <w:t>7.</w:t>
        </w:r>
        <w:r w:rsidR="00CC27EC">
          <w:rPr>
            <w:rFonts w:asciiTheme="minorHAnsi" w:eastAsiaTheme="minorEastAsia" w:hAnsiTheme="minorHAnsi" w:cstheme="minorBidi"/>
            <w:caps w:val="0"/>
            <w:noProof/>
            <w:sz w:val="22"/>
            <w:lang w:eastAsia="en-GB"/>
          </w:rPr>
          <w:tab/>
        </w:r>
        <w:r w:rsidR="00CC27EC" w:rsidRPr="001E292E">
          <w:rPr>
            <w:rStyle w:val="Hyperlink"/>
            <w:noProof/>
          </w:rPr>
          <w:t>Price</w:t>
        </w:r>
        <w:r w:rsidR="00CC27EC">
          <w:rPr>
            <w:noProof/>
            <w:webHidden/>
          </w:rPr>
          <w:tab/>
        </w:r>
        <w:r w:rsidR="00CC27EC">
          <w:rPr>
            <w:noProof/>
            <w:webHidden/>
          </w:rPr>
          <w:fldChar w:fldCharType="begin"/>
        </w:r>
        <w:r w:rsidR="00CC27EC">
          <w:rPr>
            <w:noProof/>
            <w:webHidden/>
          </w:rPr>
          <w:instrText xml:space="preserve"> PAGEREF _Toc534897967 \h </w:instrText>
        </w:r>
        <w:r w:rsidR="00CC27EC">
          <w:rPr>
            <w:noProof/>
            <w:webHidden/>
          </w:rPr>
        </w:r>
        <w:r w:rsidR="00CC27EC">
          <w:rPr>
            <w:noProof/>
            <w:webHidden/>
          </w:rPr>
          <w:fldChar w:fldCharType="separate"/>
        </w:r>
        <w:r w:rsidR="00CC27EC">
          <w:rPr>
            <w:noProof/>
            <w:webHidden/>
          </w:rPr>
          <w:t>4</w:t>
        </w:r>
        <w:r w:rsidR="00CC27EC">
          <w:rPr>
            <w:noProof/>
            <w:webHidden/>
          </w:rPr>
          <w:fldChar w:fldCharType="end"/>
        </w:r>
      </w:hyperlink>
    </w:p>
    <w:p w14:paraId="16FC23DC" w14:textId="26739996" w:rsidR="00CC27EC" w:rsidRDefault="00597BC6">
      <w:pPr>
        <w:pStyle w:val="TOC1"/>
        <w:rPr>
          <w:rFonts w:asciiTheme="minorHAnsi" w:eastAsiaTheme="minorEastAsia" w:hAnsiTheme="minorHAnsi" w:cstheme="minorBidi"/>
          <w:caps w:val="0"/>
          <w:noProof/>
          <w:sz w:val="22"/>
          <w:lang w:eastAsia="en-GB"/>
        </w:rPr>
      </w:pPr>
      <w:hyperlink w:anchor="_Toc534897968" w:history="1">
        <w:r w:rsidR="00CC27EC" w:rsidRPr="001E292E">
          <w:rPr>
            <w:rStyle w:val="Hyperlink"/>
            <w:noProof/>
          </w:rPr>
          <w:t>8.</w:t>
        </w:r>
        <w:r w:rsidR="00CC27EC">
          <w:rPr>
            <w:rFonts w:asciiTheme="minorHAnsi" w:eastAsiaTheme="minorEastAsia" w:hAnsiTheme="minorHAnsi" w:cstheme="minorBidi"/>
            <w:caps w:val="0"/>
            <w:noProof/>
            <w:sz w:val="22"/>
            <w:lang w:eastAsia="en-GB"/>
          </w:rPr>
          <w:tab/>
        </w:r>
        <w:r w:rsidR="00CC27EC" w:rsidRPr="001E292E">
          <w:rPr>
            <w:rStyle w:val="Hyperlink"/>
            <w:noProof/>
          </w:rPr>
          <w:t>Submitting a tender</w:t>
        </w:r>
        <w:r w:rsidR="00CC27EC">
          <w:rPr>
            <w:noProof/>
            <w:webHidden/>
          </w:rPr>
          <w:tab/>
        </w:r>
        <w:r w:rsidR="00CC27EC">
          <w:rPr>
            <w:noProof/>
            <w:webHidden/>
          </w:rPr>
          <w:fldChar w:fldCharType="begin"/>
        </w:r>
        <w:r w:rsidR="00CC27EC">
          <w:rPr>
            <w:noProof/>
            <w:webHidden/>
          </w:rPr>
          <w:instrText xml:space="preserve"> PAGEREF _Toc534897968 \h </w:instrText>
        </w:r>
        <w:r w:rsidR="00CC27EC">
          <w:rPr>
            <w:noProof/>
            <w:webHidden/>
          </w:rPr>
        </w:r>
        <w:r w:rsidR="00CC27EC">
          <w:rPr>
            <w:noProof/>
            <w:webHidden/>
          </w:rPr>
          <w:fldChar w:fldCharType="separate"/>
        </w:r>
        <w:r w:rsidR="00CC27EC">
          <w:rPr>
            <w:noProof/>
            <w:webHidden/>
          </w:rPr>
          <w:t>5</w:t>
        </w:r>
        <w:r w:rsidR="00CC27EC">
          <w:rPr>
            <w:noProof/>
            <w:webHidden/>
          </w:rPr>
          <w:fldChar w:fldCharType="end"/>
        </w:r>
      </w:hyperlink>
    </w:p>
    <w:p w14:paraId="61F873EE" w14:textId="2C78A9EE" w:rsidR="00CC27EC" w:rsidRDefault="00597BC6">
      <w:pPr>
        <w:pStyle w:val="TOC1"/>
        <w:rPr>
          <w:rFonts w:asciiTheme="minorHAnsi" w:eastAsiaTheme="minorEastAsia" w:hAnsiTheme="minorHAnsi" w:cstheme="minorBidi"/>
          <w:caps w:val="0"/>
          <w:noProof/>
          <w:sz w:val="22"/>
          <w:lang w:eastAsia="en-GB"/>
        </w:rPr>
      </w:pPr>
      <w:hyperlink w:anchor="_Toc534897969" w:history="1">
        <w:r w:rsidR="00CC27EC" w:rsidRPr="001E292E">
          <w:rPr>
            <w:rStyle w:val="Hyperlink"/>
            <w:noProof/>
          </w:rPr>
          <w:t>9.</w:t>
        </w:r>
        <w:r w:rsidR="00CC27EC">
          <w:rPr>
            <w:rFonts w:asciiTheme="minorHAnsi" w:eastAsiaTheme="minorEastAsia" w:hAnsiTheme="minorHAnsi" w:cstheme="minorBidi"/>
            <w:caps w:val="0"/>
            <w:noProof/>
            <w:sz w:val="22"/>
            <w:lang w:eastAsia="en-GB"/>
          </w:rPr>
          <w:tab/>
        </w:r>
        <w:r w:rsidR="00CC27EC" w:rsidRPr="001E292E">
          <w:rPr>
            <w:rStyle w:val="Hyperlink"/>
            <w:noProof/>
          </w:rPr>
          <w:t>CONTRACTING ARRANGEMENTS (Sub-contractORS AND GROUPS OF ECONOMIC OPERATORS)</w:t>
        </w:r>
        <w:r w:rsidR="00CC27EC">
          <w:rPr>
            <w:noProof/>
            <w:webHidden/>
          </w:rPr>
          <w:tab/>
        </w:r>
        <w:r w:rsidR="00CC27EC">
          <w:rPr>
            <w:noProof/>
            <w:webHidden/>
          </w:rPr>
          <w:fldChar w:fldCharType="begin"/>
        </w:r>
        <w:r w:rsidR="00CC27EC">
          <w:rPr>
            <w:noProof/>
            <w:webHidden/>
          </w:rPr>
          <w:instrText xml:space="preserve"> PAGEREF _Toc534897969 \h </w:instrText>
        </w:r>
        <w:r w:rsidR="00CC27EC">
          <w:rPr>
            <w:noProof/>
            <w:webHidden/>
          </w:rPr>
        </w:r>
        <w:r w:rsidR="00CC27EC">
          <w:rPr>
            <w:noProof/>
            <w:webHidden/>
          </w:rPr>
          <w:fldChar w:fldCharType="separate"/>
        </w:r>
        <w:r w:rsidR="00CC27EC">
          <w:rPr>
            <w:noProof/>
            <w:webHidden/>
          </w:rPr>
          <w:t>6</w:t>
        </w:r>
        <w:r w:rsidR="00CC27EC">
          <w:rPr>
            <w:noProof/>
            <w:webHidden/>
          </w:rPr>
          <w:fldChar w:fldCharType="end"/>
        </w:r>
      </w:hyperlink>
    </w:p>
    <w:p w14:paraId="13845678" w14:textId="6E11AA83" w:rsidR="00CC27EC" w:rsidRDefault="00597BC6">
      <w:pPr>
        <w:pStyle w:val="TOC1"/>
        <w:rPr>
          <w:rFonts w:asciiTheme="minorHAnsi" w:eastAsiaTheme="minorEastAsia" w:hAnsiTheme="minorHAnsi" w:cstheme="minorBidi"/>
          <w:caps w:val="0"/>
          <w:noProof/>
          <w:sz w:val="22"/>
          <w:lang w:eastAsia="en-GB"/>
        </w:rPr>
      </w:pPr>
      <w:hyperlink w:anchor="_Toc534897970" w:history="1">
        <w:r w:rsidR="00CC27EC" w:rsidRPr="001E292E">
          <w:rPr>
            <w:rStyle w:val="Hyperlink"/>
            <w:noProof/>
          </w:rPr>
          <w:t>10.</w:t>
        </w:r>
        <w:r w:rsidR="00CC27EC">
          <w:rPr>
            <w:rFonts w:asciiTheme="minorHAnsi" w:eastAsiaTheme="minorEastAsia" w:hAnsiTheme="minorHAnsi" w:cstheme="minorBidi"/>
            <w:caps w:val="0"/>
            <w:noProof/>
            <w:sz w:val="22"/>
            <w:lang w:eastAsia="en-GB"/>
          </w:rPr>
          <w:tab/>
        </w:r>
        <w:r w:rsidR="00CC27EC" w:rsidRPr="001E292E">
          <w:rPr>
            <w:rStyle w:val="Hyperlink"/>
            <w:noProof/>
          </w:rPr>
          <w:t>Procurement Contact</w:t>
        </w:r>
        <w:r w:rsidR="00CC27EC">
          <w:rPr>
            <w:noProof/>
            <w:webHidden/>
          </w:rPr>
          <w:tab/>
        </w:r>
        <w:r w:rsidR="00CC27EC">
          <w:rPr>
            <w:noProof/>
            <w:webHidden/>
          </w:rPr>
          <w:fldChar w:fldCharType="begin"/>
        </w:r>
        <w:r w:rsidR="00CC27EC">
          <w:rPr>
            <w:noProof/>
            <w:webHidden/>
          </w:rPr>
          <w:instrText xml:space="preserve"> PAGEREF _Toc534897970 \h </w:instrText>
        </w:r>
        <w:r w:rsidR="00CC27EC">
          <w:rPr>
            <w:noProof/>
            <w:webHidden/>
          </w:rPr>
        </w:r>
        <w:r w:rsidR="00CC27EC">
          <w:rPr>
            <w:noProof/>
            <w:webHidden/>
          </w:rPr>
          <w:fldChar w:fldCharType="separate"/>
        </w:r>
        <w:r w:rsidR="00CC27EC">
          <w:rPr>
            <w:noProof/>
            <w:webHidden/>
          </w:rPr>
          <w:t>7</w:t>
        </w:r>
        <w:r w:rsidR="00CC27EC">
          <w:rPr>
            <w:noProof/>
            <w:webHidden/>
          </w:rPr>
          <w:fldChar w:fldCharType="end"/>
        </w:r>
      </w:hyperlink>
    </w:p>
    <w:p w14:paraId="56F5E760" w14:textId="7C6FC4B4" w:rsidR="00CC27EC" w:rsidRDefault="00597BC6">
      <w:pPr>
        <w:pStyle w:val="TOC1"/>
        <w:rPr>
          <w:rFonts w:asciiTheme="minorHAnsi" w:eastAsiaTheme="minorEastAsia" w:hAnsiTheme="minorHAnsi" w:cstheme="minorBidi"/>
          <w:caps w:val="0"/>
          <w:noProof/>
          <w:sz w:val="22"/>
          <w:lang w:eastAsia="en-GB"/>
        </w:rPr>
      </w:pPr>
      <w:hyperlink w:anchor="_Toc534897971" w:history="1">
        <w:r w:rsidR="00CC27EC" w:rsidRPr="001E292E">
          <w:rPr>
            <w:rStyle w:val="Hyperlink"/>
            <w:noProof/>
          </w:rPr>
          <w:t>11.</w:t>
        </w:r>
        <w:r w:rsidR="00CC27EC">
          <w:rPr>
            <w:rFonts w:asciiTheme="minorHAnsi" w:eastAsiaTheme="minorEastAsia" w:hAnsiTheme="minorHAnsi" w:cstheme="minorBidi"/>
            <w:caps w:val="0"/>
            <w:noProof/>
            <w:sz w:val="22"/>
            <w:lang w:eastAsia="en-GB"/>
          </w:rPr>
          <w:tab/>
        </w:r>
        <w:r w:rsidR="00CC27EC" w:rsidRPr="001E292E">
          <w:rPr>
            <w:rStyle w:val="Hyperlink"/>
            <w:noProof/>
          </w:rPr>
          <w:t>glossary</w:t>
        </w:r>
        <w:r w:rsidR="00CC27EC">
          <w:rPr>
            <w:noProof/>
            <w:webHidden/>
          </w:rPr>
          <w:tab/>
        </w:r>
        <w:r w:rsidR="00CC27EC">
          <w:rPr>
            <w:noProof/>
            <w:webHidden/>
          </w:rPr>
          <w:fldChar w:fldCharType="begin"/>
        </w:r>
        <w:r w:rsidR="00CC27EC">
          <w:rPr>
            <w:noProof/>
            <w:webHidden/>
          </w:rPr>
          <w:instrText xml:space="preserve"> PAGEREF _Toc534897971 \h </w:instrText>
        </w:r>
        <w:r w:rsidR="00CC27EC">
          <w:rPr>
            <w:noProof/>
            <w:webHidden/>
          </w:rPr>
        </w:r>
        <w:r w:rsidR="00CC27EC">
          <w:rPr>
            <w:noProof/>
            <w:webHidden/>
          </w:rPr>
          <w:fldChar w:fldCharType="separate"/>
        </w:r>
        <w:r w:rsidR="00CC27EC">
          <w:rPr>
            <w:noProof/>
            <w:webHidden/>
          </w:rPr>
          <w:t>7</w:t>
        </w:r>
        <w:r w:rsidR="00CC27EC">
          <w:rPr>
            <w:noProof/>
            <w:webHidden/>
          </w:rPr>
          <w:fldChar w:fldCharType="end"/>
        </w:r>
      </w:hyperlink>
    </w:p>
    <w:p w14:paraId="07444850" w14:textId="36976FA6" w:rsidR="00835BD7" w:rsidRDefault="00835BD7" w:rsidP="00A91B0D">
      <w:pPr>
        <w:rPr>
          <w:rFonts w:ascii="Calibri" w:hAnsi="Calibri" w:cs="Times New Roman"/>
          <w:caps/>
          <w:sz w:val="22"/>
          <w:szCs w:val="20"/>
        </w:rPr>
      </w:pPr>
      <w:r>
        <w:rPr>
          <w:rFonts w:ascii="Calibri" w:hAnsi="Calibri" w:cs="Times New Roman"/>
          <w:caps/>
          <w:sz w:val="22"/>
          <w:szCs w:val="20"/>
        </w:rPr>
        <w:fldChar w:fldCharType="end"/>
      </w:r>
    </w:p>
    <w:p w14:paraId="41C23169" w14:textId="3D0526F1" w:rsidR="00A91B0D" w:rsidRDefault="00A91B0D" w:rsidP="00A91B0D">
      <w:pPr>
        <w:rPr>
          <w:rFonts w:ascii="Calibri" w:hAnsi="Calibri" w:cs="Times New Roman"/>
          <w:caps/>
          <w:sz w:val="22"/>
          <w:szCs w:val="20"/>
        </w:rPr>
      </w:pPr>
    </w:p>
    <w:p w14:paraId="09B3D102" w14:textId="01CC462D" w:rsidR="00A91B0D" w:rsidRDefault="00A91B0D" w:rsidP="00A91B0D">
      <w:pPr>
        <w:rPr>
          <w:rFonts w:ascii="Calibri" w:hAnsi="Calibri" w:cs="Times New Roman"/>
          <w:caps/>
          <w:sz w:val="22"/>
          <w:szCs w:val="20"/>
        </w:rPr>
      </w:pPr>
    </w:p>
    <w:p w14:paraId="14ACEBD1" w14:textId="77777777" w:rsidR="00CC27EC" w:rsidRDefault="00CC27EC" w:rsidP="00A91B0D">
      <w:pPr>
        <w:rPr>
          <w:rFonts w:ascii="Calibri" w:hAnsi="Calibri" w:cs="Times New Roman"/>
          <w:caps/>
          <w:sz w:val="22"/>
          <w:szCs w:val="20"/>
        </w:rPr>
      </w:pPr>
    </w:p>
    <w:p w14:paraId="1B6F7CAB" w14:textId="349FB4D8" w:rsidR="00A91B0D" w:rsidRDefault="00A91B0D" w:rsidP="00A91B0D">
      <w:pPr>
        <w:rPr>
          <w:rFonts w:ascii="Calibri" w:hAnsi="Calibri" w:cs="Times New Roman"/>
          <w:caps/>
          <w:sz w:val="22"/>
          <w:szCs w:val="20"/>
        </w:rPr>
      </w:pPr>
    </w:p>
    <w:p w14:paraId="6DE9A4EC" w14:textId="17E73C0E" w:rsidR="00A91B0D" w:rsidRDefault="00A91B0D" w:rsidP="00A91B0D">
      <w:pPr>
        <w:rPr>
          <w:rFonts w:ascii="Calibri" w:hAnsi="Calibri" w:cs="Times New Roman"/>
          <w:caps/>
          <w:sz w:val="22"/>
          <w:szCs w:val="20"/>
        </w:rPr>
      </w:pPr>
    </w:p>
    <w:p w14:paraId="1CF7B231" w14:textId="642EF573" w:rsidR="00A91B0D" w:rsidRDefault="00A91B0D" w:rsidP="00A91B0D">
      <w:pPr>
        <w:rPr>
          <w:rFonts w:ascii="Calibri" w:hAnsi="Calibri" w:cs="Times New Roman"/>
          <w:caps/>
          <w:sz w:val="22"/>
          <w:szCs w:val="20"/>
        </w:rPr>
      </w:pPr>
    </w:p>
    <w:p w14:paraId="788B29DF" w14:textId="13CF2719" w:rsidR="00A91B0D" w:rsidRDefault="00A91B0D" w:rsidP="00A91B0D">
      <w:pPr>
        <w:rPr>
          <w:rFonts w:ascii="Calibri" w:hAnsi="Calibri" w:cs="Times New Roman"/>
          <w:caps/>
          <w:sz w:val="22"/>
          <w:szCs w:val="20"/>
        </w:rPr>
      </w:pPr>
    </w:p>
    <w:p w14:paraId="0D1B96BE" w14:textId="79BD758B" w:rsidR="00A91B0D" w:rsidRDefault="00A91B0D" w:rsidP="00A91B0D">
      <w:pPr>
        <w:rPr>
          <w:rFonts w:ascii="Calibri" w:hAnsi="Calibri" w:cs="Times New Roman"/>
          <w:caps/>
          <w:sz w:val="22"/>
          <w:szCs w:val="20"/>
        </w:rPr>
      </w:pPr>
    </w:p>
    <w:p w14:paraId="74534B0E" w14:textId="535D6350" w:rsidR="00A91B0D" w:rsidRDefault="00A91B0D" w:rsidP="00A91B0D">
      <w:pPr>
        <w:rPr>
          <w:rFonts w:ascii="Calibri" w:hAnsi="Calibri" w:cs="Times New Roman"/>
          <w:caps/>
          <w:sz w:val="22"/>
          <w:szCs w:val="20"/>
        </w:rPr>
      </w:pPr>
    </w:p>
    <w:p w14:paraId="40B7E02F" w14:textId="517DADEB" w:rsidR="00A91B0D" w:rsidRDefault="00A91B0D" w:rsidP="00A91B0D">
      <w:pPr>
        <w:rPr>
          <w:rFonts w:ascii="Calibri" w:hAnsi="Calibri" w:cs="Times New Roman"/>
          <w:caps/>
          <w:sz w:val="22"/>
          <w:szCs w:val="20"/>
        </w:rPr>
      </w:pPr>
    </w:p>
    <w:p w14:paraId="5D8603C2" w14:textId="54A40668" w:rsidR="00A91B0D" w:rsidRDefault="00A91B0D" w:rsidP="00A91B0D">
      <w:pPr>
        <w:rPr>
          <w:rFonts w:ascii="Calibri" w:hAnsi="Calibri" w:cs="Times New Roman"/>
          <w:caps/>
          <w:sz w:val="22"/>
          <w:szCs w:val="20"/>
        </w:rPr>
      </w:pPr>
    </w:p>
    <w:p w14:paraId="33969395" w14:textId="5DF4A644" w:rsidR="00A91B0D" w:rsidRDefault="00A91B0D" w:rsidP="00A91B0D">
      <w:pPr>
        <w:rPr>
          <w:rFonts w:ascii="Calibri" w:hAnsi="Calibri" w:cs="Times New Roman"/>
          <w:caps/>
          <w:sz w:val="22"/>
          <w:szCs w:val="20"/>
        </w:rPr>
      </w:pPr>
    </w:p>
    <w:p w14:paraId="0D9B5FAA" w14:textId="29635889" w:rsidR="00A91B0D" w:rsidRDefault="00A91B0D" w:rsidP="00A91B0D">
      <w:pPr>
        <w:rPr>
          <w:rFonts w:ascii="Calibri" w:hAnsi="Calibri" w:cs="Times New Roman"/>
          <w:caps/>
          <w:sz w:val="22"/>
          <w:szCs w:val="20"/>
        </w:rPr>
      </w:pPr>
    </w:p>
    <w:p w14:paraId="63485496" w14:textId="22EA858F" w:rsidR="00A91B0D" w:rsidRDefault="00A91B0D" w:rsidP="00A91B0D">
      <w:pPr>
        <w:rPr>
          <w:rFonts w:ascii="Calibri" w:hAnsi="Calibri" w:cs="Times New Roman"/>
          <w:caps/>
          <w:sz w:val="22"/>
          <w:szCs w:val="20"/>
        </w:rPr>
      </w:pPr>
    </w:p>
    <w:p w14:paraId="1A127E0B" w14:textId="02665923" w:rsidR="00A91B0D" w:rsidRDefault="00A91B0D" w:rsidP="00A91B0D">
      <w:pPr>
        <w:rPr>
          <w:rFonts w:ascii="Calibri" w:hAnsi="Calibri" w:cs="Times New Roman"/>
          <w:caps/>
          <w:sz w:val="22"/>
          <w:szCs w:val="20"/>
        </w:rPr>
      </w:pPr>
    </w:p>
    <w:p w14:paraId="2B764E4F" w14:textId="6BCB2ED5" w:rsidR="00A91B0D" w:rsidRDefault="00A91B0D" w:rsidP="00A91B0D">
      <w:pPr>
        <w:rPr>
          <w:rFonts w:ascii="Calibri" w:hAnsi="Calibri" w:cs="Times New Roman"/>
          <w:caps/>
          <w:sz w:val="22"/>
          <w:szCs w:val="20"/>
        </w:rPr>
      </w:pPr>
    </w:p>
    <w:p w14:paraId="6CD09F7B" w14:textId="7DAC993F" w:rsidR="00A91B0D" w:rsidRDefault="00A91B0D" w:rsidP="00A91B0D">
      <w:pPr>
        <w:rPr>
          <w:rFonts w:ascii="Calibri" w:hAnsi="Calibri" w:cs="Times New Roman"/>
          <w:caps/>
          <w:sz w:val="22"/>
          <w:szCs w:val="20"/>
        </w:rPr>
      </w:pPr>
    </w:p>
    <w:p w14:paraId="618003D5" w14:textId="2E1BA0C0" w:rsidR="00A91B0D" w:rsidRDefault="00A91B0D" w:rsidP="00A91B0D">
      <w:pPr>
        <w:rPr>
          <w:rFonts w:ascii="Calibri" w:hAnsi="Calibri" w:cs="Times New Roman"/>
          <w:caps/>
          <w:sz w:val="22"/>
          <w:szCs w:val="20"/>
        </w:rPr>
      </w:pPr>
    </w:p>
    <w:p w14:paraId="74F2A97B" w14:textId="77777777" w:rsidR="00A91B0D" w:rsidRPr="001E44B4" w:rsidRDefault="00A91B0D" w:rsidP="00A91B0D">
      <w:pPr>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34897961"/>
      <w:r w:rsidRPr="00914AEC">
        <w:lastRenderedPageBreak/>
        <w:t>Introduction</w:t>
      </w:r>
      <w:bookmarkEnd w:id="1"/>
    </w:p>
    <w:p w14:paraId="64DE974D" w14:textId="72CB09CC"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A91B0D">
        <w:t>single Supplier Contract for</w:t>
      </w:r>
      <w:r w:rsidR="00A91B0D">
        <w:t xml:space="preserve"> Security and Environment testing of D365 and Interfaces</w:t>
      </w:r>
      <w:r>
        <w:t>.</w:t>
      </w:r>
    </w:p>
    <w:p w14:paraId="45EAA15A" w14:textId="3BBB38EA" w:rsidR="00835BD7" w:rsidRDefault="00835BD7" w:rsidP="00F55BB5">
      <w:pPr>
        <w:pStyle w:val="Heading2"/>
      </w:pPr>
      <w:r>
        <w:t>When we use “The Authority”, “we”, “us”, “our” or “DH</w:t>
      </w:r>
      <w:r w:rsidR="00CC27EC">
        <w:t>SC</w:t>
      </w:r>
      <w:r>
        <w:t>” we mean the Department of Health</w:t>
      </w:r>
      <w:r w:rsidR="00CC27EC">
        <w:t xml:space="preserve"> and Social Care</w:t>
      </w:r>
      <w:r>
        <w:t xml:space="preserve"> on behalf of the </w:t>
      </w:r>
      <w:r w:rsidR="00F55BB5">
        <w:t>Secretary of State for Health</w:t>
      </w:r>
      <w:r w:rsidR="00CC27EC">
        <w:t xml:space="preserve"> and Social Care</w:t>
      </w:r>
      <w:r w:rsidR="00F55BB5">
        <w:t xml:space="preserve">.  </w:t>
      </w:r>
      <w:r>
        <w:t>When we use “you” or “your” we mean the organisation you represent as a Potential Provider.</w:t>
      </w:r>
    </w:p>
    <w:p w14:paraId="553CCD8A" w14:textId="7005274B" w:rsidR="00835BD7" w:rsidRPr="00CC27EC" w:rsidRDefault="00835BD7" w:rsidP="00835BD7">
      <w:pPr>
        <w:pStyle w:val="Heading2"/>
      </w:pPr>
      <w:r w:rsidRPr="00CC27EC">
        <w:t xml:space="preserve">The Contract will be for an initial </w:t>
      </w:r>
      <w:r w:rsidR="00CC27EC" w:rsidRPr="00CC27EC">
        <w:t>58 days</w:t>
      </w:r>
      <w:r w:rsidRPr="00CC27EC">
        <w:t xml:space="preserve"> </w:t>
      </w:r>
      <w:r w:rsidR="00AF481E">
        <w:t xml:space="preserve">which could be spread over a period of implementation (up to 2021) </w:t>
      </w:r>
      <w:r w:rsidRPr="00CC27EC">
        <w:t xml:space="preserve">with </w:t>
      </w:r>
      <w:r w:rsidR="00CC27EC">
        <w:t>an option</w:t>
      </w:r>
      <w:r w:rsidRPr="00CC27EC">
        <w:t xml:space="preserve"> to extend</w:t>
      </w:r>
      <w:r w:rsidR="00CC27EC" w:rsidRPr="00CC27EC">
        <w:t xml:space="preserve"> (</w:t>
      </w:r>
      <w:r w:rsidR="004A2DA1" w:rsidRPr="00CC27EC">
        <w:t>subject to review and internal approval</w:t>
      </w:r>
      <w:r w:rsidR="00CC27EC" w:rsidRPr="00CC27EC">
        <w:t>)</w:t>
      </w:r>
      <w:r w:rsidRPr="00CC27EC">
        <w:t>.</w:t>
      </w:r>
    </w:p>
    <w:p w14:paraId="18A60ACA" w14:textId="02C486B5" w:rsidR="00835BD7" w:rsidRPr="00CC27EC" w:rsidRDefault="00835BD7" w:rsidP="00835BD7">
      <w:pPr>
        <w:pStyle w:val="Heading2"/>
      </w:pPr>
      <w:r w:rsidRPr="00CC27EC">
        <w:t xml:space="preserve">The </w:t>
      </w:r>
      <w:r w:rsidR="00CC27EC">
        <w:t xml:space="preserve">maximum value of the Contract is </w:t>
      </w:r>
      <w:r w:rsidR="00384917">
        <w:t>£110,000</w:t>
      </w:r>
      <w:r w:rsidR="00CC27EC" w:rsidRPr="00CC27EC">
        <w:t xml:space="preserve"> (excluding VAT).</w:t>
      </w:r>
    </w:p>
    <w:p w14:paraId="34F8B130" w14:textId="3CEF4733" w:rsidR="00835BD7" w:rsidRPr="00DC3AFD" w:rsidRDefault="00835BD7" w:rsidP="004A2DA1">
      <w:pPr>
        <w:pStyle w:val="Heading2"/>
      </w:pPr>
      <w:r w:rsidRPr="002D01C9">
        <w:t xml:space="preserve">The Public Contracts Regulations 2015 regulate how we procure. </w:t>
      </w:r>
      <w:r>
        <w:t xml:space="preserve">This procurement will </w:t>
      </w:r>
      <w:r w:rsidR="004A2DA1">
        <w:t xml:space="preserve">be </w:t>
      </w:r>
      <w:r w:rsidR="00D40471">
        <w:t>via</w:t>
      </w:r>
      <w:r w:rsidR="004A2DA1">
        <w:t xml:space="preserve"> the </w:t>
      </w:r>
      <w:r w:rsidR="00D40471">
        <w:t>sub-OJEU Open Procedure</w:t>
      </w:r>
      <w:r>
        <w:rPr>
          <w:b/>
        </w:rPr>
        <w:t>.</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DCEC4CB" w14:textId="77777777" w:rsidR="00835BD7" w:rsidRPr="00914AEC" w:rsidRDefault="00835BD7" w:rsidP="00835BD7">
      <w:pPr>
        <w:pStyle w:val="Heading1"/>
      </w:pPr>
      <w:bookmarkStart w:id="3" w:name="_Ref284694562"/>
      <w:bookmarkStart w:id="4" w:name="_Toc534897962"/>
      <w:r w:rsidRPr="00914AEC">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866"/>
        <w:gridCol w:w="4879"/>
      </w:tblGrid>
      <w:tr w:rsidR="00B622C1" w14:paraId="7938A5A8" w14:textId="77777777" w:rsidTr="00765614">
        <w:trPr>
          <w:trHeight w:val="393"/>
        </w:trPr>
        <w:tc>
          <w:tcPr>
            <w:tcW w:w="9745"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765614">
        <w:tc>
          <w:tcPr>
            <w:tcW w:w="4866"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879"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765614">
        <w:tc>
          <w:tcPr>
            <w:tcW w:w="4866"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879"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765614">
        <w:tc>
          <w:tcPr>
            <w:tcW w:w="4866" w:type="dxa"/>
          </w:tcPr>
          <w:p w14:paraId="5ED27859" w14:textId="2191933D" w:rsidR="00F55BB5" w:rsidRPr="00F55BB5" w:rsidRDefault="00F55BB5" w:rsidP="00F55BB5">
            <w:pPr>
              <w:pStyle w:val="Bullet"/>
              <w:numPr>
                <w:ilvl w:val="0"/>
                <w:numId w:val="0"/>
              </w:numPr>
              <w:rPr>
                <w:b/>
                <w:bCs/>
              </w:rPr>
            </w:pPr>
            <w:r w:rsidRPr="00835BD7">
              <w:rPr>
                <w:rStyle w:val="Strong"/>
              </w:rPr>
              <w:lastRenderedPageBreak/>
              <w:t>Attachment 3 – Service Description</w:t>
            </w:r>
          </w:p>
        </w:tc>
        <w:tc>
          <w:tcPr>
            <w:tcW w:w="4879"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765614">
        <w:tc>
          <w:tcPr>
            <w:tcW w:w="4866" w:type="dxa"/>
          </w:tcPr>
          <w:p w14:paraId="2CABC038" w14:textId="1EF92512" w:rsidR="00F55BB5" w:rsidRPr="00F55BB5" w:rsidRDefault="00F55BB5" w:rsidP="00F55BB5">
            <w:r w:rsidRPr="00835BD7">
              <w:rPr>
                <w:rStyle w:val="Strong"/>
              </w:rPr>
              <w:t xml:space="preserve">Attachment 4 – </w:t>
            </w:r>
            <w:r w:rsidR="00D40471">
              <w:rPr>
                <w:rStyle w:val="Strong"/>
              </w:rPr>
              <w:t>Short Form Agreement for Services</w:t>
            </w:r>
          </w:p>
        </w:tc>
        <w:tc>
          <w:tcPr>
            <w:tcW w:w="4879"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765614">
        <w:tc>
          <w:tcPr>
            <w:tcW w:w="4866"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879"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765614">
        <w:tc>
          <w:tcPr>
            <w:tcW w:w="9745"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D40471" w14:paraId="0ABB69EF" w14:textId="77777777" w:rsidTr="00765614">
        <w:tc>
          <w:tcPr>
            <w:tcW w:w="4866" w:type="dxa"/>
          </w:tcPr>
          <w:p w14:paraId="2CA7D968" w14:textId="7E9CB85D" w:rsidR="00D40471" w:rsidRDefault="00D40471" w:rsidP="00B622C1">
            <w:pPr>
              <w:pStyle w:val="Bullet"/>
              <w:numPr>
                <w:ilvl w:val="0"/>
                <w:numId w:val="0"/>
              </w:numPr>
              <w:rPr>
                <w:rStyle w:val="Strong"/>
              </w:rPr>
            </w:pPr>
            <w:r>
              <w:rPr>
                <w:rStyle w:val="Strong"/>
              </w:rPr>
              <w:t>Attachment 6 – Selection</w:t>
            </w:r>
            <w:r w:rsidRPr="00835BD7">
              <w:rPr>
                <w:rStyle w:val="Strong"/>
              </w:rPr>
              <w:t xml:space="preserve"> Questionnaire</w:t>
            </w:r>
          </w:p>
        </w:tc>
        <w:tc>
          <w:tcPr>
            <w:tcW w:w="4879" w:type="dxa"/>
          </w:tcPr>
          <w:p w14:paraId="3E4C2886" w14:textId="65F034A5" w:rsidR="00D40471" w:rsidRPr="001F70E1" w:rsidRDefault="00D40471" w:rsidP="00555DB7">
            <w:pPr>
              <w:pStyle w:val="Bullet"/>
              <w:numPr>
                <w:ilvl w:val="0"/>
                <w:numId w:val="0"/>
              </w:numPr>
            </w:pPr>
            <w:r>
              <w:t>To be completed directly onto the Bravo system.</w:t>
            </w:r>
          </w:p>
        </w:tc>
      </w:tr>
      <w:tr w:rsidR="00F55BB5" w14:paraId="0DF02673" w14:textId="77777777" w:rsidTr="00765614">
        <w:tc>
          <w:tcPr>
            <w:tcW w:w="4866" w:type="dxa"/>
          </w:tcPr>
          <w:p w14:paraId="40B8596B" w14:textId="6593D278" w:rsidR="00F55BB5" w:rsidRPr="00B622C1" w:rsidRDefault="00765614" w:rsidP="00B622C1">
            <w:pPr>
              <w:pStyle w:val="Bullet"/>
              <w:numPr>
                <w:ilvl w:val="0"/>
                <w:numId w:val="0"/>
              </w:numPr>
              <w:rPr>
                <w:b/>
                <w:bCs/>
              </w:rPr>
            </w:pPr>
            <w:r>
              <w:rPr>
                <w:rStyle w:val="Strong"/>
              </w:rPr>
              <w:t xml:space="preserve">Attachment </w:t>
            </w:r>
            <w:r w:rsidR="00D40471">
              <w:rPr>
                <w:rStyle w:val="Strong"/>
              </w:rPr>
              <w:t>7</w:t>
            </w:r>
            <w:r w:rsidR="00F55BB5" w:rsidRPr="00835BD7">
              <w:rPr>
                <w:rStyle w:val="Strong"/>
              </w:rPr>
              <w:t xml:space="preserve"> – Award Questionnaire</w:t>
            </w:r>
          </w:p>
        </w:tc>
        <w:tc>
          <w:tcPr>
            <w:tcW w:w="4879"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765614">
        <w:tc>
          <w:tcPr>
            <w:tcW w:w="4866" w:type="dxa"/>
          </w:tcPr>
          <w:p w14:paraId="50FFC964" w14:textId="01E9C0F4" w:rsidR="00F55BB5" w:rsidRPr="00B622C1" w:rsidRDefault="00D40471" w:rsidP="00B622C1">
            <w:pPr>
              <w:pStyle w:val="Bullet"/>
              <w:numPr>
                <w:ilvl w:val="0"/>
                <w:numId w:val="0"/>
              </w:numPr>
              <w:rPr>
                <w:b/>
                <w:bCs/>
              </w:rPr>
            </w:pPr>
            <w:r>
              <w:rPr>
                <w:rStyle w:val="Strong"/>
              </w:rPr>
              <w:t>Attachment 8</w:t>
            </w:r>
            <w:r w:rsidR="00F55BB5" w:rsidRPr="00835BD7">
              <w:rPr>
                <w:rStyle w:val="Strong"/>
              </w:rPr>
              <w:t xml:space="preserve"> – Pricing Schedule</w:t>
            </w:r>
          </w:p>
        </w:tc>
        <w:tc>
          <w:tcPr>
            <w:tcW w:w="4879"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34897963"/>
      <w:r>
        <w:t>The Contract</w:t>
      </w:r>
      <w:bookmarkEnd w:id="5"/>
    </w:p>
    <w:p w14:paraId="7FA2F5D5" w14:textId="31239B65" w:rsidR="00835BD7" w:rsidRDefault="00835BD7" w:rsidP="00835BD7">
      <w:pPr>
        <w:pStyle w:val="Heading2"/>
      </w:pPr>
      <w:r>
        <w:t>This Procurement will result in the award of the Contract.  Once the Contract commences, the Potential Provider will become the Supplier.</w:t>
      </w:r>
    </w:p>
    <w:p w14:paraId="76FBB85B" w14:textId="3BFA9681" w:rsidR="00835BD7" w:rsidRDefault="00835BD7" w:rsidP="00765614">
      <w:pPr>
        <w:pStyle w:val="Heading2"/>
      </w:pPr>
      <w:r w:rsidRPr="00DC3AFD">
        <w:t>This Contract is being offered under</w:t>
      </w:r>
      <w:r w:rsidR="00B622C1">
        <w:t xml:space="preserve"> the</w:t>
      </w:r>
      <w:r w:rsidRPr="00DC3AFD">
        <w:t xml:space="preserve"> </w:t>
      </w:r>
      <w:r w:rsidRPr="00765614">
        <w:t xml:space="preserve">Conditions of Contract for the provision of Services (including the Schedules) available at </w:t>
      </w:r>
      <w:r w:rsidR="00B622C1" w:rsidRPr="00765614">
        <w:rPr>
          <w:i/>
        </w:rPr>
        <w:t xml:space="preserve">Attachment 4 – </w:t>
      </w:r>
      <w:r w:rsidR="00D40471">
        <w:rPr>
          <w:i/>
        </w:rPr>
        <w:t>Short Form Agreement for Services.</w:t>
      </w:r>
    </w:p>
    <w:p w14:paraId="31DC80E2" w14:textId="618C4A62" w:rsidR="00835BD7" w:rsidRDefault="00835BD7" w:rsidP="00835BD7">
      <w:pPr>
        <w:pStyle w:val="Heading1"/>
      </w:pPr>
      <w:bookmarkStart w:id="6" w:name="_Toc534897964"/>
      <w:r>
        <w:t>Requirements</w:t>
      </w:r>
      <w:bookmarkEnd w:id="6"/>
      <w:r>
        <w:t xml:space="preserve"> </w:t>
      </w:r>
    </w:p>
    <w:p w14:paraId="7349214F" w14:textId="47909D94" w:rsidR="00835BD7" w:rsidRPr="00765614" w:rsidRDefault="00835BD7" w:rsidP="00B622C1">
      <w:pPr>
        <w:pStyle w:val="Heading2"/>
      </w:pPr>
      <w:r w:rsidRPr="000C258B">
        <w:t xml:space="preserve">A detailed description of the </w:t>
      </w:r>
      <w:r w:rsidRPr="00765614">
        <w:t>Services that a S</w:t>
      </w:r>
      <w:r w:rsidRPr="000C258B">
        <w:t xml:space="preserve">upplier will be required to supply is set out at </w:t>
      </w:r>
      <w:r w:rsidR="00B622C1" w:rsidRPr="00765614">
        <w:rPr>
          <w:i/>
        </w:rPr>
        <w:t>Attachment 3 – Service Description</w:t>
      </w:r>
      <w:r w:rsidRPr="00765614">
        <w:t xml:space="preserve">. </w:t>
      </w:r>
    </w:p>
    <w:p w14:paraId="4DEBFE12" w14:textId="6E718900" w:rsidR="00835BD7" w:rsidRPr="00765614" w:rsidRDefault="00835BD7" w:rsidP="00765614">
      <w:pPr>
        <w:pStyle w:val="Heading2"/>
      </w:pPr>
      <w:r w:rsidRPr="00765614">
        <w:t>The Services c</w:t>
      </w:r>
      <w:r w:rsidR="00765614" w:rsidRPr="00765614">
        <w:t xml:space="preserve">overed by this Procurement have </w:t>
      </w:r>
      <w:r w:rsidRPr="00765614">
        <w:t xml:space="preserve">not been sub-divided into Lots </w:t>
      </w:r>
      <w:r w:rsidR="00765614" w:rsidRPr="00765614">
        <w:t>due to the scope and low value of the contract.</w:t>
      </w:r>
    </w:p>
    <w:p w14:paraId="7E5F555D" w14:textId="77777777" w:rsidR="00835BD7" w:rsidRPr="006E7C5E" w:rsidRDefault="00835BD7" w:rsidP="00835BD7"/>
    <w:p w14:paraId="3AC96861" w14:textId="77777777" w:rsidR="00835BD7" w:rsidRPr="001F70E1" w:rsidRDefault="00835BD7" w:rsidP="00835BD7">
      <w:pPr>
        <w:pStyle w:val="Heading1"/>
      </w:pPr>
      <w:bookmarkStart w:id="7" w:name="_Toc534897965"/>
      <w:r w:rsidRPr="001F70E1">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765614" w:rsidRPr="00765614" w14:paraId="5BCECA20" w14:textId="77777777" w:rsidTr="00765614">
        <w:trPr>
          <w:cantSplit/>
          <w:tblHeader/>
        </w:trPr>
        <w:tc>
          <w:tcPr>
            <w:tcW w:w="2552" w:type="dxa"/>
            <w:shd w:val="clear" w:color="auto" w:fill="00AE9C"/>
            <w:vAlign w:val="center"/>
          </w:tcPr>
          <w:p w14:paraId="16F5F680" w14:textId="77777777" w:rsidR="00765614" w:rsidRPr="00765614" w:rsidRDefault="00765614" w:rsidP="00765614">
            <w:pPr>
              <w:adjustRightInd w:val="0"/>
              <w:spacing w:before="60" w:after="60"/>
              <w:jc w:val="center"/>
              <w:rPr>
                <w:rFonts w:ascii="Arial" w:eastAsia="STZhongsong" w:hAnsi="Arial"/>
                <w:b/>
                <w:color w:val="FFFFFF" w:themeColor="background1"/>
                <w:sz w:val="22"/>
                <w:lang w:eastAsia="zh-CN"/>
              </w:rPr>
            </w:pPr>
            <w:r w:rsidRPr="00765614">
              <w:rPr>
                <w:rFonts w:ascii="Arial" w:eastAsia="STZhongsong" w:hAnsi="Arial"/>
                <w:b/>
                <w:color w:val="FFFFFF" w:themeColor="background1"/>
                <w:sz w:val="22"/>
                <w:lang w:eastAsia="zh-CN"/>
              </w:rPr>
              <w:lastRenderedPageBreak/>
              <w:t>DATE</w:t>
            </w:r>
          </w:p>
        </w:tc>
        <w:tc>
          <w:tcPr>
            <w:tcW w:w="5811" w:type="dxa"/>
            <w:shd w:val="clear" w:color="auto" w:fill="00AE9C"/>
            <w:vAlign w:val="center"/>
          </w:tcPr>
          <w:p w14:paraId="74FE534E" w14:textId="77777777" w:rsidR="00765614" w:rsidRPr="00765614" w:rsidRDefault="00765614" w:rsidP="00765614">
            <w:pPr>
              <w:adjustRightInd w:val="0"/>
              <w:spacing w:before="60" w:after="60"/>
              <w:jc w:val="center"/>
              <w:rPr>
                <w:rFonts w:ascii="Arial" w:eastAsia="STZhongsong" w:hAnsi="Arial"/>
                <w:b/>
                <w:color w:val="FFFFFF" w:themeColor="background1"/>
                <w:sz w:val="22"/>
                <w:lang w:eastAsia="zh-CN"/>
              </w:rPr>
            </w:pPr>
            <w:r w:rsidRPr="00765614">
              <w:rPr>
                <w:rFonts w:ascii="Arial" w:eastAsia="STZhongsong" w:hAnsi="Arial"/>
                <w:b/>
                <w:color w:val="FFFFFF" w:themeColor="background1"/>
                <w:sz w:val="22"/>
                <w:lang w:eastAsia="zh-CN"/>
              </w:rPr>
              <w:t>ACTIVITY</w:t>
            </w:r>
          </w:p>
        </w:tc>
      </w:tr>
      <w:tr w:rsidR="00765614" w:rsidRPr="00765614" w14:paraId="09FD2D01" w14:textId="77777777" w:rsidTr="00765614">
        <w:trPr>
          <w:cantSplit/>
        </w:trPr>
        <w:tc>
          <w:tcPr>
            <w:tcW w:w="2552" w:type="dxa"/>
          </w:tcPr>
          <w:p w14:paraId="272D11F5" w14:textId="64D3556A" w:rsidR="00765614" w:rsidRPr="00CC27EC" w:rsidRDefault="00CC27EC" w:rsidP="00765614">
            <w:pPr>
              <w:adjustRightInd w:val="0"/>
              <w:spacing w:before="60" w:after="60"/>
              <w:jc w:val="center"/>
              <w:rPr>
                <w:rFonts w:eastAsia="STZhongsong" w:cs="Times New Roman"/>
                <w:szCs w:val="20"/>
                <w:lang w:eastAsia="zh-CN"/>
              </w:rPr>
            </w:pPr>
            <w:r w:rsidRPr="00CC27EC">
              <w:rPr>
                <w:rFonts w:eastAsia="STZhongsong" w:cs="Times New Roman"/>
                <w:szCs w:val="20"/>
                <w:lang w:eastAsia="zh-CN"/>
              </w:rPr>
              <w:t xml:space="preserve">14 </w:t>
            </w:r>
            <w:r w:rsidR="00D40471">
              <w:rPr>
                <w:rFonts w:eastAsia="STZhongsong" w:cs="Times New Roman"/>
                <w:szCs w:val="20"/>
                <w:lang w:eastAsia="zh-CN"/>
              </w:rPr>
              <w:t>March</w:t>
            </w:r>
            <w:r w:rsidR="00765614" w:rsidRPr="00CC27EC">
              <w:rPr>
                <w:rFonts w:eastAsia="STZhongsong" w:cs="Times New Roman"/>
                <w:szCs w:val="20"/>
                <w:lang w:eastAsia="zh-CN"/>
              </w:rPr>
              <w:t xml:space="preserve"> 2019</w:t>
            </w:r>
          </w:p>
        </w:tc>
        <w:tc>
          <w:tcPr>
            <w:tcW w:w="5811" w:type="dxa"/>
          </w:tcPr>
          <w:p w14:paraId="07169FCD" w14:textId="77777777" w:rsidR="00765614" w:rsidRPr="00765614" w:rsidRDefault="00765614" w:rsidP="00765614">
            <w:r w:rsidRPr="00765614">
              <w:t>Tender Opens</w:t>
            </w:r>
          </w:p>
        </w:tc>
      </w:tr>
      <w:tr w:rsidR="00765614" w:rsidRPr="00765614" w14:paraId="1555D914" w14:textId="77777777" w:rsidTr="00765614">
        <w:trPr>
          <w:cantSplit/>
        </w:trPr>
        <w:tc>
          <w:tcPr>
            <w:tcW w:w="2552" w:type="dxa"/>
          </w:tcPr>
          <w:p w14:paraId="50B43550" w14:textId="437290E4" w:rsidR="00765614" w:rsidRPr="00CC27EC" w:rsidRDefault="00CC27EC" w:rsidP="00765614">
            <w:pPr>
              <w:adjustRightInd w:val="0"/>
              <w:spacing w:before="60" w:after="60"/>
              <w:jc w:val="center"/>
              <w:rPr>
                <w:rFonts w:eastAsia="STZhongsong" w:cs="Times New Roman"/>
                <w:szCs w:val="20"/>
                <w:lang w:eastAsia="zh-CN"/>
              </w:rPr>
            </w:pPr>
            <w:r w:rsidRPr="00CC27EC">
              <w:rPr>
                <w:rFonts w:eastAsia="STZhongsong" w:cs="Times New Roman"/>
                <w:szCs w:val="20"/>
                <w:lang w:eastAsia="zh-CN"/>
              </w:rPr>
              <w:t xml:space="preserve">14 </w:t>
            </w:r>
            <w:r w:rsidR="00D40471">
              <w:rPr>
                <w:rFonts w:eastAsia="STZhongsong" w:cs="Times New Roman"/>
                <w:szCs w:val="20"/>
                <w:lang w:eastAsia="zh-CN"/>
              </w:rPr>
              <w:t>March</w:t>
            </w:r>
            <w:r w:rsidR="00765614" w:rsidRPr="00CC27EC">
              <w:rPr>
                <w:rFonts w:eastAsia="STZhongsong" w:cs="Times New Roman"/>
                <w:szCs w:val="20"/>
                <w:lang w:eastAsia="zh-CN"/>
              </w:rPr>
              <w:t xml:space="preserve"> 2019</w:t>
            </w:r>
          </w:p>
        </w:tc>
        <w:tc>
          <w:tcPr>
            <w:tcW w:w="5811" w:type="dxa"/>
          </w:tcPr>
          <w:p w14:paraId="2C6E0F83"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Clarification period starts</w:t>
            </w:r>
          </w:p>
        </w:tc>
      </w:tr>
      <w:tr w:rsidR="00597BC6" w:rsidRPr="00765614" w14:paraId="0934DDC5" w14:textId="77777777" w:rsidTr="00765614">
        <w:trPr>
          <w:cantSplit/>
        </w:trPr>
        <w:tc>
          <w:tcPr>
            <w:tcW w:w="2552" w:type="dxa"/>
          </w:tcPr>
          <w:p w14:paraId="2391EFF5" w14:textId="77777777" w:rsidR="00597BC6" w:rsidRDefault="00597BC6" w:rsidP="00765614">
            <w:pPr>
              <w:adjustRightInd w:val="0"/>
              <w:spacing w:before="60" w:after="60"/>
              <w:jc w:val="center"/>
              <w:rPr>
                <w:rFonts w:eastAsia="STZhongsong" w:cs="Times New Roman"/>
                <w:szCs w:val="20"/>
                <w:lang w:eastAsia="zh-CN"/>
              </w:rPr>
            </w:pPr>
            <w:r>
              <w:rPr>
                <w:rFonts w:eastAsia="STZhongsong" w:cs="Times New Roman"/>
                <w:szCs w:val="20"/>
                <w:lang w:eastAsia="zh-CN"/>
              </w:rPr>
              <w:t>19 March 2019</w:t>
            </w:r>
          </w:p>
          <w:p w14:paraId="76421169" w14:textId="4DC228D1" w:rsidR="00597BC6" w:rsidRPr="00CC27EC" w:rsidRDefault="00597BC6" w:rsidP="00765614">
            <w:pPr>
              <w:adjustRightInd w:val="0"/>
              <w:spacing w:before="60" w:after="60"/>
              <w:jc w:val="center"/>
              <w:rPr>
                <w:rFonts w:eastAsia="STZhongsong" w:cs="Times New Roman"/>
                <w:szCs w:val="20"/>
                <w:lang w:eastAsia="zh-CN"/>
              </w:rPr>
            </w:pPr>
            <w:r>
              <w:rPr>
                <w:rFonts w:eastAsia="STZhongsong" w:cs="Times New Roman"/>
                <w:szCs w:val="20"/>
                <w:lang w:eastAsia="zh-CN"/>
              </w:rPr>
              <w:t>15:00</w:t>
            </w:r>
          </w:p>
        </w:tc>
        <w:tc>
          <w:tcPr>
            <w:tcW w:w="5811" w:type="dxa"/>
          </w:tcPr>
          <w:p w14:paraId="5FA2F243" w14:textId="2B77339E" w:rsidR="00597BC6" w:rsidRPr="00765614" w:rsidRDefault="00597BC6" w:rsidP="00765614">
            <w:pPr>
              <w:adjustRightInd w:val="0"/>
              <w:spacing w:before="60" w:after="60"/>
              <w:jc w:val="both"/>
              <w:rPr>
                <w:rFonts w:eastAsia="STZhongsong" w:cs="Times New Roman"/>
                <w:szCs w:val="20"/>
                <w:lang w:eastAsia="zh-CN"/>
              </w:rPr>
            </w:pPr>
            <w:r>
              <w:rPr>
                <w:rFonts w:eastAsia="STZhongsong" w:cs="Times New Roman"/>
                <w:szCs w:val="20"/>
                <w:lang w:eastAsia="zh-CN"/>
              </w:rPr>
              <w:t xml:space="preserve">Supplier Clarification Session – </w:t>
            </w:r>
            <w:r w:rsidRPr="00597BC6">
              <w:rPr>
                <w:rFonts w:eastAsia="STZhongsong" w:cs="Times New Roman"/>
                <w:b/>
                <w:szCs w:val="20"/>
                <w:lang w:eastAsia="zh-CN"/>
              </w:rPr>
              <w:t>Please use the Bravo messaging facility to request the conference call details.</w:t>
            </w:r>
          </w:p>
        </w:tc>
      </w:tr>
      <w:tr w:rsidR="00765614" w:rsidRPr="00765614" w14:paraId="121A7458" w14:textId="77777777" w:rsidTr="00765614">
        <w:trPr>
          <w:cantSplit/>
        </w:trPr>
        <w:tc>
          <w:tcPr>
            <w:tcW w:w="2552" w:type="dxa"/>
          </w:tcPr>
          <w:p w14:paraId="3A54C324" w14:textId="35E50036" w:rsidR="00765614" w:rsidRPr="00CC27EC" w:rsidRDefault="00D40471" w:rsidP="00765614">
            <w:pPr>
              <w:adjustRightInd w:val="0"/>
              <w:spacing w:before="60" w:after="60"/>
              <w:jc w:val="center"/>
              <w:rPr>
                <w:rFonts w:eastAsia="STZhongsong" w:cs="Times New Roman"/>
                <w:szCs w:val="20"/>
                <w:lang w:eastAsia="zh-CN"/>
              </w:rPr>
            </w:pPr>
            <w:r>
              <w:rPr>
                <w:rFonts w:eastAsia="STZhongsong" w:cs="Times New Roman"/>
                <w:szCs w:val="20"/>
                <w:lang w:eastAsia="zh-CN"/>
              </w:rPr>
              <w:t>25 March</w:t>
            </w:r>
            <w:r w:rsidR="00765614" w:rsidRPr="00CC27EC">
              <w:rPr>
                <w:rFonts w:eastAsia="STZhongsong" w:cs="Times New Roman"/>
                <w:szCs w:val="20"/>
                <w:lang w:eastAsia="zh-CN"/>
              </w:rPr>
              <w:t xml:space="preserve"> 2019</w:t>
            </w:r>
          </w:p>
          <w:p w14:paraId="4D021467" w14:textId="1CDF372F" w:rsidR="00765614" w:rsidRPr="00CC27EC" w:rsidRDefault="00765614" w:rsidP="00765614">
            <w:pPr>
              <w:adjustRightInd w:val="0"/>
              <w:spacing w:before="60" w:after="60"/>
              <w:jc w:val="center"/>
              <w:rPr>
                <w:rFonts w:eastAsia="STZhongsong" w:cs="Times New Roman"/>
                <w:szCs w:val="20"/>
                <w:lang w:eastAsia="zh-CN"/>
              </w:rPr>
            </w:pPr>
            <w:r w:rsidRPr="00CC27EC">
              <w:rPr>
                <w:rFonts w:eastAsia="STZhongsong" w:cs="Times New Roman"/>
                <w:szCs w:val="20"/>
                <w:lang w:eastAsia="zh-CN"/>
              </w:rPr>
              <w:t>11:00 GMT</w:t>
            </w:r>
          </w:p>
        </w:tc>
        <w:tc>
          <w:tcPr>
            <w:tcW w:w="5811" w:type="dxa"/>
          </w:tcPr>
          <w:p w14:paraId="63D589F5"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Clarification period closes (“</w:t>
            </w:r>
            <w:r w:rsidRPr="00765614">
              <w:rPr>
                <w:rFonts w:eastAsia="STZhongsong" w:cs="Times New Roman"/>
                <w:b/>
                <w:szCs w:val="20"/>
                <w:lang w:eastAsia="zh-CN"/>
              </w:rPr>
              <w:t>Tender Clarifications Deadline</w:t>
            </w:r>
            <w:r w:rsidRPr="00765614">
              <w:rPr>
                <w:rFonts w:eastAsia="STZhongsong" w:cs="Times New Roman"/>
                <w:szCs w:val="20"/>
                <w:lang w:eastAsia="zh-CN"/>
              </w:rPr>
              <w:t>”)</w:t>
            </w:r>
          </w:p>
        </w:tc>
      </w:tr>
      <w:tr w:rsidR="00765614" w:rsidRPr="00765614" w14:paraId="7114B338" w14:textId="77777777" w:rsidTr="00765614">
        <w:trPr>
          <w:cantSplit/>
        </w:trPr>
        <w:tc>
          <w:tcPr>
            <w:tcW w:w="2552" w:type="dxa"/>
          </w:tcPr>
          <w:p w14:paraId="1BEDFC82" w14:textId="495A6FE8" w:rsidR="00765614" w:rsidRPr="00CC27EC" w:rsidRDefault="00CC27EC" w:rsidP="00765614">
            <w:pPr>
              <w:adjustRightInd w:val="0"/>
              <w:spacing w:before="60" w:after="60"/>
              <w:jc w:val="center"/>
              <w:rPr>
                <w:rFonts w:eastAsia="STZhongsong" w:cs="Times New Roman"/>
                <w:szCs w:val="20"/>
                <w:lang w:eastAsia="zh-CN"/>
              </w:rPr>
            </w:pPr>
            <w:r w:rsidRPr="00CC27EC">
              <w:rPr>
                <w:rFonts w:eastAsia="STZhongsong" w:cs="Times New Roman"/>
                <w:szCs w:val="20"/>
                <w:lang w:eastAsia="zh-CN"/>
              </w:rPr>
              <w:t>2</w:t>
            </w:r>
            <w:r w:rsidR="00D40471">
              <w:rPr>
                <w:rFonts w:eastAsia="STZhongsong" w:cs="Times New Roman"/>
                <w:szCs w:val="20"/>
                <w:lang w:eastAsia="zh-CN"/>
              </w:rPr>
              <w:t>6 March</w:t>
            </w:r>
            <w:r w:rsidR="00765614" w:rsidRPr="00CC27EC">
              <w:rPr>
                <w:rFonts w:eastAsia="STZhongsong" w:cs="Times New Roman"/>
                <w:szCs w:val="20"/>
                <w:lang w:eastAsia="zh-CN"/>
              </w:rPr>
              <w:t xml:space="preserve"> 2019</w:t>
            </w:r>
          </w:p>
          <w:p w14:paraId="13FCC4F8" w14:textId="77777777" w:rsidR="00765614" w:rsidRPr="00CC27EC" w:rsidRDefault="00765614" w:rsidP="00765614">
            <w:pPr>
              <w:adjustRightInd w:val="0"/>
              <w:spacing w:before="60" w:after="60"/>
              <w:jc w:val="center"/>
              <w:rPr>
                <w:rFonts w:eastAsia="STZhongsong" w:cs="Times New Roman"/>
                <w:szCs w:val="20"/>
                <w:lang w:eastAsia="zh-CN"/>
              </w:rPr>
            </w:pPr>
            <w:r w:rsidRPr="00CC27EC">
              <w:rPr>
                <w:rFonts w:eastAsia="STZhongsong" w:cs="Times New Roman"/>
                <w:szCs w:val="20"/>
                <w:lang w:eastAsia="zh-CN"/>
              </w:rPr>
              <w:t>15:00 GMT</w:t>
            </w:r>
          </w:p>
        </w:tc>
        <w:tc>
          <w:tcPr>
            <w:tcW w:w="5811" w:type="dxa"/>
          </w:tcPr>
          <w:p w14:paraId="631D2B58"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Deadline for a response to the clarification questions</w:t>
            </w:r>
          </w:p>
        </w:tc>
      </w:tr>
      <w:tr w:rsidR="00765614" w:rsidRPr="00765614" w14:paraId="3318C2E0" w14:textId="77777777" w:rsidTr="00765614">
        <w:trPr>
          <w:cantSplit/>
        </w:trPr>
        <w:tc>
          <w:tcPr>
            <w:tcW w:w="2552" w:type="dxa"/>
          </w:tcPr>
          <w:p w14:paraId="1FBE555D" w14:textId="6F3B475A" w:rsidR="00765614" w:rsidRPr="00CC27EC" w:rsidRDefault="00597BC6" w:rsidP="00765614">
            <w:pPr>
              <w:adjustRightInd w:val="0"/>
              <w:spacing w:before="60" w:after="60"/>
              <w:jc w:val="center"/>
              <w:rPr>
                <w:rFonts w:eastAsia="STZhongsong" w:cs="Times New Roman"/>
                <w:szCs w:val="20"/>
                <w:lang w:eastAsia="zh-CN"/>
              </w:rPr>
            </w:pPr>
            <w:r>
              <w:rPr>
                <w:rFonts w:eastAsia="STZhongsong" w:cs="Times New Roman"/>
                <w:szCs w:val="20"/>
                <w:lang w:eastAsia="zh-CN"/>
              </w:rPr>
              <w:t>4 April</w:t>
            </w:r>
            <w:r w:rsidR="00765614" w:rsidRPr="00CC27EC">
              <w:rPr>
                <w:rFonts w:eastAsia="STZhongsong" w:cs="Times New Roman"/>
                <w:szCs w:val="20"/>
                <w:lang w:eastAsia="zh-CN"/>
              </w:rPr>
              <w:t xml:space="preserve"> 2019</w:t>
            </w:r>
          </w:p>
          <w:p w14:paraId="3D5A6947" w14:textId="396C8F84" w:rsidR="00765614" w:rsidRPr="00CC27EC" w:rsidRDefault="003B7D32" w:rsidP="00765614">
            <w:pPr>
              <w:adjustRightInd w:val="0"/>
              <w:spacing w:before="60" w:after="60"/>
              <w:jc w:val="center"/>
              <w:rPr>
                <w:rFonts w:eastAsia="STZhongsong" w:cs="Times New Roman"/>
                <w:szCs w:val="20"/>
                <w:lang w:eastAsia="zh-CN"/>
              </w:rPr>
            </w:pPr>
            <w:r>
              <w:rPr>
                <w:rFonts w:eastAsia="STZhongsong" w:cs="Times New Roman"/>
                <w:szCs w:val="20"/>
                <w:lang w:eastAsia="zh-CN"/>
              </w:rPr>
              <w:t>15</w:t>
            </w:r>
            <w:r w:rsidR="00765614" w:rsidRPr="00CC27EC">
              <w:rPr>
                <w:rFonts w:eastAsia="STZhongsong" w:cs="Times New Roman"/>
                <w:szCs w:val="20"/>
                <w:lang w:eastAsia="zh-CN"/>
              </w:rPr>
              <w:t>:00 GMT</w:t>
            </w:r>
          </w:p>
        </w:tc>
        <w:tc>
          <w:tcPr>
            <w:tcW w:w="5811" w:type="dxa"/>
          </w:tcPr>
          <w:p w14:paraId="5085ABB3"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Deadline for submission of a Tender via the e-Sourcing Portal (“</w:t>
            </w:r>
            <w:r w:rsidRPr="00765614">
              <w:rPr>
                <w:rFonts w:eastAsia="STZhongsong" w:cs="Times New Roman"/>
                <w:b/>
                <w:szCs w:val="20"/>
                <w:lang w:eastAsia="zh-CN"/>
              </w:rPr>
              <w:t>Tender Submission Deadline</w:t>
            </w:r>
            <w:r w:rsidRPr="00765614">
              <w:rPr>
                <w:rFonts w:eastAsia="STZhongsong" w:cs="Times New Roman"/>
                <w:szCs w:val="20"/>
                <w:lang w:eastAsia="zh-CN"/>
              </w:rPr>
              <w:t xml:space="preserve">”) </w:t>
            </w:r>
          </w:p>
        </w:tc>
      </w:tr>
      <w:tr w:rsidR="00765614" w:rsidRPr="00765614" w14:paraId="70F41CA9" w14:textId="77777777" w:rsidTr="00765614">
        <w:trPr>
          <w:cantSplit/>
        </w:trPr>
        <w:tc>
          <w:tcPr>
            <w:tcW w:w="2552" w:type="dxa"/>
          </w:tcPr>
          <w:p w14:paraId="57F8E4D7" w14:textId="4736AB7B" w:rsidR="00765614" w:rsidRPr="00CC27EC" w:rsidRDefault="00597BC6" w:rsidP="00765614">
            <w:pPr>
              <w:adjustRightInd w:val="0"/>
              <w:spacing w:before="60" w:after="60"/>
              <w:jc w:val="center"/>
              <w:rPr>
                <w:rFonts w:eastAsia="STZhongsong" w:cs="Times New Roman"/>
                <w:szCs w:val="20"/>
                <w:lang w:eastAsia="zh-CN"/>
              </w:rPr>
            </w:pPr>
            <w:r>
              <w:rPr>
                <w:rFonts w:eastAsia="STZhongsong" w:cs="Times New Roman"/>
                <w:szCs w:val="20"/>
                <w:lang w:eastAsia="zh-CN"/>
              </w:rPr>
              <w:t>4 April</w:t>
            </w:r>
            <w:r w:rsidR="00765614" w:rsidRPr="00CC27EC">
              <w:rPr>
                <w:rFonts w:eastAsia="STZhongsong" w:cs="Times New Roman"/>
                <w:szCs w:val="20"/>
                <w:lang w:eastAsia="zh-CN"/>
              </w:rPr>
              <w:t xml:space="preserve"> 2019</w:t>
            </w:r>
            <w:r w:rsidR="00765614" w:rsidRPr="00CC27EC">
              <w:t xml:space="preserve"> – </w:t>
            </w:r>
          </w:p>
          <w:p w14:paraId="026FE14E" w14:textId="05669C98" w:rsidR="00765614" w:rsidRPr="00CC27EC" w:rsidRDefault="00597BC6" w:rsidP="00765614">
            <w:pPr>
              <w:adjustRightInd w:val="0"/>
              <w:spacing w:before="60" w:after="60"/>
              <w:jc w:val="center"/>
              <w:rPr>
                <w:rFonts w:eastAsia="STZhongsong" w:cs="Times New Roman"/>
                <w:szCs w:val="20"/>
                <w:lang w:eastAsia="zh-CN"/>
              </w:rPr>
            </w:pPr>
            <w:r>
              <w:rPr>
                <w:rFonts w:eastAsia="STZhongsong" w:cs="Times New Roman"/>
                <w:szCs w:val="20"/>
                <w:lang w:eastAsia="zh-CN"/>
              </w:rPr>
              <w:t>25</w:t>
            </w:r>
            <w:r w:rsidR="00D40471">
              <w:rPr>
                <w:rFonts w:eastAsia="STZhongsong" w:cs="Times New Roman"/>
                <w:szCs w:val="20"/>
                <w:lang w:eastAsia="zh-CN"/>
              </w:rPr>
              <w:t xml:space="preserve"> April </w:t>
            </w:r>
            <w:r w:rsidR="00765614" w:rsidRPr="00CC27EC">
              <w:rPr>
                <w:rFonts w:eastAsia="STZhongsong" w:cs="Times New Roman"/>
                <w:szCs w:val="20"/>
                <w:lang w:eastAsia="zh-CN"/>
              </w:rPr>
              <w:t>2019</w:t>
            </w:r>
          </w:p>
        </w:tc>
        <w:tc>
          <w:tcPr>
            <w:tcW w:w="5811" w:type="dxa"/>
          </w:tcPr>
          <w:p w14:paraId="19230E9B"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Evaluation Period</w:t>
            </w:r>
          </w:p>
        </w:tc>
      </w:tr>
      <w:tr w:rsidR="00765614" w:rsidRPr="00765614" w14:paraId="3DFD3626" w14:textId="77777777" w:rsidTr="00765614">
        <w:trPr>
          <w:cantSplit/>
        </w:trPr>
        <w:tc>
          <w:tcPr>
            <w:tcW w:w="2552" w:type="dxa"/>
          </w:tcPr>
          <w:p w14:paraId="5FFC73C2" w14:textId="10254B1B" w:rsidR="00765614" w:rsidRPr="00CC27EC" w:rsidRDefault="00384917" w:rsidP="00765614">
            <w:pPr>
              <w:adjustRightInd w:val="0"/>
              <w:spacing w:before="60" w:after="60"/>
              <w:jc w:val="center"/>
              <w:rPr>
                <w:rFonts w:eastAsia="STZhongsong" w:cs="Times New Roman"/>
                <w:szCs w:val="20"/>
                <w:lang w:eastAsia="zh-CN"/>
              </w:rPr>
            </w:pPr>
            <w:r>
              <w:rPr>
                <w:rFonts w:eastAsia="STZhongsong" w:cs="Times New Roman"/>
                <w:szCs w:val="20"/>
                <w:lang w:eastAsia="zh-CN"/>
              </w:rPr>
              <w:t xml:space="preserve">w/c </w:t>
            </w:r>
            <w:r w:rsidR="00597BC6">
              <w:rPr>
                <w:rFonts w:eastAsia="STZhongsong" w:cs="Times New Roman"/>
                <w:szCs w:val="20"/>
                <w:lang w:eastAsia="zh-CN"/>
              </w:rPr>
              <w:t>29</w:t>
            </w:r>
            <w:r w:rsidR="00D40471">
              <w:rPr>
                <w:rFonts w:eastAsia="STZhongsong" w:cs="Times New Roman"/>
                <w:szCs w:val="20"/>
                <w:lang w:eastAsia="zh-CN"/>
              </w:rPr>
              <w:t xml:space="preserve"> April </w:t>
            </w:r>
            <w:r w:rsidR="00765614" w:rsidRPr="00CC27EC">
              <w:rPr>
                <w:rFonts w:eastAsia="STZhongsong" w:cs="Times New Roman"/>
                <w:szCs w:val="20"/>
                <w:lang w:eastAsia="zh-CN"/>
              </w:rPr>
              <w:t>2019</w:t>
            </w:r>
          </w:p>
        </w:tc>
        <w:tc>
          <w:tcPr>
            <w:tcW w:w="5811" w:type="dxa"/>
          </w:tcPr>
          <w:p w14:paraId="72F1B6C2"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Expected date for signature of the Contract</w:t>
            </w:r>
          </w:p>
        </w:tc>
      </w:tr>
      <w:tr w:rsidR="00765614" w:rsidRPr="00765614" w14:paraId="1253FDCE" w14:textId="77777777" w:rsidTr="00765614">
        <w:trPr>
          <w:cantSplit/>
        </w:trPr>
        <w:tc>
          <w:tcPr>
            <w:tcW w:w="2552" w:type="dxa"/>
          </w:tcPr>
          <w:p w14:paraId="36132B71" w14:textId="30A648C0" w:rsidR="00765614" w:rsidRPr="00CC27EC" w:rsidRDefault="00597BC6" w:rsidP="00765614">
            <w:pPr>
              <w:adjustRightInd w:val="0"/>
              <w:spacing w:before="60" w:after="60"/>
              <w:jc w:val="center"/>
              <w:rPr>
                <w:rFonts w:eastAsia="STZhongsong" w:cs="Times New Roman"/>
                <w:szCs w:val="20"/>
                <w:lang w:eastAsia="zh-CN"/>
              </w:rPr>
            </w:pPr>
            <w:r>
              <w:rPr>
                <w:rFonts w:eastAsia="STZhongsong" w:cs="Times New Roman"/>
                <w:szCs w:val="20"/>
                <w:lang w:eastAsia="zh-CN"/>
              </w:rPr>
              <w:t>6 May</w:t>
            </w:r>
            <w:r w:rsidR="00765614" w:rsidRPr="00CC27EC">
              <w:rPr>
                <w:rFonts w:eastAsia="STZhongsong" w:cs="Times New Roman"/>
                <w:szCs w:val="20"/>
                <w:lang w:eastAsia="zh-CN"/>
              </w:rPr>
              <w:t xml:space="preserve"> 2019</w:t>
            </w:r>
          </w:p>
        </w:tc>
        <w:tc>
          <w:tcPr>
            <w:tcW w:w="5811" w:type="dxa"/>
          </w:tcPr>
          <w:p w14:paraId="18766D83" w14:textId="77777777" w:rsidR="00765614" w:rsidRPr="00765614" w:rsidRDefault="00765614" w:rsidP="00765614">
            <w:pPr>
              <w:adjustRightInd w:val="0"/>
              <w:spacing w:before="60" w:after="60"/>
              <w:jc w:val="both"/>
              <w:rPr>
                <w:rFonts w:eastAsia="STZhongsong" w:cs="Times New Roman"/>
                <w:szCs w:val="20"/>
                <w:lang w:eastAsia="zh-CN"/>
              </w:rPr>
            </w:pPr>
            <w:r w:rsidRPr="00765614">
              <w:rPr>
                <w:rFonts w:eastAsia="STZhongsong" w:cs="Times New Roman"/>
                <w:szCs w:val="20"/>
                <w:lang w:eastAsia="zh-CN"/>
              </w:rPr>
              <w:t>Anticipated contract start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8" w:name="_Toc534897966"/>
      <w:r w:rsidRPr="001F70E1">
        <w:t>questions AND CLARIFICATIONS</w:t>
      </w:r>
      <w:bookmarkEnd w:id="8"/>
    </w:p>
    <w:p w14:paraId="6272A29E" w14:textId="74A553E5" w:rsidR="00835BD7"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05905C00" w14:textId="00670F05" w:rsidR="00597BC6" w:rsidRPr="001F70E1" w:rsidRDefault="00597BC6" w:rsidP="00835BD7">
      <w:pPr>
        <w:pStyle w:val="Heading2"/>
      </w:pPr>
      <w:r>
        <w:t>A clarification session (via conference call) will be held on Tuesday 19 March 2019 at 3.00pm. Please request the conference call details via the Bravo messaging facility.</w:t>
      </w:r>
      <w:bookmarkStart w:id="9" w:name="_GoBack"/>
      <w:bookmarkEnd w:id="9"/>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34897967"/>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Pr="00454641" w:rsidRDefault="00835BD7" w:rsidP="00835BD7">
      <w:pPr>
        <w:pStyle w:val="Heading2"/>
      </w:pPr>
      <w:r w:rsidRPr="00454641">
        <w:lastRenderedPageBreak/>
        <w:t>You are required to enter a price within the e-sourcing portal which provides a total fixed price for the delivery of the requirement as well as providing a transparent breakdown within the price questionnaire</w:t>
      </w:r>
    </w:p>
    <w:p w14:paraId="32653822" w14:textId="57F367FD" w:rsidR="00835BD7" w:rsidRPr="00454641" w:rsidRDefault="00765614" w:rsidP="00835BD7">
      <w:pPr>
        <w:pStyle w:val="Heading2"/>
      </w:pPr>
      <w:r w:rsidRPr="00454641">
        <w:t xml:space="preserve"> </w:t>
      </w:r>
      <w:r w:rsidR="00835BD7" w:rsidRPr="00454641">
        <w:t>Where a total price cannot be calculated, for example, where the requirement is to provide day rates or in the award of Framework Agreements, or call-off contracts.  In these circumstances a value of £1 should be entered.  You are required to attach a transparent breakdown of their price schedule within the price questionnaire.</w:t>
      </w:r>
    </w:p>
    <w:p w14:paraId="70274FCF" w14:textId="77777777" w:rsidR="00835BD7" w:rsidRPr="001F70E1" w:rsidRDefault="00835BD7" w:rsidP="00835BD7">
      <w:pPr>
        <w:pStyle w:val="Heading1"/>
      </w:pPr>
      <w:bookmarkStart w:id="11" w:name="_Toc534897968"/>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54BECC88" w14:textId="3596B01E" w:rsidR="00454641" w:rsidRDefault="00835BD7" w:rsidP="00454641">
      <w:pPr>
        <w:pStyle w:val="ListParagraph"/>
      </w:pPr>
      <w:r w:rsidRPr="0022330A">
        <w:t xml:space="preserve">allow plenty of time for the entering of responses into the e-Sourcing portal </w:t>
      </w:r>
    </w:p>
    <w:p w14:paraId="0A964D49" w14:textId="77777777" w:rsidR="00454641" w:rsidRDefault="00454641" w:rsidP="00454641">
      <w:pPr>
        <w:pStyle w:val="ListParagraph"/>
        <w:numPr>
          <w:ilvl w:val="0"/>
          <w:numId w:val="0"/>
        </w:numPr>
        <w:ind w:left="1418"/>
      </w:pPr>
    </w:p>
    <w:p w14:paraId="4FAA3B2E" w14:textId="268EF0F6"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lastRenderedPageBreak/>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4CE43E47" w:rsidR="00835BD7" w:rsidRDefault="00835BD7" w:rsidP="00835BD7">
      <w:pPr>
        <w:pStyle w:val="Heading2"/>
      </w:pPr>
      <w:r w:rsidRPr="0022330A">
        <w:t>Tenders mus</w:t>
      </w:r>
      <w:r w:rsidR="00454641">
        <w:t xml:space="preserve">t remain valid for a period of </w:t>
      </w:r>
      <w:r w:rsidRPr="00454641">
        <w:t>120</w:t>
      </w:r>
      <w:r w:rsidRPr="0022330A">
        <w:t xml:space="preserve"> days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34897969"/>
      <w:r w:rsidRPr="005331F4">
        <w:t>CONTRACTING ARRANGEMENTS (Sub-contractORS AND GROUPS OF ECONOMIC OPERATORS)</w:t>
      </w:r>
      <w:bookmarkEnd w:id="12"/>
      <w:bookmarkEnd w:id="13"/>
      <w:bookmarkEnd w:id="14"/>
    </w:p>
    <w:p w14:paraId="2B59B523" w14:textId="3EF30352"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02A965A3" w14:textId="2372C968" w:rsidR="00835BD7" w:rsidRPr="00454641" w:rsidRDefault="00835BD7" w:rsidP="00454641">
      <w:pPr>
        <w:pStyle w:val="Heading2"/>
        <w:rPr>
          <w:vanish/>
        </w:rPr>
      </w:pPr>
      <w:bookmarkStart w:id="18" w:name="_Ref316390160"/>
      <w:r>
        <w:t>Only</w:t>
      </w:r>
      <w:r w:rsidRPr="006103D9">
        <w:t xml:space="preserve"> Sub-Contractors identified in the Tender will be able to provide </w:t>
      </w:r>
      <w:r w:rsidR="00454641" w:rsidRPr="00454641">
        <w:t xml:space="preserve">Services </w:t>
      </w:r>
      <w:r w:rsidRPr="00454641">
        <w:t>thr</w:t>
      </w:r>
      <w:r w:rsidRPr="006103D9">
        <w:t>ough the Contract.</w:t>
      </w:r>
      <w:bookmarkEnd w:id="18"/>
      <w:r w:rsidRPr="00454641">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00454641">
        <w:t xml:space="preserve"> in the Tender. </w:t>
      </w:r>
    </w:p>
    <w:p w14:paraId="37ACDDAE" w14:textId="643BB206" w:rsidR="00835BD7" w:rsidRDefault="00835BD7" w:rsidP="00835BD7">
      <w:pPr>
        <w:pStyle w:val="Heading2"/>
      </w:pPr>
      <w:r>
        <w:t xml:space="preserve">Where Potential Providers propose to use </w:t>
      </w:r>
      <w:bookmarkEnd w:id="17"/>
      <w:r w:rsidRPr="006103D9">
        <w:t>one or more Sub-Contractors</w:t>
      </w:r>
      <w:r>
        <w:t xml:space="preserve">, they should </w:t>
      </w:r>
      <w:r w:rsidR="00454641">
        <w:t>state this in their tender response.</w:t>
      </w:r>
      <w:r w:rsidRPr="006103D9">
        <w:t xml:space="preserv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lastRenderedPageBreak/>
        <w:t xml:space="preserve">Reliance </w:t>
      </w:r>
      <w:r w:rsidRPr="006103D9">
        <w:t xml:space="preserve">on the capability and/or experience of one or more Sub-Contractors to demonstrate ability to provide the </w:t>
      </w:r>
      <w:r w:rsidRPr="00454641">
        <w:t>Services must be describ</w:t>
      </w:r>
      <w:r>
        <w:t xml:space="preserve">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th</w:t>
      </w:r>
      <w:r w:rsidRPr="00454641">
        <w:t>e Services, it may d</w:t>
      </w:r>
      <w:r w:rsidRPr="006103D9">
        <w:t xml:space="preserve">o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36CA47C3"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are requested</w:t>
      </w:r>
      <w:r w:rsidR="00454641">
        <w:t xml:space="preserve"> to be disclosed.</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454641">
        <w:t>Services must be</w:t>
      </w:r>
      <w:r>
        <w:t xml:space="preserv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235A5914"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w:t>
      </w:r>
      <w:r w:rsidR="00454641">
        <w:t>(Attachment 2</w:t>
      </w:r>
      <w:r w:rsidRPr="00AF1394">
        <w:t>).</w:t>
      </w:r>
    </w:p>
    <w:p w14:paraId="47E30B5E" w14:textId="77777777" w:rsidR="00835BD7" w:rsidRPr="001F70E1" w:rsidRDefault="00835BD7" w:rsidP="00835BD7">
      <w:pPr>
        <w:pStyle w:val="Heading1"/>
      </w:pPr>
      <w:bookmarkStart w:id="23" w:name="_Toc534897970"/>
      <w:bookmarkEnd w:id="21"/>
      <w:r w:rsidRPr="001F70E1">
        <w:lastRenderedPageBreak/>
        <w:t>Procurement Contact</w:t>
      </w:r>
      <w:bookmarkEnd w:id="23"/>
    </w:p>
    <w:p w14:paraId="6C3801DE" w14:textId="77777777" w:rsidR="00835BD7" w:rsidRPr="00454641" w:rsidRDefault="00835BD7" w:rsidP="00835BD7">
      <w:pPr>
        <w:pStyle w:val="Heading2"/>
      </w:pPr>
      <w:r w:rsidRPr="00454641">
        <w:t>The procurement lead for this requirement is:</w:t>
      </w:r>
    </w:p>
    <w:p w14:paraId="3BAC90FE" w14:textId="7DCF021A" w:rsidR="00835BD7" w:rsidRPr="00454641" w:rsidRDefault="00454641" w:rsidP="00835BD7">
      <w:pPr>
        <w:pStyle w:val="Heading3"/>
      </w:pPr>
      <w:r w:rsidRPr="00454641">
        <w:t>Donna Reynolds</w:t>
      </w:r>
    </w:p>
    <w:p w14:paraId="664336F7" w14:textId="33DCB114" w:rsidR="00835BD7" w:rsidRPr="00454641" w:rsidRDefault="00454641" w:rsidP="00835BD7">
      <w:pPr>
        <w:pStyle w:val="Heading3"/>
      </w:pPr>
      <w:r w:rsidRPr="00454641">
        <w:t>01132 545 172</w:t>
      </w:r>
    </w:p>
    <w:p w14:paraId="3BA081A4" w14:textId="5B803819" w:rsidR="00835BD7" w:rsidRPr="00454641" w:rsidRDefault="00454641" w:rsidP="00835BD7">
      <w:pPr>
        <w:pStyle w:val="Heading3"/>
      </w:pPr>
      <w:r w:rsidRPr="00454641">
        <w:t>donna.reynolds@dhsc.gov.uk</w:t>
      </w:r>
    </w:p>
    <w:p w14:paraId="179A373D" w14:textId="77777777" w:rsidR="00835BD7" w:rsidRPr="001F70E1" w:rsidRDefault="00835BD7" w:rsidP="00835BD7">
      <w:pPr>
        <w:pStyle w:val="Heading1"/>
      </w:pPr>
      <w:bookmarkStart w:id="24" w:name="_Toc534897971"/>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15E9B9E6"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454641">
        <w:t>Security and Control Environment Testing of D365 and Interfaces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lastRenderedPageBreak/>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2CAB1DE8" w:rsidR="00835BD7" w:rsidRPr="001F70E1" w:rsidRDefault="00835BD7" w:rsidP="00835BD7">
      <w:pPr>
        <w:pStyle w:val="Heading2"/>
        <w:numPr>
          <w:ilvl w:val="0"/>
          <w:numId w:val="0"/>
        </w:numPr>
        <w:ind w:left="720"/>
      </w:pPr>
      <w:r w:rsidRPr="001F70E1">
        <w:t>“</w:t>
      </w:r>
      <w:r w:rsidRPr="001F70E1">
        <w:rPr>
          <w:b/>
        </w:rPr>
        <w:t>Supplier</w:t>
      </w:r>
      <w:r w:rsidRPr="001F70E1">
        <w:t>” means the Potent</w:t>
      </w:r>
      <w:r w:rsidR="00454641">
        <w:t xml:space="preserve">ial Provider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sectPr w:rsidR="00835BD7"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765614" w:rsidRDefault="00765614">
      <w:pPr>
        <w:spacing w:line="20" w:lineRule="exact"/>
      </w:pPr>
    </w:p>
  </w:endnote>
  <w:endnote w:type="continuationSeparator" w:id="0">
    <w:p w14:paraId="4287247D" w14:textId="77777777" w:rsidR="00765614" w:rsidRDefault="00765614">
      <w:pPr>
        <w:spacing w:line="20" w:lineRule="exact"/>
      </w:pPr>
      <w:r>
        <w:t xml:space="preserve"> </w:t>
      </w:r>
    </w:p>
  </w:endnote>
  <w:endnote w:type="continuationNotice" w:id="1">
    <w:p w14:paraId="4287247E" w14:textId="77777777" w:rsidR="00765614" w:rsidRDefault="0076561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765614" w:rsidRDefault="00765614" w:rsidP="00765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765614" w:rsidRDefault="0076561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765614" w:rsidRDefault="00765614" w:rsidP="00765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765614" w:rsidRDefault="0076561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765614" w:rsidRDefault="00765614" w:rsidP="00074357">
    <w:pPr>
      <w:pStyle w:val="Footer"/>
      <w:pBdr>
        <w:top w:val="single" w:sz="6" w:space="1" w:color="auto"/>
      </w:pBdr>
      <w:tabs>
        <w:tab w:val="clear" w:pos="4153"/>
        <w:tab w:val="clear" w:pos="8306"/>
      </w:tabs>
      <w:ind w:right="-43"/>
      <w:jc w:val="center"/>
    </w:pPr>
  </w:p>
  <w:p w14:paraId="4287248D" w14:textId="407252B2" w:rsidR="00765614" w:rsidRPr="002754C8" w:rsidRDefault="00765614"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597BC6">
      <w:rPr>
        <w:noProof/>
        <w:szCs w:val="20"/>
      </w:rPr>
      <w:t>8</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597BC6">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765614" w:rsidRDefault="00765614">
      <w:r>
        <w:separator/>
      </w:r>
    </w:p>
  </w:footnote>
  <w:footnote w:type="continuationSeparator" w:id="0">
    <w:p w14:paraId="4287247A" w14:textId="77777777" w:rsidR="00765614" w:rsidRDefault="00765614">
      <w:r>
        <w:continuationSeparator/>
      </w:r>
    </w:p>
  </w:footnote>
  <w:footnote w:type="continuationNotice" w:id="1">
    <w:p w14:paraId="4287247B" w14:textId="77777777" w:rsidR="00765614" w:rsidRDefault="0076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765614" w:rsidRDefault="00765614">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765614" w:rsidRDefault="00765614">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765614" w:rsidRDefault="007656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765614" w:rsidRDefault="00765614" w:rsidP="00074357">
    <w:pPr>
      <w:pStyle w:val="Header"/>
      <w:jc w:val="center"/>
      <w:rPr>
        <w:b/>
      </w:rPr>
    </w:pPr>
  </w:p>
  <w:p w14:paraId="77C0DC7C" w14:textId="66150E39" w:rsidR="00765614" w:rsidRPr="00FB22F1" w:rsidRDefault="00D062FD" w:rsidP="00BD53AC">
    <w:pPr>
      <w:pStyle w:val="Header"/>
      <w:jc w:val="center"/>
      <w:rPr>
        <w:szCs w:val="20"/>
      </w:rPr>
    </w:pPr>
    <w:bookmarkStart w:id="25" w:name="_Hlk534895650"/>
    <w:bookmarkStart w:id="26" w:name="_Hlk534894216"/>
    <w:r w:rsidRPr="00D062FD">
      <w:rPr>
        <w:szCs w:val="20"/>
      </w:rPr>
      <w:t>ITT 2</w:t>
    </w:r>
    <w:r w:rsidR="00D40471">
      <w:rPr>
        <w:szCs w:val="20"/>
      </w:rPr>
      <w:t>40</w:t>
    </w:r>
    <w:r w:rsidR="00765614" w:rsidRPr="00D062FD">
      <w:rPr>
        <w:szCs w:val="20"/>
      </w:rPr>
      <w:t xml:space="preserve"> – SECURIITY AND C</w:t>
    </w:r>
    <w:r w:rsidR="00765614">
      <w:rPr>
        <w:szCs w:val="20"/>
      </w:rPr>
      <w:t>ONTROL ENVIRONMENT TESTING OF D365 AND INTERFACES</w:t>
    </w:r>
    <w:bookmarkEnd w:id="25"/>
  </w:p>
  <w:bookmarkEnd w:id="26"/>
  <w:p w14:paraId="3CD769CC" w14:textId="7B506255" w:rsidR="00765614" w:rsidRPr="00866FCF" w:rsidRDefault="00765614" w:rsidP="00BD53AC">
    <w:pPr>
      <w:tabs>
        <w:tab w:val="center" w:pos="4153"/>
        <w:tab w:val="right" w:pos="8306"/>
      </w:tabs>
      <w:jc w:val="center"/>
      <w:rPr>
        <w:rFonts w:eastAsia="Times New Roman"/>
      </w:rPr>
    </w:pPr>
    <w:r>
      <w:rPr>
        <w:rFonts w:eastAsia="Times New Roman"/>
      </w:rPr>
      <w:t>Invitation to Tender</w:t>
    </w:r>
  </w:p>
  <w:p w14:paraId="4287248A" w14:textId="1477B71C" w:rsidR="00765614" w:rsidRPr="00074357" w:rsidRDefault="00765614"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765614" w:rsidRDefault="00765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126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18D"/>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08C3"/>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491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B7D32"/>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4641"/>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DA1"/>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79"/>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97BC6"/>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67A7E"/>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65614"/>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5ED9"/>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1B0D"/>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1E"/>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6E34"/>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7EC"/>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062FD"/>
    <w:rsid w:val="00D10BD3"/>
    <w:rsid w:val="00D12A9F"/>
    <w:rsid w:val="00D162F4"/>
    <w:rsid w:val="00D178E0"/>
    <w:rsid w:val="00D21E06"/>
    <w:rsid w:val="00D23214"/>
    <w:rsid w:val="00D2429D"/>
    <w:rsid w:val="00D26721"/>
    <w:rsid w:val="00D32B32"/>
    <w:rsid w:val="00D336B8"/>
    <w:rsid w:val="00D353B7"/>
    <w:rsid w:val="00D35EA3"/>
    <w:rsid w:val="00D36E96"/>
    <w:rsid w:val="00D40471"/>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362D"/>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428723AB"/>
  <w15:docId w15:val="{50E7ED55-ED8F-4B98-9256-045D852A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A9064-846F-4C48-A88D-130CF771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179</TotalTime>
  <Pages>10</Pages>
  <Words>2419</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10</cp:revision>
  <cp:lastPrinted>2016-05-05T11:00:00Z</cp:lastPrinted>
  <dcterms:created xsi:type="dcterms:W3CDTF">2019-01-07T10:00:00Z</dcterms:created>
  <dcterms:modified xsi:type="dcterms:W3CDTF">2019-03-14T09:53:00Z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