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819" w:rsidRPr="00E46CE9" w:rsidRDefault="008017C3" w:rsidP="00AA3FB1">
      <w:pPr>
        <w:rPr>
          <w:rFonts w:ascii="Arial" w:hAnsi="Arial" w:cs="Arial"/>
          <w:b/>
        </w:rPr>
      </w:pPr>
      <w:r w:rsidRPr="00E46CE9">
        <w:rPr>
          <w:rFonts w:ascii="Arial" w:hAnsi="Arial" w:cs="Arial"/>
          <w:b/>
        </w:rPr>
        <w:t xml:space="preserve">TIMETABLE CLARIFICATION AND EXTENSION </w:t>
      </w:r>
    </w:p>
    <w:p w:rsidR="00AA3FB1" w:rsidRPr="00E46CE9" w:rsidRDefault="00163EBD" w:rsidP="00AA3FB1">
      <w:pPr>
        <w:rPr>
          <w:rFonts w:ascii="Arial" w:eastAsia="Times New Roman" w:hAnsi="Arial" w:cs="Arial"/>
          <w:lang w:eastAsia="en-GB"/>
        </w:rPr>
      </w:pPr>
      <w:r w:rsidRPr="00E46CE9">
        <w:rPr>
          <w:rFonts w:ascii="Arial" w:hAnsi="Arial" w:cs="Arial"/>
        </w:rPr>
        <w:t>Please see the updated procurement timetable.  Please note the extension to the clarification period, new Tender return date and the new contract start date</w:t>
      </w:r>
      <w:r w:rsidR="00AA3FB1" w:rsidRPr="00E46CE9">
        <w:rPr>
          <w:rFonts w:ascii="Arial" w:hAnsi="Arial" w:cs="Arial"/>
        </w:rPr>
        <w:t xml:space="preserve">. </w:t>
      </w:r>
      <w:r w:rsidRPr="00E46CE9">
        <w:rPr>
          <w:rFonts w:ascii="Arial" w:hAnsi="Arial" w:cs="Arial"/>
        </w:rPr>
        <w:t xml:space="preserve">  </w:t>
      </w:r>
      <w:r w:rsidR="00AA3FB1" w:rsidRPr="00E46CE9">
        <w:rPr>
          <w:rFonts w:ascii="Arial" w:eastAsia="Times New Roman" w:hAnsi="Arial" w:cs="Arial"/>
          <w:lang w:eastAsia="en-GB"/>
        </w:rPr>
        <w:t xml:space="preserve"> Assume contract starts 1 July 2015 and ends 30 June 2020</w:t>
      </w:r>
    </w:p>
    <w:p w:rsidR="00365243" w:rsidRDefault="00E04A0A"/>
    <w:p w:rsidR="00163EBD" w:rsidRDefault="00163EBD"/>
    <w:tbl>
      <w:tblPr>
        <w:tblW w:w="7800" w:type="dxa"/>
        <w:tblInd w:w="1242" w:type="dxa"/>
        <w:tblCellMar>
          <w:left w:w="0" w:type="dxa"/>
          <w:right w:w="0" w:type="dxa"/>
        </w:tblCellMar>
        <w:tblLook w:val="04A0" w:firstRow="1" w:lastRow="0" w:firstColumn="1" w:lastColumn="0" w:noHBand="0" w:noVBand="1"/>
      </w:tblPr>
      <w:tblGrid>
        <w:gridCol w:w="4680"/>
        <w:gridCol w:w="3120"/>
      </w:tblGrid>
      <w:tr w:rsidR="00163EBD" w:rsidRPr="00163EBD" w:rsidTr="00163EBD">
        <w:trPr>
          <w:cantSplit/>
          <w:trHeight w:val="177"/>
          <w:tblHeader/>
        </w:trPr>
        <w:tc>
          <w:tcPr>
            <w:tcW w:w="4678"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163EBD" w:rsidRPr="00163EBD" w:rsidRDefault="00163EBD" w:rsidP="00163EBD">
            <w:pPr>
              <w:spacing w:before="120" w:after="120" w:line="177" w:lineRule="atLeast"/>
              <w:ind w:left="74"/>
              <w:rPr>
                <w:rFonts w:ascii="Arial" w:eastAsia="Calibri" w:hAnsi="Arial" w:cs="Arial"/>
                <w:b/>
                <w:bCs/>
                <w:smallCaps/>
                <w:lang w:eastAsia="en-GB"/>
              </w:rPr>
            </w:pPr>
            <w:r w:rsidRPr="00163EBD">
              <w:rPr>
                <w:rFonts w:ascii="Arial" w:eastAsia="Calibri" w:hAnsi="Arial" w:cs="Arial"/>
                <w:b/>
                <w:bCs/>
                <w:smallCaps/>
                <w:lang w:eastAsia="en-GB"/>
              </w:rPr>
              <w:t>Key Actions</w:t>
            </w:r>
          </w:p>
        </w:tc>
        <w:tc>
          <w:tcPr>
            <w:tcW w:w="3119"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163EBD" w:rsidRPr="00163EBD" w:rsidRDefault="00163EBD" w:rsidP="00163EBD">
            <w:pPr>
              <w:spacing w:before="120" w:after="120" w:line="177" w:lineRule="atLeast"/>
              <w:ind w:left="74"/>
              <w:rPr>
                <w:rFonts w:ascii="Arial" w:eastAsia="Calibri" w:hAnsi="Arial" w:cs="Arial"/>
                <w:b/>
                <w:bCs/>
                <w:smallCaps/>
                <w:lang w:eastAsia="en-GB"/>
              </w:rPr>
            </w:pPr>
            <w:r w:rsidRPr="00163EBD">
              <w:rPr>
                <w:rFonts w:ascii="Arial" w:eastAsia="Calibri" w:hAnsi="Arial" w:cs="Arial"/>
                <w:b/>
                <w:bCs/>
                <w:smallCaps/>
                <w:lang w:eastAsia="en-GB"/>
              </w:rPr>
              <w:t>Dates</w:t>
            </w:r>
          </w:p>
        </w:tc>
      </w:tr>
      <w:tr w:rsidR="00163EBD" w:rsidRPr="00163EBD" w:rsidTr="00163EBD">
        <w:trPr>
          <w:cantSplit/>
          <w:trHeight w:val="51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Notice to the Supplement to the Official Journal of the EU issued</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27</w:t>
            </w:r>
            <w:r w:rsidRPr="00163EBD">
              <w:rPr>
                <w:rFonts w:ascii="Arial" w:eastAsia="Calibri" w:hAnsi="Arial" w:cs="Arial"/>
                <w:sz w:val="20"/>
                <w:szCs w:val="20"/>
                <w:vertAlign w:val="superscript"/>
                <w:lang w:eastAsia="en-GB"/>
              </w:rPr>
              <w:t>th</w:t>
            </w:r>
            <w:r w:rsidRPr="00163EBD">
              <w:rPr>
                <w:rFonts w:ascii="Arial" w:eastAsia="Calibri" w:hAnsi="Arial" w:cs="Arial"/>
                <w:sz w:val="20"/>
                <w:szCs w:val="20"/>
                <w:lang w:eastAsia="en-GB"/>
              </w:rPr>
              <w:t xml:space="preserve"> March 2015</w:t>
            </w:r>
          </w:p>
        </w:tc>
      </w:tr>
      <w:tr w:rsidR="00163EBD" w:rsidRPr="00163EBD" w:rsidTr="00163EBD">
        <w:trPr>
          <w:cantSplit/>
          <w:trHeight w:val="51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End of clarification question period</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1</w:t>
            </w:r>
            <w:r w:rsidRPr="00163EBD">
              <w:rPr>
                <w:rFonts w:ascii="Arial" w:eastAsia="Calibri" w:hAnsi="Arial" w:cs="Arial"/>
                <w:sz w:val="20"/>
                <w:szCs w:val="20"/>
                <w:vertAlign w:val="superscript"/>
                <w:lang w:eastAsia="en-GB"/>
              </w:rPr>
              <w:t>st</w:t>
            </w:r>
            <w:r w:rsidRPr="00163EBD">
              <w:rPr>
                <w:rFonts w:ascii="Arial" w:eastAsia="Calibri" w:hAnsi="Arial" w:cs="Arial"/>
                <w:sz w:val="20"/>
                <w:szCs w:val="20"/>
                <w:lang w:eastAsia="en-GB"/>
              </w:rPr>
              <w:t xml:space="preserve"> May 2015, last question submitted 27 April 2015</w:t>
            </w:r>
          </w:p>
        </w:tc>
      </w:tr>
      <w:tr w:rsidR="00163EBD" w:rsidRPr="00163EBD" w:rsidTr="00163EBD">
        <w:trPr>
          <w:cantSplit/>
          <w:trHeight w:val="51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 xml:space="preserve">Tender return date and time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12-Midday BST on 5</w:t>
            </w:r>
            <w:r w:rsidRPr="00163EBD">
              <w:rPr>
                <w:rFonts w:ascii="Arial" w:eastAsia="Calibri" w:hAnsi="Arial" w:cs="Arial"/>
                <w:sz w:val="20"/>
                <w:szCs w:val="20"/>
                <w:vertAlign w:val="superscript"/>
                <w:lang w:eastAsia="en-GB"/>
              </w:rPr>
              <w:t>th</w:t>
            </w:r>
            <w:r w:rsidRPr="00163EBD">
              <w:rPr>
                <w:rFonts w:ascii="Arial" w:eastAsia="Calibri" w:hAnsi="Arial" w:cs="Arial"/>
                <w:sz w:val="20"/>
                <w:szCs w:val="20"/>
                <w:lang w:eastAsia="en-GB"/>
              </w:rPr>
              <w:t xml:space="preserve"> May 2015</w:t>
            </w:r>
          </w:p>
        </w:tc>
      </w:tr>
      <w:tr w:rsidR="00163EBD" w:rsidRPr="00163EBD" w:rsidTr="00163EBD">
        <w:trPr>
          <w:cantSplit/>
          <w:trHeight w:val="51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Tender presentation event</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To be confirmed, expected week of 18</w:t>
            </w:r>
            <w:r w:rsidRPr="00163EBD">
              <w:rPr>
                <w:rFonts w:ascii="Arial" w:eastAsia="Calibri" w:hAnsi="Arial" w:cs="Arial"/>
                <w:sz w:val="20"/>
                <w:szCs w:val="20"/>
                <w:vertAlign w:val="superscript"/>
                <w:lang w:eastAsia="en-GB"/>
              </w:rPr>
              <w:t>th</w:t>
            </w:r>
            <w:r w:rsidRPr="00163EBD">
              <w:rPr>
                <w:rFonts w:ascii="Arial" w:eastAsia="Calibri" w:hAnsi="Arial" w:cs="Arial"/>
                <w:sz w:val="20"/>
                <w:szCs w:val="20"/>
                <w:lang w:eastAsia="en-GB"/>
              </w:rPr>
              <w:t xml:space="preserve"> May 2015</w:t>
            </w:r>
          </w:p>
        </w:tc>
      </w:tr>
      <w:tr w:rsidR="00163EBD" w:rsidRPr="00163EBD" w:rsidTr="00163EBD">
        <w:trPr>
          <w:cantSplit/>
          <w:trHeight w:val="51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Notification to unsuccessful and preferred Tenderers</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Expected, 27</w:t>
            </w:r>
            <w:r w:rsidRPr="00163EBD">
              <w:rPr>
                <w:rFonts w:ascii="Arial" w:eastAsia="Calibri" w:hAnsi="Arial" w:cs="Arial"/>
                <w:sz w:val="20"/>
                <w:szCs w:val="20"/>
                <w:vertAlign w:val="superscript"/>
                <w:lang w:eastAsia="en-GB"/>
              </w:rPr>
              <w:t>th</w:t>
            </w:r>
            <w:r w:rsidRPr="00163EBD">
              <w:rPr>
                <w:rFonts w:ascii="Arial" w:eastAsia="Calibri" w:hAnsi="Arial" w:cs="Arial"/>
                <w:sz w:val="20"/>
                <w:szCs w:val="20"/>
                <w:lang w:eastAsia="en-GB"/>
              </w:rPr>
              <w:t xml:space="preserve"> May 2015</w:t>
            </w:r>
          </w:p>
        </w:tc>
      </w:tr>
      <w:tr w:rsidR="00163EBD" w:rsidRPr="00163EBD" w:rsidTr="00163EBD">
        <w:trPr>
          <w:cantSplit/>
          <w:trHeight w:val="51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End of mandatory standstill (Alcatel) period</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Expected, 8</w:t>
            </w:r>
            <w:r w:rsidRPr="00163EBD">
              <w:rPr>
                <w:rFonts w:ascii="Arial" w:eastAsia="Calibri" w:hAnsi="Arial" w:cs="Arial"/>
                <w:sz w:val="20"/>
                <w:szCs w:val="20"/>
                <w:vertAlign w:val="superscript"/>
                <w:lang w:eastAsia="en-GB"/>
              </w:rPr>
              <w:t>th</w:t>
            </w:r>
            <w:r w:rsidRPr="00163EBD">
              <w:rPr>
                <w:rFonts w:ascii="Arial" w:eastAsia="Calibri" w:hAnsi="Arial" w:cs="Arial"/>
                <w:sz w:val="20"/>
                <w:szCs w:val="20"/>
                <w:lang w:eastAsia="en-GB"/>
              </w:rPr>
              <w:t xml:space="preserve"> June 2015</w:t>
            </w:r>
          </w:p>
        </w:tc>
      </w:tr>
      <w:tr w:rsidR="00163EBD" w:rsidRPr="00163EBD" w:rsidTr="001B1B62">
        <w:trPr>
          <w:cantSplit/>
          <w:trHeight w:val="1361"/>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r w:rsidRPr="00163EBD">
              <w:rPr>
                <w:rFonts w:ascii="Arial" w:eastAsia="Calibri" w:hAnsi="Arial" w:cs="Arial"/>
                <w:sz w:val="20"/>
                <w:szCs w:val="20"/>
                <w:lang w:eastAsia="en-GB"/>
              </w:rPr>
              <w:t>Contract work starts</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445" w:rsidRPr="00E46CE9" w:rsidRDefault="00163EBD" w:rsidP="00897445">
            <w:pPr>
              <w:rPr>
                <w:rFonts w:ascii="Arial" w:eastAsia="Times New Roman" w:hAnsi="Arial" w:cs="Arial"/>
                <w:lang w:eastAsia="en-GB"/>
              </w:rPr>
            </w:pPr>
            <w:r w:rsidRPr="00163EBD">
              <w:rPr>
                <w:rFonts w:ascii="Arial" w:eastAsia="Calibri" w:hAnsi="Arial" w:cs="Arial"/>
                <w:sz w:val="20"/>
                <w:szCs w:val="20"/>
                <w:lang w:eastAsia="en-GB"/>
              </w:rPr>
              <w:t>As soon after 9</w:t>
            </w:r>
            <w:r w:rsidRPr="00163EBD">
              <w:rPr>
                <w:rFonts w:ascii="Arial" w:eastAsia="Calibri" w:hAnsi="Arial" w:cs="Arial"/>
                <w:sz w:val="20"/>
                <w:szCs w:val="20"/>
                <w:vertAlign w:val="superscript"/>
                <w:lang w:eastAsia="en-GB"/>
              </w:rPr>
              <w:t>th</w:t>
            </w:r>
            <w:r w:rsidRPr="00163EBD">
              <w:rPr>
                <w:rFonts w:ascii="Arial" w:eastAsia="Calibri" w:hAnsi="Arial" w:cs="Arial"/>
                <w:sz w:val="20"/>
                <w:szCs w:val="20"/>
                <w:lang w:eastAsia="en-GB"/>
              </w:rPr>
              <w:t xml:space="preserve"> June 2015 as reasonably practicable.</w:t>
            </w:r>
            <w:r w:rsidR="00897445">
              <w:rPr>
                <w:rFonts w:ascii="Arial" w:eastAsia="Calibri" w:hAnsi="Arial" w:cs="Arial"/>
                <w:sz w:val="20"/>
                <w:szCs w:val="20"/>
                <w:lang w:eastAsia="en-GB"/>
              </w:rPr>
              <w:t xml:space="preserve"> </w:t>
            </w:r>
          </w:p>
          <w:p w:rsidR="00163EBD" w:rsidRPr="00163EBD" w:rsidRDefault="00163EBD" w:rsidP="00163EBD">
            <w:pPr>
              <w:autoSpaceDE w:val="0"/>
              <w:autoSpaceDN w:val="0"/>
              <w:spacing w:before="40" w:after="40" w:line="240" w:lineRule="auto"/>
              <w:ind w:right="130"/>
              <w:rPr>
                <w:rFonts w:ascii="Arial" w:eastAsia="Calibri" w:hAnsi="Arial" w:cs="Arial"/>
                <w:sz w:val="20"/>
                <w:szCs w:val="20"/>
                <w:lang w:eastAsia="en-GB"/>
              </w:rPr>
            </w:pPr>
          </w:p>
        </w:tc>
      </w:tr>
    </w:tbl>
    <w:p w:rsidR="00163EBD" w:rsidRDefault="00163EBD"/>
    <w:p w:rsidR="008C37F8" w:rsidRDefault="008C37F8"/>
    <w:p w:rsidR="00950E69" w:rsidRPr="00950E69" w:rsidRDefault="006F7DD6" w:rsidP="008C37F8">
      <w:pPr>
        <w:pStyle w:val="SIXH2"/>
        <w:numPr>
          <w:ilvl w:val="0"/>
          <w:numId w:val="0"/>
        </w:numPr>
        <w:ind w:left="142"/>
        <w:rPr>
          <w:b/>
        </w:rPr>
      </w:pPr>
      <w:r>
        <w:rPr>
          <w:b/>
        </w:rPr>
        <w:t xml:space="preserve">PRICE </w:t>
      </w:r>
      <w:r w:rsidR="000705EB">
        <w:rPr>
          <w:b/>
        </w:rPr>
        <w:t>EVALU</w:t>
      </w:r>
      <w:r w:rsidR="008017C3">
        <w:rPr>
          <w:b/>
        </w:rPr>
        <w:t>A</w:t>
      </w:r>
      <w:r w:rsidR="000705EB">
        <w:rPr>
          <w:b/>
        </w:rPr>
        <w:t xml:space="preserve">TION CLARIFICATION </w:t>
      </w:r>
    </w:p>
    <w:p w:rsidR="00950E69" w:rsidRDefault="00950E69" w:rsidP="008C37F8">
      <w:pPr>
        <w:pStyle w:val="SIXH2"/>
        <w:numPr>
          <w:ilvl w:val="0"/>
          <w:numId w:val="0"/>
        </w:numPr>
        <w:ind w:left="142"/>
      </w:pPr>
    </w:p>
    <w:p w:rsidR="00950E69" w:rsidRDefault="00950E69" w:rsidP="008C37F8">
      <w:pPr>
        <w:pStyle w:val="SIXH2"/>
        <w:numPr>
          <w:ilvl w:val="0"/>
          <w:numId w:val="0"/>
        </w:numPr>
        <w:ind w:left="142"/>
      </w:pPr>
      <w:r>
        <w:t xml:space="preserve">In the Invitation to Tender Part A – Instructions on page 18 </w:t>
      </w:r>
      <w:r w:rsidRPr="00950E69">
        <w:rPr>
          <w:i/>
        </w:rPr>
        <w:t>Section</w:t>
      </w:r>
      <w:r w:rsidR="008A2613">
        <w:rPr>
          <w:i/>
        </w:rPr>
        <w:t xml:space="preserve"> </w:t>
      </w:r>
      <w:r w:rsidR="008A2613" w:rsidRPr="008A2613">
        <w:rPr>
          <w:i/>
        </w:rPr>
        <w:t>Three Evaluation Methodology &amp; Criteria</w:t>
      </w:r>
      <w:r w:rsidRPr="008A2613">
        <w:rPr>
          <w:i/>
        </w:rPr>
        <w:t xml:space="preserve"> </w:t>
      </w:r>
      <w:r w:rsidR="008A2613" w:rsidRPr="008A2613">
        <w:rPr>
          <w:i/>
        </w:rPr>
        <w:t xml:space="preserve">point </w:t>
      </w:r>
      <w:r w:rsidRPr="008A2613">
        <w:rPr>
          <w:i/>
        </w:rPr>
        <w:t>6. Proposal Assessment Bidders</w:t>
      </w:r>
      <w:r w:rsidR="008C37F8" w:rsidRPr="008A2613">
        <w:rPr>
          <w:i/>
        </w:rPr>
        <w:t xml:space="preserve"> </w:t>
      </w:r>
      <w:r w:rsidR="00436819" w:rsidRPr="008A2613">
        <w:rPr>
          <w:i/>
        </w:rPr>
        <w:t>attention is</w:t>
      </w:r>
      <w:r w:rsidR="00436819">
        <w:t xml:space="preserve"> drawn to</w:t>
      </w:r>
      <w:r>
        <w:t xml:space="preserve"> point 6.3 where the text says:</w:t>
      </w:r>
    </w:p>
    <w:p w:rsidR="00950E69" w:rsidRDefault="00950E69" w:rsidP="008C37F8">
      <w:pPr>
        <w:pStyle w:val="SIXH2"/>
        <w:numPr>
          <w:ilvl w:val="0"/>
          <w:numId w:val="0"/>
        </w:numPr>
        <w:ind w:left="142"/>
      </w:pPr>
    </w:p>
    <w:p w:rsidR="008C37F8" w:rsidRDefault="00950E69" w:rsidP="008C37F8">
      <w:pPr>
        <w:pStyle w:val="SIXH2"/>
        <w:numPr>
          <w:ilvl w:val="0"/>
          <w:numId w:val="0"/>
        </w:numPr>
        <w:ind w:left="142"/>
      </w:pPr>
      <w:r>
        <w:t>“</w:t>
      </w:r>
      <w:r w:rsidR="008C37F8">
        <w:t xml:space="preserve">Price is scored as a percentage from the deviation of a Tenderer’s Evaluation Price from the mean (or average) Evaluation Price (see Section </w:t>
      </w:r>
      <w:r w:rsidR="008C37F8">
        <w:fldChar w:fldCharType="begin"/>
      </w:r>
      <w:r w:rsidR="008C37F8">
        <w:instrText xml:space="preserve"> REF _Ref358305307 \r \h </w:instrText>
      </w:r>
      <w:r w:rsidR="008C37F8">
        <w:fldChar w:fldCharType="separate"/>
      </w:r>
      <w:r w:rsidR="008C37F8">
        <w:t>8</w:t>
      </w:r>
      <w:r w:rsidR="008C37F8">
        <w:fldChar w:fldCharType="end"/>
      </w:r>
      <w:r w:rsidR="008C37F8">
        <w:t xml:space="preserve"> – Price Evaluation)</w:t>
      </w:r>
      <w:r>
        <w:t>”</w:t>
      </w:r>
    </w:p>
    <w:p w:rsidR="00950E69" w:rsidRDefault="00950E69" w:rsidP="008C37F8">
      <w:pPr>
        <w:pStyle w:val="SIXH2"/>
        <w:numPr>
          <w:ilvl w:val="0"/>
          <w:numId w:val="0"/>
        </w:numPr>
        <w:ind w:left="142"/>
      </w:pPr>
    </w:p>
    <w:p w:rsidR="008A2613" w:rsidRDefault="00950E69" w:rsidP="008C37F8">
      <w:pPr>
        <w:pStyle w:val="SIXH2"/>
        <w:numPr>
          <w:ilvl w:val="0"/>
          <w:numId w:val="0"/>
        </w:numPr>
        <w:ind w:left="142"/>
      </w:pPr>
      <w:r>
        <w:t xml:space="preserve">The Authority wishes to clarify this sentence and advise bidders that </w:t>
      </w:r>
      <w:r w:rsidR="00D96650">
        <w:t>“the mean (or average)</w:t>
      </w:r>
      <w:r w:rsidR="00752203">
        <w:t xml:space="preserve"> Evaluation Price</w:t>
      </w:r>
      <w:r w:rsidR="00D96650">
        <w:t xml:space="preserve">” should be replaced by </w:t>
      </w:r>
      <w:r w:rsidR="00752203">
        <w:t xml:space="preserve">“lowest Evaluation Price”, to ensure that it is in line with </w:t>
      </w:r>
      <w:r w:rsidR="008A2613">
        <w:t>point 8. Price Evaluation</w:t>
      </w:r>
      <w:r w:rsidR="00D2794A">
        <w:t>, on page 23</w:t>
      </w:r>
      <w:r w:rsidR="00FD0C27">
        <w:t xml:space="preserve"> copied below </w:t>
      </w:r>
      <w:r w:rsidR="008A2613">
        <w:t>in particular point 8.4:</w:t>
      </w:r>
    </w:p>
    <w:p w:rsidR="008A2613" w:rsidRDefault="008A2613" w:rsidP="008C37F8">
      <w:pPr>
        <w:pStyle w:val="SIXH2"/>
        <w:numPr>
          <w:ilvl w:val="0"/>
          <w:numId w:val="0"/>
        </w:numPr>
        <w:ind w:left="142"/>
      </w:pPr>
    </w:p>
    <w:p w:rsidR="00AB7291" w:rsidRDefault="007C0026" w:rsidP="00AB7291">
      <w:pPr>
        <w:keepNext/>
        <w:tabs>
          <w:tab w:val="num" w:pos="709"/>
          <w:tab w:val="num" w:pos="1440"/>
        </w:tabs>
        <w:spacing w:before="120" w:after="120" w:line="240" w:lineRule="auto"/>
        <w:ind w:left="709" w:hanging="709"/>
        <w:jc w:val="both"/>
        <w:rPr>
          <w:rFonts w:ascii="Arial Bold" w:eastAsia="Times New Roman" w:hAnsi="Arial Bold" w:cs="Arial"/>
          <w:b/>
          <w:bCs/>
          <w:smallCaps/>
          <w:sz w:val="24"/>
          <w:szCs w:val="20"/>
        </w:rPr>
      </w:pPr>
      <w:bookmarkStart w:id="0" w:name="_Ref358305307"/>
      <w:r>
        <w:rPr>
          <w:rFonts w:ascii="Arial Bold" w:eastAsia="Times New Roman" w:hAnsi="Arial Bold" w:cs="Arial"/>
          <w:b/>
          <w:bCs/>
          <w:smallCaps/>
          <w:sz w:val="24"/>
          <w:szCs w:val="20"/>
        </w:rPr>
        <w:lastRenderedPageBreak/>
        <w:t xml:space="preserve">8. </w:t>
      </w:r>
      <w:r w:rsidR="00FD0C27" w:rsidRPr="00FD0C27">
        <w:rPr>
          <w:rFonts w:ascii="Arial Bold" w:eastAsia="Times New Roman" w:hAnsi="Arial Bold" w:cs="Arial"/>
          <w:b/>
          <w:bCs/>
          <w:smallCaps/>
          <w:sz w:val="24"/>
          <w:szCs w:val="20"/>
        </w:rPr>
        <w:t>Price evaluation</w:t>
      </w:r>
      <w:bookmarkEnd w:id="0"/>
    </w:p>
    <w:p w:rsidR="00FD0C27" w:rsidRPr="00FD0C27" w:rsidRDefault="00AB7291" w:rsidP="00AB7291">
      <w:pPr>
        <w:keepNext/>
        <w:tabs>
          <w:tab w:val="num" w:pos="0"/>
          <w:tab w:val="num" w:pos="1440"/>
        </w:tabs>
        <w:spacing w:before="120" w:after="120" w:line="240" w:lineRule="auto"/>
        <w:jc w:val="both"/>
        <w:rPr>
          <w:rFonts w:ascii="Arial Bold" w:eastAsia="Times New Roman" w:hAnsi="Arial Bold" w:cs="Arial"/>
          <w:b/>
          <w:bCs/>
          <w:smallCaps/>
          <w:sz w:val="24"/>
          <w:szCs w:val="20"/>
        </w:rPr>
      </w:pPr>
      <w:r>
        <w:rPr>
          <w:rFonts w:ascii="Arial" w:eastAsia="Times New Roman" w:hAnsi="Arial" w:cs="Arial"/>
          <w:szCs w:val="20"/>
        </w:rPr>
        <w:t xml:space="preserve">8.1 </w:t>
      </w:r>
      <w:r w:rsidR="00FD0C27" w:rsidRPr="00FD0C27">
        <w:rPr>
          <w:rFonts w:ascii="Arial" w:eastAsia="Times New Roman" w:hAnsi="Arial" w:cs="Arial"/>
          <w:szCs w:val="20"/>
        </w:rPr>
        <w:t>The price evaluation is carried out using the Evaluation Price (EP) for each Tenderer proposal.  The Evaluation Price is the method by which Tenderer proposals are assessed on a like-for-like basis.</w:t>
      </w:r>
    </w:p>
    <w:p w:rsidR="00AB7291" w:rsidRDefault="00AB7291" w:rsidP="00FD0C27">
      <w:pPr>
        <w:numPr>
          <w:ilvl w:val="1"/>
          <w:numId w:val="0"/>
        </w:numPr>
        <w:tabs>
          <w:tab w:val="left" w:pos="851"/>
          <w:tab w:val="num" w:pos="1440"/>
        </w:tabs>
        <w:spacing w:before="60" w:after="60" w:line="240" w:lineRule="auto"/>
        <w:ind w:left="851" w:hanging="709"/>
        <w:jc w:val="both"/>
        <w:rPr>
          <w:rFonts w:ascii="Arial" w:eastAsia="Times New Roman" w:hAnsi="Arial" w:cs="Arial"/>
          <w:szCs w:val="20"/>
        </w:rPr>
      </w:pPr>
    </w:p>
    <w:p w:rsidR="0055543C" w:rsidRDefault="0055543C" w:rsidP="00FD0C27">
      <w:pPr>
        <w:numPr>
          <w:ilvl w:val="1"/>
          <w:numId w:val="0"/>
        </w:numPr>
        <w:tabs>
          <w:tab w:val="left" w:pos="851"/>
          <w:tab w:val="num" w:pos="1440"/>
        </w:tabs>
        <w:spacing w:before="60" w:after="60" w:line="240" w:lineRule="auto"/>
        <w:ind w:left="851" w:hanging="709"/>
        <w:jc w:val="both"/>
        <w:rPr>
          <w:rFonts w:ascii="Arial" w:eastAsia="Times New Roman" w:hAnsi="Arial" w:cs="Arial"/>
          <w:szCs w:val="20"/>
        </w:rPr>
      </w:pPr>
    </w:p>
    <w:p w:rsidR="00FD0C27" w:rsidRPr="00FD0C27" w:rsidRDefault="00AB7291" w:rsidP="00FD0C27">
      <w:pPr>
        <w:numPr>
          <w:ilvl w:val="1"/>
          <w:numId w:val="0"/>
        </w:numPr>
        <w:tabs>
          <w:tab w:val="left" w:pos="851"/>
          <w:tab w:val="num" w:pos="1440"/>
        </w:tabs>
        <w:spacing w:before="60" w:after="60" w:line="240" w:lineRule="auto"/>
        <w:ind w:left="851" w:hanging="709"/>
        <w:jc w:val="both"/>
        <w:rPr>
          <w:rFonts w:ascii="Arial" w:eastAsia="Times New Roman" w:hAnsi="Arial" w:cs="Arial"/>
          <w:szCs w:val="20"/>
        </w:rPr>
      </w:pPr>
      <w:r>
        <w:rPr>
          <w:rFonts w:ascii="Arial" w:eastAsia="Times New Roman" w:hAnsi="Arial" w:cs="Arial"/>
          <w:szCs w:val="20"/>
        </w:rPr>
        <w:t xml:space="preserve">8.2 </w:t>
      </w:r>
      <w:r w:rsidR="00FD0C27" w:rsidRPr="00FD0C27">
        <w:rPr>
          <w:rFonts w:ascii="Arial" w:eastAsia="Times New Roman" w:hAnsi="Arial" w:cs="Arial"/>
          <w:szCs w:val="20"/>
        </w:rPr>
        <w:t xml:space="preserve">EP is calculated as follows: </w:t>
      </w:r>
    </w:p>
    <w:p w:rsidR="00FD0C27" w:rsidRPr="00AB7291" w:rsidRDefault="00FD0C27" w:rsidP="00AB7291">
      <w:pPr>
        <w:pStyle w:val="ListParagraph"/>
        <w:numPr>
          <w:ilvl w:val="0"/>
          <w:numId w:val="3"/>
        </w:numPr>
        <w:tabs>
          <w:tab w:val="num" w:pos="1701"/>
        </w:tabs>
        <w:spacing w:before="20" w:after="20" w:line="240" w:lineRule="auto"/>
        <w:jc w:val="both"/>
        <w:rPr>
          <w:rFonts w:ascii="Arial" w:eastAsia="Times New Roman" w:hAnsi="Arial" w:cs="Arial"/>
          <w:bCs/>
        </w:rPr>
      </w:pPr>
      <w:r w:rsidRPr="00AB7291">
        <w:rPr>
          <w:rFonts w:ascii="Arial" w:eastAsia="Times New Roman" w:hAnsi="Arial" w:cs="Arial"/>
        </w:rPr>
        <w:t>Total cost over the life of the contract</w:t>
      </w:r>
      <w:r w:rsidRPr="00AB7291">
        <w:rPr>
          <w:rFonts w:ascii="Arial" w:eastAsia="Times New Roman" w:hAnsi="Arial" w:cs="Arial"/>
          <w:bCs/>
        </w:rPr>
        <w:t>.</w:t>
      </w:r>
    </w:p>
    <w:p w:rsidR="00FD0C27" w:rsidRPr="00FD0C27" w:rsidRDefault="00FD0C27" w:rsidP="00FD0C27">
      <w:pPr>
        <w:spacing w:after="0" w:line="240" w:lineRule="auto"/>
        <w:ind w:left="851"/>
        <w:rPr>
          <w:rFonts w:ascii="Arial" w:eastAsia="Times New Roman" w:hAnsi="Arial" w:cs="Arial"/>
          <w:szCs w:val="20"/>
        </w:rPr>
      </w:pPr>
    </w:p>
    <w:p w:rsidR="00FD0C27" w:rsidRPr="00FD0C27" w:rsidRDefault="00AB7291" w:rsidP="00AB7291">
      <w:pPr>
        <w:numPr>
          <w:ilvl w:val="1"/>
          <w:numId w:val="0"/>
        </w:numPr>
        <w:tabs>
          <w:tab w:val="left" w:pos="851"/>
          <w:tab w:val="num" w:pos="1440"/>
        </w:tabs>
        <w:spacing w:before="60" w:after="60" w:line="240" w:lineRule="auto"/>
        <w:ind w:left="142"/>
        <w:jc w:val="both"/>
        <w:rPr>
          <w:rFonts w:ascii="Arial" w:eastAsia="Times New Roman" w:hAnsi="Arial" w:cs="Arial"/>
          <w:szCs w:val="20"/>
        </w:rPr>
      </w:pPr>
      <w:bookmarkStart w:id="1" w:name="_Ref358306907"/>
      <w:r>
        <w:rPr>
          <w:rFonts w:ascii="Arial" w:eastAsia="Times New Roman" w:hAnsi="Arial" w:cs="Arial"/>
          <w:szCs w:val="20"/>
        </w:rPr>
        <w:t xml:space="preserve">8.3 </w:t>
      </w:r>
      <w:r w:rsidR="00FD0C27" w:rsidRPr="00FD0C27">
        <w:rPr>
          <w:rFonts w:ascii="Arial" w:eastAsia="Times New Roman" w:hAnsi="Arial" w:cs="Arial"/>
          <w:szCs w:val="20"/>
        </w:rPr>
        <w:t>To be eligible for consideration under the Price Evaluation assessment, the EP for a Tenderer shall not exceed £9,000,000</w:t>
      </w:r>
      <w:bookmarkEnd w:id="1"/>
    </w:p>
    <w:p w:rsidR="00AB7291" w:rsidRDefault="00AB7291" w:rsidP="00FD0C27">
      <w:pPr>
        <w:numPr>
          <w:ilvl w:val="1"/>
          <w:numId w:val="0"/>
        </w:numPr>
        <w:tabs>
          <w:tab w:val="left" w:pos="851"/>
          <w:tab w:val="num" w:pos="1440"/>
        </w:tabs>
        <w:spacing w:before="60" w:after="60" w:line="240" w:lineRule="auto"/>
        <w:ind w:left="851" w:hanging="709"/>
        <w:jc w:val="both"/>
        <w:rPr>
          <w:rFonts w:ascii="Arial" w:eastAsia="Times New Roman" w:hAnsi="Arial" w:cs="Arial"/>
          <w:szCs w:val="20"/>
        </w:rPr>
      </w:pPr>
    </w:p>
    <w:p w:rsidR="00FD0C27" w:rsidRPr="00FD0C27" w:rsidRDefault="00AB7291" w:rsidP="00FD0C27">
      <w:pPr>
        <w:numPr>
          <w:ilvl w:val="1"/>
          <w:numId w:val="0"/>
        </w:numPr>
        <w:tabs>
          <w:tab w:val="left" w:pos="851"/>
          <w:tab w:val="num" w:pos="1440"/>
        </w:tabs>
        <w:spacing w:before="60" w:after="60" w:line="240" w:lineRule="auto"/>
        <w:ind w:left="851" w:hanging="709"/>
        <w:jc w:val="both"/>
        <w:rPr>
          <w:rFonts w:ascii="Arial" w:eastAsia="Times New Roman" w:hAnsi="Arial" w:cs="Arial"/>
          <w:szCs w:val="20"/>
        </w:rPr>
      </w:pPr>
      <w:r>
        <w:rPr>
          <w:rFonts w:ascii="Arial" w:eastAsia="Times New Roman" w:hAnsi="Arial" w:cs="Arial"/>
          <w:szCs w:val="20"/>
        </w:rPr>
        <w:t xml:space="preserve">8.4 </w:t>
      </w:r>
      <w:r w:rsidR="00FD0C27" w:rsidRPr="00FD0C27">
        <w:rPr>
          <w:rFonts w:ascii="Arial" w:eastAsia="Times New Roman" w:hAnsi="Arial" w:cs="Arial"/>
          <w:szCs w:val="20"/>
        </w:rPr>
        <w:t>Once the EP is calculated, the following steps are taken:</w:t>
      </w:r>
    </w:p>
    <w:p w:rsidR="00FD0C27" w:rsidRPr="00FD0C27" w:rsidRDefault="00FD0C27" w:rsidP="00FD0C27">
      <w:pPr>
        <w:numPr>
          <w:ilvl w:val="0"/>
          <w:numId w:val="2"/>
        </w:numPr>
        <w:tabs>
          <w:tab w:val="num" w:pos="1701"/>
        </w:tabs>
        <w:spacing w:before="20" w:after="20" w:line="240" w:lineRule="auto"/>
        <w:ind w:left="1701" w:hanging="567"/>
        <w:jc w:val="both"/>
        <w:rPr>
          <w:rFonts w:ascii="Arial" w:eastAsia="Times New Roman" w:hAnsi="Arial" w:cs="Arial"/>
          <w:bCs/>
        </w:rPr>
      </w:pPr>
      <w:r w:rsidRPr="00FD0C27">
        <w:rPr>
          <w:rFonts w:ascii="Arial" w:eastAsia="Times New Roman" w:hAnsi="Arial" w:cs="Arial"/>
          <w:bCs/>
        </w:rPr>
        <w:t xml:space="preserve">The lowest EP from the Tenderers that have achieved the required technical/quality threshold identified in paragraph </w:t>
      </w:r>
      <w:r w:rsidRPr="00FD0C27">
        <w:rPr>
          <w:rFonts w:ascii="Arial" w:eastAsia="Times New Roman" w:hAnsi="Arial" w:cs="Arial"/>
          <w:bCs/>
        </w:rPr>
        <w:fldChar w:fldCharType="begin"/>
      </w:r>
      <w:r w:rsidRPr="00FD0C27">
        <w:rPr>
          <w:rFonts w:ascii="Arial" w:eastAsia="Times New Roman" w:hAnsi="Arial" w:cs="Arial"/>
          <w:bCs/>
        </w:rPr>
        <w:instrText xml:space="preserve"> REF _Ref305427588 \r \h  \* MERGEFORMAT </w:instrText>
      </w:r>
      <w:r w:rsidRPr="00FD0C27">
        <w:rPr>
          <w:rFonts w:ascii="Arial" w:eastAsia="Times New Roman" w:hAnsi="Arial" w:cs="Arial"/>
          <w:bCs/>
        </w:rPr>
      </w:r>
      <w:r w:rsidRPr="00FD0C27">
        <w:rPr>
          <w:rFonts w:ascii="Arial" w:eastAsia="Times New Roman" w:hAnsi="Arial" w:cs="Arial"/>
          <w:bCs/>
        </w:rPr>
        <w:fldChar w:fldCharType="separate"/>
      </w:r>
      <w:r w:rsidRPr="00FD0C27">
        <w:rPr>
          <w:rFonts w:ascii="Arial" w:eastAsia="Times New Roman" w:hAnsi="Arial" w:cs="Arial"/>
          <w:bCs/>
        </w:rPr>
        <w:t>7.4</w:t>
      </w:r>
      <w:r w:rsidRPr="00FD0C27">
        <w:rPr>
          <w:rFonts w:ascii="Arial" w:eastAsia="Times New Roman" w:hAnsi="Arial" w:cs="Arial"/>
          <w:bCs/>
        </w:rPr>
        <w:fldChar w:fldCharType="end"/>
      </w:r>
      <w:r w:rsidRPr="00FD0C27">
        <w:rPr>
          <w:rFonts w:ascii="Arial" w:eastAsia="Times New Roman" w:hAnsi="Arial" w:cs="Arial"/>
          <w:bCs/>
        </w:rPr>
        <w:t xml:space="preserve"> above is identified;</w:t>
      </w:r>
    </w:p>
    <w:p w:rsidR="00FD0C27" w:rsidRPr="00FD0C27" w:rsidRDefault="00FD0C27" w:rsidP="00FD0C27">
      <w:pPr>
        <w:numPr>
          <w:ilvl w:val="0"/>
          <w:numId w:val="2"/>
        </w:numPr>
        <w:tabs>
          <w:tab w:val="num" w:pos="1701"/>
        </w:tabs>
        <w:spacing w:before="20" w:after="20" w:line="240" w:lineRule="auto"/>
        <w:ind w:left="1701" w:hanging="567"/>
        <w:jc w:val="both"/>
        <w:rPr>
          <w:rFonts w:ascii="Arial" w:eastAsia="Times New Roman" w:hAnsi="Arial" w:cs="Arial"/>
          <w:bCs/>
        </w:rPr>
      </w:pPr>
      <w:r w:rsidRPr="00FD0C27">
        <w:rPr>
          <w:rFonts w:ascii="Arial" w:eastAsia="Times New Roman" w:hAnsi="Arial" w:cs="Arial"/>
          <w:bCs/>
        </w:rPr>
        <w:t>The percentage difference between the Tenderer EP and the lowest EP is calculated;</w:t>
      </w:r>
    </w:p>
    <w:p w:rsidR="00FD0C27" w:rsidRPr="00FD0C27" w:rsidRDefault="00FD0C27" w:rsidP="00FD0C27">
      <w:pPr>
        <w:numPr>
          <w:ilvl w:val="0"/>
          <w:numId w:val="2"/>
        </w:numPr>
        <w:tabs>
          <w:tab w:val="num" w:pos="1701"/>
        </w:tabs>
        <w:spacing w:before="20" w:after="20" w:line="240" w:lineRule="auto"/>
        <w:ind w:left="1701" w:hanging="567"/>
        <w:jc w:val="both"/>
        <w:rPr>
          <w:rFonts w:ascii="Arial" w:eastAsia="Times New Roman" w:hAnsi="Arial" w:cs="Arial"/>
          <w:bCs/>
        </w:rPr>
      </w:pPr>
      <w:r w:rsidRPr="00FD0C27">
        <w:rPr>
          <w:rFonts w:ascii="Arial" w:eastAsia="Times New Roman" w:hAnsi="Arial" w:cs="Arial"/>
          <w:bCs/>
        </w:rPr>
        <w:t>The lowest EP is assigned full marks for price i.e. 20%;</w:t>
      </w:r>
    </w:p>
    <w:p w:rsidR="00FD0C27" w:rsidRPr="00FD0C27" w:rsidRDefault="00FD0C27" w:rsidP="00FD0C27">
      <w:pPr>
        <w:numPr>
          <w:ilvl w:val="0"/>
          <w:numId w:val="2"/>
        </w:numPr>
        <w:tabs>
          <w:tab w:val="num" w:pos="1701"/>
        </w:tabs>
        <w:spacing w:before="20" w:after="20" w:line="240" w:lineRule="auto"/>
        <w:ind w:left="1701" w:hanging="567"/>
        <w:jc w:val="both"/>
        <w:rPr>
          <w:rFonts w:ascii="Arial" w:eastAsia="Times New Roman" w:hAnsi="Arial" w:cs="Arial"/>
          <w:bCs/>
        </w:rPr>
      </w:pPr>
      <w:r w:rsidRPr="00FD0C27">
        <w:rPr>
          <w:rFonts w:ascii="Arial" w:eastAsia="Times New Roman" w:hAnsi="Arial" w:cs="Arial"/>
          <w:bCs/>
        </w:rPr>
        <w:t>Other tenderers are awarded a score based on their deviation from that lowest price</w:t>
      </w:r>
    </w:p>
    <w:p w:rsidR="00FD0C27" w:rsidRPr="00FD0C27" w:rsidRDefault="00FD0C27" w:rsidP="00FD0C27">
      <w:pPr>
        <w:numPr>
          <w:ilvl w:val="0"/>
          <w:numId w:val="2"/>
        </w:numPr>
        <w:tabs>
          <w:tab w:val="num" w:pos="1701"/>
        </w:tabs>
        <w:spacing w:before="20" w:after="20" w:line="240" w:lineRule="auto"/>
        <w:ind w:left="1701" w:hanging="567"/>
        <w:jc w:val="both"/>
        <w:rPr>
          <w:rFonts w:ascii="Arial" w:eastAsia="Times New Roman" w:hAnsi="Arial" w:cs="Arial"/>
          <w:bCs/>
        </w:rPr>
      </w:pPr>
      <w:r w:rsidRPr="00FD0C27">
        <w:rPr>
          <w:rFonts w:ascii="Arial" w:eastAsia="Times New Roman" w:hAnsi="Arial" w:cs="Arial"/>
          <w:bCs/>
        </w:rPr>
        <w:t>A worked example is shown below:</w:t>
      </w:r>
    </w:p>
    <w:p w:rsidR="00FD0C27" w:rsidRPr="00FD0C27" w:rsidRDefault="00FD0C27" w:rsidP="00FD0C27">
      <w:pPr>
        <w:tabs>
          <w:tab w:val="left" w:pos="851"/>
        </w:tabs>
        <w:spacing w:after="0" w:line="240" w:lineRule="auto"/>
        <w:ind w:left="2277"/>
        <w:contextualSpacing/>
        <w:rPr>
          <w:rFonts w:ascii="Arial" w:eastAsia="Calibri" w:hAnsi="Arial" w:cs="Arial"/>
          <w:lang w:eastAsia="en-GB"/>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701"/>
        <w:gridCol w:w="1843"/>
        <w:gridCol w:w="2551"/>
        <w:gridCol w:w="1701"/>
      </w:tblGrid>
      <w:tr w:rsidR="00FD0C27" w:rsidRPr="00FD0C27" w:rsidTr="007C1613">
        <w:trPr>
          <w:trHeight w:val="423"/>
        </w:trPr>
        <w:tc>
          <w:tcPr>
            <w:tcW w:w="9639" w:type="dxa"/>
            <w:gridSpan w:val="5"/>
            <w:shd w:val="clear" w:color="auto" w:fill="C6D9F1" w:themeFill="text2" w:themeFillTint="33"/>
            <w:vAlign w:val="center"/>
          </w:tcPr>
          <w:p w:rsidR="00FD0C27" w:rsidRPr="00FD0C27" w:rsidRDefault="00FD0C27" w:rsidP="00FD0C27">
            <w:pPr>
              <w:tabs>
                <w:tab w:val="left" w:pos="954"/>
              </w:tabs>
              <w:spacing w:after="0" w:line="240" w:lineRule="auto"/>
              <w:jc w:val="center"/>
              <w:rPr>
                <w:rFonts w:ascii="Arial" w:eastAsia="Times New Roman" w:hAnsi="Arial" w:cs="Arial"/>
                <w:b/>
              </w:rPr>
            </w:pPr>
            <w:r w:rsidRPr="00FD0C27">
              <w:rPr>
                <w:rFonts w:ascii="Arial" w:eastAsia="Times New Roman" w:hAnsi="Arial" w:cs="Arial"/>
                <w:b/>
              </w:rPr>
              <w:t>Price Scoring Matrix</w:t>
            </w:r>
          </w:p>
        </w:tc>
      </w:tr>
      <w:tr w:rsidR="00FD0C27" w:rsidRPr="00FD0C27" w:rsidTr="007C1613">
        <w:trPr>
          <w:trHeight w:val="2822"/>
        </w:trPr>
        <w:tc>
          <w:tcPr>
            <w:tcW w:w="9639" w:type="dxa"/>
            <w:gridSpan w:val="5"/>
            <w:shd w:val="clear" w:color="auto" w:fill="DBE5F1" w:themeFill="accent1" w:themeFillTint="33"/>
          </w:tcPr>
          <w:p w:rsidR="00FD0C27" w:rsidRPr="00FD0C27" w:rsidRDefault="00FD0C27" w:rsidP="00FD0C27">
            <w:pPr>
              <w:tabs>
                <w:tab w:val="left" w:pos="954"/>
              </w:tabs>
              <w:spacing w:after="0" w:line="240" w:lineRule="auto"/>
              <w:rPr>
                <w:rFonts w:ascii="Arial" w:eastAsia="Times New Roman" w:hAnsi="Arial" w:cs="Arial"/>
                <w:b/>
              </w:rPr>
            </w:pPr>
            <w:r w:rsidRPr="00FD0C27">
              <w:rPr>
                <w:rFonts w:ascii="Arial" w:eastAsia="Times New Roman" w:hAnsi="Arial" w:cs="Arial"/>
                <w:b/>
              </w:rPr>
              <w:t xml:space="preserve">The lowest price submitted by a bidder open to acceptance (having met the selection and evaluation criteria requirements to be considered) shall be divided by the supplier’s price, and then multiplied by the price weighting percentage (40% in this example) to give the supplier’s Price score. </w:t>
            </w:r>
          </w:p>
          <w:p w:rsidR="00FD0C27" w:rsidRPr="00FD0C27" w:rsidRDefault="00FD0C27" w:rsidP="00FD0C27">
            <w:pPr>
              <w:tabs>
                <w:tab w:val="left" w:pos="954"/>
              </w:tabs>
              <w:spacing w:after="0" w:line="240" w:lineRule="auto"/>
              <w:rPr>
                <w:rFonts w:ascii="Arial" w:eastAsia="Times New Roman" w:hAnsi="Arial" w:cs="Arial"/>
              </w:rPr>
            </w:pPr>
          </w:p>
          <w:p w:rsidR="00FD0C27" w:rsidRPr="00FD0C27" w:rsidRDefault="00FD0C27" w:rsidP="00FD0C27">
            <w:pPr>
              <w:tabs>
                <w:tab w:val="left" w:pos="954"/>
              </w:tabs>
              <w:spacing w:after="0" w:line="240" w:lineRule="auto"/>
              <w:rPr>
                <w:rFonts w:ascii="Arial" w:eastAsia="Times New Roman" w:hAnsi="Arial" w:cs="Arial"/>
              </w:rPr>
            </w:pPr>
            <w:r w:rsidRPr="00FD0C27">
              <w:rPr>
                <w:rFonts w:ascii="Arial" w:eastAsia="Times New Roman" w:hAnsi="Arial" w:cs="Arial"/>
              </w:rPr>
              <w:t>(i.e. Lowest price submitted/supplier’s price x Price weighting)</w:t>
            </w:r>
          </w:p>
          <w:p w:rsidR="00FD0C27" w:rsidRPr="00FD0C27" w:rsidRDefault="00FD0C27" w:rsidP="00FD0C27">
            <w:pPr>
              <w:tabs>
                <w:tab w:val="left" w:pos="954"/>
              </w:tabs>
              <w:spacing w:after="0" w:line="240" w:lineRule="auto"/>
              <w:rPr>
                <w:rFonts w:ascii="Arial" w:eastAsia="Times New Roman" w:hAnsi="Arial" w:cs="Arial"/>
              </w:rPr>
            </w:pPr>
          </w:p>
          <w:p w:rsidR="00FD0C27" w:rsidRPr="00FD0C27" w:rsidRDefault="00FD0C27" w:rsidP="00FD0C27">
            <w:pPr>
              <w:tabs>
                <w:tab w:val="left" w:pos="954"/>
              </w:tabs>
              <w:spacing w:after="0" w:line="240" w:lineRule="auto"/>
              <w:rPr>
                <w:rFonts w:ascii="Arial" w:eastAsia="Times New Roman" w:hAnsi="Arial" w:cs="Arial"/>
                <w:b/>
              </w:rPr>
            </w:pPr>
            <w:r w:rsidRPr="00FD0C27">
              <w:rPr>
                <w:rFonts w:ascii="Arial" w:eastAsia="Times New Roman" w:hAnsi="Arial" w:cs="Arial"/>
                <w:b/>
              </w:rPr>
              <w:t xml:space="preserve">This formula only applies to bids received within the financial envelope. </w:t>
            </w:r>
            <w:r w:rsidRPr="00FD0C27">
              <w:rPr>
                <w:rFonts w:ascii="Arial" w:eastAsia="Times New Roman" w:hAnsi="Arial" w:cs="Arial"/>
                <w:b/>
                <w:u w:val="single"/>
              </w:rPr>
              <w:t>Bids with a total cost exceeding the financial envelope will not be considered.</w:t>
            </w:r>
          </w:p>
          <w:p w:rsidR="00FD0C27" w:rsidRPr="00FD0C27" w:rsidRDefault="00FD0C27" w:rsidP="00FD0C27">
            <w:pPr>
              <w:tabs>
                <w:tab w:val="left" w:pos="954"/>
              </w:tabs>
              <w:spacing w:after="0" w:line="240" w:lineRule="auto"/>
              <w:rPr>
                <w:rFonts w:ascii="Arial" w:eastAsia="Times New Roman" w:hAnsi="Arial" w:cs="Arial"/>
              </w:rPr>
            </w:pPr>
          </w:p>
          <w:p w:rsidR="00FD0C27" w:rsidRPr="00FD0C27" w:rsidRDefault="00FD0C27" w:rsidP="00FD0C27">
            <w:pPr>
              <w:tabs>
                <w:tab w:val="left" w:pos="954"/>
              </w:tabs>
              <w:spacing w:after="0" w:line="240" w:lineRule="auto"/>
              <w:rPr>
                <w:rFonts w:ascii="Arial" w:eastAsia="Times New Roman" w:hAnsi="Arial" w:cs="Arial"/>
                <w:bCs/>
              </w:rPr>
            </w:pPr>
            <w:r w:rsidRPr="00FD0C27">
              <w:rPr>
                <w:rFonts w:ascii="Arial" w:eastAsia="Times New Roman" w:hAnsi="Arial" w:cs="Arial"/>
                <w:u w:val="single"/>
              </w:rPr>
              <w:t xml:space="preserve">Examples </w:t>
            </w:r>
            <w:r w:rsidRPr="00FD0C27">
              <w:rPr>
                <w:rFonts w:ascii="Arial" w:eastAsia="Times New Roman" w:hAnsi="Arial" w:cs="Arial"/>
              </w:rPr>
              <w:t>are provided below based on a fictional £100 lowest price submission and a fictional financial envelope of £120. Bidder C has been added to adequately illustrate how the price aspect will be scored.</w:t>
            </w:r>
          </w:p>
        </w:tc>
      </w:tr>
      <w:tr w:rsidR="00FD0C27" w:rsidRPr="00FD0C27" w:rsidTr="007C1613">
        <w:trPr>
          <w:trHeight w:val="910"/>
        </w:trPr>
        <w:tc>
          <w:tcPr>
            <w:tcW w:w="1843" w:type="dxa"/>
            <w:tcBorders>
              <w:righ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Bidder</w:t>
            </w:r>
          </w:p>
        </w:tc>
        <w:tc>
          <w:tcPr>
            <w:tcW w:w="1701" w:type="dxa"/>
            <w:tcBorders>
              <w:lef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Column 1: Lowest price (£)</w:t>
            </w:r>
          </w:p>
        </w:tc>
        <w:tc>
          <w:tcPr>
            <w:tcW w:w="1843" w:type="dxa"/>
            <w:tcBorders>
              <w:righ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Column 2:</w:t>
            </w:r>
          </w:p>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Provider price (£)</w:t>
            </w:r>
          </w:p>
        </w:tc>
        <w:tc>
          <w:tcPr>
            <w:tcW w:w="2551" w:type="dxa"/>
            <w:tcBorders>
              <w:left w:val="single" w:sz="4" w:space="0" w:color="auto"/>
            </w:tcBorders>
            <w:vAlign w:val="center"/>
          </w:tcPr>
          <w:p w:rsidR="00FD0C27" w:rsidRPr="00FD0C27" w:rsidRDefault="00FD0C27" w:rsidP="00FD0C27">
            <w:pPr>
              <w:tabs>
                <w:tab w:val="left" w:pos="1447"/>
              </w:tabs>
              <w:spacing w:after="0" w:line="240" w:lineRule="auto"/>
              <w:jc w:val="center"/>
              <w:rPr>
                <w:rFonts w:ascii="Arial" w:eastAsia="Times New Roman" w:hAnsi="Arial" w:cs="Arial"/>
                <w:bCs/>
              </w:rPr>
            </w:pPr>
            <w:r w:rsidRPr="00FD0C27">
              <w:rPr>
                <w:rFonts w:ascii="Arial" w:eastAsia="Times New Roman" w:hAnsi="Arial" w:cs="Arial"/>
                <w:bCs/>
              </w:rPr>
              <w:t>Divide column 1 by column 2, then  multiply by price weighting 40</w:t>
            </w:r>
          </w:p>
        </w:tc>
        <w:tc>
          <w:tcPr>
            <w:tcW w:w="1701" w:type="dxa"/>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Price score</w:t>
            </w:r>
          </w:p>
        </w:tc>
      </w:tr>
      <w:tr w:rsidR="00FD0C27" w:rsidRPr="00FD0C27" w:rsidTr="007C1613">
        <w:trPr>
          <w:trHeight w:hRule="exact" w:val="340"/>
        </w:trPr>
        <w:tc>
          <w:tcPr>
            <w:tcW w:w="1843" w:type="dxa"/>
            <w:tcBorders>
              <w:righ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A</w:t>
            </w:r>
          </w:p>
        </w:tc>
        <w:tc>
          <w:tcPr>
            <w:tcW w:w="1701" w:type="dxa"/>
            <w:vMerge w:val="restart"/>
            <w:tcBorders>
              <w:lef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100</w:t>
            </w:r>
          </w:p>
        </w:tc>
        <w:tc>
          <w:tcPr>
            <w:tcW w:w="1843" w:type="dxa"/>
            <w:tcBorders>
              <w:righ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100</w:t>
            </w:r>
          </w:p>
        </w:tc>
        <w:tc>
          <w:tcPr>
            <w:tcW w:w="2551" w:type="dxa"/>
            <w:tcBorders>
              <w:lef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1</w:t>
            </w:r>
          </w:p>
        </w:tc>
        <w:tc>
          <w:tcPr>
            <w:tcW w:w="1701" w:type="dxa"/>
            <w:vAlign w:val="center"/>
          </w:tcPr>
          <w:p w:rsidR="00FD0C27" w:rsidRPr="00FD0C27" w:rsidRDefault="00FD0C27" w:rsidP="00FD0C27">
            <w:pPr>
              <w:spacing w:after="0" w:line="240" w:lineRule="auto"/>
              <w:jc w:val="center"/>
              <w:rPr>
                <w:rFonts w:ascii="Arial" w:eastAsia="Times New Roman" w:hAnsi="Arial" w:cs="Arial"/>
              </w:rPr>
            </w:pPr>
            <w:r w:rsidRPr="00FD0C27">
              <w:rPr>
                <w:rFonts w:ascii="Arial" w:eastAsia="Times New Roman" w:hAnsi="Arial" w:cs="Arial"/>
              </w:rPr>
              <w:t>40%</w:t>
            </w:r>
          </w:p>
        </w:tc>
      </w:tr>
      <w:tr w:rsidR="00FD0C27" w:rsidRPr="00FD0C27" w:rsidTr="007C1613">
        <w:trPr>
          <w:trHeight w:hRule="exact" w:val="340"/>
        </w:trPr>
        <w:tc>
          <w:tcPr>
            <w:tcW w:w="1843" w:type="dxa"/>
            <w:tcBorders>
              <w:righ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B</w:t>
            </w:r>
          </w:p>
        </w:tc>
        <w:tc>
          <w:tcPr>
            <w:tcW w:w="1701" w:type="dxa"/>
            <w:vMerge/>
            <w:tcBorders>
              <w:lef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p>
        </w:tc>
        <w:tc>
          <w:tcPr>
            <w:tcW w:w="1843" w:type="dxa"/>
            <w:tcBorders>
              <w:righ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108</w:t>
            </w:r>
          </w:p>
        </w:tc>
        <w:tc>
          <w:tcPr>
            <w:tcW w:w="2551" w:type="dxa"/>
            <w:tcBorders>
              <w:lef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0.93</w:t>
            </w:r>
          </w:p>
        </w:tc>
        <w:tc>
          <w:tcPr>
            <w:tcW w:w="1701" w:type="dxa"/>
            <w:vAlign w:val="center"/>
          </w:tcPr>
          <w:p w:rsidR="00FD0C27" w:rsidRPr="00FD0C27" w:rsidRDefault="00FD0C27" w:rsidP="00FD0C27">
            <w:pPr>
              <w:spacing w:after="0" w:line="240" w:lineRule="auto"/>
              <w:jc w:val="center"/>
              <w:rPr>
                <w:rFonts w:ascii="Arial" w:eastAsia="Times New Roman" w:hAnsi="Arial" w:cs="Arial"/>
              </w:rPr>
            </w:pPr>
            <w:r w:rsidRPr="00FD0C27">
              <w:rPr>
                <w:rFonts w:ascii="Arial" w:eastAsia="Times New Roman" w:hAnsi="Arial" w:cs="Arial"/>
              </w:rPr>
              <w:t>37.2%</w:t>
            </w:r>
          </w:p>
        </w:tc>
      </w:tr>
      <w:tr w:rsidR="00FD0C27" w:rsidRPr="00FD0C27" w:rsidTr="007C1613">
        <w:trPr>
          <w:trHeight w:val="304"/>
        </w:trPr>
        <w:tc>
          <w:tcPr>
            <w:tcW w:w="1843" w:type="dxa"/>
            <w:tcBorders>
              <w:righ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C</w:t>
            </w:r>
          </w:p>
        </w:tc>
        <w:tc>
          <w:tcPr>
            <w:tcW w:w="1701" w:type="dxa"/>
            <w:vMerge/>
            <w:tcBorders>
              <w:lef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p>
        </w:tc>
        <w:tc>
          <w:tcPr>
            <w:tcW w:w="1843" w:type="dxa"/>
            <w:tcBorders>
              <w:righ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125</w:t>
            </w:r>
          </w:p>
        </w:tc>
        <w:tc>
          <w:tcPr>
            <w:tcW w:w="2551" w:type="dxa"/>
            <w:tcBorders>
              <w:left w:val="single" w:sz="4" w:space="0" w:color="auto"/>
            </w:tcBorders>
            <w:vAlign w:val="center"/>
          </w:tcPr>
          <w:p w:rsidR="00FD0C27" w:rsidRPr="00FD0C27" w:rsidRDefault="00FD0C27" w:rsidP="00FD0C27">
            <w:pPr>
              <w:tabs>
                <w:tab w:val="left" w:pos="954"/>
              </w:tabs>
              <w:spacing w:after="0" w:line="240" w:lineRule="auto"/>
              <w:jc w:val="center"/>
              <w:rPr>
                <w:rFonts w:ascii="Arial" w:eastAsia="Times New Roman" w:hAnsi="Arial" w:cs="Arial"/>
                <w:bCs/>
              </w:rPr>
            </w:pPr>
            <w:r w:rsidRPr="00FD0C27">
              <w:rPr>
                <w:rFonts w:ascii="Arial" w:eastAsia="Times New Roman" w:hAnsi="Arial" w:cs="Arial"/>
                <w:bCs/>
              </w:rPr>
              <w:t>N/A</w:t>
            </w:r>
          </w:p>
        </w:tc>
        <w:tc>
          <w:tcPr>
            <w:tcW w:w="1701" w:type="dxa"/>
            <w:vAlign w:val="center"/>
          </w:tcPr>
          <w:p w:rsidR="00FD0C27" w:rsidRPr="00FD0C27" w:rsidRDefault="00FD0C27" w:rsidP="00FD0C27">
            <w:pPr>
              <w:spacing w:after="0" w:line="240" w:lineRule="auto"/>
              <w:jc w:val="center"/>
              <w:rPr>
                <w:rFonts w:ascii="Arial" w:eastAsia="Times New Roman" w:hAnsi="Arial" w:cs="Arial"/>
              </w:rPr>
            </w:pPr>
            <w:r w:rsidRPr="00FD0C27">
              <w:rPr>
                <w:rFonts w:ascii="Arial" w:eastAsia="Times New Roman" w:hAnsi="Arial" w:cs="Arial"/>
              </w:rPr>
              <w:t>Excluded</w:t>
            </w:r>
          </w:p>
        </w:tc>
      </w:tr>
    </w:tbl>
    <w:p w:rsidR="00FD0C27" w:rsidRPr="00FD0C27" w:rsidRDefault="00FD0C27" w:rsidP="00FD0C27">
      <w:pPr>
        <w:numPr>
          <w:ilvl w:val="0"/>
          <w:numId w:val="2"/>
        </w:numPr>
        <w:tabs>
          <w:tab w:val="left" w:pos="851"/>
        </w:tabs>
        <w:spacing w:after="0" w:line="240" w:lineRule="auto"/>
        <w:contextualSpacing/>
        <w:rPr>
          <w:rFonts w:ascii="Arial" w:eastAsia="Calibri" w:hAnsi="Arial" w:cs="Arial"/>
          <w:lang w:eastAsia="en-GB"/>
        </w:rPr>
      </w:pPr>
    </w:p>
    <w:p w:rsidR="00FD0C27" w:rsidRPr="00FD0C27" w:rsidRDefault="00FD0C27" w:rsidP="00FD0C27">
      <w:pPr>
        <w:spacing w:after="0" w:line="240" w:lineRule="auto"/>
        <w:ind w:left="851"/>
        <w:rPr>
          <w:rFonts w:ascii="Arial" w:eastAsia="Times New Roman" w:hAnsi="Arial" w:cs="Arial"/>
          <w:szCs w:val="20"/>
        </w:rPr>
      </w:pPr>
    </w:p>
    <w:p w:rsidR="00FD0C27" w:rsidRPr="00FD0C27" w:rsidRDefault="00FD0C27" w:rsidP="00FD0C27">
      <w:pPr>
        <w:spacing w:after="0" w:line="240" w:lineRule="auto"/>
        <w:ind w:left="851"/>
        <w:rPr>
          <w:rFonts w:ascii="Arial" w:eastAsia="Times New Roman" w:hAnsi="Arial" w:cs="Arial"/>
          <w:szCs w:val="20"/>
        </w:rPr>
      </w:pPr>
    </w:p>
    <w:p w:rsidR="00FD0C27" w:rsidRPr="00FD0C27" w:rsidRDefault="00F8527F" w:rsidP="007E2F1B">
      <w:pPr>
        <w:numPr>
          <w:ilvl w:val="1"/>
          <w:numId w:val="0"/>
        </w:numPr>
        <w:tabs>
          <w:tab w:val="num" w:pos="1440"/>
        </w:tabs>
        <w:spacing w:before="60" w:after="60" w:line="240" w:lineRule="auto"/>
        <w:ind w:left="142"/>
        <w:jc w:val="both"/>
        <w:rPr>
          <w:rFonts w:ascii="Arial" w:eastAsia="Times New Roman" w:hAnsi="Arial" w:cs="Arial"/>
          <w:szCs w:val="20"/>
        </w:rPr>
      </w:pPr>
      <w:r>
        <w:rPr>
          <w:rFonts w:ascii="Arial" w:eastAsia="Times New Roman" w:hAnsi="Arial" w:cs="Arial"/>
          <w:szCs w:val="20"/>
        </w:rPr>
        <w:t xml:space="preserve">8.5 </w:t>
      </w:r>
      <w:r w:rsidR="00FD0C27" w:rsidRPr="00FD0C27">
        <w:rPr>
          <w:rFonts w:ascii="Arial" w:eastAsia="Times New Roman" w:hAnsi="Arial" w:cs="Arial"/>
          <w:szCs w:val="20"/>
        </w:rPr>
        <w:t>This aggregated point value is rounded to two decimal places, then carried forward and</w:t>
      </w:r>
      <w:r w:rsidR="007E2F1B">
        <w:rPr>
          <w:rFonts w:ascii="Arial" w:eastAsia="Times New Roman" w:hAnsi="Arial" w:cs="Arial"/>
          <w:szCs w:val="20"/>
        </w:rPr>
        <w:t xml:space="preserve"> </w:t>
      </w:r>
      <w:r w:rsidR="00FD0C27" w:rsidRPr="00FD0C27">
        <w:rPr>
          <w:rFonts w:ascii="Arial" w:eastAsia="Times New Roman" w:hAnsi="Arial" w:cs="Arial"/>
          <w:szCs w:val="20"/>
        </w:rPr>
        <w:t xml:space="preserve">used during the consolidation exercise.  </w:t>
      </w:r>
    </w:p>
    <w:p w:rsidR="00FD0C27" w:rsidRPr="006B0734" w:rsidRDefault="00FD0C27" w:rsidP="00A30470">
      <w:pPr>
        <w:spacing w:after="0" w:line="240" w:lineRule="auto"/>
        <w:rPr>
          <w:rFonts w:ascii="Arial" w:eastAsia="Times New Roman" w:hAnsi="Arial" w:cs="Arial"/>
          <w:b/>
          <w:szCs w:val="20"/>
        </w:rPr>
      </w:pPr>
    </w:p>
    <w:p w:rsidR="006B0734" w:rsidRDefault="00FE2DF6" w:rsidP="00A30470">
      <w:pPr>
        <w:spacing w:after="0" w:line="240" w:lineRule="auto"/>
        <w:rPr>
          <w:rFonts w:ascii="Arial" w:eastAsia="Times New Roman" w:hAnsi="Arial" w:cs="Arial"/>
          <w:b/>
          <w:szCs w:val="20"/>
        </w:rPr>
      </w:pPr>
      <w:r w:rsidRPr="006B0734">
        <w:rPr>
          <w:rFonts w:ascii="Arial" w:eastAsia="Times New Roman" w:hAnsi="Arial" w:cs="Arial"/>
          <w:b/>
          <w:szCs w:val="20"/>
        </w:rPr>
        <w:lastRenderedPageBreak/>
        <w:t>E</w:t>
      </w:r>
      <w:r w:rsidR="003F217D">
        <w:rPr>
          <w:rFonts w:ascii="Arial" w:eastAsia="Times New Roman" w:hAnsi="Arial" w:cs="Arial"/>
          <w:b/>
          <w:szCs w:val="20"/>
        </w:rPr>
        <w:t xml:space="preserve">VALUATION METHODOLOGY CLARIFICATION </w:t>
      </w:r>
      <w:r w:rsidR="006B0734" w:rsidRPr="006B0734">
        <w:rPr>
          <w:rFonts w:ascii="Arial" w:eastAsia="Times New Roman" w:hAnsi="Arial" w:cs="Arial"/>
          <w:b/>
          <w:szCs w:val="20"/>
        </w:rPr>
        <w:t xml:space="preserve"> </w:t>
      </w:r>
    </w:p>
    <w:p w:rsidR="006B0734" w:rsidRDefault="006B0734" w:rsidP="00A30470">
      <w:pPr>
        <w:spacing w:after="0" w:line="240" w:lineRule="auto"/>
        <w:rPr>
          <w:rFonts w:ascii="Arial" w:eastAsia="Times New Roman" w:hAnsi="Arial" w:cs="Arial"/>
          <w:b/>
          <w:szCs w:val="20"/>
        </w:rPr>
      </w:pPr>
    </w:p>
    <w:p w:rsidR="00A30470" w:rsidRPr="00FD0C27" w:rsidRDefault="006B0734" w:rsidP="00A30470">
      <w:pPr>
        <w:spacing w:after="0" w:line="240" w:lineRule="auto"/>
        <w:rPr>
          <w:rFonts w:ascii="Arial" w:eastAsia="Times New Roman" w:hAnsi="Arial" w:cs="Arial"/>
          <w:b/>
          <w:szCs w:val="20"/>
        </w:rPr>
      </w:pPr>
      <w:r w:rsidRPr="00C522A1">
        <w:rPr>
          <w:rFonts w:ascii="Arial" w:eastAsia="Times New Roman" w:hAnsi="Arial" w:cs="Arial"/>
          <w:szCs w:val="20"/>
        </w:rPr>
        <w:t xml:space="preserve">Bidders are advised that </w:t>
      </w:r>
      <w:r w:rsidR="007712E6" w:rsidRPr="00C522A1">
        <w:rPr>
          <w:rFonts w:ascii="Arial" w:eastAsia="Times New Roman" w:hAnsi="Arial" w:cs="Arial"/>
          <w:szCs w:val="20"/>
        </w:rPr>
        <w:t xml:space="preserve">in order to reach a consensus score, the Authority shall </w:t>
      </w:r>
      <w:r w:rsidRPr="00C522A1">
        <w:rPr>
          <w:rFonts w:ascii="Arial" w:eastAsia="Times New Roman" w:hAnsi="Arial" w:cs="Arial"/>
          <w:szCs w:val="20"/>
        </w:rPr>
        <w:t>carry out a moderation meeting</w:t>
      </w:r>
      <w:r w:rsidR="0006465B" w:rsidRPr="00C522A1">
        <w:rPr>
          <w:rFonts w:ascii="Arial" w:eastAsia="Times New Roman" w:hAnsi="Arial" w:cs="Arial"/>
          <w:szCs w:val="20"/>
        </w:rPr>
        <w:t xml:space="preserve"> following individual evaluator </w:t>
      </w:r>
      <w:r w:rsidR="007712E6" w:rsidRPr="00C522A1">
        <w:rPr>
          <w:rFonts w:ascii="Arial" w:eastAsia="Times New Roman" w:hAnsi="Arial" w:cs="Arial"/>
          <w:szCs w:val="20"/>
        </w:rPr>
        <w:t>scoring</w:t>
      </w:r>
      <w:r w:rsidR="0006465B" w:rsidRPr="00C522A1">
        <w:rPr>
          <w:rFonts w:ascii="Arial" w:eastAsia="Times New Roman" w:hAnsi="Arial" w:cs="Arial"/>
          <w:szCs w:val="20"/>
        </w:rPr>
        <w:t xml:space="preserve"> at Gates C Suitability, Gate D Proposal assessment and</w:t>
      </w:r>
      <w:r w:rsidR="007712E6" w:rsidRPr="00C522A1">
        <w:rPr>
          <w:rFonts w:ascii="Arial" w:eastAsia="Times New Roman" w:hAnsi="Arial" w:cs="Arial"/>
          <w:szCs w:val="20"/>
        </w:rPr>
        <w:t xml:space="preserve"> Presentation/Clarification meeting. The consensus scores shall be rounded to two (2) decimal places</w:t>
      </w:r>
      <w:r w:rsidR="00E04A0A">
        <w:rPr>
          <w:rFonts w:ascii="Arial" w:eastAsia="Times New Roman" w:hAnsi="Arial" w:cs="Arial"/>
          <w:szCs w:val="20"/>
        </w:rPr>
        <w:t>.  Th</w:t>
      </w:r>
      <w:r w:rsidR="00C522A1" w:rsidRPr="00C522A1">
        <w:rPr>
          <w:rFonts w:ascii="Arial" w:eastAsia="Times New Roman" w:hAnsi="Arial" w:cs="Arial"/>
          <w:szCs w:val="20"/>
        </w:rPr>
        <w:t xml:space="preserve">is </w:t>
      </w:r>
      <w:r w:rsidR="00E04A0A">
        <w:rPr>
          <w:rFonts w:ascii="Arial" w:eastAsia="Times New Roman" w:hAnsi="Arial" w:cs="Arial"/>
          <w:szCs w:val="20"/>
        </w:rPr>
        <w:t>clarification</w:t>
      </w:r>
      <w:bookmarkStart w:id="2" w:name="_GoBack"/>
      <w:bookmarkEnd w:id="2"/>
      <w:r w:rsidR="00E04A0A">
        <w:rPr>
          <w:rFonts w:ascii="Arial" w:eastAsia="Times New Roman" w:hAnsi="Arial" w:cs="Arial"/>
          <w:szCs w:val="20"/>
        </w:rPr>
        <w:t xml:space="preserve"> </w:t>
      </w:r>
      <w:r w:rsidR="00C522A1" w:rsidRPr="00C522A1">
        <w:rPr>
          <w:rFonts w:ascii="Arial" w:eastAsia="Times New Roman" w:hAnsi="Arial" w:cs="Arial"/>
          <w:szCs w:val="20"/>
        </w:rPr>
        <w:t xml:space="preserve">should be read alongside Section Three: Evaluation Methodology &amp; Criteria part of </w:t>
      </w:r>
      <w:r w:rsidR="00C522A1" w:rsidRPr="00C522A1">
        <w:rPr>
          <w:rFonts w:ascii="Arial" w:hAnsi="Arial" w:cs="Arial"/>
        </w:rPr>
        <w:t xml:space="preserve">Invitation to Tender Part A – Instructions. </w:t>
      </w:r>
      <w:r w:rsidR="00C522A1" w:rsidRPr="00C522A1">
        <w:rPr>
          <w:rFonts w:ascii="Arial" w:eastAsia="Times New Roman" w:hAnsi="Arial" w:cs="Arial"/>
          <w:szCs w:val="20"/>
        </w:rPr>
        <w:t xml:space="preserve">    </w:t>
      </w:r>
      <w:r w:rsidR="007712E6" w:rsidRPr="00C522A1">
        <w:rPr>
          <w:rFonts w:ascii="Arial" w:eastAsia="Times New Roman" w:hAnsi="Arial" w:cs="Arial"/>
          <w:szCs w:val="20"/>
        </w:rPr>
        <w:t xml:space="preserve">   </w:t>
      </w:r>
      <w:r w:rsidR="0006465B" w:rsidRPr="00C522A1">
        <w:rPr>
          <w:rFonts w:ascii="Arial" w:eastAsia="Times New Roman" w:hAnsi="Arial" w:cs="Arial"/>
          <w:szCs w:val="20"/>
        </w:rPr>
        <w:t xml:space="preserve">  </w:t>
      </w:r>
      <w:r w:rsidRPr="00C522A1">
        <w:rPr>
          <w:rFonts w:ascii="Arial" w:eastAsia="Times New Roman" w:hAnsi="Arial" w:cs="Arial"/>
          <w:szCs w:val="20"/>
        </w:rPr>
        <w:t xml:space="preserve">   </w:t>
      </w:r>
      <w:r w:rsidR="006F7DD6" w:rsidRPr="00C522A1">
        <w:rPr>
          <w:rFonts w:ascii="Arial" w:eastAsia="Times New Roman" w:hAnsi="Arial" w:cs="Arial"/>
          <w:b/>
          <w:szCs w:val="20"/>
        </w:rPr>
        <w:t xml:space="preserve"> </w:t>
      </w:r>
      <w:r w:rsidR="00FE2DF6" w:rsidRPr="00C522A1">
        <w:rPr>
          <w:rFonts w:ascii="Arial" w:eastAsia="Times New Roman" w:hAnsi="Arial" w:cs="Arial"/>
          <w:b/>
          <w:szCs w:val="20"/>
        </w:rPr>
        <w:t xml:space="preserve"> </w:t>
      </w:r>
    </w:p>
    <w:p w:rsidR="00FD0C27" w:rsidRDefault="00FD0C27" w:rsidP="008C37F8">
      <w:pPr>
        <w:pStyle w:val="SIXH2"/>
        <w:numPr>
          <w:ilvl w:val="0"/>
          <w:numId w:val="0"/>
        </w:numPr>
        <w:ind w:left="142"/>
      </w:pPr>
    </w:p>
    <w:sectPr w:rsidR="00FD0C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Times New Roman"/>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6380E"/>
    <w:multiLevelType w:val="multilevel"/>
    <w:tmpl w:val="F4CA6E6C"/>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nsid w:val="404133C2"/>
    <w:multiLevelType w:val="hybridMultilevel"/>
    <w:tmpl w:val="97BA41F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4C"/>
    <w:rsid w:val="0006465B"/>
    <w:rsid w:val="000705EB"/>
    <w:rsid w:val="000F5E48"/>
    <w:rsid w:val="00127F44"/>
    <w:rsid w:val="00163EBD"/>
    <w:rsid w:val="001B1B62"/>
    <w:rsid w:val="003F217D"/>
    <w:rsid w:val="00411098"/>
    <w:rsid w:val="00436819"/>
    <w:rsid w:val="0055543C"/>
    <w:rsid w:val="00627FD4"/>
    <w:rsid w:val="006B0734"/>
    <w:rsid w:val="006B16DE"/>
    <w:rsid w:val="006F7DD6"/>
    <w:rsid w:val="00752203"/>
    <w:rsid w:val="007712E6"/>
    <w:rsid w:val="007C0026"/>
    <w:rsid w:val="007E2F1B"/>
    <w:rsid w:val="008017C3"/>
    <w:rsid w:val="00847683"/>
    <w:rsid w:val="00897445"/>
    <w:rsid w:val="008A2613"/>
    <w:rsid w:val="008C37F8"/>
    <w:rsid w:val="00950E69"/>
    <w:rsid w:val="00952689"/>
    <w:rsid w:val="009714F3"/>
    <w:rsid w:val="00990E7B"/>
    <w:rsid w:val="00A30470"/>
    <w:rsid w:val="00AA3FB1"/>
    <w:rsid w:val="00AB7291"/>
    <w:rsid w:val="00B7033A"/>
    <w:rsid w:val="00C3641C"/>
    <w:rsid w:val="00C522A1"/>
    <w:rsid w:val="00D2794A"/>
    <w:rsid w:val="00D65C58"/>
    <w:rsid w:val="00D96650"/>
    <w:rsid w:val="00DE32EF"/>
    <w:rsid w:val="00E04A0A"/>
    <w:rsid w:val="00E45BA9"/>
    <w:rsid w:val="00E46CE9"/>
    <w:rsid w:val="00EA381C"/>
    <w:rsid w:val="00F4234C"/>
    <w:rsid w:val="00F8527F"/>
    <w:rsid w:val="00FD0C27"/>
    <w:rsid w:val="00FE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XH1">
    <w:name w:val="SIX_H1"/>
    <w:basedOn w:val="Normal"/>
    <w:next w:val="Normal"/>
    <w:autoRedefine/>
    <w:rsid w:val="008C37F8"/>
    <w:pPr>
      <w:keepNext/>
      <w:numPr>
        <w:numId w:val="1"/>
      </w:numPr>
      <w:tabs>
        <w:tab w:val="clear" w:pos="720"/>
        <w:tab w:val="num" w:pos="709"/>
      </w:tabs>
      <w:spacing w:before="120" w:after="120" w:line="240" w:lineRule="auto"/>
      <w:ind w:left="709" w:hanging="709"/>
      <w:jc w:val="both"/>
    </w:pPr>
    <w:rPr>
      <w:rFonts w:ascii="Arial Bold" w:eastAsia="Times New Roman" w:hAnsi="Arial Bold" w:cs="Arial"/>
      <w:b/>
      <w:bCs/>
      <w:smallCaps/>
      <w:sz w:val="24"/>
      <w:szCs w:val="20"/>
    </w:rPr>
  </w:style>
  <w:style w:type="paragraph" w:customStyle="1" w:styleId="SIXH2">
    <w:name w:val="SIX_H2"/>
    <w:basedOn w:val="Normal"/>
    <w:rsid w:val="008C37F8"/>
    <w:pPr>
      <w:numPr>
        <w:ilvl w:val="1"/>
        <w:numId w:val="1"/>
      </w:numPr>
      <w:tabs>
        <w:tab w:val="left" w:pos="851"/>
      </w:tabs>
      <w:spacing w:before="60" w:after="60" w:line="240" w:lineRule="auto"/>
      <w:ind w:left="851" w:hanging="709"/>
      <w:jc w:val="both"/>
    </w:pPr>
    <w:rPr>
      <w:rFonts w:ascii="Arial" w:eastAsia="Times New Roman" w:hAnsi="Arial" w:cs="Arial"/>
      <w:szCs w:val="20"/>
    </w:rPr>
  </w:style>
  <w:style w:type="paragraph" w:styleId="ListParagraph">
    <w:name w:val="List Paragraph"/>
    <w:basedOn w:val="Normal"/>
    <w:uiPriority w:val="34"/>
    <w:qFormat/>
    <w:rsid w:val="00AB7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XH1">
    <w:name w:val="SIX_H1"/>
    <w:basedOn w:val="Normal"/>
    <w:next w:val="Normal"/>
    <w:autoRedefine/>
    <w:rsid w:val="008C37F8"/>
    <w:pPr>
      <w:keepNext/>
      <w:numPr>
        <w:numId w:val="1"/>
      </w:numPr>
      <w:tabs>
        <w:tab w:val="clear" w:pos="720"/>
        <w:tab w:val="num" w:pos="709"/>
      </w:tabs>
      <w:spacing w:before="120" w:after="120" w:line="240" w:lineRule="auto"/>
      <w:ind w:left="709" w:hanging="709"/>
      <w:jc w:val="both"/>
    </w:pPr>
    <w:rPr>
      <w:rFonts w:ascii="Arial Bold" w:eastAsia="Times New Roman" w:hAnsi="Arial Bold" w:cs="Arial"/>
      <w:b/>
      <w:bCs/>
      <w:smallCaps/>
      <w:sz w:val="24"/>
      <w:szCs w:val="20"/>
    </w:rPr>
  </w:style>
  <w:style w:type="paragraph" w:customStyle="1" w:styleId="SIXH2">
    <w:name w:val="SIX_H2"/>
    <w:basedOn w:val="Normal"/>
    <w:rsid w:val="008C37F8"/>
    <w:pPr>
      <w:numPr>
        <w:ilvl w:val="1"/>
        <w:numId w:val="1"/>
      </w:numPr>
      <w:tabs>
        <w:tab w:val="left" w:pos="851"/>
      </w:tabs>
      <w:spacing w:before="60" w:after="60" w:line="240" w:lineRule="auto"/>
      <w:ind w:left="851" w:hanging="709"/>
      <w:jc w:val="both"/>
    </w:pPr>
    <w:rPr>
      <w:rFonts w:ascii="Arial" w:eastAsia="Times New Roman" w:hAnsi="Arial" w:cs="Arial"/>
      <w:szCs w:val="20"/>
    </w:rPr>
  </w:style>
  <w:style w:type="paragraph" w:styleId="ListParagraph">
    <w:name w:val="List Paragraph"/>
    <w:basedOn w:val="Normal"/>
    <w:uiPriority w:val="34"/>
    <w:qFormat/>
    <w:rsid w:val="00AB7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4987">
      <w:bodyDiv w:val="1"/>
      <w:marLeft w:val="0"/>
      <w:marRight w:val="0"/>
      <w:marTop w:val="0"/>
      <w:marBottom w:val="0"/>
      <w:divBdr>
        <w:top w:val="none" w:sz="0" w:space="0" w:color="auto"/>
        <w:left w:val="none" w:sz="0" w:space="0" w:color="auto"/>
        <w:bottom w:val="none" w:sz="0" w:space="0" w:color="auto"/>
        <w:right w:val="none" w:sz="0" w:space="0" w:color="auto"/>
      </w:divBdr>
    </w:div>
    <w:div w:id="802117658">
      <w:bodyDiv w:val="1"/>
      <w:marLeft w:val="0"/>
      <w:marRight w:val="0"/>
      <w:marTop w:val="0"/>
      <w:marBottom w:val="0"/>
      <w:divBdr>
        <w:top w:val="none" w:sz="0" w:space="0" w:color="auto"/>
        <w:left w:val="none" w:sz="0" w:space="0" w:color="auto"/>
        <w:bottom w:val="none" w:sz="0" w:space="0" w:color="auto"/>
        <w:right w:val="none" w:sz="0" w:space="0" w:color="auto"/>
      </w:divBdr>
    </w:div>
    <w:div w:id="15879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Kerry</dc:creator>
  <cp:lastModifiedBy>Johnson, Kerry</cp:lastModifiedBy>
  <cp:revision>47</cp:revision>
  <dcterms:created xsi:type="dcterms:W3CDTF">2015-04-20T10:08:00Z</dcterms:created>
  <dcterms:modified xsi:type="dcterms:W3CDTF">2015-04-20T11:34:00Z</dcterms:modified>
</cp:coreProperties>
</file>