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812DD"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1307AE7D" wp14:editId="28BDAE67">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7A58595C" w14:textId="5F38A730" w:rsidR="008D4855" w:rsidRPr="008D4855" w:rsidRDefault="002B17E4" w:rsidP="00EB090C">
      <w:pPr>
        <w:pStyle w:val="Heading1"/>
        <w:keepNext w:val="0"/>
        <w:spacing w:after="300"/>
        <w:ind w:right="0"/>
        <w:rPr>
          <w:sz w:val="22"/>
          <w:szCs w:val="22"/>
        </w:rPr>
      </w:pPr>
      <w:r>
        <w:rPr>
          <w:sz w:val="22"/>
          <w:szCs w:val="22"/>
        </w:rPr>
        <w:t>TCA 3/7/1088</w:t>
      </w:r>
    </w:p>
    <w:p w14:paraId="2A691DA7"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1DA353A1" w14:textId="77777777" w:rsidR="008D4855" w:rsidRPr="001D6C07" w:rsidRDefault="008D4855" w:rsidP="001D6C07">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1DCC17AA" w14:textId="77777777" w:rsidR="00463459" w:rsidRDefault="00463459" w:rsidP="00463459">
      <w:pPr>
        <w:pStyle w:val="DfTLevel1"/>
        <w:keepLines/>
        <w:suppressLineNumbers/>
        <w:spacing w:before="120" w:after="120"/>
        <w:jc w:val="both"/>
        <w:rPr>
          <w:rFonts w:cs="Arial"/>
          <w:sz w:val="22"/>
          <w:szCs w:val="22"/>
        </w:rPr>
      </w:pPr>
    </w:p>
    <w:p w14:paraId="39B495DF"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5FE65FEE" w14:textId="48E7A159" w:rsidR="00463459" w:rsidRDefault="00463459" w:rsidP="001D6C07">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23FB1816" w14:textId="7452E378"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C85D8A">
        <w:rPr>
          <w:rFonts w:cs="Arial"/>
          <w:b/>
          <w:sz w:val="22"/>
          <w:szCs w:val="22"/>
        </w:rPr>
        <w:t>5pm on</w:t>
      </w:r>
      <w:r w:rsidR="0046146E" w:rsidRPr="00C85D8A">
        <w:rPr>
          <w:rFonts w:cs="Arial"/>
          <w:b/>
          <w:sz w:val="22"/>
          <w:szCs w:val="22"/>
        </w:rPr>
        <w:t xml:space="preserve"> </w:t>
      </w:r>
      <w:r w:rsidR="00C85D8A" w:rsidRPr="00C85D8A">
        <w:rPr>
          <w:rFonts w:cs="Arial"/>
          <w:b/>
          <w:sz w:val="22"/>
          <w:szCs w:val="22"/>
        </w:rPr>
        <w:t>19</w:t>
      </w:r>
      <w:r w:rsidR="00C85D8A" w:rsidRPr="00C85D8A">
        <w:rPr>
          <w:rFonts w:cs="Arial"/>
          <w:b/>
          <w:sz w:val="22"/>
          <w:szCs w:val="22"/>
          <w:vertAlign w:val="superscript"/>
        </w:rPr>
        <w:t>th</w:t>
      </w:r>
      <w:r w:rsidR="00C85D8A" w:rsidRPr="00C85D8A">
        <w:rPr>
          <w:rFonts w:cs="Arial"/>
          <w:b/>
          <w:sz w:val="22"/>
          <w:szCs w:val="22"/>
        </w:rPr>
        <w:t xml:space="preserve"> April</w:t>
      </w:r>
      <w:r w:rsidR="001D6C07" w:rsidRPr="00C85D8A">
        <w:rPr>
          <w:rFonts w:cs="Arial"/>
          <w:b/>
          <w:sz w:val="22"/>
          <w:szCs w:val="22"/>
        </w:rPr>
        <w:t xml:space="preserve"> 2019</w:t>
      </w:r>
      <w:r w:rsidRPr="00C85D8A">
        <w:rPr>
          <w:rFonts w:cs="Arial"/>
          <w:sz w:val="22"/>
          <w:szCs w:val="22"/>
        </w:rPr>
        <w:t>.</w:t>
      </w:r>
      <w:r>
        <w:rPr>
          <w:rFonts w:cs="Arial"/>
          <w:sz w:val="22"/>
          <w:szCs w:val="22"/>
        </w:rPr>
        <w:t xml:space="preserve">  </w:t>
      </w:r>
    </w:p>
    <w:p w14:paraId="72D7C9AC"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5B60C8D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B05B59A"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15149217" w14:textId="77777777" w:rsidR="008D4855" w:rsidRDefault="008D4855" w:rsidP="008D4855">
      <w:pPr>
        <w:keepLines/>
        <w:suppressLineNumbers/>
        <w:suppressAutoHyphens/>
        <w:spacing w:before="120" w:after="120"/>
        <w:jc w:val="both"/>
        <w:rPr>
          <w:rFonts w:ascii="Arial" w:hAnsi="Arial" w:cs="Arial"/>
        </w:rPr>
      </w:pPr>
    </w:p>
    <w:p w14:paraId="51353839"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01BAC192" w14:textId="69ABF8BC"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C85D8A">
        <w:rPr>
          <w:rFonts w:cs="Arial"/>
          <w:b/>
          <w:sz w:val="22"/>
          <w:szCs w:val="22"/>
        </w:rPr>
        <w:t>11am on</w:t>
      </w:r>
      <w:r w:rsidR="00FA0332" w:rsidRPr="00C85D8A">
        <w:rPr>
          <w:rFonts w:cs="Arial"/>
          <w:b/>
          <w:sz w:val="22"/>
          <w:szCs w:val="22"/>
        </w:rPr>
        <w:t xml:space="preserve"> </w:t>
      </w:r>
      <w:r w:rsidR="00C85D8A" w:rsidRPr="00C85D8A">
        <w:rPr>
          <w:rFonts w:cs="Arial"/>
          <w:b/>
          <w:sz w:val="22"/>
          <w:szCs w:val="22"/>
        </w:rPr>
        <w:t>26</w:t>
      </w:r>
      <w:r w:rsidR="00C85D8A" w:rsidRPr="00C85D8A">
        <w:rPr>
          <w:rFonts w:cs="Arial"/>
          <w:b/>
          <w:sz w:val="22"/>
          <w:szCs w:val="22"/>
          <w:vertAlign w:val="superscript"/>
        </w:rPr>
        <w:t>th</w:t>
      </w:r>
      <w:r w:rsidR="00C85D8A" w:rsidRPr="00C85D8A">
        <w:rPr>
          <w:rFonts w:cs="Arial"/>
          <w:b/>
          <w:sz w:val="22"/>
          <w:szCs w:val="22"/>
        </w:rPr>
        <w:t xml:space="preserve"> April</w:t>
      </w:r>
      <w:r w:rsidR="00EB090C" w:rsidRPr="00C85D8A">
        <w:rPr>
          <w:rFonts w:cs="Arial"/>
          <w:b/>
          <w:sz w:val="22"/>
          <w:szCs w:val="22"/>
        </w:rPr>
        <w:t xml:space="preserve"> 201</w:t>
      </w:r>
      <w:r w:rsidR="001D6C07" w:rsidRPr="00C85D8A">
        <w:rPr>
          <w:rFonts w:cs="Arial"/>
          <w:b/>
          <w:sz w:val="22"/>
          <w:szCs w:val="22"/>
        </w:rPr>
        <w:t>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74A0AFDD"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5387A979"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167D5F00"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62B246E2"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6C563BAB" w14:textId="77777777" w:rsidR="008D4855" w:rsidRPr="008D4855" w:rsidRDefault="008D4855" w:rsidP="008D4855">
      <w:pPr>
        <w:spacing w:after="0"/>
        <w:ind w:left="735" w:hanging="735"/>
        <w:jc w:val="both"/>
        <w:rPr>
          <w:rFonts w:ascii="Arial" w:hAnsi="Arial" w:cs="Arial"/>
        </w:rPr>
      </w:pPr>
    </w:p>
    <w:p w14:paraId="433BFAB8" w14:textId="77777777"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6F0E3863" w14:textId="77777777" w:rsidR="001839D4" w:rsidRPr="001839D4" w:rsidRDefault="001839D4" w:rsidP="001839D4">
      <w:pPr>
        <w:pStyle w:val="ListParagraph"/>
        <w:rPr>
          <w:rFonts w:ascii="Arial" w:eastAsia="Times New Roman" w:hAnsi="Arial" w:cs="Arial"/>
          <w:lang w:val="en-US"/>
        </w:rPr>
      </w:pPr>
    </w:p>
    <w:p w14:paraId="0F961C1D" w14:textId="77777777" w:rsid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the MCA’s template Pricing Schedule must be used and</w:t>
      </w:r>
      <w:r>
        <w:rPr>
          <w:rFonts w:ascii="Arial" w:eastAsia="Times New Roman" w:hAnsi="Arial" w:cs="Arial"/>
          <w:lang w:val="en-US"/>
        </w:rPr>
        <w:t xml:space="preserve"> can be downloaded from Contracts Finder);</w:t>
      </w:r>
    </w:p>
    <w:p w14:paraId="0CC1389D" w14:textId="77777777" w:rsidR="00DA05A2" w:rsidRPr="00272416" w:rsidRDefault="00DA05A2" w:rsidP="00272416">
      <w:pPr>
        <w:rPr>
          <w:rFonts w:ascii="Arial" w:hAnsi="Arial" w:cs="Arial"/>
        </w:rPr>
      </w:pPr>
    </w:p>
    <w:p w14:paraId="6BA59BBA" w14:textId="77777777" w:rsidR="00A05800" w:rsidRPr="00A05800" w:rsidRDefault="00FB5886" w:rsidP="00A05800">
      <w:pPr>
        <w:pStyle w:val="ListParagraph"/>
        <w:numPr>
          <w:ilvl w:val="0"/>
          <w:numId w:val="1"/>
        </w:numPr>
        <w:spacing w:line="240" w:lineRule="auto"/>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4B540D5B" w14:textId="77777777" w:rsidR="00A05800" w:rsidRPr="00A05800" w:rsidRDefault="00A05800" w:rsidP="00A05800">
      <w:pPr>
        <w:pStyle w:val="ListParagraph"/>
        <w:spacing w:line="240" w:lineRule="auto"/>
        <w:ind w:left="1095"/>
        <w:rPr>
          <w:rFonts w:ascii="Arial" w:hAnsi="Arial" w:cs="Arial"/>
        </w:rPr>
      </w:pPr>
    </w:p>
    <w:p w14:paraId="72912D5A"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4685D8F8" w14:textId="77777777" w:rsidR="00A05800" w:rsidRPr="00FC464A" w:rsidRDefault="00A05800" w:rsidP="00FC464A">
      <w:pPr>
        <w:pStyle w:val="ListParagraph"/>
        <w:spacing w:after="0"/>
        <w:jc w:val="both"/>
        <w:rPr>
          <w:rFonts w:ascii="Arial" w:hAnsi="Arial" w:cs="Arial"/>
        </w:rPr>
      </w:pPr>
    </w:p>
    <w:p w14:paraId="17E184ED"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41B541FA"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61B0F167"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5C29F799"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510C9A19"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6B809209" w14:textId="0E46EE1C" w:rsidR="00324364" w:rsidRPr="00571DAC"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159AC5D6" w14:textId="77777777" w:rsidR="000F3750" w:rsidRDefault="000F3750" w:rsidP="00571DAC">
      <w:pPr>
        <w:pStyle w:val="DfTLevel1"/>
        <w:keepLines/>
        <w:suppressLineNumbers/>
        <w:spacing w:before="120" w:after="120"/>
        <w:jc w:val="both"/>
        <w:rPr>
          <w:rFonts w:cs="Arial"/>
          <w:b/>
          <w:sz w:val="22"/>
          <w:szCs w:val="22"/>
        </w:rPr>
      </w:pPr>
    </w:p>
    <w:p w14:paraId="5888E61B" w14:textId="3EA4481B" w:rsidR="000F3750" w:rsidRDefault="000F3750" w:rsidP="00571DAC">
      <w:pPr>
        <w:pStyle w:val="DfTLevel1"/>
        <w:keepLines/>
        <w:suppressLineNumbers/>
        <w:spacing w:before="120" w:after="120"/>
        <w:jc w:val="both"/>
        <w:rPr>
          <w:rFonts w:cs="Arial"/>
          <w:b/>
          <w:sz w:val="22"/>
          <w:szCs w:val="22"/>
        </w:rPr>
      </w:pPr>
    </w:p>
    <w:p w14:paraId="3F6F0841" w14:textId="219C744A" w:rsidR="00123F3A" w:rsidRDefault="00123F3A" w:rsidP="00571DAC">
      <w:pPr>
        <w:pStyle w:val="DfTLevel1"/>
        <w:keepLines/>
        <w:suppressLineNumbers/>
        <w:spacing w:before="120" w:after="120"/>
        <w:jc w:val="both"/>
        <w:rPr>
          <w:rFonts w:cs="Arial"/>
          <w:b/>
          <w:sz w:val="22"/>
          <w:szCs w:val="22"/>
        </w:rPr>
      </w:pPr>
    </w:p>
    <w:p w14:paraId="0A260A16" w14:textId="705DA13E" w:rsidR="00123F3A" w:rsidRDefault="00123F3A" w:rsidP="00571DAC">
      <w:pPr>
        <w:pStyle w:val="DfTLevel1"/>
        <w:keepLines/>
        <w:suppressLineNumbers/>
        <w:spacing w:before="120" w:after="120"/>
        <w:jc w:val="both"/>
        <w:rPr>
          <w:rFonts w:cs="Arial"/>
          <w:b/>
          <w:sz w:val="22"/>
          <w:szCs w:val="22"/>
        </w:rPr>
      </w:pPr>
    </w:p>
    <w:p w14:paraId="52FFAAA7" w14:textId="77777777" w:rsidR="00123F3A" w:rsidRDefault="00123F3A" w:rsidP="00571DAC">
      <w:pPr>
        <w:pStyle w:val="DfTLevel1"/>
        <w:keepLines/>
        <w:suppressLineNumbers/>
        <w:spacing w:before="120" w:after="120"/>
        <w:jc w:val="both"/>
        <w:rPr>
          <w:rFonts w:cs="Arial"/>
          <w:b/>
          <w:sz w:val="22"/>
          <w:szCs w:val="22"/>
        </w:rPr>
      </w:pPr>
    </w:p>
    <w:p w14:paraId="0CFA0627" w14:textId="6DA470D1" w:rsidR="00571DAC" w:rsidRPr="00571DAC" w:rsidRDefault="00571DAC" w:rsidP="00571DAC">
      <w:pPr>
        <w:pStyle w:val="DfTLevel1"/>
        <w:keepLines/>
        <w:suppressLineNumbers/>
        <w:spacing w:before="120" w:after="120"/>
        <w:jc w:val="both"/>
        <w:rPr>
          <w:rFonts w:cs="Arial"/>
          <w:b/>
          <w:sz w:val="22"/>
          <w:szCs w:val="22"/>
        </w:rPr>
      </w:pPr>
      <w:r w:rsidRPr="00571DAC">
        <w:rPr>
          <w:rFonts w:cs="Arial"/>
          <w:b/>
          <w:sz w:val="22"/>
          <w:szCs w:val="22"/>
        </w:rPr>
        <w:lastRenderedPageBreak/>
        <w:t>Documentation</w:t>
      </w:r>
    </w:p>
    <w:p w14:paraId="528727DC" w14:textId="4D226B39" w:rsidR="001D6C07" w:rsidRPr="00571DAC" w:rsidRDefault="00571DAC" w:rsidP="00571DAC">
      <w:pPr>
        <w:pStyle w:val="DfTLevel1"/>
        <w:keepLines/>
        <w:numPr>
          <w:ilvl w:val="0"/>
          <w:numId w:val="15"/>
        </w:numPr>
        <w:suppressLineNumbers/>
        <w:spacing w:before="120" w:after="120"/>
        <w:ind w:hanging="720"/>
        <w:jc w:val="both"/>
        <w:rPr>
          <w:rFonts w:cs="Arial"/>
          <w:sz w:val="22"/>
          <w:szCs w:val="22"/>
        </w:rPr>
      </w:pPr>
      <w:r w:rsidRPr="00571DAC">
        <w:rPr>
          <w:rFonts w:cs="Arial"/>
          <w:sz w:val="22"/>
          <w:szCs w:val="22"/>
        </w:rPr>
        <w:t>Correspondence will, unless stipulated otherwise by DfT/MCA, be by email.  Documentation should be provided electronically (using Microsoft Office applications (Word, Excel or PowerPoint) or PDF formats as requested) and (where requested), in hard copy.</w:t>
      </w:r>
    </w:p>
    <w:p w14:paraId="2610F558" w14:textId="77777777"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73A10350"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030905C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0C307F7D"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3B97951C" w14:textId="77777777" w:rsidR="00DA7DD0" w:rsidRPr="008D4855" w:rsidRDefault="00DA7DD0" w:rsidP="00DA7DD0">
      <w:pPr>
        <w:pStyle w:val="DfTLevel1"/>
        <w:keepLines/>
        <w:suppressLineNumbers/>
        <w:spacing w:before="120" w:after="120"/>
        <w:ind w:left="720"/>
        <w:jc w:val="both"/>
        <w:rPr>
          <w:rFonts w:cs="Arial"/>
          <w:sz w:val="22"/>
          <w:szCs w:val="22"/>
        </w:rPr>
      </w:pPr>
    </w:p>
    <w:p w14:paraId="41403492"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572D94B0"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14:paraId="4CE4C1E3" w14:textId="77777777" w:rsidR="00075489" w:rsidRDefault="00075489" w:rsidP="006C2B6A">
      <w:pPr>
        <w:autoSpaceDE w:val="0"/>
        <w:autoSpaceDN w:val="0"/>
        <w:adjustRightInd w:val="0"/>
        <w:spacing w:after="0" w:line="240" w:lineRule="auto"/>
        <w:jc w:val="both"/>
        <w:rPr>
          <w:rFonts w:ascii="Arial" w:eastAsia="Calibri" w:hAnsi="Arial" w:cs="Arial"/>
          <w:b/>
          <w:color w:val="000000"/>
          <w:lang w:eastAsia="en-GB"/>
        </w:rPr>
      </w:pPr>
    </w:p>
    <w:p w14:paraId="20E26232" w14:textId="665B053C" w:rsidR="006C2B6A" w:rsidRPr="006C2B6A" w:rsidRDefault="006C2B6A" w:rsidP="006C2B6A">
      <w:pPr>
        <w:autoSpaceDE w:val="0"/>
        <w:autoSpaceDN w:val="0"/>
        <w:adjustRightInd w:val="0"/>
        <w:spacing w:after="0" w:line="240" w:lineRule="auto"/>
        <w:jc w:val="both"/>
        <w:rPr>
          <w:rFonts w:ascii="Arial" w:eastAsia="Calibri" w:hAnsi="Arial" w:cs="Arial"/>
          <w:b/>
          <w:color w:val="000000"/>
          <w:lang w:eastAsia="en-GB"/>
        </w:rPr>
      </w:pPr>
      <w:r w:rsidRPr="006C2B6A">
        <w:rPr>
          <w:rFonts w:ascii="Arial" w:eastAsia="Calibri" w:hAnsi="Arial" w:cs="Arial"/>
          <w:b/>
          <w:color w:val="000000"/>
          <w:lang w:eastAsia="en-GB"/>
        </w:rPr>
        <w:t xml:space="preserve">Relevant </w:t>
      </w:r>
      <w:r>
        <w:rPr>
          <w:rFonts w:ascii="Arial" w:eastAsia="Calibri" w:hAnsi="Arial" w:cs="Arial"/>
          <w:b/>
          <w:color w:val="000000"/>
          <w:lang w:eastAsia="en-GB"/>
        </w:rPr>
        <w:t>E</w:t>
      </w:r>
      <w:r w:rsidRPr="006C2B6A">
        <w:rPr>
          <w:rFonts w:ascii="Arial" w:eastAsia="Calibri" w:hAnsi="Arial" w:cs="Arial"/>
          <w:b/>
          <w:color w:val="000000"/>
          <w:lang w:eastAsia="en-GB"/>
        </w:rPr>
        <w:t xml:space="preserve">xperience and </w:t>
      </w:r>
      <w:r>
        <w:rPr>
          <w:rFonts w:ascii="Arial" w:eastAsia="Calibri" w:hAnsi="Arial" w:cs="Arial"/>
          <w:b/>
          <w:color w:val="000000"/>
          <w:lang w:eastAsia="en-GB"/>
        </w:rPr>
        <w:t>C</w:t>
      </w:r>
      <w:r w:rsidRPr="006C2B6A">
        <w:rPr>
          <w:rFonts w:ascii="Arial" w:eastAsia="Calibri" w:hAnsi="Arial" w:cs="Arial"/>
          <w:b/>
          <w:color w:val="000000"/>
          <w:lang w:eastAsia="en-GB"/>
        </w:rPr>
        <w:t xml:space="preserve">ontract </w:t>
      </w:r>
      <w:r>
        <w:rPr>
          <w:rFonts w:ascii="Arial" w:eastAsia="Calibri" w:hAnsi="Arial" w:cs="Arial"/>
          <w:b/>
          <w:color w:val="000000"/>
          <w:lang w:eastAsia="en-GB"/>
        </w:rPr>
        <w:t>E</w:t>
      </w:r>
      <w:r w:rsidRPr="006C2B6A">
        <w:rPr>
          <w:rFonts w:ascii="Arial" w:eastAsia="Calibri" w:hAnsi="Arial" w:cs="Arial"/>
          <w:b/>
          <w:color w:val="000000"/>
          <w:lang w:eastAsia="en-GB"/>
        </w:rPr>
        <w:t>xamples</w:t>
      </w:r>
    </w:p>
    <w:p w14:paraId="27DDECC3" w14:textId="77777777" w:rsidR="006C2B6A" w:rsidRPr="006C2B6A" w:rsidRDefault="006C2B6A" w:rsidP="006C2B6A">
      <w:pPr>
        <w:autoSpaceDE w:val="0"/>
        <w:autoSpaceDN w:val="0"/>
        <w:adjustRightInd w:val="0"/>
        <w:spacing w:after="0" w:line="240" w:lineRule="auto"/>
        <w:ind w:left="1080"/>
        <w:jc w:val="both"/>
        <w:rPr>
          <w:rFonts w:ascii="Arial" w:eastAsia="Calibri" w:hAnsi="Arial" w:cs="Arial"/>
          <w:color w:val="000000"/>
          <w:lang w:eastAsia="en-GB"/>
        </w:rPr>
      </w:pPr>
    </w:p>
    <w:p w14:paraId="07D0AB17" w14:textId="7E864E86" w:rsidR="006C2B6A" w:rsidRP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22.</w:t>
      </w:r>
      <w:r w:rsidRPr="006C2B6A">
        <w:rPr>
          <w:rFonts w:ascii="Arial" w:eastAsia="Calibri" w:hAnsi="Arial" w:cs="Arial"/>
          <w:color w:val="000000"/>
          <w:lang w:eastAsia="en-GB"/>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6B40584F" w14:textId="77777777" w:rsidR="006C2B6A" w:rsidRPr="006C2B6A" w:rsidRDefault="006C2B6A" w:rsidP="006C2B6A">
      <w:pPr>
        <w:autoSpaceDE w:val="0"/>
        <w:autoSpaceDN w:val="0"/>
        <w:adjustRightInd w:val="0"/>
        <w:spacing w:after="0" w:line="240" w:lineRule="auto"/>
        <w:ind w:left="1080"/>
        <w:jc w:val="both"/>
        <w:rPr>
          <w:rFonts w:ascii="Arial" w:eastAsia="Calibri" w:hAnsi="Arial" w:cs="Arial"/>
          <w:color w:val="000000"/>
          <w:lang w:eastAsia="en-GB"/>
        </w:rPr>
      </w:pPr>
    </w:p>
    <w:p w14:paraId="1E88CF6E" w14:textId="1CC1A871" w:rsidR="006C2B6A" w:rsidRP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23.</w:t>
      </w:r>
      <w:r w:rsidRPr="006C2B6A">
        <w:rPr>
          <w:rFonts w:ascii="Arial" w:eastAsia="Calibri" w:hAnsi="Arial" w:cs="Arial"/>
          <w:color w:val="000000"/>
          <w:lang w:eastAsia="en-GB"/>
        </w:rPr>
        <w:tab/>
        <w:t>If requested, the named contact provided should be able to provide written evidence to confirm the accuracy of the information provided in the table below.</w:t>
      </w:r>
    </w:p>
    <w:p w14:paraId="018A64D7" w14:textId="77777777" w:rsidR="006C2B6A" w:rsidRPr="006C2B6A" w:rsidRDefault="006C2B6A" w:rsidP="006C2B6A">
      <w:pPr>
        <w:autoSpaceDE w:val="0"/>
        <w:autoSpaceDN w:val="0"/>
        <w:adjustRightInd w:val="0"/>
        <w:spacing w:after="0" w:line="240" w:lineRule="auto"/>
        <w:ind w:left="1080"/>
        <w:jc w:val="both"/>
        <w:rPr>
          <w:rFonts w:ascii="Arial" w:eastAsia="Calibri" w:hAnsi="Arial" w:cs="Arial"/>
          <w:color w:val="000000"/>
          <w:lang w:eastAsia="en-GB"/>
        </w:rPr>
      </w:pPr>
    </w:p>
    <w:tbl>
      <w:tblPr>
        <w:tblpPr w:leftFromText="180" w:rightFromText="180" w:vertAnchor="text" w:horzAnchor="margin" w:tblpY="112"/>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6C2B6A" w:rsidRPr="006C2B6A" w14:paraId="49C7EE88" w14:textId="77777777" w:rsidTr="006C2B6A">
        <w:trPr>
          <w:trHeight w:val="420"/>
        </w:trPr>
        <w:tc>
          <w:tcPr>
            <w:tcW w:w="2334" w:type="dxa"/>
          </w:tcPr>
          <w:p w14:paraId="34DAFFC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094091A"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1</w:t>
            </w:r>
          </w:p>
        </w:tc>
        <w:tc>
          <w:tcPr>
            <w:tcW w:w="2334" w:type="dxa"/>
          </w:tcPr>
          <w:p w14:paraId="5A2E1C0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2</w:t>
            </w:r>
          </w:p>
        </w:tc>
        <w:tc>
          <w:tcPr>
            <w:tcW w:w="2335" w:type="dxa"/>
          </w:tcPr>
          <w:p w14:paraId="35F66D32"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3</w:t>
            </w:r>
          </w:p>
        </w:tc>
      </w:tr>
      <w:tr w:rsidR="006C2B6A" w:rsidRPr="006C2B6A" w14:paraId="3AF50EE4" w14:textId="77777777" w:rsidTr="006C2B6A">
        <w:trPr>
          <w:trHeight w:val="840"/>
        </w:trPr>
        <w:tc>
          <w:tcPr>
            <w:tcW w:w="2334" w:type="dxa"/>
          </w:tcPr>
          <w:p w14:paraId="1616A94E"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Name of customer organisation</w:t>
            </w:r>
          </w:p>
        </w:tc>
        <w:tc>
          <w:tcPr>
            <w:tcW w:w="2334" w:type="dxa"/>
          </w:tcPr>
          <w:p w14:paraId="7E69DD4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3E5A61EE"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2C6BB46A"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26775E33" w14:textId="77777777" w:rsidTr="006C2B6A">
        <w:trPr>
          <w:trHeight w:val="420"/>
        </w:trPr>
        <w:tc>
          <w:tcPr>
            <w:tcW w:w="2334" w:type="dxa"/>
          </w:tcPr>
          <w:p w14:paraId="6649062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Point of contact in the organisation</w:t>
            </w:r>
          </w:p>
        </w:tc>
        <w:tc>
          <w:tcPr>
            <w:tcW w:w="2334" w:type="dxa"/>
          </w:tcPr>
          <w:p w14:paraId="1A7D473B"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3226618"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69B3816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5F03C7A6" w14:textId="77777777" w:rsidTr="006C2B6A">
        <w:trPr>
          <w:trHeight w:val="420"/>
        </w:trPr>
        <w:tc>
          <w:tcPr>
            <w:tcW w:w="2334" w:type="dxa"/>
          </w:tcPr>
          <w:p w14:paraId="4C659CF3" w14:textId="0331ECC4"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Position in the organisation</w:t>
            </w:r>
          </w:p>
        </w:tc>
        <w:tc>
          <w:tcPr>
            <w:tcW w:w="2334" w:type="dxa"/>
          </w:tcPr>
          <w:p w14:paraId="7142E89F"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2EE30D8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789DD8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20DB3B0" w14:textId="77777777" w:rsidTr="006C2B6A">
        <w:trPr>
          <w:trHeight w:val="420"/>
        </w:trPr>
        <w:tc>
          <w:tcPr>
            <w:tcW w:w="2334" w:type="dxa"/>
          </w:tcPr>
          <w:p w14:paraId="2F0F1C1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lastRenderedPageBreak/>
              <w:t>E-mail address</w:t>
            </w:r>
          </w:p>
        </w:tc>
        <w:tc>
          <w:tcPr>
            <w:tcW w:w="2334" w:type="dxa"/>
          </w:tcPr>
          <w:p w14:paraId="71B4C68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3F317A78"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68341B7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CA7F95F" w14:textId="77777777" w:rsidTr="006C2B6A">
        <w:trPr>
          <w:trHeight w:val="420"/>
        </w:trPr>
        <w:tc>
          <w:tcPr>
            <w:tcW w:w="2334" w:type="dxa"/>
          </w:tcPr>
          <w:p w14:paraId="52B34785"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 xml:space="preserve">Description of contract </w:t>
            </w:r>
          </w:p>
        </w:tc>
        <w:tc>
          <w:tcPr>
            <w:tcW w:w="2334" w:type="dxa"/>
          </w:tcPr>
          <w:p w14:paraId="42CB985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179F8E48"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F2229B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462E00A1" w14:textId="77777777" w:rsidTr="006C2B6A">
        <w:trPr>
          <w:trHeight w:val="420"/>
        </w:trPr>
        <w:tc>
          <w:tcPr>
            <w:tcW w:w="2334" w:type="dxa"/>
          </w:tcPr>
          <w:p w14:paraId="131696D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Start date</w:t>
            </w:r>
          </w:p>
        </w:tc>
        <w:tc>
          <w:tcPr>
            <w:tcW w:w="2334" w:type="dxa"/>
          </w:tcPr>
          <w:p w14:paraId="64A49994"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19A4B1D0"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E46336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825D824" w14:textId="77777777" w:rsidTr="006C2B6A">
        <w:trPr>
          <w:trHeight w:val="420"/>
        </w:trPr>
        <w:tc>
          <w:tcPr>
            <w:tcW w:w="2334" w:type="dxa"/>
          </w:tcPr>
          <w:p w14:paraId="6DDB0C02"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completion date</w:t>
            </w:r>
          </w:p>
        </w:tc>
        <w:tc>
          <w:tcPr>
            <w:tcW w:w="2334" w:type="dxa"/>
          </w:tcPr>
          <w:p w14:paraId="07689BA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328BB2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CA16ED5"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00849BC" w14:textId="77777777" w:rsidTr="006C2B6A">
        <w:trPr>
          <w:trHeight w:val="420"/>
        </w:trPr>
        <w:tc>
          <w:tcPr>
            <w:tcW w:w="2334" w:type="dxa"/>
          </w:tcPr>
          <w:p w14:paraId="1EE1B31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Estimated contract value</w:t>
            </w:r>
          </w:p>
        </w:tc>
        <w:tc>
          <w:tcPr>
            <w:tcW w:w="2334" w:type="dxa"/>
          </w:tcPr>
          <w:p w14:paraId="53A08DA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16691F6"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66FA6BD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bl>
    <w:p w14:paraId="41D779C4" w14:textId="02671E29" w:rsid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sidRPr="006C2B6A">
        <w:rPr>
          <w:rFonts w:ascii="Arial" w:eastAsia="Calibri" w:hAnsi="Arial" w:cs="Arial"/>
          <w:color w:val="000000"/>
          <w:lang w:eastAsia="en-GB"/>
        </w:rPr>
        <w:tab/>
      </w:r>
    </w:p>
    <w:p w14:paraId="354B3039" w14:textId="6F3770BF" w:rsidR="006C2B6A" w:rsidRP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24.</w:t>
      </w:r>
      <w:r>
        <w:rPr>
          <w:rFonts w:ascii="Arial" w:eastAsia="Calibri" w:hAnsi="Arial" w:cs="Arial"/>
          <w:color w:val="000000"/>
          <w:lang w:eastAsia="en-GB"/>
        </w:rPr>
        <w:tab/>
      </w:r>
      <w:r w:rsidRPr="006C2B6A">
        <w:rPr>
          <w:rFonts w:ascii="Arial" w:eastAsia="Calibri" w:hAnsi="Arial" w:cs="Arial"/>
          <w:color w:val="000000"/>
          <w:lang w:eastAsia="en-GB"/>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085C351" w14:textId="77777777" w:rsidR="006C2B6A" w:rsidRPr="006C2B6A" w:rsidRDefault="006C2B6A" w:rsidP="006C2B6A">
      <w:pPr>
        <w:autoSpaceDE w:val="0"/>
        <w:autoSpaceDN w:val="0"/>
        <w:adjustRightInd w:val="0"/>
        <w:spacing w:after="0" w:line="240" w:lineRule="auto"/>
        <w:ind w:left="1080"/>
        <w:rPr>
          <w:rFonts w:ascii="Arial" w:eastAsia="Calibri" w:hAnsi="Arial" w:cs="Arial"/>
          <w:color w:val="000000"/>
          <w:lang w:eastAsia="en-GB"/>
        </w:rPr>
      </w:pPr>
    </w:p>
    <w:p w14:paraId="66695C7D" w14:textId="331C7902" w:rsidR="006C2B6A" w:rsidRPr="00075489" w:rsidRDefault="006C2B6A" w:rsidP="00075489">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25.</w:t>
      </w:r>
      <w:r w:rsidRPr="006C2B6A">
        <w:rPr>
          <w:rFonts w:ascii="Arial" w:eastAsia="Calibri" w:hAnsi="Arial" w:cs="Arial"/>
          <w:color w:val="000000"/>
          <w:lang w:eastAsia="en-GB"/>
        </w:rPr>
        <w:tab/>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B9985C7" w14:textId="2A930D05" w:rsidR="006D26B3" w:rsidRPr="006D26B3" w:rsidRDefault="006D26B3" w:rsidP="006D26B3">
      <w:pPr>
        <w:keepLines/>
        <w:suppressLineNumbers/>
        <w:suppressAutoHyphens/>
        <w:spacing w:before="120" w:after="120"/>
        <w:jc w:val="both"/>
        <w:rPr>
          <w:rFonts w:ascii="Arial" w:hAnsi="Arial" w:cs="Arial"/>
          <w:b/>
        </w:rPr>
      </w:pPr>
      <w:r w:rsidRPr="006D26B3">
        <w:rPr>
          <w:rFonts w:ascii="Arial" w:hAnsi="Arial" w:cs="Arial"/>
          <w:b/>
        </w:rPr>
        <w:t>Evaluation Criteria &amp; Weighting</w:t>
      </w:r>
    </w:p>
    <w:p w14:paraId="585559D9" w14:textId="572393A5" w:rsidR="006D26B3" w:rsidRDefault="006D26B3" w:rsidP="00BC2955">
      <w:pPr>
        <w:keepLines/>
        <w:suppressLineNumbers/>
        <w:suppressAutoHyphens/>
        <w:spacing w:before="120" w:after="120"/>
        <w:ind w:left="720" w:hanging="720"/>
        <w:jc w:val="both"/>
        <w:rPr>
          <w:rFonts w:ascii="Arial" w:hAnsi="Arial" w:cs="Arial"/>
        </w:rPr>
      </w:pPr>
      <w:r>
        <w:rPr>
          <w:rFonts w:ascii="Arial" w:hAnsi="Arial" w:cs="Arial"/>
        </w:rPr>
        <w:t>26.</w:t>
      </w:r>
      <w:r>
        <w:rPr>
          <w:rFonts w:ascii="Arial" w:hAnsi="Arial" w:cs="Arial"/>
        </w:rPr>
        <w:tab/>
      </w:r>
      <w:r w:rsidR="006A2F37" w:rsidRPr="00BC2955">
        <w:rPr>
          <w:rFonts w:ascii="Arial" w:hAnsi="Arial" w:cs="Arial"/>
        </w:rPr>
        <w:t>The</w:t>
      </w:r>
      <w:r w:rsidR="006A2F37">
        <w:t xml:space="preserve"> </w:t>
      </w:r>
      <w:r w:rsidR="006A2F37" w:rsidRPr="006A2F37">
        <w:rPr>
          <w:rFonts w:ascii="Arial" w:hAnsi="Arial" w:cs="Arial"/>
        </w:rPr>
        <w:t>evidence provided</w:t>
      </w:r>
      <w:r w:rsidR="00091102">
        <w:rPr>
          <w:rFonts w:ascii="Arial" w:hAnsi="Arial" w:cs="Arial"/>
        </w:rPr>
        <w:t>,</w:t>
      </w:r>
      <w:r w:rsidR="006A2F37" w:rsidRPr="006A2F37">
        <w:rPr>
          <w:rFonts w:ascii="Arial" w:hAnsi="Arial" w:cs="Arial"/>
        </w:rPr>
        <w:t xml:space="preserve"> to support the claims made in section 2 of the specification</w:t>
      </w:r>
      <w:r w:rsidR="00091102">
        <w:rPr>
          <w:rFonts w:ascii="Arial" w:hAnsi="Arial" w:cs="Arial"/>
        </w:rPr>
        <w:t>,</w:t>
      </w:r>
      <w:r w:rsidR="006A2F37" w:rsidRPr="006A2F37">
        <w:rPr>
          <w:rFonts w:ascii="Arial" w:hAnsi="Arial" w:cs="Arial"/>
        </w:rPr>
        <w:t xml:space="preserve"> shall be robust in nature e.g. screenshots, system layouts, processes etc) and fully support the claims made against each requirement</w:t>
      </w:r>
      <w:r w:rsidRPr="006D26B3">
        <w:rPr>
          <w:rFonts w:ascii="Arial" w:hAnsi="Arial" w:cs="Arial"/>
        </w:rPr>
        <w:t>;</w:t>
      </w:r>
    </w:p>
    <w:tbl>
      <w:tblPr>
        <w:tblStyle w:val="TableGrid1"/>
        <w:tblW w:w="10502" w:type="dxa"/>
        <w:tblInd w:w="-532" w:type="dxa"/>
        <w:tblLayout w:type="fixed"/>
        <w:tblLook w:val="04A0" w:firstRow="1" w:lastRow="0" w:firstColumn="1" w:lastColumn="0" w:noHBand="0" w:noVBand="1"/>
      </w:tblPr>
      <w:tblGrid>
        <w:gridCol w:w="1687"/>
        <w:gridCol w:w="5906"/>
        <w:gridCol w:w="1359"/>
        <w:gridCol w:w="1550"/>
      </w:tblGrid>
      <w:tr w:rsidR="006D26B3" w:rsidRPr="006D26B3" w14:paraId="7A24D060" w14:textId="77777777" w:rsidTr="003257D9">
        <w:trPr>
          <w:trHeight w:val="451"/>
        </w:trPr>
        <w:tc>
          <w:tcPr>
            <w:tcW w:w="1687" w:type="dxa"/>
            <w:tcBorders>
              <w:bottom w:val="single" w:sz="4" w:space="0" w:color="auto"/>
            </w:tcBorders>
            <w:shd w:val="clear" w:color="auto" w:fill="FFFFFF" w:themeFill="background1"/>
            <w:vAlign w:val="center"/>
          </w:tcPr>
          <w:p w14:paraId="6F7085ED"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GUIDANCE</w:t>
            </w:r>
          </w:p>
        </w:tc>
        <w:tc>
          <w:tcPr>
            <w:tcW w:w="8815" w:type="dxa"/>
            <w:gridSpan w:val="3"/>
            <w:tcBorders>
              <w:bottom w:val="single" w:sz="4" w:space="0" w:color="auto"/>
            </w:tcBorders>
            <w:shd w:val="clear" w:color="auto" w:fill="FFFFFF" w:themeFill="background1"/>
            <w:vAlign w:val="center"/>
          </w:tcPr>
          <w:p w14:paraId="4ACEC9E9" w14:textId="160FD268"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The following questions are ‘Pass/Fail’ questions. If Potential Providers score a fail, their submission will be deemed non-compliant and shall be rejected.</w:t>
            </w:r>
          </w:p>
        </w:tc>
      </w:tr>
      <w:tr w:rsidR="006D26B3" w:rsidRPr="006D26B3" w14:paraId="5D48A27D" w14:textId="77777777" w:rsidTr="003257D9">
        <w:trPr>
          <w:trHeight w:val="451"/>
        </w:trPr>
        <w:tc>
          <w:tcPr>
            <w:tcW w:w="1687" w:type="dxa"/>
            <w:tcBorders>
              <w:bottom w:val="single" w:sz="4" w:space="0" w:color="auto"/>
            </w:tcBorders>
            <w:shd w:val="clear" w:color="auto" w:fill="D9D9D9" w:themeFill="background1" w:themeFillShade="D9"/>
            <w:vAlign w:val="center"/>
          </w:tcPr>
          <w:p w14:paraId="715ADFD1"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Question Number</w:t>
            </w:r>
          </w:p>
        </w:tc>
        <w:tc>
          <w:tcPr>
            <w:tcW w:w="5906" w:type="dxa"/>
            <w:tcBorders>
              <w:bottom w:val="single" w:sz="4" w:space="0" w:color="auto"/>
            </w:tcBorders>
            <w:shd w:val="clear" w:color="auto" w:fill="D9D9D9" w:themeFill="background1" w:themeFillShade="D9"/>
            <w:vAlign w:val="center"/>
          </w:tcPr>
          <w:p w14:paraId="46495953"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Question</w:t>
            </w:r>
          </w:p>
        </w:tc>
        <w:tc>
          <w:tcPr>
            <w:tcW w:w="1359" w:type="dxa"/>
            <w:tcBorders>
              <w:bottom w:val="single" w:sz="4" w:space="0" w:color="auto"/>
            </w:tcBorders>
            <w:shd w:val="clear" w:color="auto" w:fill="D9D9D9" w:themeFill="background1" w:themeFillShade="D9"/>
            <w:vAlign w:val="center"/>
          </w:tcPr>
          <w:p w14:paraId="06F49D7F"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Max Score</w:t>
            </w:r>
          </w:p>
        </w:tc>
        <w:tc>
          <w:tcPr>
            <w:tcW w:w="1549" w:type="dxa"/>
            <w:tcBorders>
              <w:bottom w:val="single" w:sz="4" w:space="0" w:color="auto"/>
            </w:tcBorders>
            <w:shd w:val="clear" w:color="auto" w:fill="D9D9D9" w:themeFill="background1" w:themeFillShade="D9"/>
            <w:vAlign w:val="center"/>
          </w:tcPr>
          <w:p w14:paraId="714ACA87" w14:textId="77777777" w:rsidR="006D26B3" w:rsidRPr="006D26B3" w:rsidRDefault="006D26B3" w:rsidP="006D26B3">
            <w:pPr>
              <w:spacing w:before="240" w:after="0" w:line="360" w:lineRule="auto"/>
              <w:rPr>
                <w:rFonts w:ascii="Arial" w:hAnsi="Arial" w:cs="Arial"/>
                <w:b/>
                <w:sz w:val="22"/>
                <w:szCs w:val="22"/>
              </w:rPr>
            </w:pPr>
            <w:r w:rsidRPr="006D26B3">
              <w:rPr>
                <w:rFonts w:ascii="Arial" w:hAnsi="Arial" w:cs="Arial"/>
                <w:b/>
                <w:sz w:val="22"/>
                <w:szCs w:val="22"/>
              </w:rPr>
              <w:t>Weighting (%)</w:t>
            </w:r>
          </w:p>
        </w:tc>
      </w:tr>
      <w:tr w:rsidR="006D26B3" w:rsidRPr="006D26B3" w14:paraId="3F78EF26" w14:textId="77777777" w:rsidTr="003257D9">
        <w:trPr>
          <w:trHeight w:val="451"/>
        </w:trPr>
        <w:tc>
          <w:tcPr>
            <w:tcW w:w="1687" w:type="dxa"/>
            <w:tcBorders>
              <w:bottom w:val="single" w:sz="4" w:space="0" w:color="auto"/>
            </w:tcBorders>
            <w:shd w:val="clear" w:color="auto" w:fill="auto"/>
            <w:vAlign w:val="center"/>
          </w:tcPr>
          <w:p w14:paraId="468E8295"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1</w:t>
            </w:r>
          </w:p>
        </w:tc>
        <w:tc>
          <w:tcPr>
            <w:tcW w:w="5906" w:type="dxa"/>
            <w:tcBorders>
              <w:bottom w:val="single" w:sz="4" w:space="0" w:color="auto"/>
            </w:tcBorders>
            <w:shd w:val="clear" w:color="auto" w:fill="auto"/>
            <w:vAlign w:val="center"/>
          </w:tcPr>
          <w:p w14:paraId="64345A8E" w14:textId="77777777"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Evidence that the solution can import and export data in a range of formats, including Word, Excel, PDF, etc in an editable format.</w:t>
            </w:r>
          </w:p>
        </w:tc>
        <w:tc>
          <w:tcPr>
            <w:tcW w:w="1359" w:type="dxa"/>
            <w:tcBorders>
              <w:bottom w:val="single" w:sz="4" w:space="0" w:color="auto"/>
            </w:tcBorders>
            <w:vAlign w:val="center"/>
          </w:tcPr>
          <w:p w14:paraId="4782DDEA"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tcBorders>
              <w:bottom w:val="single" w:sz="4" w:space="0" w:color="auto"/>
            </w:tcBorders>
            <w:vAlign w:val="center"/>
          </w:tcPr>
          <w:p w14:paraId="02883C2B"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r w:rsidR="006D26B3" w:rsidRPr="006D26B3" w14:paraId="4380E7D5" w14:textId="77777777" w:rsidTr="003257D9">
        <w:trPr>
          <w:trHeight w:val="451"/>
        </w:trPr>
        <w:tc>
          <w:tcPr>
            <w:tcW w:w="1687" w:type="dxa"/>
            <w:tcBorders>
              <w:bottom w:val="single" w:sz="4" w:space="0" w:color="auto"/>
            </w:tcBorders>
            <w:shd w:val="clear" w:color="auto" w:fill="auto"/>
            <w:vAlign w:val="center"/>
          </w:tcPr>
          <w:p w14:paraId="1D7B611F"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2</w:t>
            </w:r>
          </w:p>
        </w:tc>
        <w:tc>
          <w:tcPr>
            <w:tcW w:w="5906" w:type="dxa"/>
            <w:tcBorders>
              <w:bottom w:val="single" w:sz="4" w:space="0" w:color="auto"/>
            </w:tcBorders>
            <w:shd w:val="clear" w:color="auto" w:fill="auto"/>
            <w:vAlign w:val="center"/>
          </w:tcPr>
          <w:p w14:paraId="2149A45A" w14:textId="16F06E1B"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Evidence that the solution has a proven track record of managing requirements for large and complex projects over a prolonged period.</w:t>
            </w:r>
          </w:p>
        </w:tc>
        <w:tc>
          <w:tcPr>
            <w:tcW w:w="1359" w:type="dxa"/>
            <w:tcBorders>
              <w:bottom w:val="single" w:sz="4" w:space="0" w:color="auto"/>
            </w:tcBorders>
            <w:vAlign w:val="center"/>
          </w:tcPr>
          <w:p w14:paraId="2132CC1E"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tcBorders>
              <w:bottom w:val="single" w:sz="4" w:space="0" w:color="auto"/>
            </w:tcBorders>
            <w:vAlign w:val="center"/>
          </w:tcPr>
          <w:p w14:paraId="34CD4FF3"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r w:rsidR="006D26B3" w:rsidRPr="006D26B3" w14:paraId="742172DC" w14:textId="77777777" w:rsidTr="003257D9">
        <w:trPr>
          <w:trHeight w:val="451"/>
        </w:trPr>
        <w:tc>
          <w:tcPr>
            <w:tcW w:w="1687" w:type="dxa"/>
            <w:shd w:val="clear" w:color="auto" w:fill="auto"/>
            <w:vAlign w:val="center"/>
          </w:tcPr>
          <w:p w14:paraId="434AA5F4" w14:textId="77777777" w:rsidR="006D26B3" w:rsidRPr="006D26B3" w:rsidRDefault="006D26B3" w:rsidP="006D26B3">
            <w:pPr>
              <w:spacing w:before="60" w:after="60" w:line="360" w:lineRule="auto"/>
              <w:jc w:val="center"/>
              <w:rPr>
                <w:rFonts w:ascii="Arial" w:hAnsi="Arial" w:cs="Arial"/>
                <w:color w:val="000000"/>
                <w:sz w:val="22"/>
                <w:szCs w:val="22"/>
              </w:rPr>
            </w:pPr>
            <w:r w:rsidRPr="006D26B3">
              <w:rPr>
                <w:rFonts w:ascii="Arial" w:hAnsi="Arial" w:cs="Arial"/>
                <w:color w:val="000000"/>
                <w:sz w:val="22"/>
                <w:szCs w:val="22"/>
              </w:rPr>
              <w:lastRenderedPageBreak/>
              <w:t>3</w:t>
            </w:r>
          </w:p>
        </w:tc>
        <w:tc>
          <w:tcPr>
            <w:tcW w:w="5906" w:type="dxa"/>
            <w:shd w:val="clear" w:color="auto" w:fill="auto"/>
            <w:vAlign w:val="center"/>
          </w:tcPr>
          <w:p w14:paraId="21CD57BC" w14:textId="77777777"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Provision of evidence demonstrating the capability of supplying training and support over the life of the contract.</w:t>
            </w:r>
          </w:p>
        </w:tc>
        <w:tc>
          <w:tcPr>
            <w:tcW w:w="1359" w:type="dxa"/>
            <w:vAlign w:val="center"/>
          </w:tcPr>
          <w:p w14:paraId="5DAB95D2"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vAlign w:val="center"/>
          </w:tcPr>
          <w:p w14:paraId="1A9F80EB"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r w:rsidR="006D26B3" w:rsidRPr="006D26B3" w14:paraId="694B8317" w14:textId="77777777" w:rsidTr="003257D9">
        <w:trPr>
          <w:trHeight w:val="451"/>
        </w:trPr>
        <w:tc>
          <w:tcPr>
            <w:tcW w:w="1687" w:type="dxa"/>
            <w:tcBorders>
              <w:bottom w:val="single" w:sz="4" w:space="0" w:color="auto"/>
            </w:tcBorders>
            <w:shd w:val="clear" w:color="auto" w:fill="auto"/>
            <w:vAlign w:val="center"/>
          </w:tcPr>
          <w:p w14:paraId="42406AAB" w14:textId="77777777" w:rsidR="006D26B3" w:rsidRPr="006D26B3" w:rsidRDefault="006D26B3" w:rsidP="006D26B3">
            <w:pPr>
              <w:spacing w:before="60" w:after="60" w:line="360" w:lineRule="auto"/>
              <w:jc w:val="center"/>
              <w:rPr>
                <w:rFonts w:ascii="Arial" w:hAnsi="Arial" w:cs="Arial"/>
                <w:color w:val="000000"/>
                <w:sz w:val="22"/>
                <w:szCs w:val="22"/>
              </w:rPr>
            </w:pPr>
            <w:r w:rsidRPr="006D26B3">
              <w:rPr>
                <w:rFonts w:ascii="Arial" w:hAnsi="Arial" w:cs="Arial"/>
                <w:color w:val="000000"/>
                <w:sz w:val="22"/>
                <w:szCs w:val="22"/>
              </w:rPr>
              <w:t>4</w:t>
            </w:r>
          </w:p>
        </w:tc>
        <w:tc>
          <w:tcPr>
            <w:tcW w:w="5906" w:type="dxa"/>
            <w:tcBorders>
              <w:bottom w:val="single" w:sz="4" w:space="0" w:color="auto"/>
            </w:tcBorders>
            <w:shd w:val="clear" w:color="auto" w:fill="auto"/>
            <w:vAlign w:val="center"/>
          </w:tcPr>
          <w:p w14:paraId="3C48E8A1" w14:textId="77777777"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 xml:space="preserve">The service provider must be able to demonstrate compliance with the principles as set out in the in the Cabinet Office HMG Government Security Policy Framework </w:t>
            </w:r>
            <w:hyperlink r:id="rId8" w:history="1">
              <w:r w:rsidRPr="006D26B3">
                <w:rPr>
                  <w:rFonts w:ascii="Arial" w:hAnsi="Arial" w:cs="Arial"/>
                  <w:color w:val="0000FF"/>
                  <w:sz w:val="22"/>
                  <w:szCs w:val="22"/>
                  <w:u w:val="single"/>
                </w:rPr>
                <w:t>https://www.gov.uk/government/publications/security-policy-framework</w:t>
              </w:r>
            </w:hyperlink>
          </w:p>
        </w:tc>
        <w:tc>
          <w:tcPr>
            <w:tcW w:w="1359" w:type="dxa"/>
            <w:tcBorders>
              <w:bottom w:val="single" w:sz="4" w:space="0" w:color="auto"/>
            </w:tcBorders>
            <w:vAlign w:val="center"/>
          </w:tcPr>
          <w:p w14:paraId="54113F67"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tcBorders>
              <w:bottom w:val="single" w:sz="4" w:space="0" w:color="auto"/>
            </w:tcBorders>
            <w:vAlign w:val="center"/>
          </w:tcPr>
          <w:p w14:paraId="34BA473B"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bl>
    <w:p w14:paraId="1404A9A7" w14:textId="309503FA" w:rsidR="006D26B3" w:rsidRDefault="006D26B3" w:rsidP="006D26B3">
      <w:pPr>
        <w:keepLines/>
        <w:suppressLineNumbers/>
        <w:suppressAutoHyphens/>
        <w:spacing w:before="120" w:after="120"/>
        <w:ind w:left="720" w:hanging="720"/>
        <w:jc w:val="both"/>
        <w:rPr>
          <w:rFonts w:ascii="Arial" w:hAnsi="Arial" w:cs="Arial"/>
        </w:rPr>
      </w:pPr>
    </w:p>
    <w:tbl>
      <w:tblPr>
        <w:tblW w:w="56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1895"/>
        <w:gridCol w:w="5017"/>
        <w:gridCol w:w="1844"/>
      </w:tblGrid>
      <w:tr w:rsidR="001927EF" w:rsidRPr="006D26B3" w14:paraId="19A08AA0" w14:textId="77777777" w:rsidTr="001927EF">
        <w:trPr>
          <w:trHeight w:val="916"/>
        </w:trPr>
        <w:tc>
          <w:tcPr>
            <w:tcW w:w="827" w:type="pct"/>
            <w:shd w:val="clear" w:color="auto" w:fill="auto"/>
            <w:noWrap/>
            <w:vAlign w:val="center"/>
          </w:tcPr>
          <w:p w14:paraId="54CC4662" w14:textId="77777777" w:rsidR="001927EF" w:rsidRPr="006D26B3" w:rsidRDefault="001927EF" w:rsidP="006D26B3">
            <w:pPr>
              <w:spacing w:after="0" w:line="240" w:lineRule="auto"/>
              <w:jc w:val="center"/>
              <w:rPr>
                <w:rFonts w:ascii="Arial" w:eastAsia="Calibri" w:hAnsi="Arial" w:cs="Arial"/>
                <w:b/>
                <w:bCs/>
                <w:lang w:eastAsia="en-GB"/>
              </w:rPr>
            </w:pPr>
            <w:r w:rsidRPr="006D26B3">
              <w:rPr>
                <w:rFonts w:ascii="Arial" w:eastAsia="Calibri" w:hAnsi="Arial" w:cs="Arial"/>
                <w:b/>
                <w:bCs/>
                <w:lang w:eastAsia="en-GB"/>
              </w:rPr>
              <w:t>Primary Criteria</w:t>
            </w:r>
          </w:p>
        </w:tc>
        <w:tc>
          <w:tcPr>
            <w:tcW w:w="903" w:type="pct"/>
            <w:shd w:val="clear" w:color="auto" w:fill="auto"/>
            <w:vAlign w:val="bottom"/>
          </w:tcPr>
          <w:p w14:paraId="3BB4FB7D" w14:textId="77777777" w:rsidR="001927EF" w:rsidRPr="006D26B3" w:rsidRDefault="001927EF" w:rsidP="006D26B3">
            <w:pPr>
              <w:spacing w:after="0" w:line="240" w:lineRule="auto"/>
              <w:jc w:val="both"/>
              <w:rPr>
                <w:rFonts w:ascii="Arial" w:eastAsia="Calibri" w:hAnsi="Arial" w:cs="Arial"/>
                <w:b/>
                <w:bCs/>
                <w:lang w:eastAsia="en-GB"/>
              </w:rPr>
            </w:pPr>
            <w:r w:rsidRPr="006D26B3">
              <w:rPr>
                <w:rFonts w:ascii="Arial" w:eastAsia="Calibri" w:hAnsi="Arial" w:cs="Arial"/>
                <w:b/>
                <w:bCs/>
                <w:lang w:eastAsia="en-GB"/>
              </w:rPr>
              <w:t>Primary Criteria Weighting (%)</w:t>
            </w:r>
          </w:p>
        </w:tc>
        <w:tc>
          <w:tcPr>
            <w:tcW w:w="2391" w:type="pct"/>
            <w:shd w:val="clear" w:color="auto" w:fill="auto"/>
            <w:noWrap/>
            <w:vAlign w:val="center"/>
          </w:tcPr>
          <w:p w14:paraId="532E36E0" w14:textId="77777777" w:rsidR="001927EF" w:rsidRPr="006D26B3" w:rsidRDefault="001927EF" w:rsidP="006D26B3">
            <w:pPr>
              <w:spacing w:after="0" w:line="240" w:lineRule="auto"/>
              <w:jc w:val="center"/>
              <w:rPr>
                <w:rFonts w:ascii="Arial" w:eastAsia="Calibri" w:hAnsi="Arial" w:cs="Arial"/>
                <w:b/>
                <w:bCs/>
                <w:lang w:eastAsia="en-GB"/>
              </w:rPr>
            </w:pPr>
            <w:r w:rsidRPr="006D26B3">
              <w:rPr>
                <w:rFonts w:ascii="Arial" w:eastAsia="Calibri" w:hAnsi="Arial" w:cs="Arial"/>
                <w:b/>
                <w:bCs/>
                <w:lang w:eastAsia="en-GB"/>
              </w:rPr>
              <w:t>Sub-Criteria Description</w:t>
            </w:r>
          </w:p>
        </w:tc>
        <w:tc>
          <w:tcPr>
            <w:tcW w:w="879" w:type="pct"/>
            <w:shd w:val="clear" w:color="auto" w:fill="auto"/>
            <w:vAlign w:val="bottom"/>
          </w:tcPr>
          <w:p w14:paraId="2EFC2191" w14:textId="77777777" w:rsidR="001927EF" w:rsidRPr="006D26B3" w:rsidRDefault="001927EF" w:rsidP="006D26B3">
            <w:pPr>
              <w:spacing w:after="0" w:line="240" w:lineRule="auto"/>
              <w:jc w:val="center"/>
              <w:rPr>
                <w:rFonts w:ascii="Arial" w:eastAsia="Calibri" w:hAnsi="Arial" w:cs="Arial"/>
                <w:b/>
                <w:bCs/>
                <w:lang w:eastAsia="en-GB"/>
              </w:rPr>
            </w:pPr>
            <w:r w:rsidRPr="006D26B3">
              <w:rPr>
                <w:rFonts w:ascii="Arial" w:eastAsia="Calibri" w:hAnsi="Arial" w:cs="Arial"/>
                <w:b/>
                <w:bCs/>
                <w:lang w:eastAsia="en-GB"/>
              </w:rPr>
              <w:t>Sub-Criteria Weighting (%)</w:t>
            </w:r>
          </w:p>
        </w:tc>
      </w:tr>
      <w:tr w:rsidR="001927EF" w:rsidRPr="006D26B3" w14:paraId="30DB6FED" w14:textId="77777777" w:rsidTr="001927EF">
        <w:trPr>
          <w:trHeight w:val="1063"/>
        </w:trPr>
        <w:tc>
          <w:tcPr>
            <w:tcW w:w="827" w:type="pct"/>
            <w:vMerge w:val="restart"/>
            <w:shd w:val="clear" w:color="auto" w:fill="auto"/>
            <w:vAlign w:val="center"/>
          </w:tcPr>
          <w:p w14:paraId="3EF2D286" w14:textId="77777777" w:rsidR="001927EF" w:rsidRPr="006D26B3" w:rsidRDefault="001927EF" w:rsidP="006D26B3">
            <w:pPr>
              <w:spacing w:after="0" w:line="240" w:lineRule="auto"/>
              <w:jc w:val="both"/>
              <w:rPr>
                <w:rFonts w:ascii="Arial" w:eastAsia="Calibri" w:hAnsi="Arial" w:cs="Arial"/>
                <w:b/>
                <w:bCs/>
                <w:lang w:eastAsia="en-GB"/>
              </w:rPr>
            </w:pPr>
            <w:r w:rsidRPr="006D26B3">
              <w:rPr>
                <w:rFonts w:ascii="Arial" w:eastAsia="Calibri" w:hAnsi="Arial" w:cs="Arial"/>
                <w:b/>
                <w:bCs/>
                <w:lang w:eastAsia="en-GB"/>
              </w:rPr>
              <w:t>Capability/Delivery</w:t>
            </w:r>
          </w:p>
        </w:tc>
        <w:tc>
          <w:tcPr>
            <w:tcW w:w="903" w:type="pct"/>
            <w:vMerge w:val="restart"/>
            <w:shd w:val="clear" w:color="auto" w:fill="auto"/>
            <w:vAlign w:val="center"/>
          </w:tcPr>
          <w:p w14:paraId="04833394" w14:textId="24118EB6" w:rsidR="001927EF" w:rsidRPr="006D26B3" w:rsidRDefault="001927EF" w:rsidP="006D26B3">
            <w:pPr>
              <w:spacing w:after="0" w:line="240" w:lineRule="auto"/>
              <w:jc w:val="both"/>
              <w:rPr>
                <w:rFonts w:ascii="Arial" w:eastAsia="Calibri" w:hAnsi="Arial" w:cs="Arial"/>
                <w:b/>
                <w:bCs/>
                <w:lang w:eastAsia="en-GB"/>
              </w:rPr>
            </w:pPr>
            <w:r>
              <w:rPr>
                <w:rFonts w:ascii="Arial" w:eastAsia="Calibri" w:hAnsi="Arial" w:cs="Arial"/>
                <w:b/>
                <w:bCs/>
                <w:lang w:eastAsia="en-GB"/>
              </w:rPr>
              <w:t>75</w:t>
            </w:r>
          </w:p>
        </w:tc>
        <w:tc>
          <w:tcPr>
            <w:tcW w:w="2391" w:type="pct"/>
            <w:shd w:val="clear" w:color="auto" w:fill="auto"/>
            <w:vAlign w:val="center"/>
          </w:tcPr>
          <w:p w14:paraId="17A9D185"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The supplier shall provide a Cloud based solution to allow the gathering of requirements across multiple projects.</w:t>
            </w:r>
            <w:r w:rsidRPr="006D26B3">
              <w:rPr>
                <w:rFonts w:ascii="Arial" w:eastAsia="Calibri" w:hAnsi="Arial" w:cs="Arial"/>
                <w:bCs/>
                <w:lang w:eastAsia="en-GB"/>
              </w:rPr>
              <w:tab/>
            </w:r>
          </w:p>
        </w:tc>
        <w:tc>
          <w:tcPr>
            <w:tcW w:w="879" w:type="pct"/>
            <w:shd w:val="clear" w:color="auto" w:fill="auto"/>
            <w:vAlign w:val="center"/>
          </w:tcPr>
          <w:p w14:paraId="68D790D0" w14:textId="0D57483A"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Pr>
                <w:rFonts w:ascii="Arial" w:eastAsia="Calibri" w:hAnsi="Arial" w:cs="Arial"/>
                <w:bCs/>
                <w:lang w:eastAsia="en-GB"/>
              </w:rPr>
              <w:t>0</w:t>
            </w:r>
          </w:p>
        </w:tc>
      </w:tr>
      <w:tr w:rsidR="001927EF" w:rsidRPr="006D26B3" w14:paraId="4F28D600" w14:textId="77777777" w:rsidTr="001927EF">
        <w:trPr>
          <w:trHeight w:val="893"/>
        </w:trPr>
        <w:tc>
          <w:tcPr>
            <w:tcW w:w="827" w:type="pct"/>
            <w:vMerge/>
            <w:shd w:val="clear" w:color="auto" w:fill="auto"/>
            <w:vAlign w:val="center"/>
          </w:tcPr>
          <w:p w14:paraId="6D61B44E"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584F130A"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758E2948"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allows for real time collaboration and the sharing of data between project team members at disparate locations.</w:t>
            </w:r>
          </w:p>
        </w:tc>
        <w:tc>
          <w:tcPr>
            <w:tcW w:w="879" w:type="pct"/>
            <w:shd w:val="clear" w:color="auto" w:fill="auto"/>
            <w:vAlign w:val="center"/>
          </w:tcPr>
          <w:p w14:paraId="69D29847" w14:textId="435FC6A6"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Pr>
                <w:rFonts w:ascii="Arial" w:eastAsia="Calibri" w:hAnsi="Arial" w:cs="Arial"/>
                <w:bCs/>
                <w:lang w:eastAsia="en-GB"/>
              </w:rPr>
              <w:t>0</w:t>
            </w:r>
          </w:p>
        </w:tc>
      </w:tr>
      <w:tr w:rsidR="001927EF" w:rsidRPr="006D26B3" w14:paraId="25DAF7FF" w14:textId="77777777" w:rsidTr="001927EF">
        <w:trPr>
          <w:trHeight w:val="820"/>
        </w:trPr>
        <w:tc>
          <w:tcPr>
            <w:tcW w:w="827" w:type="pct"/>
            <w:vMerge/>
            <w:shd w:val="clear" w:color="auto" w:fill="auto"/>
            <w:vAlign w:val="center"/>
          </w:tcPr>
          <w:p w14:paraId="6CA6A1A7"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4F9473D6"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0653153C"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ensures the traceability of requirements from high level user requirements through to detailed system requirements</w:t>
            </w:r>
          </w:p>
        </w:tc>
        <w:tc>
          <w:tcPr>
            <w:tcW w:w="879" w:type="pct"/>
            <w:shd w:val="clear" w:color="auto" w:fill="auto"/>
            <w:vAlign w:val="center"/>
          </w:tcPr>
          <w:p w14:paraId="3C626574" w14:textId="65DD6F75"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Pr>
                <w:rFonts w:ascii="Arial" w:eastAsia="Calibri" w:hAnsi="Arial" w:cs="Arial"/>
                <w:bCs/>
                <w:lang w:eastAsia="en-GB"/>
              </w:rPr>
              <w:t>0</w:t>
            </w:r>
          </w:p>
        </w:tc>
      </w:tr>
      <w:tr w:rsidR="001927EF" w:rsidRPr="006D26B3" w14:paraId="0E117377" w14:textId="77777777" w:rsidTr="001927EF">
        <w:trPr>
          <w:trHeight w:val="626"/>
        </w:trPr>
        <w:tc>
          <w:tcPr>
            <w:tcW w:w="827" w:type="pct"/>
            <w:vMerge/>
            <w:shd w:val="clear" w:color="auto" w:fill="auto"/>
            <w:vAlign w:val="center"/>
          </w:tcPr>
          <w:p w14:paraId="5C68B7D8"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3861BAE0"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10A46FDD"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The Solution shall allow the linking of requirements</w:t>
            </w:r>
          </w:p>
        </w:tc>
        <w:tc>
          <w:tcPr>
            <w:tcW w:w="879" w:type="pct"/>
            <w:shd w:val="clear" w:color="auto" w:fill="auto"/>
            <w:vAlign w:val="center"/>
          </w:tcPr>
          <w:p w14:paraId="0F6418A0" w14:textId="41D75C1A"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Pr>
                <w:rFonts w:ascii="Arial" w:eastAsia="Calibri" w:hAnsi="Arial" w:cs="Arial"/>
                <w:bCs/>
                <w:lang w:eastAsia="en-GB"/>
              </w:rPr>
              <w:t>0</w:t>
            </w:r>
          </w:p>
        </w:tc>
      </w:tr>
      <w:tr w:rsidR="001927EF" w:rsidRPr="006D26B3" w14:paraId="2113F0DD" w14:textId="77777777" w:rsidTr="001927EF">
        <w:trPr>
          <w:trHeight w:val="626"/>
        </w:trPr>
        <w:tc>
          <w:tcPr>
            <w:tcW w:w="827" w:type="pct"/>
            <w:vMerge/>
            <w:shd w:val="clear" w:color="auto" w:fill="auto"/>
            <w:vAlign w:val="center"/>
          </w:tcPr>
          <w:p w14:paraId="4E875EB1"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3A488A90"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56E4DAB0"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provides an audit trail of updates and changes made. A historical record of all updates and changes shall be recorded against each contributor at an individual level, together with the time and date of change.</w:t>
            </w:r>
          </w:p>
        </w:tc>
        <w:tc>
          <w:tcPr>
            <w:tcW w:w="879" w:type="pct"/>
            <w:shd w:val="clear" w:color="auto" w:fill="auto"/>
            <w:vAlign w:val="center"/>
          </w:tcPr>
          <w:p w14:paraId="24A67645" w14:textId="4167E2BE"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Pr>
                <w:rFonts w:ascii="Arial" w:eastAsia="Calibri" w:hAnsi="Arial" w:cs="Arial"/>
                <w:bCs/>
                <w:lang w:eastAsia="en-GB"/>
              </w:rPr>
              <w:t>0</w:t>
            </w:r>
          </w:p>
        </w:tc>
      </w:tr>
      <w:tr w:rsidR="001927EF" w:rsidRPr="006D26B3" w14:paraId="05EBFEF8" w14:textId="77777777" w:rsidTr="001927EF">
        <w:trPr>
          <w:trHeight w:val="733"/>
        </w:trPr>
        <w:tc>
          <w:tcPr>
            <w:tcW w:w="827" w:type="pct"/>
            <w:vMerge/>
            <w:shd w:val="clear" w:color="auto" w:fill="auto"/>
            <w:vAlign w:val="center"/>
          </w:tcPr>
          <w:p w14:paraId="150BFFD1"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0861AAE1"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62C27723"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system can provide access for 3 users at edit / update level and for 12 additional users at read only access level.</w:t>
            </w:r>
          </w:p>
        </w:tc>
        <w:tc>
          <w:tcPr>
            <w:tcW w:w="879" w:type="pct"/>
            <w:shd w:val="clear" w:color="auto" w:fill="auto"/>
            <w:vAlign w:val="center"/>
          </w:tcPr>
          <w:p w14:paraId="5961544D"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6</w:t>
            </w:r>
          </w:p>
        </w:tc>
      </w:tr>
      <w:tr w:rsidR="001927EF" w:rsidRPr="006D26B3" w14:paraId="2B519B49" w14:textId="77777777" w:rsidTr="001927EF">
        <w:trPr>
          <w:trHeight w:val="1056"/>
        </w:trPr>
        <w:tc>
          <w:tcPr>
            <w:tcW w:w="827" w:type="pct"/>
            <w:vMerge/>
            <w:shd w:val="clear" w:color="auto" w:fill="auto"/>
            <w:vAlign w:val="center"/>
          </w:tcPr>
          <w:p w14:paraId="49A12046"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455FEF67"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42553488"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Capability of the supplier to provide a consultancy service for the initial set up of the system and data migration and then an additional one-day of consultancy per annum on an hourly call off basis.</w:t>
            </w:r>
          </w:p>
        </w:tc>
        <w:tc>
          <w:tcPr>
            <w:tcW w:w="879" w:type="pct"/>
            <w:shd w:val="clear" w:color="auto" w:fill="auto"/>
            <w:vAlign w:val="center"/>
          </w:tcPr>
          <w:p w14:paraId="59CD12A8"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8</w:t>
            </w:r>
          </w:p>
        </w:tc>
      </w:tr>
      <w:tr w:rsidR="001927EF" w:rsidRPr="006D26B3" w14:paraId="789EB37D" w14:textId="77777777" w:rsidTr="001927EF">
        <w:trPr>
          <w:trHeight w:val="833"/>
        </w:trPr>
        <w:tc>
          <w:tcPr>
            <w:tcW w:w="827" w:type="pct"/>
            <w:vMerge/>
            <w:shd w:val="clear" w:color="auto" w:fill="auto"/>
            <w:vAlign w:val="center"/>
          </w:tcPr>
          <w:p w14:paraId="74BF1AB4"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62706DC4"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5BEA3E0C"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Training can be provided for 3 users at either the MCA Head Office, Southampton or the National Maritime Operations Centre, Fareham, Hampshire</w:t>
            </w:r>
          </w:p>
        </w:tc>
        <w:tc>
          <w:tcPr>
            <w:tcW w:w="879" w:type="pct"/>
            <w:shd w:val="clear" w:color="auto" w:fill="auto"/>
            <w:vAlign w:val="center"/>
          </w:tcPr>
          <w:p w14:paraId="445B2B73"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8</w:t>
            </w:r>
          </w:p>
        </w:tc>
      </w:tr>
      <w:tr w:rsidR="001927EF" w:rsidRPr="006D26B3" w14:paraId="77DEF0ED" w14:textId="77777777" w:rsidTr="001927EF">
        <w:trPr>
          <w:trHeight w:val="1077"/>
        </w:trPr>
        <w:tc>
          <w:tcPr>
            <w:tcW w:w="827" w:type="pct"/>
            <w:vMerge/>
            <w:shd w:val="clear" w:color="auto" w:fill="auto"/>
            <w:vAlign w:val="center"/>
          </w:tcPr>
          <w:p w14:paraId="7B58C502"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178ACEA5"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322E00EB" w14:textId="6054EF1B" w:rsidR="001927EF" w:rsidRPr="006D26B3" w:rsidRDefault="001927EF" w:rsidP="006D26B3">
            <w:pPr>
              <w:spacing w:after="0" w:line="240" w:lineRule="auto"/>
              <w:jc w:val="both"/>
              <w:rPr>
                <w:rFonts w:ascii="Arial" w:eastAsia="Calibri" w:hAnsi="Arial" w:cs="Arial"/>
                <w:bCs/>
                <w:color w:val="FF0000"/>
                <w:lang w:eastAsia="en-GB"/>
              </w:rPr>
            </w:pPr>
            <w:r w:rsidRPr="006D26B3">
              <w:rPr>
                <w:rFonts w:ascii="Arial" w:eastAsia="Calibri" w:hAnsi="Arial" w:cs="Arial"/>
                <w:bCs/>
                <w:lang w:eastAsia="en-GB"/>
              </w:rPr>
              <w:t>Detailed evidence of existing user communities working on large and complex projects, to allow knowledge sharing, education and support.</w:t>
            </w:r>
            <w:r>
              <w:rPr>
                <w:rFonts w:ascii="Arial" w:eastAsia="Calibri" w:hAnsi="Arial" w:cs="Arial"/>
                <w:bCs/>
                <w:lang w:eastAsia="en-GB"/>
              </w:rPr>
              <w:t xml:space="preserve"> </w:t>
            </w:r>
          </w:p>
        </w:tc>
        <w:tc>
          <w:tcPr>
            <w:tcW w:w="879" w:type="pct"/>
            <w:shd w:val="clear" w:color="auto" w:fill="auto"/>
            <w:vAlign w:val="center"/>
          </w:tcPr>
          <w:p w14:paraId="29E601C7" w14:textId="47651955"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Pr>
                <w:rFonts w:ascii="Arial" w:eastAsia="Calibri" w:hAnsi="Arial" w:cs="Arial"/>
                <w:bCs/>
                <w:lang w:eastAsia="en-GB"/>
              </w:rPr>
              <w:t>0</w:t>
            </w:r>
          </w:p>
        </w:tc>
      </w:tr>
      <w:tr w:rsidR="001927EF" w:rsidRPr="006D26B3" w14:paraId="06AFC5D5" w14:textId="77777777" w:rsidTr="001927EF">
        <w:trPr>
          <w:trHeight w:val="681"/>
        </w:trPr>
        <w:tc>
          <w:tcPr>
            <w:tcW w:w="827" w:type="pct"/>
            <w:vMerge/>
            <w:shd w:val="clear" w:color="auto" w:fill="auto"/>
            <w:vAlign w:val="center"/>
          </w:tcPr>
          <w:p w14:paraId="3ECDB8CC"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753737F5"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30AE1F50"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provides scalability to allow use by other projects and additional users</w:t>
            </w:r>
          </w:p>
        </w:tc>
        <w:tc>
          <w:tcPr>
            <w:tcW w:w="879" w:type="pct"/>
            <w:shd w:val="clear" w:color="auto" w:fill="auto"/>
            <w:vAlign w:val="center"/>
          </w:tcPr>
          <w:p w14:paraId="22F406A6" w14:textId="1B8A211E"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Pr>
                <w:rFonts w:ascii="Arial" w:eastAsia="Calibri" w:hAnsi="Arial" w:cs="Arial"/>
                <w:bCs/>
                <w:lang w:eastAsia="en-GB"/>
              </w:rPr>
              <w:t>0</w:t>
            </w:r>
          </w:p>
        </w:tc>
      </w:tr>
      <w:tr w:rsidR="001927EF" w:rsidRPr="006D26B3" w14:paraId="23B7FD1F" w14:textId="77777777" w:rsidTr="001927EF">
        <w:trPr>
          <w:trHeight w:val="528"/>
        </w:trPr>
        <w:tc>
          <w:tcPr>
            <w:tcW w:w="827" w:type="pct"/>
            <w:vMerge/>
            <w:shd w:val="clear" w:color="auto" w:fill="auto"/>
            <w:vAlign w:val="center"/>
          </w:tcPr>
          <w:p w14:paraId="20452059" w14:textId="77777777" w:rsidR="001927EF" w:rsidRPr="006D26B3" w:rsidRDefault="001927EF" w:rsidP="006D26B3">
            <w:pPr>
              <w:spacing w:after="0" w:line="240" w:lineRule="auto"/>
              <w:jc w:val="both"/>
              <w:rPr>
                <w:rFonts w:ascii="Arial" w:eastAsia="Calibri" w:hAnsi="Arial" w:cs="Arial"/>
                <w:b/>
                <w:bCs/>
                <w:lang w:eastAsia="en-GB"/>
              </w:rPr>
            </w:pPr>
          </w:p>
        </w:tc>
        <w:tc>
          <w:tcPr>
            <w:tcW w:w="903" w:type="pct"/>
            <w:vMerge/>
            <w:shd w:val="clear" w:color="auto" w:fill="auto"/>
            <w:vAlign w:val="center"/>
          </w:tcPr>
          <w:p w14:paraId="16F6B101" w14:textId="77777777" w:rsidR="001927EF" w:rsidRPr="006D26B3" w:rsidRDefault="001927EF" w:rsidP="006D26B3">
            <w:pPr>
              <w:spacing w:after="0" w:line="240" w:lineRule="auto"/>
              <w:jc w:val="both"/>
              <w:rPr>
                <w:rFonts w:ascii="Arial" w:eastAsia="Calibri" w:hAnsi="Arial" w:cs="Arial"/>
                <w:b/>
                <w:bCs/>
                <w:lang w:eastAsia="en-GB"/>
              </w:rPr>
            </w:pPr>
          </w:p>
        </w:tc>
        <w:tc>
          <w:tcPr>
            <w:tcW w:w="2391" w:type="pct"/>
            <w:shd w:val="clear" w:color="auto" w:fill="auto"/>
            <w:vAlign w:val="center"/>
          </w:tcPr>
          <w:p w14:paraId="0FB668E8"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allows for the requirements to be copied and edited for use on other projects</w:t>
            </w:r>
          </w:p>
        </w:tc>
        <w:tc>
          <w:tcPr>
            <w:tcW w:w="879" w:type="pct"/>
            <w:shd w:val="clear" w:color="auto" w:fill="auto"/>
            <w:vAlign w:val="center"/>
          </w:tcPr>
          <w:p w14:paraId="63E3581B"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8</w:t>
            </w:r>
          </w:p>
        </w:tc>
      </w:tr>
      <w:tr w:rsidR="001927EF" w:rsidRPr="006D26B3" w14:paraId="6A27CE54" w14:textId="77777777" w:rsidTr="001927EF">
        <w:trPr>
          <w:trHeight w:val="1337"/>
        </w:trPr>
        <w:tc>
          <w:tcPr>
            <w:tcW w:w="827" w:type="pct"/>
            <w:shd w:val="clear" w:color="auto" w:fill="auto"/>
            <w:vAlign w:val="center"/>
          </w:tcPr>
          <w:p w14:paraId="647644A8" w14:textId="77777777" w:rsidR="001927EF" w:rsidRPr="006D26B3" w:rsidRDefault="001927EF" w:rsidP="006D26B3">
            <w:pPr>
              <w:spacing w:after="0" w:line="240" w:lineRule="auto"/>
              <w:jc w:val="both"/>
              <w:rPr>
                <w:rFonts w:ascii="Arial" w:eastAsia="Calibri" w:hAnsi="Arial" w:cs="Arial"/>
                <w:b/>
                <w:bCs/>
                <w:lang w:eastAsia="en-GB"/>
              </w:rPr>
            </w:pPr>
            <w:r w:rsidRPr="006D26B3">
              <w:rPr>
                <w:rFonts w:ascii="Arial" w:eastAsia="Calibri" w:hAnsi="Arial" w:cs="Arial"/>
                <w:b/>
                <w:bCs/>
                <w:lang w:eastAsia="en-GB"/>
              </w:rPr>
              <w:t>Management</w:t>
            </w:r>
          </w:p>
        </w:tc>
        <w:tc>
          <w:tcPr>
            <w:tcW w:w="903" w:type="pct"/>
            <w:shd w:val="clear" w:color="auto" w:fill="auto"/>
            <w:vAlign w:val="center"/>
          </w:tcPr>
          <w:p w14:paraId="2834DC4A" w14:textId="2F82B90C" w:rsidR="001927EF" w:rsidRPr="006D26B3" w:rsidRDefault="001927EF" w:rsidP="006D26B3">
            <w:pPr>
              <w:spacing w:after="0" w:line="240" w:lineRule="auto"/>
              <w:jc w:val="both"/>
              <w:rPr>
                <w:rFonts w:ascii="Arial" w:eastAsia="Calibri" w:hAnsi="Arial" w:cs="Arial"/>
                <w:b/>
                <w:bCs/>
                <w:lang w:eastAsia="en-GB"/>
              </w:rPr>
            </w:pPr>
            <w:r>
              <w:rPr>
                <w:rFonts w:ascii="Arial" w:eastAsia="Calibri" w:hAnsi="Arial" w:cs="Arial"/>
                <w:b/>
                <w:bCs/>
                <w:lang w:eastAsia="en-GB"/>
              </w:rPr>
              <w:t>5</w:t>
            </w:r>
          </w:p>
        </w:tc>
        <w:tc>
          <w:tcPr>
            <w:tcW w:w="2391" w:type="pct"/>
            <w:shd w:val="clear" w:color="auto" w:fill="auto"/>
            <w:vAlign w:val="center"/>
          </w:tcPr>
          <w:p w14:paraId="3B3F6433"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The approach to management of advice, the provision of timetables, cost estimates and billing. Higher scores will be achieved where the process proposed provides clear, timely information meeting all stated needs.</w:t>
            </w:r>
          </w:p>
        </w:tc>
        <w:tc>
          <w:tcPr>
            <w:tcW w:w="879" w:type="pct"/>
            <w:shd w:val="clear" w:color="auto" w:fill="auto"/>
            <w:vAlign w:val="center"/>
          </w:tcPr>
          <w:p w14:paraId="09F3D465" w14:textId="709CA3B8" w:rsidR="001927EF" w:rsidRPr="006D26B3" w:rsidRDefault="001927EF" w:rsidP="006D26B3">
            <w:pPr>
              <w:spacing w:after="0" w:line="240" w:lineRule="auto"/>
              <w:jc w:val="both"/>
              <w:rPr>
                <w:rFonts w:ascii="Arial" w:eastAsia="Calibri" w:hAnsi="Arial" w:cs="Arial"/>
                <w:bCs/>
                <w:lang w:eastAsia="en-GB"/>
              </w:rPr>
            </w:pPr>
            <w:r>
              <w:rPr>
                <w:rFonts w:ascii="Arial" w:eastAsia="Calibri" w:hAnsi="Arial" w:cs="Arial"/>
                <w:bCs/>
                <w:lang w:eastAsia="en-GB"/>
              </w:rPr>
              <w:t>5</w:t>
            </w:r>
          </w:p>
        </w:tc>
      </w:tr>
      <w:tr w:rsidR="001927EF" w:rsidRPr="006D26B3" w14:paraId="1082AE0B" w14:textId="77777777" w:rsidTr="001927EF">
        <w:trPr>
          <w:trHeight w:val="288"/>
        </w:trPr>
        <w:tc>
          <w:tcPr>
            <w:tcW w:w="827" w:type="pct"/>
            <w:shd w:val="clear" w:color="auto" w:fill="auto"/>
            <w:vAlign w:val="center"/>
          </w:tcPr>
          <w:p w14:paraId="142349BB"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
                <w:bCs/>
                <w:lang w:eastAsia="en-GB"/>
              </w:rPr>
              <w:t>Price</w:t>
            </w:r>
          </w:p>
        </w:tc>
        <w:tc>
          <w:tcPr>
            <w:tcW w:w="903" w:type="pct"/>
            <w:shd w:val="clear" w:color="auto" w:fill="auto"/>
            <w:vAlign w:val="center"/>
          </w:tcPr>
          <w:p w14:paraId="28D03CEA" w14:textId="604F1345" w:rsidR="001927EF" w:rsidRPr="006D26B3" w:rsidRDefault="001927EF" w:rsidP="006D26B3">
            <w:pPr>
              <w:spacing w:after="0" w:line="240" w:lineRule="auto"/>
              <w:jc w:val="both"/>
              <w:rPr>
                <w:rFonts w:ascii="Arial" w:eastAsia="Calibri" w:hAnsi="Arial" w:cs="Arial"/>
                <w:bCs/>
                <w:lang w:eastAsia="en-GB"/>
              </w:rPr>
            </w:pPr>
            <w:r>
              <w:rPr>
                <w:rFonts w:ascii="Arial" w:eastAsia="Calibri" w:hAnsi="Arial" w:cs="Arial"/>
                <w:b/>
                <w:bCs/>
                <w:lang w:eastAsia="en-GB"/>
              </w:rPr>
              <w:t>2</w:t>
            </w:r>
            <w:r w:rsidRPr="006D26B3">
              <w:rPr>
                <w:rFonts w:ascii="Arial" w:eastAsia="Calibri" w:hAnsi="Arial" w:cs="Arial"/>
                <w:b/>
                <w:bCs/>
                <w:lang w:eastAsia="en-GB"/>
              </w:rPr>
              <w:t>0</w:t>
            </w:r>
          </w:p>
        </w:tc>
        <w:tc>
          <w:tcPr>
            <w:tcW w:w="2391" w:type="pct"/>
            <w:shd w:val="clear" w:color="auto" w:fill="auto"/>
            <w:noWrap/>
            <w:vAlign w:val="center"/>
          </w:tcPr>
          <w:p w14:paraId="1F3FCC81" w14:textId="77777777" w:rsidR="001927EF" w:rsidRPr="006D26B3" w:rsidRDefault="001927EF"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(Methodology for evaluating price outlined in Annex 2)</w:t>
            </w:r>
          </w:p>
        </w:tc>
        <w:tc>
          <w:tcPr>
            <w:tcW w:w="879" w:type="pct"/>
            <w:shd w:val="clear" w:color="auto" w:fill="auto"/>
            <w:vAlign w:val="center"/>
          </w:tcPr>
          <w:p w14:paraId="6D953798" w14:textId="3021F520" w:rsidR="001927EF" w:rsidRPr="006D26B3" w:rsidRDefault="001927EF" w:rsidP="006D26B3">
            <w:pPr>
              <w:spacing w:after="0" w:line="240" w:lineRule="auto"/>
              <w:jc w:val="both"/>
              <w:rPr>
                <w:rFonts w:ascii="Arial" w:eastAsia="Calibri" w:hAnsi="Arial" w:cs="Arial"/>
                <w:bCs/>
                <w:lang w:eastAsia="en-GB"/>
              </w:rPr>
            </w:pPr>
            <w:r>
              <w:rPr>
                <w:rFonts w:ascii="Arial" w:eastAsia="Calibri" w:hAnsi="Arial" w:cs="Arial"/>
                <w:bCs/>
                <w:lang w:eastAsia="en-GB"/>
              </w:rPr>
              <w:t>2</w:t>
            </w:r>
            <w:r w:rsidRPr="006D26B3">
              <w:rPr>
                <w:rFonts w:ascii="Arial" w:eastAsia="Calibri" w:hAnsi="Arial" w:cs="Arial"/>
                <w:bCs/>
                <w:lang w:eastAsia="en-GB"/>
              </w:rPr>
              <w:t>0</w:t>
            </w:r>
          </w:p>
        </w:tc>
      </w:tr>
    </w:tbl>
    <w:p w14:paraId="34D48E6B" w14:textId="77777777" w:rsidR="003257D9" w:rsidRDefault="003257D9" w:rsidP="003257D9">
      <w:pPr>
        <w:spacing w:after="0" w:line="240" w:lineRule="auto"/>
        <w:jc w:val="both"/>
        <w:rPr>
          <w:rFonts w:ascii="Arial" w:eastAsia="Calibri" w:hAnsi="Arial" w:cs="Arial"/>
          <w:bCs/>
          <w:lang w:eastAsia="en-GB"/>
        </w:rPr>
      </w:pPr>
    </w:p>
    <w:p w14:paraId="270D2232" w14:textId="53606A22"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Each response to the above criteria (except for Price) will be awarded a mark out of 5 in accordance with the following marking scheme:</w:t>
      </w:r>
    </w:p>
    <w:p w14:paraId="300A409D" w14:textId="77777777" w:rsidR="003257D9" w:rsidRPr="003257D9" w:rsidRDefault="003257D9" w:rsidP="003257D9">
      <w:pPr>
        <w:spacing w:after="0" w:line="240" w:lineRule="auto"/>
        <w:jc w:val="both"/>
        <w:rPr>
          <w:rFonts w:ascii="Arial" w:eastAsia="Calibri" w:hAnsi="Arial" w:cs="Arial"/>
          <w:bCs/>
          <w:lang w:eastAsia="en-G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412"/>
      </w:tblGrid>
      <w:tr w:rsidR="003257D9" w:rsidRPr="003257D9" w14:paraId="35024993" w14:textId="77777777" w:rsidTr="0095514A">
        <w:tc>
          <w:tcPr>
            <w:tcW w:w="948" w:type="dxa"/>
            <w:shd w:val="clear" w:color="auto" w:fill="auto"/>
          </w:tcPr>
          <w:p w14:paraId="145D9976" w14:textId="77777777" w:rsidR="003257D9" w:rsidRPr="003257D9" w:rsidRDefault="003257D9" w:rsidP="003257D9">
            <w:pPr>
              <w:spacing w:after="0" w:line="240" w:lineRule="auto"/>
              <w:jc w:val="both"/>
              <w:rPr>
                <w:rFonts w:ascii="Arial" w:eastAsia="Calibri" w:hAnsi="Arial" w:cs="Arial"/>
                <w:b/>
                <w:bCs/>
                <w:lang w:eastAsia="en-GB"/>
              </w:rPr>
            </w:pPr>
            <w:r w:rsidRPr="003257D9">
              <w:rPr>
                <w:rFonts w:ascii="Arial" w:eastAsia="Calibri" w:hAnsi="Arial" w:cs="Arial"/>
                <w:b/>
                <w:bCs/>
                <w:lang w:eastAsia="en-GB"/>
              </w:rPr>
              <w:t>Mark</w:t>
            </w:r>
          </w:p>
        </w:tc>
        <w:tc>
          <w:tcPr>
            <w:tcW w:w="8412" w:type="dxa"/>
            <w:shd w:val="clear" w:color="auto" w:fill="auto"/>
          </w:tcPr>
          <w:p w14:paraId="65D4EFD9" w14:textId="77777777" w:rsidR="003257D9" w:rsidRPr="003257D9" w:rsidRDefault="003257D9" w:rsidP="003257D9">
            <w:pPr>
              <w:spacing w:after="0" w:line="240" w:lineRule="auto"/>
              <w:jc w:val="both"/>
              <w:rPr>
                <w:rFonts w:ascii="Arial" w:eastAsia="Calibri" w:hAnsi="Arial" w:cs="Arial"/>
                <w:b/>
                <w:bCs/>
                <w:lang w:eastAsia="en-GB"/>
              </w:rPr>
            </w:pPr>
            <w:r w:rsidRPr="003257D9">
              <w:rPr>
                <w:rFonts w:ascii="Arial" w:eastAsia="Calibri" w:hAnsi="Arial" w:cs="Arial"/>
                <w:b/>
                <w:bCs/>
                <w:lang w:eastAsia="en-GB"/>
              </w:rPr>
              <w:t>Standard</w:t>
            </w:r>
          </w:p>
        </w:tc>
      </w:tr>
      <w:tr w:rsidR="003257D9" w:rsidRPr="003257D9" w14:paraId="32E284A5" w14:textId="77777777" w:rsidTr="0095514A">
        <w:tc>
          <w:tcPr>
            <w:tcW w:w="948" w:type="dxa"/>
            <w:shd w:val="clear" w:color="auto" w:fill="auto"/>
          </w:tcPr>
          <w:p w14:paraId="33CD5BE7"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0</w:t>
            </w:r>
          </w:p>
        </w:tc>
        <w:tc>
          <w:tcPr>
            <w:tcW w:w="8412" w:type="dxa"/>
            <w:shd w:val="clear" w:color="auto" w:fill="auto"/>
          </w:tcPr>
          <w:p w14:paraId="684B7C0A" w14:textId="49DF7C43" w:rsidR="003257D9" w:rsidRPr="003257D9" w:rsidRDefault="00A76ECE" w:rsidP="003257D9">
            <w:pPr>
              <w:spacing w:after="0" w:line="240" w:lineRule="auto"/>
              <w:jc w:val="both"/>
              <w:rPr>
                <w:rFonts w:ascii="Arial" w:eastAsia="Calibri" w:hAnsi="Arial" w:cs="Arial"/>
                <w:bCs/>
                <w:lang w:eastAsia="en-GB"/>
              </w:rPr>
            </w:pPr>
            <w:r w:rsidRPr="00A76ECE">
              <w:rPr>
                <w:rFonts w:ascii="Arial" w:eastAsia="Calibri" w:hAnsi="Arial" w:cs="Arial"/>
                <w:bCs/>
                <w:lang w:eastAsia="en-GB"/>
              </w:rPr>
              <w:t>Inadequate response</w:t>
            </w:r>
            <w:r>
              <w:rPr>
                <w:rFonts w:ascii="Arial" w:eastAsia="Calibri" w:hAnsi="Arial" w:cs="Arial"/>
                <w:bCs/>
                <w:lang w:eastAsia="en-GB"/>
              </w:rPr>
              <w:t>/not addressed</w:t>
            </w:r>
          </w:p>
        </w:tc>
      </w:tr>
      <w:tr w:rsidR="003257D9" w:rsidRPr="003257D9" w14:paraId="5E9D1350" w14:textId="77777777" w:rsidTr="0095514A">
        <w:tc>
          <w:tcPr>
            <w:tcW w:w="948" w:type="dxa"/>
            <w:shd w:val="clear" w:color="auto" w:fill="auto"/>
          </w:tcPr>
          <w:p w14:paraId="37076ED5"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1</w:t>
            </w:r>
          </w:p>
        </w:tc>
        <w:tc>
          <w:tcPr>
            <w:tcW w:w="8412" w:type="dxa"/>
            <w:shd w:val="clear" w:color="auto" w:fill="auto"/>
          </w:tcPr>
          <w:p w14:paraId="3333A065" w14:textId="7C300AE3" w:rsidR="003257D9" w:rsidRPr="003257D9" w:rsidRDefault="00473952" w:rsidP="003257D9">
            <w:pPr>
              <w:spacing w:after="0" w:line="240" w:lineRule="auto"/>
              <w:jc w:val="both"/>
              <w:rPr>
                <w:rFonts w:ascii="Arial" w:eastAsia="Calibri" w:hAnsi="Arial" w:cs="Arial"/>
                <w:bCs/>
                <w:lang w:eastAsia="en-GB"/>
              </w:rPr>
            </w:pPr>
            <w:r w:rsidRPr="00473952">
              <w:rPr>
                <w:rFonts w:ascii="Arial" w:eastAsia="Calibri" w:hAnsi="Arial" w:cs="Arial"/>
                <w:bCs/>
                <w:lang w:eastAsia="en-GB"/>
              </w:rPr>
              <w:t>Major weaknesses in the response</w:t>
            </w:r>
            <w:r>
              <w:rPr>
                <w:rFonts w:ascii="Arial" w:eastAsia="Calibri" w:hAnsi="Arial" w:cs="Arial"/>
                <w:bCs/>
                <w:lang w:eastAsia="en-GB"/>
              </w:rPr>
              <w:t xml:space="preserve"> and lacks </w:t>
            </w:r>
            <w:r w:rsidR="00BC1E64" w:rsidRPr="00BC1E64">
              <w:rPr>
                <w:rFonts w:ascii="Arial" w:eastAsia="Calibri" w:hAnsi="Arial" w:cs="Arial"/>
                <w:bCs/>
                <w:lang w:eastAsia="en-GB"/>
              </w:rPr>
              <w:t>relevant supporting evidence</w:t>
            </w:r>
          </w:p>
        </w:tc>
      </w:tr>
      <w:tr w:rsidR="003257D9" w:rsidRPr="003257D9" w14:paraId="3BF68151" w14:textId="77777777" w:rsidTr="0095514A">
        <w:tc>
          <w:tcPr>
            <w:tcW w:w="948" w:type="dxa"/>
            <w:shd w:val="clear" w:color="auto" w:fill="auto"/>
          </w:tcPr>
          <w:p w14:paraId="4AFACEFC"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3</w:t>
            </w:r>
          </w:p>
        </w:tc>
        <w:tc>
          <w:tcPr>
            <w:tcW w:w="8412" w:type="dxa"/>
            <w:shd w:val="clear" w:color="auto" w:fill="auto"/>
          </w:tcPr>
          <w:p w14:paraId="12E37B1B" w14:textId="5644AF47" w:rsidR="003257D9" w:rsidRPr="003257D9" w:rsidRDefault="00473952" w:rsidP="003257D9">
            <w:pPr>
              <w:spacing w:after="0" w:line="240" w:lineRule="auto"/>
              <w:jc w:val="both"/>
              <w:rPr>
                <w:rFonts w:ascii="Arial" w:eastAsia="Calibri" w:hAnsi="Arial" w:cs="Arial"/>
                <w:bCs/>
                <w:lang w:eastAsia="en-GB"/>
              </w:rPr>
            </w:pPr>
            <w:r w:rsidRPr="00473952">
              <w:rPr>
                <w:rFonts w:ascii="Arial" w:eastAsia="Calibri" w:hAnsi="Arial" w:cs="Arial"/>
                <w:bCs/>
                <w:lang w:eastAsia="en-GB"/>
              </w:rPr>
              <w:t xml:space="preserve">meets the </w:t>
            </w:r>
            <w:r>
              <w:rPr>
                <w:rFonts w:ascii="Arial" w:eastAsia="Calibri" w:hAnsi="Arial" w:cs="Arial"/>
                <w:bCs/>
                <w:lang w:eastAsia="en-GB"/>
              </w:rPr>
              <w:t>minimum r</w:t>
            </w:r>
            <w:r w:rsidRPr="00473952">
              <w:rPr>
                <w:rFonts w:ascii="Arial" w:eastAsia="Calibri" w:hAnsi="Arial" w:cs="Arial"/>
                <w:bCs/>
                <w:lang w:eastAsia="en-GB"/>
              </w:rPr>
              <w:t xml:space="preserve">equirement </w:t>
            </w:r>
            <w:r w:rsidR="00BC1E64">
              <w:rPr>
                <w:rFonts w:ascii="Arial" w:eastAsia="Calibri" w:hAnsi="Arial" w:cs="Arial"/>
                <w:bCs/>
                <w:lang w:eastAsia="en-GB"/>
              </w:rPr>
              <w:t>but</w:t>
            </w:r>
            <w:r>
              <w:rPr>
                <w:rFonts w:ascii="Arial" w:eastAsia="Calibri" w:hAnsi="Arial" w:cs="Arial"/>
                <w:bCs/>
                <w:lang w:eastAsia="en-GB"/>
              </w:rPr>
              <w:t xml:space="preserve"> missing some of the</w:t>
            </w:r>
            <w:r w:rsidR="00BC1E64">
              <w:rPr>
                <w:rFonts w:ascii="Arial" w:eastAsia="Calibri" w:hAnsi="Arial" w:cs="Arial"/>
                <w:bCs/>
                <w:lang w:eastAsia="en-GB"/>
              </w:rPr>
              <w:t xml:space="preserve"> </w:t>
            </w:r>
            <w:r w:rsidRPr="00473952">
              <w:rPr>
                <w:rFonts w:ascii="Arial" w:eastAsia="Calibri" w:hAnsi="Arial" w:cs="Arial"/>
                <w:bCs/>
                <w:lang w:eastAsia="en-GB"/>
              </w:rPr>
              <w:t>relevant supporting evidence</w:t>
            </w:r>
          </w:p>
        </w:tc>
      </w:tr>
      <w:tr w:rsidR="003257D9" w:rsidRPr="003257D9" w14:paraId="2008FE9B" w14:textId="77777777" w:rsidTr="0095514A">
        <w:tc>
          <w:tcPr>
            <w:tcW w:w="948" w:type="dxa"/>
            <w:shd w:val="clear" w:color="auto" w:fill="auto"/>
          </w:tcPr>
          <w:p w14:paraId="7ACBD757"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5</w:t>
            </w:r>
          </w:p>
        </w:tc>
        <w:tc>
          <w:tcPr>
            <w:tcW w:w="8412" w:type="dxa"/>
            <w:shd w:val="clear" w:color="auto" w:fill="auto"/>
          </w:tcPr>
          <w:p w14:paraId="7911196A" w14:textId="103E3791" w:rsidR="003257D9" w:rsidRPr="003257D9" w:rsidRDefault="00473952" w:rsidP="003257D9">
            <w:pPr>
              <w:spacing w:after="0" w:line="240" w:lineRule="auto"/>
              <w:jc w:val="both"/>
              <w:rPr>
                <w:rFonts w:ascii="Arial" w:eastAsia="Calibri" w:hAnsi="Arial" w:cs="Arial"/>
                <w:bCs/>
                <w:lang w:eastAsia="en-GB"/>
              </w:rPr>
            </w:pPr>
            <w:r w:rsidRPr="00473952">
              <w:rPr>
                <w:rFonts w:ascii="Arial" w:eastAsia="Calibri" w:hAnsi="Arial" w:cs="Arial"/>
                <w:bCs/>
                <w:lang w:eastAsia="en-GB"/>
              </w:rPr>
              <w:t>fully meets the requirement and includes all relevant supporting evidence</w:t>
            </w:r>
          </w:p>
        </w:tc>
      </w:tr>
    </w:tbl>
    <w:p w14:paraId="141C46F8" w14:textId="004503C1" w:rsidR="003257D9" w:rsidRDefault="003257D9" w:rsidP="003257D9">
      <w:pPr>
        <w:spacing w:after="0" w:line="240" w:lineRule="auto"/>
        <w:jc w:val="both"/>
        <w:rPr>
          <w:rFonts w:ascii="Arial" w:eastAsia="Calibri" w:hAnsi="Arial" w:cs="Arial"/>
          <w:bCs/>
          <w:lang w:eastAsia="en-GB"/>
        </w:rPr>
      </w:pPr>
    </w:p>
    <w:p w14:paraId="1BDB5696"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The marks awarded in accordance with the above table will then be adjusted in accordance with the weightings.</w:t>
      </w:r>
    </w:p>
    <w:p w14:paraId="48957EB3" w14:textId="77777777" w:rsidR="003257D9" w:rsidRPr="003257D9" w:rsidRDefault="003257D9" w:rsidP="003257D9">
      <w:pPr>
        <w:spacing w:after="0" w:line="240" w:lineRule="auto"/>
        <w:jc w:val="both"/>
        <w:rPr>
          <w:rFonts w:ascii="Arial" w:eastAsia="Calibri" w:hAnsi="Arial" w:cs="Arial"/>
          <w:bCs/>
          <w:lang w:eastAsia="en-GB"/>
        </w:rPr>
      </w:pPr>
    </w:p>
    <w:p w14:paraId="768064DA" w14:textId="61A61D1F" w:rsidR="003257D9" w:rsidRPr="003257D9" w:rsidRDefault="003257D9" w:rsidP="003257D9">
      <w:pPr>
        <w:spacing w:after="0" w:line="240" w:lineRule="auto"/>
        <w:jc w:val="both"/>
        <w:rPr>
          <w:rFonts w:ascii="Arial" w:eastAsia="Calibri" w:hAnsi="Arial" w:cs="Arial"/>
          <w:b/>
          <w:bCs/>
          <w:lang w:eastAsia="en-GB"/>
        </w:rPr>
      </w:pPr>
      <w:r w:rsidRPr="003257D9">
        <w:rPr>
          <w:rFonts w:ascii="Arial" w:eastAsia="Calibri" w:hAnsi="Arial" w:cs="Arial"/>
          <w:b/>
          <w:bCs/>
          <w:lang w:eastAsia="en-GB"/>
        </w:rPr>
        <w:t xml:space="preserve">The Department/MCA will not consider tenders scoring less than a total of 45 out of the total of </w:t>
      </w:r>
      <w:r w:rsidR="00EF3C3C">
        <w:rPr>
          <w:rFonts w:ascii="Arial" w:eastAsia="Calibri" w:hAnsi="Arial" w:cs="Arial"/>
          <w:b/>
          <w:bCs/>
          <w:lang w:eastAsia="en-GB"/>
        </w:rPr>
        <w:t>80</w:t>
      </w:r>
      <w:r w:rsidRPr="003257D9">
        <w:rPr>
          <w:rFonts w:ascii="Arial" w:eastAsia="Calibri" w:hAnsi="Arial" w:cs="Arial"/>
          <w:b/>
          <w:bCs/>
          <w:lang w:eastAsia="en-GB"/>
        </w:rPr>
        <w:t xml:space="preserve"> available for Capability/Delivery and Management.</w:t>
      </w:r>
    </w:p>
    <w:p w14:paraId="43B7E828" w14:textId="77777777" w:rsidR="003257D9" w:rsidRPr="003257D9" w:rsidRDefault="003257D9" w:rsidP="003257D9">
      <w:pPr>
        <w:spacing w:after="0" w:line="240" w:lineRule="auto"/>
        <w:jc w:val="both"/>
        <w:rPr>
          <w:rFonts w:ascii="Arial" w:eastAsia="Calibri" w:hAnsi="Arial" w:cs="Arial"/>
          <w:b/>
          <w:bCs/>
          <w:lang w:eastAsia="en-GB"/>
        </w:rPr>
      </w:pPr>
    </w:p>
    <w:p w14:paraId="50692767" w14:textId="5D64CE1F"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6D19826A" w14:textId="44A4DD0F" w:rsidR="00F55A6C" w:rsidRDefault="00F55A6C" w:rsidP="006D26B3">
      <w:pPr>
        <w:pStyle w:val="DfTLevel1"/>
        <w:keepLines/>
        <w:numPr>
          <w:ilvl w:val="0"/>
          <w:numId w:val="37"/>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06AD2136" w14:textId="77777777" w:rsidR="00F55A6C" w:rsidRDefault="00F55A6C" w:rsidP="006D26B3">
      <w:pPr>
        <w:pStyle w:val="DfTLevel1"/>
        <w:keepLines/>
        <w:numPr>
          <w:ilvl w:val="0"/>
          <w:numId w:val="37"/>
        </w:numPr>
        <w:suppressLineNumbers/>
        <w:spacing w:before="120" w:after="120"/>
        <w:ind w:hanging="720"/>
        <w:jc w:val="both"/>
        <w:rPr>
          <w:rFonts w:cs="Arial"/>
          <w:sz w:val="22"/>
          <w:szCs w:val="22"/>
        </w:rPr>
      </w:pPr>
      <w:r>
        <w:rPr>
          <w:rFonts w:cs="Arial"/>
          <w:sz w:val="22"/>
          <w:szCs w:val="22"/>
        </w:rPr>
        <w:t xml:space="preserve">The scoring criteria for the contract will be as </w:t>
      </w:r>
      <w:r w:rsidR="001D6C07">
        <w:rPr>
          <w:rFonts w:cs="Arial"/>
          <w:sz w:val="22"/>
          <w:szCs w:val="22"/>
        </w:rPr>
        <w:t>detailed in the specification.</w:t>
      </w:r>
    </w:p>
    <w:p w14:paraId="3ADFBC1B" w14:textId="77777777" w:rsidR="00463459" w:rsidRPr="00463459" w:rsidRDefault="00F55A6C" w:rsidP="006D26B3">
      <w:pPr>
        <w:pStyle w:val="ListParagraph"/>
        <w:numPr>
          <w:ilvl w:val="12"/>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14:paraId="2C31B936" w14:textId="77777777" w:rsidR="00D76D88" w:rsidRPr="002B17E4" w:rsidRDefault="00976DA1" w:rsidP="006D26B3">
      <w:pPr>
        <w:numPr>
          <w:ilvl w:val="12"/>
          <w:numId w:val="37"/>
        </w:numPr>
        <w:tabs>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sidRPr="002B17E4">
        <w:rPr>
          <w:rFonts w:ascii="Arial" w:hAnsi="Arial" w:cs="Arial"/>
        </w:rPr>
        <w:t>T</w:t>
      </w:r>
      <w:r w:rsidR="00D76D88" w:rsidRPr="002B17E4">
        <w:rPr>
          <w:rFonts w:ascii="Arial" w:hAnsi="Arial" w:cs="Arial"/>
        </w:rPr>
        <w:t xml:space="preserve">he </w:t>
      </w:r>
      <w:r w:rsidRPr="002B17E4">
        <w:rPr>
          <w:rFonts w:ascii="Arial" w:hAnsi="Arial" w:cs="Arial"/>
        </w:rPr>
        <w:t xml:space="preserve">final </w:t>
      </w:r>
      <w:r w:rsidR="00D76D88" w:rsidRPr="002B17E4">
        <w:rPr>
          <w:rFonts w:ascii="Arial" w:hAnsi="Arial" w:cs="Arial"/>
        </w:rPr>
        <w:t xml:space="preserve">weighted score for each </w:t>
      </w:r>
      <w:r w:rsidR="0038304D" w:rsidRPr="002B17E4">
        <w:rPr>
          <w:rFonts w:ascii="Arial" w:hAnsi="Arial" w:cs="Arial"/>
        </w:rPr>
        <w:t xml:space="preserve">Quality </w:t>
      </w:r>
      <w:r w:rsidR="004F5847" w:rsidRPr="002B17E4">
        <w:rPr>
          <w:rFonts w:ascii="Arial" w:hAnsi="Arial" w:cs="Arial"/>
        </w:rPr>
        <w:t>criterion will be calculated by:</w:t>
      </w:r>
    </w:p>
    <w:p w14:paraId="0A9B0C4F" w14:textId="77777777" w:rsidR="004F5847" w:rsidRPr="00976DA1"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7933F54F" w14:textId="77777777" w:rsidR="004F5847" w:rsidRPr="00976DA1" w:rsidRDefault="004F5847" w:rsidP="00976DA1">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976DA1">
        <w:rPr>
          <w:rFonts w:ascii="Arial" w:hAnsi="Arial" w:cs="Arial"/>
          <w:b/>
        </w:rPr>
        <w:t>Weighted Score for the</w:t>
      </w:r>
      <w:r w:rsidR="00976DA1" w:rsidRPr="00976DA1">
        <w:rPr>
          <w:rFonts w:ascii="Arial" w:hAnsi="Arial" w:cs="Arial"/>
          <w:b/>
        </w:rPr>
        <w:t xml:space="preserve"> </w:t>
      </w:r>
      <w:r w:rsidR="00976DA1" w:rsidRPr="00976DA1">
        <w:rPr>
          <w:rFonts w:ascii="Arial" w:hAnsi="Arial" w:cs="Arial"/>
          <w:b/>
        </w:rPr>
        <w:tab/>
      </w:r>
      <w:r w:rsidRPr="00976DA1">
        <w:rPr>
          <w:rFonts w:ascii="Arial" w:hAnsi="Arial" w:cs="Arial"/>
          <w:b/>
        </w:rPr>
        <w:t xml:space="preserve">= </w:t>
      </w:r>
      <w:r w:rsidR="00976DA1" w:rsidRPr="00976DA1">
        <w:rPr>
          <w:rFonts w:ascii="Arial" w:hAnsi="Arial" w:cs="Arial"/>
          <w:b/>
        </w:rPr>
        <w:t xml:space="preserve">(Actual Score / Highest Possible </w:t>
      </w:r>
      <w:r w:rsidR="009B1543">
        <w:rPr>
          <w:rFonts w:ascii="Arial" w:hAnsi="Arial" w:cs="Arial"/>
          <w:b/>
        </w:rPr>
        <w:t>S</w:t>
      </w:r>
      <w:r w:rsidR="00976DA1" w:rsidRPr="00976DA1">
        <w:rPr>
          <w:rFonts w:ascii="Arial" w:hAnsi="Arial" w:cs="Arial"/>
          <w:b/>
        </w:rPr>
        <w:t xml:space="preserve">core for the Criterion </w:t>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t>Criterion) x Criterion Weighting.</w:t>
      </w:r>
    </w:p>
    <w:p w14:paraId="5956C3E5" w14:textId="77777777"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70A60D1E" w14:textId="058EAFE4" w:rsidR="00B362C1" w:rsidRPr="00600DA5" w:rsidRDefault="0038304D" w:rsidP="002B17E4">
      <w:pPr>
        <w:pStyle w:val="ListParagraph"/>
        <w:tabs>
          <w:tab w:val="left" w:pos="2160"/>
          <w:tab w:val="left" w:pos="2880"/>
          <w:tab w:val="left" w:pos="3600"/>
          <w:tab w:val="left" w:pos="4320"/>
          <w:tab w:val="left" w:pos="5040"/>
          <w:tab w:val="left" w:pos="5760"/>
          <w:tab w:val="left" w:pos="6480"/>
          <w:tab w:val="left" w:pos="7200"/>
          <w:tab w:val="left" w:pos="7920"/>
        </w:tabs>
        <w:spacing w:after="0"/>
        <w:ind w:left="774"/>
        <w:jc w:val="both"/>
        <w:rPr>
          <w:rFonts w:ascii="Arial" w:hAnsi="Arial" w:cs="Arial"/>
        </w:rPr>
      </w:pPr>
      <w:r w:rsidRPr="00600DA5">
        <w:rPr>
          <w:rFonts w:ascii="Arial" w:hAnsi="Arial" w:cs="Arial"/>
        </w:rPr>
        <w:t xml:space="preserve">A </w:t>
      </w:r>
      <w:r w:rsidR="00976DA1" w:rsidRPr="00600DA5">
        <w:rPr>
          <w:rFonts w:ascii="Arial" w:hAnsi="Arial" w:cs="Arial"/>
        </w:rPr>
        <w:t xml:space="preserve">total </w:t>
      </w:r>
      <w:r w:rsidRPr="00600DA5">
        <w:rPr>
          <w:rFonts w:ascii="Arial" w:hAnsi="Arial" w:cs="Arial"/>
        </w:rPr>
        <w:t>Q</w:t>
      </w:r>
      <w:r w:rsidR="004F5847" w:rsidRPr="00600DA5">
        <w:rPr>
          <w:rFonts w:ascii="Arial" w:hAnsi="Arial" w:cs="Arial"/>
        </w:rPr>
        <w:t xml:space="preserve">uality score </w:t>
      </w:r>
      <w:r w:rsidRPr="00600DA5">
        <w:rPr>
          <w:rFonts w:ascii="Arial" w:hAnsi="Arial" w:cs="Arial"/>
        </w:rPr>
        <w:t>will be</w:t>
      </w:r>
      <w:r w:rsidR="004F5847" w:rsidRPr="00600DA5">
        <w:rPr>
          <w:rFonts w:ascii="Arial" w:hAnsi="Arial" w:cs="Arial"/>
        </w:rPr>
        <w:t xml:space="preserve"> arrived at by adding up all weighted scores for </w:t>
      </w:r>
      <w:r w:rsidR="00976DA1" w:rsidRPr="00600DA5">
        <w:rPr>
          <w:rFonts w:ascii="Arial" w:hAnsi="Arial" w:cs="Arial"/>
        </w:rPr>
        <w:t xml:space="preserve">Quality </w:t>
      </w:r>
      <w:r w:rsidR="004F5847" w:rsidRPr="00600DA5">
        <w:rPr>
          <w:rFonts w:ascii="Arial" w:hAnsi="Arial" w:cs="Arial"/>
        </w:rPr>
        <w:t>criteria and multiplying by</w:t>
      </w:r>
      <w:r w:rsidR="00FA0332" w:rsidRPr="00600DA5">
        <w:rPr>
          <w:rFonts w:ascii="Arial" w:hAnsi="Arial" w:cs="Arial"/>
        </w:rPr>
        <w:t xml:space="preserve"> </w:t>
      </w:r>
      <w:r w:rsidR="003939C2">
        <w:rPr>
          <w:rFonts w:ascii="Arial" w:hAnsi="Arial" w:cs="Arial"/>
        </w:rPr>
        <w:t>8</w:t>
      </w:r>
      <w:r w:rsidR="001D6C07">
        <w:rPr>
          <w:rFonts w:ascii="Arial" w:hAnsi="Arial" w:cs="Arial"/>
        </w:rPr>
        <w:t>0</w:t>
      </w:r>
      <w:r w:rsidR="00976DA1" w:rsidRPr="00600DA5">
        <w:rPr>
          <w:rFonts w:ascii="Arial" w:hAnsi="Arial" w:cs="Arial"/>
        </w:rPr>
        <w:t>% (</w:t>
      </w:r>
      <w:r w:rsidR="00FA0332" w:rsidRPr="00600DA5">
        <w:rPr>
          <w:rFonts w:ascii="Arial" w:hAnsi="Arial" w:cs="Arial"/>
        </w:rPr>
        <w:t xml:space="preserve">the overall weighting for </w:t>
      </w:r>
      <w:r w:rsidR="00976DA1" w:rsidRPr="00600DA5">
        <w:rPr>
          <w:rFonts w:ascii="Arial" w:hAnsi="Arial" w:cs="Arial"/>
        </w:rPr>
        <w:t>Q</w:t>
      </w:r>
      <w:r w:rsidR="00FA0332" w:rsidRPr="00600DA5">
        <w:rPr>
          <w:rFonts w:ascii="Arial" w:hAnsi="Arial" w:cs="Arial"/>
        </w:rPr>
        <w:t>uality</w:t>
      </w:r>
      <w:r w:rsidR="00976DA1" w:rsidRPr="00600DA5">
        <w:rPr>
          <w:rFonts w:ascii="Arial" w:hAnsi="Arial" w:cs="Arial"/>
        </w:rPr>
        <w:t>)</w:t>
      </w:r>
      <w:r w:rsidR="004F5847" w:rsidRPr="00600DA5">
        <w:rPr>
          <w:rFonts w:ascii="Arial" w:hAnsi="Arial" w:cs="Arial"/>
        </w:rPr>
        <w:t>.</w:t>
      </w:r>
      <w:r w:rsidR="00B362C1" w:rsidRPr="00600DA5">
        <w:rPr>
          <w:rFonts w:ascii="Arial" w:hAnsi="Arial" w:cs="Arial"/>
        </w:rPr>
        <w:t xml:space="preserve">  </w:t>
      </w:r>
    </w:p>
    <w:p w14:paraId="2D522B70" w14:textId="77777777" w:rsidR="00600DA5" w:rsidRDefault="00600DA5" w:rsidP="00B362C1">
      <w:p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44594520" w14:textId="77777777" w:rsidR="009224D6" w:rsidRPr="00F50E5A" w:rsidRDefault="00AE4571" w:rsidP="002B17E4">
      <w:pPr>
        <w:pStyle w:val="ListParagraph"/>
        <w:tabs>
          <w:tab w:val="left" w:pos="567"/>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rPr>
      </w:pPr>
      <w:r w:rsidRPr="00F50E5A">
        <w:rPr>
          <w:rFonts w:ascii="Arial" w:hAnsi="Arial" w:cs="Arial"/>
        </w:rPr>
        <w:lastRenderedPageBreak/>
        <w:t>Where a supplier passes the Selection Questionnaire, and the Quality</w:t>
      </w:r>
      <w:r w:rsidR="00F50E5A" w:rsidRPr="00F50E5A">
        <w:rPr>
          <w:rFonts w:ascii="Arial" w:hAnsi="Arial" w:cs="Arial"/>
        </w:rPr>
        <w:t xml:space="preserve"> </w:t>
      </w:r>
      <w:r w:rsidRPr="00F50E5A">
        <w:rPr>
          <w:rFonts w:ascii="Arial" w:hAnsi="Arial" w:cs="Arial"/>
        </w:rPr>
        <w:t xml:space="preserve">Threshold their price will be assessed.  </w:t>
      </w:r>
      <w:r w:rsidR="009224D6" w:rsidRPr="00F50E5A">
        <w:rPr>
          <w:rFonts w:ascii="Arial" w:hAnsi="Arial" w:cs="Arial"/>
        </w:rPr>
        <w:t xml:space="preserve">Each </w:t>
      </w:r>
      <w:r w:rsidR="00B03B80" w:rsidRPr="00F50E5A">
        <w:rPr>
          <w:rFonts w:ascii="Arial" w:hAnsi="Arial" w:cs="Arial"/>
        </w:rPr>
        <w:t xml:space="preserve">element of a </w:t>
      </w:r>
      <w:r w:rsidR="009224D6" w:rsidRPr="00F50E5A">
        <w:rPr>
          <w:rFonts w:ascii="Arial" w:hAnsi="Arial" w:cs="Arial"/>
        </w:rPr>
        <w:t>supplier’s price will be scored according to the formula below:</w:t>
      </w:r>
    </w:p>
    <w:p w14:paraId="2FBDA382" w14:textId="77777777" w:rsidR="009224D6" w:rsidRPr="006D057C" w:rsidRDefault="009224D6" w:rsidP="009224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93685A0" w14:textId="77777777" w:rsidR="009224D6" w:rsidRDefault="009224D6"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 </w:t>
      </w:r>
      <w:r w:rsidR="00976DA1">
        <w:rPr>
          <w:rFonts w:ascii="Arial" w:hAnsi="Arial" w:cs="Arial"/>
          <w:b/>
        </w:rPr>
        <w:t>(Lowest Price / Each Tenderer’s Price) x Criterion Weighting</w:t>
      </w:r>
    </w:p>
    <w:p w14:paraId="5BB104F8" w14:textId="77777777" w:rsidR="00976DA1" w:rsidRDefault="00976DA1"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311880A0" w14:textId="77777777" w:rsidR="00976DA1" w:rsidRPr="00600DA5" w:rsidRDefault="00976DA1" w:rsidP="00600DA5">
      <w:pPr>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40B4E7F" w14:textId="6A54D342" w:rsidR="0038304D" w:rsidRDefault="0038304D" w:rsidP="00976DA1">
      <w:pPr>
        <w:pStyle w:val="ListParagraph"/>
        <w:numPr>
          <w:ilvl w:val="12"/>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supplier’s total score will be:</w:t>
      </w:r>
    </w:p>
    <w:p w14:paraId="10CF25D9" w14:textId="77777777" w:rsidR="0038304D" w:rsidRPr="0038304D" w:rsidRDefault="0038304D" w:rsidP="0038304D">
      <w:pPr>
        <w:pStyle w:val="ListParagraph"/>
        <w:rPr>
          <w:rFonts w:ascii="Arial" w:hAnsi="Arial" w:cs="Arial"/>
        </w:rPr>
      </w:pPr>
    </w:p>
    <w:p w14:paraId="75EBA2C9" w14:textId="77777777"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14:paraId="6BD0F89F" w14:textId="77777777"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ADED27D" w14:textId="77777777" w:rsidR="0038304D" w:rsidRPr="001D6C07" w:rsidRDefault="00463459" w:rsidP="001D6C07">
      <w:pPr>
        <w:keepLines/>
        <w:numPr>
          <w:ilvl w:val="12"/>
          <w:numId w:val="25"/>
        </w:numPr>
        <w:suppressLineNumbers/>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720"/>
        <w:jc w:val="both"/>
        <w:rPr>
          <w:rFonts w:ascii="Arial" w:hAnsi="Arial" w:cs="Arial"/>
          <w:b/>
        </w:rPr>
      </w:pPr>
      <w:r w:rsidRPr="001D6C07">
        <w:rPr>
          <w:rFonts w:ascii="Arial" w:hAnsi="Arial" w:cs="Arial"/>
        </w:rPr>
        <w:t xml:space="preserve">The MCA intends to award the contract to the </w:t>
      </w:r>
      <w:r w:rsidR="00AE4571" w:rsidRPr="001D6C07">
        <w:rPr>
          <w:rFonts w:ascii="Arial" w:hAnsi="Arial" w:cs="Arial"/>
        </w:rPr>
        <w:t xml:space="preserve">supplier </w:t>
      </w:r>
      <w:r w:rsidRPr="001D6C07">
        <w:rPr>
          <w:rFonts w:ascii="Arial" w:hAnsi="Arial" w:cs="Arial"/>
        </w:rPr>
        <w:t>that receives the highest Total Score.</w:t>
      </w:r>
      <w:r w:rsidR="008C32EF" w:rsidRPr="001D6C07">
        <w:rPr>
          <w:rFonts w:ascii="Arial" w:hAnsi="Arial" w:cs="Arial"/>
        </w:rPr>
        <w:t xml:space="preserve">  Where two or more suppliers are tied on the highest Total Score, the contract will be awarded to the supplier with the highest </w:t>
      </w:r>
      <w:r w:rsidR="005D2D9E" w:rsidRPr="001D6C07">
        <w:rPr>
          <w:rFonts w:ascii="Arial" w:hAnsi="Arial" w:cs="Arial"/>
        </w:rPr>
        <w:t xml:space="preserve">Total </w:t>
      </w:r>
      <w:r w:rsidR="008C32EF" w:rsidRPr="001D6C07">
        <w:rPr>
          <w:rFonts w:ascii="Arial" w:hAnsi="Arial" w:cs="Arial"/>
        </w:rPr>
        <w:t>Price</w:t>
      </w:r>
      <w:r w:rsidR="005D2D9E" w:rsidRPr="001D6C07">
        <w:rPr>
          <w:rFonts w:ascii="Arial" w:hAnsi="Arial" w:cs="Arial"/>
        </w:rPr>
        <w:t xml:space="preserve"> Score</w:t>
      </w:r>
      <w:r w:rsidR="008C32EF" w:rsidRPr="001D6C07">
        <w:rPr>
          <w:rFonts w:ascii="Arial" w:hAnsi="Arial" w:cs="Arial"/>
        </w:rPr>
        <w:t>.</w:t>
      </w:r>
      <w:r w:rsidR="0038304D" w:rsidRPr="001D6C07">
        <w:rPr>
          <w:rFonts w:ascii="Arial" w:hAnsi="Arial" w:cs="Arial"/>
        </w:rPr>
        <w:t xml:space="preserve">  </w:t>
      </w:r>
    </w:p>
    <w:p w14:paraId="613DE072" w14:textId="77777777" w:rsidR="00613720" w:rsidRPr="006C2B6A" w:rsidRDefault="00613720" w:rsidP="006C2B6A">
      <w:pPr>
        <w:keepLines/>
        <w:numPr>
          <w:ilvl w:val="12"/>
          <w:numId w:val="2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720"/>
        <w:jc w:val="both"/>
        <w:rPr>
          <w:rFonts w:ascii="Arial" w:hAnsi="Arial" w:cs="Arial"/>
          <w:b/>
        </w:rPr>
      </w:pPr>
    </w:p>
    <w:p w14:paraId="1DD869DB" w14:textId="4B7A42CD" w:rsidR="00F55A6C" w:rsidRPr="008D4855" w:rsidRDefault="00F55A6C" w:rsidP="006C2B6A">
      <w:pPr>
        <w:pStyle w:val="DfTLevel1"/>
        <w:keepLines/>
        <w:suppressLineNumbers/>
        <w:spacing w:before="120" w:after="120"/>
        <w:ind w:left="720"/>
        <w:jc w:val="both"/>
        <w:rPr>
          <w:rFonts w:cs="Arial"/>
          <w:sz w:val="22"/>
          <w:szCs w:val="22"/>
        </w:rPr>
      </w:pPr>
      <w:r w:rsidRPr="008D4855">
        <w:rPr>
          <w:rFonts w:cs="Arial"/>
          <w:sz w:val="22"/>
          <w:szCs w:val="22"/>
        </w:rPr>
        <w:t xml:space="preserve">You should note </w:t>
      </w:r>
      <w:r w:rsidR="001D6C07" w:rsidRPr="008D4855">
        <w:rPr>
          <w:rFonts w:cs="Arial"/>
          <w:sz w:val="22"/>
          <w:szCs w:val="22"/>
        </w:rPr>
        <w:t>that: -</w:t>
      </w:r>
    </w:p>
    <w:p w14:paraId="1261B461"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49519B18"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5AB7C7DA"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577AD1C2"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1DCDD7F8"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7CE30C6C"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D608871"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6B5F1E9B" w14:textId="77777777" w:rsidR="00463459" w:rsidRPr="00463459" w:rsidRDefault="00463459" w:rsidP="00463459">
      <w:pPr>
        <w:pStyle w:val="ListParagraph"/>
        <w:tabs>
          <w:tab w:val="left" w:pos="1134"/>
        </w:tabs>
        <w:ind w:left="1134"/>
        <w:rPr>
          <w:rFonts w:ascii="Arial" w:hAnsi="Arial" w:cs="Arial"/>
        </w:rPr>
      </w:pPr>
    </w:p>
    <w:p w14:paraId="6024E2B6" w14:textId="32539F7D" w:rsidR="003257D9" w:rsidRPr="001927EF" w:rsidRDefault="00F55A6C" w:rsidP="00F55A6C">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9"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0" w:history="1">
        <w:r w:rsidR="008A2449" w:rsidRPr="00EF722F">
          <w:rPr>
            <w:rStyle w:val="Hyperlink"/>
            <w:rFonts w:ascii="Arial" w:hAnsi="Arial" w:cs="Arial"/>
          </w:rPr>
          <w:t>supplier@crowncommercial.gov.uk</w:t>
        </w:r>
      </w:hyperlink>
      <w:r w:rsidR="008A2449">
        <w:rPr>
          <w:rFonts w:ascii="Arial" w:hAnsi="Arial" w:cs="Arial"/>
        </w:rPr>
        <w:t xml:space="preserve">.  </w:t>
      </w:r>
    </w:p>
    <w:p w14:paraId="443991A6" w14:textId="77777777" w:rsidR="003257D9" w:rsidRPr="008D4855" w:rsidRDefault="003257D9" w:rsidP="00F55A6C">
      <w:pPr>
        <w:pStyle w:val="DfTLevel1"/>
        <w:keepLines/>
        <w:suppressLineNumbers/>
        <w:spacing w:before="120" w:after="120"/>
        <w:jc w:val="both"/>
        <w:rPr>
          <w:rFonts w:cs="Arial"/>
          <w:sz w:val="22"/>
          <w:szCs w:val="22"/>
        </w:rPr>
      </w:pPr>
    </w:p>
    <w:p w14:paraId="24709E52"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507C8351" w14:textId="632F92B8" w:rsidR="003864EF" w:rsidRPr="00075489" w:rsidRDefault="00463459" w:rsidP="00B85D2A">
      <w:pPr>
        <w:pStyle w:val="DfTLevel1"/>
        <w:keepLines/>
        <w:numPr>
          <w:ilvl w:val="0"/>
          <w:numId w:val="37"/>
        </w:numPr>
        <w:suppressLineNumbers/>
        <w:spacing w:before="120" w:after="120"/>
        <w:ind w:left="709" w:hanging="709"/>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3C69790"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04B140B0" w14:textId="75BFFEE7" w:rsidR="00672510" w:rsidRPr="00075489" w:rsidRDefault="00463459" w:rsidP="00B85D2A">
      <w:pPr>
        <w:pStyle w:val="DfTLevel1"/>
        <w:keepLines/>
        <w:numPr>
          <w:ilvl w:val="0"/>
          <w:numId w:val="37"/>
        </w:numPr>
        <w:suppressLineNumbers/>
        <w:spacing w:before="120" w:after="120"/>
        <w:ind w:left="709" w:hanging="709"/>
        <w:jc w:val="both"/>
        <w:rPr>
          <w:rFonts w:cs="Arial"/>
          <w:b/>
          <w:spacing w:val="-3"/>
        </w:rPr>
      </w:pPr>
      <w:r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0220B5D2" w14:textId="77777777" w:rsidR="001927EF" w:rsidRDefault="001927EF" w:rsidP="00075489">
      <w:pPr>
        <w:pStyle w:val="DfTLevel1"/>
        <w:keepLines/>
        <w:suppressLineNumbers/>
        <w:spacing w:before="120" w:after="120"/>
        <w:jc w:val="both"/>
        <w:rPr>
          <w:rFonts w:cs="Arial"/>
          <w:b/>
          <w:spacing w:val="-3"/>
          <w:sz w:val="22"/>
          <w:szCs w:val="22"/>
        </w:rPr>
      </w:pPr>
    </w:p>
    <w:p w14:paraId="6476D1EB" w14:textId="77777777" w:rsidR="001927EF" w:rsidRDefault="001927EF" w:rsidP="00075489">
      <w:pPr>
        <w:pStyle w:val="DfTLevel1"/>
        <w:keepLines/>
        <w:suppressLineNumbers/>
        <w:spacing w:before="120" w:after="120"/>
        <w:jc w:val="both"/>
        <w:rPr>
          <w:rFonts w:cs="Arial"/>
          <w:b/>
          <w:spacing w:val="-3"/>
          <w:sz w:val="22"/>
          <w:szCs w:val="22"/>
        </w:rPr>
      </w:pPr>
    </w:p>
    <w:p w14:paraId="2B203BD2" w14:textId="77777777" w:rsidR="001927EF" w:rsidRDefault="001927EF" w:rsidP="00075489">
      <w:pPr>
        <w:pStyle w:val="DfTLevel1"/>
        <w:keepLines/>
        <w:suppressLineNumbers/>
        <w:spacing w:before="120" w:after="120"/>
        <w:jc w:val="both"/>
        <w:rPr>
          <w:rFonts w:cs="Arial"/>
          <w:b/>
          <w:spacing w:val="-3"/>
          <w:sz w:val="22"/>
          <w:szCs w:val="22"/>
        </w:rPr>
      </w:pPr>
    </w:p>
    <w:p w14:paraId="61A2E445" w14:textId="3D601C08" w:rsidR="00075489" w:rsidRPr="00075489" w:rsidRDefault="00075489" w:rsidP="00075489">
      <w:pPr>
        <w:pStyle w:val="DfTLevel1"/>
        <w:keepLines/>
        <w:suppressLineNumbers/>
        <w:spacing w:before="120" w:after="120"/>
        <w:jc w:val="both"/>
        <w:rPr>
          <w:rFonts w:cs="Arial"/>
          <w:b/>
          <w:spacing w:val="-3"/>
          <w:sz w:val="22"/>
          <w:szCs w:val="22"/>
        </w:rPr>
      </w:pPr>
      <w:r w:rsidRPr="00075489">
        <w:rPr>
          <w:rFonts w:cs="Arial"/>
          <w:b/>
          <w:spacing w:val="-3"/>
          <w:sz w:val="22"/>
          <w:szCs w:val="22"/>
        </w:rPr>
        <w:t>Invoicing and Payments</w:t>
      </w:r>
    </w:p>
    <w:p w14:paraId="661820C1" w14:textId="77777777" w:rsidR="00075489" w:rsidRPr="00075489" w:rsidRDefault="00075489" w:rsidP="00B85D2A">
      <w:pPr>
        <w:pStyle w:val="DfTLevel1"/>
        <w:keepLines/>
        <w:numPr>
          <w:ilvl w:val="0"/>
          <w:numId w:val="37"/>
        </w:numPr>
        <w:suppressLineNumbers/>
        <w:spacing w:before="120" w:after="120"/>
        <w:ind w:left="709" w:hanging="709"/>
        <w:jc w:val="both"/>
        <w:rPr>
          <w:rFonts w:cs="Arial"/>
          <w:spacing w:val="-3"/>
          <w:sz w:val="22"/>
          <w:szCs w:val="22"/>
        </w:rPr>
      </w:pPr>
      <w:r w:rsidRPr="00075489">
        <w:rPr>
          <w:rFonts w:cs="Arial"/>
          <w:spacing w:val="-3"/>
          <w:sz w:val="22"/>
          <w:szCs w:val="22"/>
        </w:rPr>
        <w:t>Payment shall be made upon service delivery in accordance with the ‘General</w:t>
      </w:r>
      <w:r w:rsidRPr="00075489">
        <w:rPr>
          <w:rFonts w:cs="Arial"/>
          <w:b/>
          <w:spacing w:val="-3"/>
        </w:rPr>
        <w:t xml:space="preserve"> </w:t>
      </w:r>
      <w:r w:rsidRPr="00075489">
        <w:rPr>
          <w:rFonts w:cs="Arial"/>
          <w:spacing w:val="-3"/>
          <w:sz w:val="22"/>
          <w:szCs w:val="22"/>
        </w:rPr>
        <w:t>Conditions of Contract for the Supply of Goods and Associated Services, and subject to the receipt of a valid and correctly submitted invoice.  The MCA pays undisputed invoices 30 days in arrears.</w:t>
      </w:r>
    </w:p>
    <w:p w14:paraId="46AD6880" w14:textId="77777777" w:rsidR="00075489" w:rsidRPr="00075489" w:rsidRDefault="00075489" w:rsidP="00B85D2A">
      <w:pPr>
        <w:pStyle w:val="DfTLevel1"/>
        <w:keepLines/>
        <w:numPr>
          <w:ilvl w:val="0"/>
          <w:numId w:val="37"/>
        </w:numPr>
        <w:suppressLineNumbers/>
        <w:spacing w:before="120" w:after="120"/>
        <w:ind w:left="709" w:hanging="709"/>
        <w:jc w:val="both"/>
        <w:rPr>
          <w:rFonts w:cs="Arial"/>
          <w:spacing w:val="-3"/>
          <w:sz w:val="22"/>
          <w:szCs w:val="22"/>
        </w:rPr>
      </w:pPr>
      <w:r w:rsidRPr="00075489">
        <w:rPr>
          <w:rFonts w:cs="Arial"/>
          <w:spacing w:val="-3"/>
          <w:sz w:val="22"/>
          <w:szCs w:val="22"/>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 </w:t>
      </w:r>
    </w:p>
    <w:p w14:paraId="463F4AF9" w14:textId="77777777" w:rsidR="0045332B"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DfT Shared Service Centre</w:t>
      </w:r>
    </w:p>
    <w:p w14:paraId="52A4CDBC" w14:textId="1B708231"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Arvato Bertelsmann</w:t>
      </w:r>
    </w:p>
    <w:p w14:paraId="17758043"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Sandringham Park,</w:t>
      </w:r>
    </w:p>
    <w:p w14:paraId="11C65173"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Swansea Vale,</w:t>
      </w:r>
    </w:p>
    <w:p w14:paraId="002F6AB8"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Swansea, Wales,</w:t>
      </w:r>
    </w:p>
    <w:p w14:paraId="361DC253"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SA7 0EA</w:t>
      </w:r>
    </w:p>
    <w:p w14:paraId="2EB4CDCF" w14:textId="77777777" w:rsidR="00075489" w:rsidRPr="00075489" w:rsidRDefault="00075489" w:rsidP="0045332B">
      <w:pPr>
        <w:pStyle w:val="DfTLevel1"/>
        <w:keepLines/>
        <w:suppressLineNumbers/>
        <w:spacing w:before="120" w:after="120"/>
        <w:ind w:left="644"/>
        <w:jc w:val="both"/>
        <w:rPr>
          <w:rFonts w:cs="Arial"/>
          <w:spacing w:val="-3"/>
          <w:sz w:val="22"/>
          <w:szCs w:val="22"/>
        </w:rPr>
      </w:pPr>
    </w:p>
    <w:p w14:paraId="69485663" w14:textId="77777777" w:rsidR="00075489" w:rsidRPr="00075489" w:rsidRDefault="00075489" w:rsidP="00B85D2A">
      <w:pPr>
        <w:pStyle w:val="DfTLevel1"/>
        <w:keepLines/>
        <w:numPr>
          <w:ilvl w:val="0"/>
          <w:numId w:val="37"/>
        </w:numPr>
        <w:suppressLineNumbers/>
        <w:spacing w:before="120" w:after="120"/>
        <w:ind w:hanging="720"/>
        <w:jc w:val="both"/>
        <w:rPr>
          <w:rFonts w:cs="Arial"/>
          <w:spacing w:val="-3"/>
          <w:sz w:val="22"/>
          <w:szCs w:val="22"/>
        </w:rPr>
      </w:pPr>
      <w:r w:rsidRPr="00075489">
        <w:rPr>
          <w:rFonts w:cs="Arial"/>
          <w:spacing w:val="-3"/>
          <w:sz w:val="22"/>
          <w:szCs w:val="22"/>
        </w:rPr>
        <w:t>To avoid delays in payment of invoices, it is advisable that a draft invoice is submitted to the MCA (inclusive of a breakdown of charges) for initial approval prior to final invoice submission.</w:t>
      </w:r>
    </w:p>
    <w:p w14:paraId="17270C27" w14:textId="77777777" w:rsidR="00075489" w:rsidRPr="00075489" w:rsidRDefault="00075489" w:rsidP="00B85D2A">
      <w:pPr>
        <w:pStyle w:val="DfTLevel1"/>
        <w:keepLines/>
        <w:numPr>
          <w:ilvl w:val="0"/>
          <w:numId w:val="37"/>
        </w:numPr>
        <w:suppressLineNumbers/>
        <w:spacing w:before="120" w:after="120"/>
        <w:ind w:hanging="720"/>
        <w:jc w:val="both"/>
        <w:rPr>
          <w:rFonts w:cs="Arial"/>
          <w:spacing w:val="-3"/>
          <w:sz w:val="22"/>
          <w:szCs w:val="22"/>
        </w:rPr>
      </w:pPr>
      <w:r w:rsidRPr="00075489">
        <w:rPr>
          <w:rFonts w:cs="Arial"/>
          <w:spacing w:val="-3"/>
          <w:sz w:val="22"/>
          <w:szCs w:val="22"/>
        </w:rPr>
        <w:t>To further support swift payment of invoices, it is important that the invoices are compliant and that they include a valid PO Number, PO Number item number (if applicable) and the details (name and telephone number) of your Customer contact (i.e. Contract Manager).</w:t>
      </w:r>
    </w:p>
    <w:p w14:paraId="1F0B5D75" w14:textId="6EA91B75" w:rsidR="00AE4571" w:rsidRDefault="00075489" w:rsidP="00B85D2A">
      <w:pPr>
        <w:pStyle w:val="DfTLevel1"/>
        <w:keepLines/>
        <w:numPr>
          <w:ilvl w:val="0"/>
          <w:numId w:val="37"/>
        </w:numPr>
        <w:suppressLineNumbers/>
        <w:spacing w:before="120" w:after="120"/>
        <w:ind w:hanging="720"/>
        <w:jc w:val="both"/>
        <w:rPr>
          <w:rFonts w:cs="Arial"/>
          <w:spacing w:val="-3"/>
          <w:sz w:val="22"/>
          <w:szCs w:val="22"/>
        </w:rPr>
      </w:pPr>
      <w:r w:rsidRPr="00075489">
        <w:rPr>
          <w:rFonts w:cs="Arial"/>
          <w:spacing w:val="-3"/>
          <w:sz w:val="22"/>
          <w:szCs w:val="22"/>
        </w:rPr>
        <w:t>Non-compliant invoices will be sent back to you, which may lead to delays in payment. If you have a query regarding an outstanding payment, please contact our Accounts Payable section either by email to Acccounts.payable@mcga.gov.uk or by telephone on 020381 72261 between 9am and 5pm Monday to Friday.</w:t>
      </w:r>
    </w:p>
    <w:p w14:paraId="0127C762" w14:textId="77777777" w:rsidR="003939C2" w:rsidRDefault="003939C2" w:rsidP="0045332B">
      <w:pPr>
        <w:pStyle w:val="DfTLevel1"/>
        <w:keepLines/>
        <w:suppressLineNumbers/>
        <w:spacing w:before="120" w:after="120"/>
        <w:ind w:left="644"/>
        <w:jc w:val="both"/>
        <w:rPr>
          <w:rFonts w:cs="Arial"/>
          <w:spacing w:val="-3"/>
          <w:sz w:val="22"/>
          <w:szCs w:val="22"/>
        </w:rPr>
      </w:pPr>
    </w:p>
    <w:p w14:paraId="6207D877" w14:textId="5B7ACB61" w:rsidR="003257D9" w:rsidRPr="008555CE" w:rsidRDefault="008555CE" w:rsidP="008555CE">
      <w:pPr>
        <w:pStyle w:val="DfTLevel1"/>
        <w:keepLines/>
        <w:suppressLineNumbers/>
        <w:spacing w:before="120" w:after="120"/>
        <w:jc w:val="both"/>
        <w:rPr>
          <w:rFonts w:cs="Arial"/>
          <w:b/>
          <w:spacing w:val="-3"/>
          <w:sz w:val="22"/>
          <w:szCs w:val="22"/>
        </w:rPr>
      </w:pPr>
      <w:r w:rsidRPr="008555CE">
        <w:rPr>
          <w:rFonts w:cs="Arial"/>
          <w:b/>
          <w:spacing w:val="-3"/>
          <w:sz w:val="22"/>
          <w:szCs w:val="22"/>
        </w:rPr>
        <w:t>Economic and Financial Standing</w:t>
      </w:r>
    </w:p>
    <w:p w14:paraId="3D72F69B" w14:textId="4B4F9388" w:rsidR="00BC5B25" w:rsidRDefault="00BC5B25" w:rsidP="0045332B">
      <w:pPr>
        <w:pStyle w:val="DfTLevel1"/>
        <w:keepLines/>
        <w:suppressLineNumbers/>
        <w:spacing w:before="120" w:after="120"/>
        <w:ind w:left="644"/>
        <w:jc w:val="both"/>
        <w:rPr>
          <w:rFonts w:cs="Arial"/>
          <w:spacing w:val="-3"/>
          <w:sz w:val="22"/>
          <w:szCs w:val="22"/>
        </w:rPr>
      </w:pPr>
    </w:p>
    <w:p w14:paraId="46DB9A14" w14:textId="3421D066" w:rsidR="008555CE" w:rsidRDefault="008555CE" w:rsidP="00B85D2A">
      <w:pPr>
        <w:pStyle w:val="DfTLevel1"/>
        <w:keepLines/>
        <w:suppressLineNumbers/>
        <w:spacing w:before="120" w:after="120"/>
        <w:jc w:val="both"/>
        <w:rPr>
          <w:rFonts w:cs="Arial"/>
          <w:spacing w:val="-3"/>
          <w:sz w:val="22"/>
          <w:szCs w:val="22"/>
        </w:rPr>
      </w:pPr>
      <w:r>
        <w:rPr>
          <w:rFonts w:cs="Arial"/>
          <w:spacing w:val="-3"/>
          <w:sz w:val="22"/>
          <w:szCs w:val="22"/>
        </w:rPr>
        <w:t>36.</w:t>
      </w:r>
    </w:p>
    <w:tbl>
      <w:tblPr>
        <w:tblW w:w="8080" w:type="dxa"/>
        <w:tblInd w:w="62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529"/>
        <w:gridCol w:w="34"/>
        <w:gridCol w:w="2517"/>
      </w:tblGrid>
      <w:tr w:rsidR="008555CE" w:rsidRPr="00BC5B25" w14:paraId="4EF18EB4" w14:textId="77777777" w:rsidTr="008555CE">
        <w:trPr>
          <w:trHeight w:val="400"/>
        </w:trPr>
        <w:tc>
          <w:tcPr>
            <w:tcW w:w="8080" w:type="dxa"/>
            <w:gridSpan w:val="3"/>
            <w:tcBorders>
              <w:top w:val="single" w:sz="8" w:space="0" w:color="000000"/>
              <w:bottom w:val="single" w:sz="6" w:space="0" w:color="000000"/>
            </w:tcBorders>
            <w:shd w:val="clear" w:color="auto" w:fill="CCFFFF"/>
          </w:tcPr>
          <w:p w14:paraId="152BDE08" w14:textId="087F24A0" w:rsidR="008555CE" w:rsidRPr="00BC5B25" w:rsidRDefault="008555CE" w:rsidP="00BC5B25">
            <w:pPr>
              <w:spacing w:before="100" w:after="0" w:line="240" w:lineRule="auto"/>
              <w:jc w:val="both"/>
              <w:rPr>
                <w:rFonts w:ascii="Times New Roman" w:eastAsia="Times New Roman" w:hAnsi="Times New Roman" w:cs="Times New Roman"/>
                <w:color w:val="000000"/>
                <w:sz w:val="24"/>
                <w:szCs w:val="24"/>
              </w:rPr>
            </w:pPr>
          </w:p>
        </w:tc>
      </w:tr>
      <w:tr w:rsidR="008555CE" w:rsidRPr="00BC5B25" w14:paraId="7DBD6D24" w14:textId="77777777" w:rsidTr="008555CE">
        <w:trPr>
          <w:trHeight w:val="400"/>
        </w:trPr>
        <w:tc>
          <w:tcPr>
            <w:tcW w:w="5529" w:type="dxa"/>
            <w:tcBorders>
              <w:top w:val="single" w:sz="6" w:space="0" w:color="000000"/>
              <w:bottom w:val="single" w:sz="6" w:space="0" w:color="000000"/>
            </w:tcBorders>
            <w:shd w:val="clear" w:color="auto" w:fill="CCFFFF"/>
          </w:tcPr>
          <w:p w14:paraId="27C4F26E" w14:textId="77777777" w:rsidR="008555CE" w:rsidRPr="00BC5B25" w:rsidRDefault="008555CE" w:rsidP="00BC5B25">
            <w:pPr>
              <w:spacing w:before="100" w:after="0" w:line="240" w:lineRule="auto"/>
              <w:ind w:right="306"/>
              <w:jc w:val="both"/>
              <w:rPr>
                <w:rFonts w:ascii="Times New Roman" w:eastAsia="Times New Roman" w:hAnsi="Times New Roman" w:cs="Times New Roman"/>
                <w:color w:val="000000"/>
                <w:sz w:val="24"/>
                <w:szCs w:val="24"/>
              </w:rPr>
            </w:pPr>
            <w:r w:rsidRPr="00BC5B25">
              <w:rPr>
                <w:rFonts w:ascii="Arial" w:eastAsia="Arial" w:hAnsi="Arial" w:cs="Arial"/>
                <w:color w:val="000000"/>
              </w:rPr>
              <w:t>Question</w:t>
            </w:r>
          </w:p>
        </w:tc>
        <w:tc>
          <w:tcPr>
            <w:tcW w:w="2551" w:type="dxa"/>
            <w:gridSpan w:val="2"/>
            <w:tcBorders>
              <w:top w:val="single" w:sz="6" w:space="0" w:color="000000"/>
              <w:bottom w:val="single" w:sz="6" w:space="0" w:color="000000"/>
            </w:tcBorders>
            <w:shd w:val="clear" w:color="auto" w:fill="CCFFFF"/>
          </w:tcPr>
          <w:p w14:paraId="49953FCD" w14:textId="77777777" w:rsidR="008555CE" w:rsidRPr="00BC5B25" w:rsidRDefault="008555CE" w:rsidP="00BC5B25">
            <w:pPr>
              <w:spacing w:before="100"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Response</w:t>
            </w:r>
          </w:p>
        </w:tc>
      </w:tr>
      <w:tr w:rsidR="008555CE" w:rsidRPr="00BC5B25" w14:paraId="6C6DDEFF" w14:textId="77777777" w:rsidTr="008555CE">
        <w:tblPrEx>
          <w:tblLook w:val="0600" w:firstRow="0" w:lastRow="0" w:firstColumn="0" w:lastColumn="0" w:noHBand="1" w:noVBand="1"/>
        </w:tblPrEx>
        <w:trPr>
          <w:trHeight w:val="1020"/>
        </w:trPr>
        <w:tc>
          <w:tcPr>
            <w:tcW w:w="5563" w:type="dxa"/>
            <w:gridSpan w:val="2"/>
          </w:tcPr>
          <w:p w14:paraId="11E6A2AF"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Are you able to provide a copy of your audited accounts for the last two years, if requested?</w:t>
            </w:r>
          </w:p>
          <w:p w14:paraId="57FBBFEE"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If no, can you provide </w:t>
            </w:r>
            <w:r w:rsidRPr="00BC5B25">
              <w:rPr>
                <w:rFonts w:ascii="Arial" w:eastAsia="Arial" w:hAnsi="Arial" w:cs="Arial"/>
                <w:b/>
                <w:color w:val="000000"/>
              </w:rPr>
              <w:t xml:space="preserve">one </w:t>
            </w:r>
            <w:r w:rsidRPr="00BC5B25">
              <w:rPr>
                <w:rFonts w:ascii="Arial" w:eastAsia="Arial" w:hAnsi="Arial" w:cs="Arial"/>
                <w:color w:val="000000"/>
              </w:rPr>
              <w:t>of the following: answer with Y/N in the relevant box.</w:t>
            </w:r>
          </w:p>
          <w:p w14:paraId="6FFEFBAE" w14:textId="77777777" w:rsidR="008555CE" w:rsidRPr="00BC5B25" w:rsidRDefault="008555CE" w:rsidP="00BC5B25">
            <w:pPr>
              <w:spacing w:after="0" w:line="276" w:lineRule="auto"/>
              <w:jc w:val="both"/>
              <w:rPr>
                <w:rFonts w:ascii="Times New Roman" w:eastAsia="Times New Roman" w:hAnsi="Times New Roman" w:cs="Times New Roman"/>
                <w:color w:val="000000"/>
                <w:sz w:val="24"/>
                <w:szCs w:val="24"/>
              </w:rPr>
            </w:pPr>
          </w:p>
        </w:tc>
        <w:tc>
          <w:tcPr>
            <w:tcW w:w="2517" w:type="dxa"/>
          </w:tcPr>
          <w:p w14:paraId="240A2378"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33FF83BE" w14:textId="77777777" w:rsidR="008555CE" w:rsidRPr="00BC5B25" w:rsidRDefault="008555CE" w:rsidP="00BC5B25">
            <w:pPr>
              <w:spacing w:after="0" w:line="276"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r w:rsidR="008555CE" w:rsidRPr="00BC5B25" w14:paraId="7C436FF2" w14:textId="77777777" w:rsidTr="008555CE">
        <w:tblPrEx>
          <w:tblLook w:val="0600" w:firstRow="0" w:lastRow="0" w:firstColumn="0" w:lastColumn="0" w:noHBand="1" w:noVBand="1"/>
        </w:tblPrEx>
        <w:trPr>
          <w:trHeight w:val="1020"/>
        </w:trPr>
        <w:tc>
          <w:tcPr>
            <w:tcW w:w="5563" w:type="dxa"/>
            <w:gridSpan w:val="2"/>
          </w:tcPr>
          <w:p w14:paraId="74CA5A52"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lastRenderedPageBreak/>
              <w:t xml:space="preserve">(a) </w:t>
            </w:r>
            <w:r w:rsidRPr="00BC5B25">
              <w:rPr>
                <w:rFonts w:ascii="Arial" w:eastAsia="Arial" w:hAnsi="Arial" w:cs="Arial"/>
                <w:color w:val="0000FF"/>
                <w:sz w:val="19"/>
                <w:szCs w:val="19"/>
                <w:highlight w:val="white"/>
              </w:rPr>
              <w:t xml:space="preserve"> </w:t>
            </w:r>
            <w:r w:rsidRPr="00BC5B25">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11F7E764"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6E749482"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09722D60"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r w:rsidR="008555CE" w:rsidRPr="00BC5B25" w14:paraId="408C9AB9" w14:textId="77777777" w:rsidTr="008555CE">
        <w:tblPrEx>
          <w:tblLook w:val="0600" w:firstRow="0" w:lastRow="0" w:firstColumn="0" w:lastColumn="0" w:noHBand="1" w:noVBand="1"/>
        </w:tblPrEx>
        <w:trPr>
          <w:trHeight w:val="700"/>
        </w:trPr>
        <w:tc>
          <w:tcPr>
            <w:tcW w:w="5563" w:type="dxa"/>
            <w:gridSpan w:val="2"/>
          </w:tcPr>
          <w:p w14:paraId="7855BBCF"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(b) A statement of the cash flow forecast for the current year and a bank letter outlining the current cash and credit position.</w:t>
            </w:r>
          </w:p>
        </w:tc>
        <w:tc>
          <w:tcPr>
            <w:tcW w:w="2517" w:type="dxa"/>
          </w:tcPr>
          <w:p w14:paraId="0C12F9BA"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4F02FC0F" w14:textId="77777777" w:rsidR="008555CE" w:rsidRPr="00BC5B25" w:rsidRDefault="008555CE" w:rsidP="00BC5B25">
            <w:pPr>
              <w:widowControl w:val="0"/>
              <w:spacing w:after="0" w:line="240" w:lineRule="auto"/>
              <w:ind w:right="-231"/>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r w:rsidR="008555CE" w:rsidRPr="00BC5B25" w14:paraId="2AEC78B5" w14:textId="77777777" w:rsidTr="008555CE">
        <w:tblPrEx>
          <w:tblLook w:val="0600" w:firstRow="0" w:lastRow="0" w:firstColumn="0" w:lastColumn="0" w:noHBand="1" w:noVBand="1"/>
        </w:tblPrEx>
        <w:trPr>
          <w:trHeight w:val="1500"/>
        </w:trPr>
        <w:tc>
          <w:tcPr>
            <w:tcW w:w="5563" w:type="dxa"/>
            <w:gridSpan w:val="2"/>
          </w:tcPr>
          <w:p w14:paraId="61B7A364"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5D041974"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01516716"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bl>
    <w:p w14:paraId="4F4347D6" w14:textId="77777777" w:rsidR="003257D9" w:rsidRPr="0045332B" w:rsidRDefault="003257D9" w:rsidP="008555CE">
      <w:pPr>
        <w:pStyle w:val="DfTLevel1"/>
        <w:keepLines/>
        <w:suppressLineNumbers/>
        <w:spacing w:before="120" w:after="120"/>
        <w:jc w:val="both"/>
        <w:rPr>
          <w:rFonts w:cs="Arial"/>
          <w:spacing w:val="-3"/>
          <w:sz w:val="22"/>
          <w:szCs w:val="22"/>
        </w:rPr>
      </w:pPr>
    </w:p>
    <w:p w14:paraId="120D09DA"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193FBA74" w14:textId="77777777" w:rsidR="008D4855" w:rsidRPr="008D4855" w:rsidRDefault="008D4855" w:rsidP="00B85D2A">
      <w:pPr>
        <w:pStyle w:val="DfTLevel1"/>
        <w:keepLines/>
        <w:numPr>
          <w:ilvl w:val="0"/>
          <w:numId w:val="39"/>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3CE0A7D7" w14:textId="77777777"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193C9AF"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6DAD0B99"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22A2E24C"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5DD03EDF"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1908D2DF"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028E7109"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2D930657"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7C67078E"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w:t>
      </w:r>
      <w:r>
        <w:rPr>
          <w:rFonts w:ascii="Arial" w:hAnsi="Arial" w:cs="Arial"/>
        </w:rPr>
        <w:t>g.</w:t>
      </w:r>
      <w:r w:rsidRPr="00677D50">
        <w:rPr>
          <w:rFonts w:ascii="Arial" w:hAnsi="Arial" w:cs="Arial"/>
        </w:rPr>
        <w:t xml:space="preserve"> below.  Transfer of personally identifiable information must follow the protocols of secure transfer (as described by the Information Commissioners Office) if being sent via the public internet.  </w:t>
      </w:r>
    </w:p>
    <w:p w14:paraId="1799BC2A" w14:textId="7240DF9C" w:rsidR="00C367CF" w:rsidRDefault="00C367CF" w:rsidP="00C367CF">
      <w:pPr>
        <w:pStyle w:val="ListParagraph"/>
        <w:autoSpaceDE w:val="0"/>
        <w:autoSpaceDN w:val="0"/>
        <w:adjustRightInd w:val="0"/>
        <w:spacing w:after="0" w:line="240" w:lineRule="auto"/>
        <w:ind w:left="792"/>
        <w:jc w:val="both"/>
        <w:rPr>
          <w:rFonts w:ascii="Arial" w:hAnsi="Arial" w:cs="Arial"/>
          <w:b/>
        </w:rPr>
      </w:pPr>
    </w:p>
    <w:p w14:paraId="2DE20C31" w14:textId="14715582" w:rsidR="0072570A" w:rsidRDefault="00BD1C0F" w:rsidP="00BD1C0F">
      <w:pPr>
        <w:autoSpaceDE w:val="0"/>
        <w:autoSpaceDN w:val="0"/>
        <w:adjustRightInd w:val="0"/>
        <w:spacing w:after="0" w:line="240" w:lineRule="auto"/>
        <w:jc w:val="both"/>
        <w:rPr>
          <w:rFonts w:ascii="Arial" w:hAnsi="Arial" w:cs="Arial"/>
          <w:b/>
        </w:rPr>
      </w:pPr>
      <w:r w:rsidRPr="00BD1C0F">
        <w:rPr>
          <w:rFonts w:ascii="Arial" w:hAnsi="Arial" w:cs="Arial"/>
          <w:b/>
        </w:rPr>
        <w:t>Conflicts of interest</w:t>
      </w:r>
    </w:p>
    <w:p w14:paraId="5AEA12C6" w14:textId="6BFD5A0F" w:rsidR="00BD1C0F" w:rsidRDefault="00BD1C0F" w:rsidP="00BD1C0F">
      <w:pPr>
        <w:autoSpaceDE w:val="0"/>
        <w:autoSpaceDN w:val="0"/>
        <w:adjustRightInd w:val="0"/>
        <w:spacing w:after="0" w:line="240" w:lineRule="auto"/>
        <w:jc w:val="both"/>
        <w:rPr>
          <w:rFonts w:ascii="Arial" w:hAnsi="Arial" w:cs="Arial"/>
          <w:b/>
        </w:rPr>
      </w:pPr>
    </w:p>
    <w:p w14:paraId="3EB72C7B" w14:textId="49CDBD94" w:rsidR="00B421AF" w:rsidRPr="00B421AF" w:rsidRDefault="00B421AF" w:rsidP="00B421AF">
      <w:pPr>
        <w:autoSpaceDE w:val="0"/>
        <w:autoSpaceDN w:val="0"/>
        <w:adjustRightInd w:val="0"/>
        <w:spacing w:after="0" w:line="240" w:lineRule="auto"/>
        <w:jc w:val="both"/>
        <w:rPr>
          <w:rFonts w:ascii="Arial" w:hAnsi="Arial" w:cs="Arial"/>
        </w:rPr>
      </w:pPr>
      <w:r w:rsidRPr="00B421AF">
        <w:rPr>
          <w:rFonts w:ascii="Arial" w:hAnsi="Arial" w:cs="Arial"/>
        </w:rPr>
        <w:t>38.</w:t>
      </w:r>
      <w:r w:rsidRPr="00B421AF">
        <w:rPr>
          <w:rFonts w:ascii="Arial" w:hAnsi="Arial" w:cs="Arial"/>
        </w:rPr>
        <w:tab/>
        <w:t>Bidders’ written proposals must disclose any potential conflicts of interest.</w:t>
      </w:r>
    </w:p>
    <w:p w14:paraId="14324533" w14:textId="77777777" w:rsidR="00B421AF" w:rsidRPr="00B421AF" w:rsidRDefault="00B421AF" w:rsidP="00B421AF">
      <w:pPr>
        <w:autoSpaceDE w:val="0"/>
        <w:autoSpaceDN w:val="0"/>
        <w:adjustRightInd w:val="0"/>
        <w:spacing w:after="0" w:line="240" w:lineRule="auto"/>
        <w:jc w:val="both"/>
        <w:rPr>
          <w:rFonts w:ascii="Arial" w:hAnsi="Arial" w:cs="Arial"/>
        </w:rPr>
      </w:pPr>
    </w:p>
    <w:p w14:paraId="6795792F" w14:textId="3FD31D24" w:rsidR="00B421AF" w:rsidRDefault="00B421AF" w:rsidP="00B421AF">
      <w:pPr>
        <w:autoSpaceDE w:val="0"/>
        <w:autoSpaceDN w:val="0"/>
        <w:adjustRightInd w:val="0"/>
        <w:spacing w:after="0" w:line="240" w:lineRule="auto"/>
        <w:ind w:left="720"/>
        <w:jc w:val="both"/>
        <w:rPr>
          <w:rFonts w:ascii="Arial" w:hAnsi="Arial" w:cs="Arial"/>
        </w:rPr>
      </w:pPr>
      <w:r w:rsidRPr="00B421AF">
        <w:rPr>
          <w:rFonts w:ascii="Arial" w:hAnsi="Arial" w:cs="Arial"/>
        </w:rPr>
        <w:t xml:space="preserve">Bidders should assess any potential conflicts of interest. They should include a clear statement which: </w:t>
      </w:r>
    </w:p>
    <w:p w14:paraId="2111B27D" w14:textId="77777777" w:rsidR="00462784" w:rsidRPr="00B421AF" w:rsidRDefault="00462784" w:rsidP="00B421AF">
      <w:pPr>
        <w:autoSpaceDE w:val="0"/>
        <w:autoSpaceDN w:val="0"/>
        <w:adjustRightInd w:val="0"/>
        <w:spacing w:after="0" w:line="240" w:lineRule="auto"/>
        <w:ind w:left="720"/>
        <w:jc w:val="both"/>
        <w:rPr>
          <w:rFonts w:ascii="Arial" w:hAnsi="Arial" w:cs="Arial"/>
        </w:rPr>
      </w:pPr>
    </w:p>
    <w:p w14:paraId="6C570119" w14:textId="77777777" w:rsidR="00B421AF" w:rsidRPr="00B421AF" w:rsidRDefault="00B421AF" w:rsidP="00462784">
      <w:pPr>
        <w:autoSpaceDE w:val="0"/>
        <w:autoSpaceDN w:val="0"/>
        <w:adjustRightInd w:val="0"/>
        <w:spacing w:after="0" w:line="240" w:lineRule="auto"/>
        <w:ind w:left="1440" w:hanging="720"/>
        <w:jc w:val="both"/>
        <w:rPr>
          <w:rFonts w:ascii="Arial" w:hAnsi="Arial" w:cs="Arial"/>
        </w:rPr>
      </w:pPr>
      <w:r w:rsidRPr="00B421AF">
        <w:rPr>
          <w:rFonts w:ascii="Arial" w:hAnsi="Arial" w:cs="Arial"/>
        </w:rPr>
        <w:t>•</w:t>
      </w:r>
      <w:r w:rsidRPr="00B421AF">
        <w:rPr>
          <w:rFonts w:ascii="Arial" w:hAnsi="Arial" w:cs="Arial"/>
        </w:rPr>
        <w:tab/>
        <w:t>Explicitly sets out that there is no conflict of interest, or sets out any existing conflicts of interest, either real or perceived, for their firm in relation to this Statement of Requirement;</w:t>
      </w:r>
    </w:p>
    <w:p w14:paraId="60D2140A" w14:textId="77777777" w:rsidR="00B421AF" w:rsidRPr="00B421AF" w:rsidRDefault="00B421AF" w:rsidP="00462784">
      <w:pPr>
        <w:autoSpaceDE w:val="0"/>
        <w:autoSpaceDN w:val="0"/>
        <w:adjustRightInd w:val="0"/>
        <w:spacing w:after="0" w:line="240" w:lineRule="auto"/>
        <w:ind w:left="1440" w:hanging="720"/>
        <w:jc w:val="both"/>
        <w:rPr>
          <w:rFonts w:ascii="Arial" w:hAnsi="Arial" w:cs="Arial"/>
        </w:rPr>
      </w:pPr>
      <w:r w:rsidRPr="00B421AF">
        <w:rPr>
          <w:rFonts w:ascii="Arial" w:hAnsi="Arial" w:cs="Arial"/>
        </w:rPr>
        <w:t>•</w:t>
      </w:r>
      <w:r w:rsidRPr="00B421AF">
        <w:rPr>
          <w:rFonts w:ascii="Arial" w:hAnsi="Arial" w:cs="Arial"/>
        </w:rPr>
        <w:tab/>
        <w:t>Provides full details of proposed risk management arrangements (e.g. segregation of staff and security of information); and</w:t>
      </w:r>
    </w:p>
    <w:p w14:paraId="7657BC7D" w14:textId="77777777" w:rsidR="00B421AF" w:rsidRPr="00B421AF" w:rsidRDefault="00B421AF" w:rsidP="00462784">
      <w:pPr>
        <w:autoSpaceDE w:val="0"/>
        <w:autoSpaceDN w:val="0"/>
        <w:adjustRightInd w:val="0"/>
        <w:spacing w:after="0" w:line="240" w:lineRule="auto"/>
        <w:ind w:left="1440" w:hanging="720"/>
        <w:jc w:val="both"/>
        <w:rPr>
          <w:rFonts w:ascii="Arial" w:hAnsi="Arial" w:cs="Arial"/>
        </w:rPr>
      </w:pPr>
      <w:r w:rsidRPr="00B421AF">
        <w:rPr>
          <w:rFonts w:ascii="Arial" w:hAnsi="Arial" w:cs="Arial"/>
        </w:rPr>
        <w:t>•</w:t>
      </w:r>
      <w:r w:rsidRPr="00B421AF">
        <w:rPr>
          <w:rFonts w:ascii="Arial" w:hAnsi="Arial" w:cs="Arial"/>
        </w:rPr>
        <w:tab/>
        <w:t>Provides a clear description of how any subsequently arising conflicts would be dealt with.</w:t>
      </w:r>
    </w:p>
    <w:p w14:paraId="1EE70717" w14:textId="77777777" w:rsidR="00B421AF" w:rsidRPr="00B421AF" w:rsidRDefault="00B421AF" w:rsidP="00B421AF">
      <w:pPr>
        <w:autoSpaceDE w:val="0"/>
        <w:autoSpaceDN w:val="0"/>
        <w:adjustRightInd w:val="0"/>
        <w:spacing w:after="0" w:line="240" w:lineRule="auto"/>
        <w:jc w:val="both"/>
        <w:rPr>
          <w:rFonts w:ascii="Arial" w:hAnsi="Arial" w:cs="Arial"/>
        </w:rPr>
      </w:pPr>
    </w:p>
    <w:p w14:paraId="2007C49D" w14:textId="71763A93" w:rsidR="00B421AF" w:rsidRDefault="00B421AF" w:rsidP="00F2095F">
      <w:pPr>
        <w:autoSpaceDE w:val="0"/>
        <w:autoSpaceDN w:val="0"/>
        <w:adjustRightInd w:val="0"/>
        <w:spacing w:after="0" w:line="240" w:lineRule="auto"/>
        <w:ind w:firstLine="720"/>
        <w:jc w:val="both"/>
        <w:rPr>
          <w:rFonts w:ascii="Arial" w:hAnsi="Arial" w:cs="Arial"/>
        </w:rPr>
      </w:pPr>
      <w:r w:rsidRPr="00B421AF">
        <w:rPr>
          <w:rFonts w:ascii="Arial" w:hAnsi="Arial" w:cs="Arial"/>
        </w:rPr>
        <w:t>Conflicts of interest are assessed on a pass/fail basis.</w:t>
      </w:r>
    </w:p>
    <w:p w14:paraId="5FB212DC" w14:textId="77777777" w:rsidR="00F2095F" w:rsidRPr="00B421AF" w:rsidRDefault="00F2095F" w:rsidP="00F2095F">
      <w:pPr>
        <w:autoSpaceDE w:val="0"/>
        <w:autoSpaceDN w:val="0"/>
        <w:adjustRightInd w:val="0"/>
        <w:spacing w:after="0" w:line="240" w:lineRule="auto"/>
        <w:ind w:firstLine="720"/>
        <w:jc w:val="both"/>
        <w:rPr>
          <w:rFonts w:ascii="Arial" w:hAnsi="Arial" w:cs="Arial"/>
        </w:rPr>
      </w:pPr>
    </w:p>
    <w:p w14:paraId="650E8AE8" w14:textId="1512CF71" w:rsidR="00B421AF" w:rsidRDefault="00B421AF" w:rsidP="00F2095F">
      <w:pPr>
        <w:autoSpaceDE w:val="0"/>
        <w:autoSpaceDN w:val="0"/>
        <w:adjustRightInd w:val="0"/>
        <w:spacing w:after="0" w:line="240" w:lineRule="auto"/>
        <w:ind w:left="720"/>
        <w:jc w:val="both"/>
        <w:rPr>
          <w:rFonts w:ascii="Arial" w:hAnsi="Arial" w:cs="Arial"/>
        </w:rPr>
      </w:pPr>
      <w:r w:rsidRPr="00B421AF">
        <w:rPr>
          <w:rFonts w:ascii="Arial" w:hAnsi="Arial" w:cs="Arial"/>
        </w:rPr>
        <w:t>The Department will discuss any conflict of interest issues that have been disclosed by each Bidder.</w:t>
      </w:r>
    </w:p>
    <w:p w14:paraId="0DACED22" w14:textId="77777777" w:rsidR="00F2095F" w:rsidRPr="00B421AF" w:rsidRDefault="00F2095F" w:rsidP="00F2095F">
      <w:pPr>
        <w:autoSpaceDE w:val="0"/>
        <w:autoSpaceDN w:val="0"/>
        <w:adjustRightInd w:val="0"/>
        <w:spacing w:after="0" w:line="240" w:lineRule="auto"/>
        <w:ind w:left="720"/>
        <w:jc w:val="both"/>
        <w:rPr>
          <w:rFonts w:ascii="Arial" w:hAnsi="Arial" w:cs="Arial"/>
        </w:rPr>
      </w:pPr>
    </w:p>
    <w:p w14:paraId="79F3D83E" w14:textId="71C31A83" w:rsidR="00B421AF" w:rsidRDefault="00B421AF" w:rsidP="00F2095F">
      <w:pPr>
        <w:autoSpaceDE w:val="0"/>
        <w:autoSpaceDN w:val="0"/>
        <w:adjustRightInd w:val="0"/>
        <w:spacing w:after="0" w:line="240" w:lineRule="auto"/>
        <w:ind w:left="720"/>
        <w:jc w:val="both"/>
        <w:rPr>
          <w:rFonts w:ascii="Arial" w:hAnsi="Arial" w:cs="Arial"/>
        </w:rPr>
      </w:pPr>
      <w:r w:rsidRPr="00B421AF">
        <w:rPr>
          <w:rFonts w:ascii="Arial" w:hAnsi="Arial" w:cs="Arial"/>
        </w:rPr>
        <w:t xml:space="preserve">The Department will decide whether any internal management processes and controls that Bidders have in place are satisfactory. </w:t>
      </w:r>
    </w:p>
    <w:p w14:paraId="64DD1A16" w14:textId="77777777" w:rsidR="008A18A0" w:rsidRPr="00B421AF" w:rsidRDefault="008A18A0" w:rsidP="00F2095F">
      <w:pPr>
        <w:autoSpaceDE w:val="0"/>
        <w:autoSpaceDN w:val="0"/>
        <w:adjustRightInd w:val="0"/>
        <w:spacing w:after="0" w:line="240" w:lineRule="auto"/>
        <w:ind w:left="720"/>
        <w:jc w:val="both"/>
        <w:rPr>
          <w:rFonts w:ascii="Arial" w:hAnsi="Arial" w:cs="Arial"/>
        </w:rPr>
      </w:pPr>
    </w:p>
    <w:p w14:paraId="7174E36A" w14:textId="299894F3" w:rsidR="00B421AF" w:rsidRPr="00B421AF" w:rsidRDefault="00B421AF" w:rsidP="008A18A0">
      <w:pPr>
        <w:autoSpaceDE w:val="0"/>
        <w:autoSpaceDN w:val="0"/>
        <w:adjustRightInd w:val="0"/>
        <w:spacing w:after="0" w:line="240" w:lineRule="auto"/>
        <w:ind w:left="720"/>
        <w:jc w:val="both"/>
        <w:rPr>
          <w:rFonts w:ascii="Arial" w:hAnsi="Arial" w:cs="Arial"/>
        </w:rPr>
      </w:pPr>
      <w:r w:rsidRPr="00B421AF">
        <w:rPr>
          <w:rFonts w:ascii="Arial" w:hAnsi="Arial" w:cs="Arial"/>
        </w:rPr>
        <w:t>Bidders will be ruled out of the competition if, in the Department’s view, there is a conflict of interest which could compromise the delivery and integrity of the contract, or if the arrangements to deal with a future conflict of interest arising offer insufficient protection for the Department.</w:t>
      </w:r>
    </w:p>
    <w:p w14:paraId="69C5BAB8" w14:textId="77777777" w:rsidR="00BD1C0F" w:rsidRPr="00BD1C0F" w:rsidRDefault="00BD1C0F" w:rsidP="00BD1C0F">
      <w:pPr>
        <w:autoSpaceDE w:val="0"/>
        <w:autoSpaceDN w:val="0"/>
        <w:adjustRightInd w:val="0"/>
        <w:spacing w:after="0" w:line="240" w:lineRule="auto"/>
        <w:jc w:val="both"/>
        <w:rPr>
          <w:rFonts w:ascii="Arial" w:hAnsi="Arial" w:cs="Arial"/>
          <w:b/>
        </w:rPr>
      </w:pPr>
    </w:p>
    <w:p w14:paraId="3799F634" w14:textId="5EDEBE71" w:rsidR="00C367CF" w:rsidRDefault="00C367CF" w:rsidP="0005297D">
      <w:pPr>
        <w:autoSpaceDE w:val="0"/>
        <w:autoSpaceDN w:val="0"/>
        <w:adjustRightInd w:val="0"/>
        <w:spacing w:after="0" w:line="240" w:lineRule="auto"/>
        <w:jc w:val="both"/>
        <w:rPr>
          <w:rFonts w:ascii="Arial" w:hAnsi="Arial" w:cs="Arial"/>
          <w:b/>
        </w:rPr>
      </w:pPr>
      <w:r w:rsidRPr="0005297D">
        <w:rPr>
          <w:rFonts w:ascii="Arial" w:hAnsi="Arial" w:cs="Arial"/>
          <w:b/>
        </w:rPr>
        <w:t>Security</w:t>
      </w:r>
      <w:r w:rsidRPr="0005297D">
        <w:rPr>
          <w:rStyle w:val="Hyperlink"/>
          <w:rFonts w:ascii="Helvetica Neue" w:hAnsi="Helvetica Neue"/>
        </w:rPr>
        <w:br/>
      </w:r>
    </w:p>
    <w:p w14:paraId="5A182A3F" w14:textId="27131A76" w:rsidR="000F28F6" w:rsidRDefault="00365031" w:rsidP="00B85D2A">
      <w:pPr>
        <w:pStyle w:val="ListParagraph"/>
        <w:numPr>
          <w:ilvl w:val="0"/>
          <w:numId w:val="40"/>
        </w:numPr>
        <w:ind w:hanging="720"/>
        <w:jc w:val="both"/>
        <w:rPr>
          <w:rFonts w:ascii="Arial" w:hAnsi="Arial" w:cs="Arial"/>
        </w:rPr>
      </w:pPr>
      <w:r w:rsidRPr="00365031">
        <w:rPr>
          <w:rFonts w:ascii="Arial" w:hAnsi="Arial" w:cs="Arial"/>
        </w:rPr>
        <w:t>The successful bidder will be expected to take all appropriate measures to ensure that confidential or sensitive material is not disclosed, in accordance with the Contract Terms and Conditions</w:t>
      </w:r>
      <w:r w:rsidR="002B4107">
        <w:rPr>
          <w:rFonts w:ascii="Arial" w:hAnsi="Arial" w:cs="Arial"/>
        </w:rPr>
        <w:t>,</w:t>
      </w:r>
      <w:r w:rsidRPr="00365031">
        <w:rPr>
          <w:rFonts w:ascii="Arial" w:hAnsi="Arial" w:cs="Arial"/>
        </w:rPr>
        <w:t xml:space="preserve"> and will</w:t>
      </w:r>
      <w:r w:rsidR="002B4107">
        <w:rPr>
          <w:rFonts w:ascii="Arial" w:hAnsi="Arial" w:cs="Arial"/>
        </w:rPr>
        <w:t xml:space="preserve"> be</w:t>
      </w:r>
      <w:r w:rsidRPr="00365031">
        <w:rPr>
          <w:rFonts w:ascii="Arial" w:hAnsi="Arial" w:cs="Arial"/>
        </w:rPr>
        <w:t xml:space="preserve"> expected to sign a Non-Disclosure Agreement on award of contract.</w:t>
      </w:r>
    </w:p>
    <w:p w14:paraId="5DEAEFA5" w14:textId="77777777" w:rsidR="00365031" w:rsidRPr="00365031" w:rsidRDefault="00365031" w:rsidP="00365031">
      <w:pPr>
        <w:pStyle w:val="ListParagraph"/>
        <w:rPr>
          <w:rFonts w:ascii="Arial" w:hAnsi="Arial" w:cs="Arial"/>
        </w:rPr>
      </w:pPr>
    </w:p>
    <w:p w14:paraId="5ADA5BA3" w14:textId="5AD55DC2" w:rsidR="00C367CF" w:rsidRPr="00AB75B4" w:rsidRDefault="00C367CF" w:rsidP="00C33096">
      <w:pPr>
        <w:pStyle w:val="ListParagraph"/>
        <w:numPr>
          <w:ilvl w:val="0"/>
          <w:numId w:val="35"/>
        </w:numPr>
        <w:autoSpaceDE w:val="0"/>
        <w:autoSpaceDN w:val="0"/>
        <w:adjustRightInd w:val="0"/>
        <w:spacing w:after="0" w:line="240" w:lineRule="auto"/>
        <w:ind w:left="1276" w:hanging="567"/>
        <w:jc w:val="both"/>
        <w:rPr>
          <w:rFonts w:ascii="Arial" w:hAnsi="Arial" w:cs="Arial"/>
        </w:rPr>
      </w:pPr>
      <w:r w:rsidRPr="00677D50">
        <w:rPr>
          <w:rFonts w:ascii="Arial" w:hAnsi="Arial" w:cs="Arial"/>
        </w:rPr>
        <w:t xml:space="preserve">The supplier shall complete the Cabinet Office Statement of Assurance questionnaire and provide </w:t>
      </w:r>
      <w:proofErr w:type="gramStart"/>
      <w:r w:rsidRPr="00677D50">
        <w:rPr>
          <w:rFonts w:ascii="Arial" w:hAnsi="Arial" w:cs="Arial"/>
        </w:rPr>
        <w:t>sufficient</w:t>
      </w:r>
      <w:proofErr w:type="gramEnd"/>
      <w:r w:rsidRPr="00677D50">
        <w:rPr>
          <w:rFonts w:ascii="Arial" w:hAnsi="Arial" w:cs="Arial"/>
        </w:rPr>
        <w:t xml:space="preserve"> detail so that the MCA can determine the suppliers approach to security and the application of proportionate controls.   </w:t>
      </w:r>
    </w:p>
    <w:p w14:paraId="6B78FE46" w14:textId="111DC8A2" w:rsidR="00AB75B4" w:rsidRDefault="00200848" w:rsidP="00C33096">
      <w:pPr>
        <w:pStyle w:val="ListParagraph"/>
        <w:autoSpaceDE w:val="0"/>
        <w:autoSpaceDN w:val="0"/>
        <w:adjustRightInd w:val="0"/>
        <w:spacing w:after="0" w:line="240" w:lineRule="auto"/>
        <w:ind w:left="1276"/>
        <w:jc w:val="both"/>
        <w:rPr>
          <w:rStyle w:val="Hyperlink"/>
          <w:rFonts w:ascii="Arial" w:hAnsi="Arial" w:cs="Arial"/>
          <w:color w:val="auto"/>
        </w:rPr>
      </w:pPr>
      <w:hyperlink r:id="rId11" w:history="1">
        <w:r w:rsidR="00C33096" w:rsidRPr="00A436B5">
          <w:rPr>
            <w:rStyle w:val="Hyperlink"/>
            <w:rFonts w:ascii="Arial" w:hAnsi="Arial" w:cs="Arial"/>
          </w:rPr>
          <w:t>https://www.gov.uk/government/publicati</w:t>
        </w:r>
        <w:r w:rsidR="00C33096" w:rsidRPr="00A436B5">
          <w:rPr>
            <w:rStyle w:val="Hyperlink"/>
            <w:rFonts w:ascii="Arial" w:hAnsi="Arial" w:cs="Arial"/>
          </w:rPr>
          <w:t>o</w:t>
        </w:r>
        <w:r w:rsidR="00C33096" w:rsidRPr="00A436B5">
          <w:rPr>
            <w:rStyle w:val="Hyperlink"/>
            <w:rFonts w:ascii="Arial" w:hAnsi="Arial" w:cs="Arial"/>
          </w:rPr>
          <w:t>ns/government-supplier-assurance-framework</w:t>
        </w:r>
      </w:hyperlink>
    </w:p>
    <w:p w14:paraId="6F318F5A" w14:textId="39D7925C" w:rsidR="00C367CF" w:rsidRPr="00AB75B4" w:rsidRDefault="00C367CF" w:rsidP="00C33096">
      <w:pPr>
        <w:autoSpaceDE w:val="0"/>
        <w:autoSpaceDN w:val="0"/>
        <w:adjustRightInd w:val="0"/>
        <w:spacing w:after="0" w:line="240" w:lineRule="auto"/>
        <w:ind w:hanging="11"/>
        <w:jc w:val="both"/>
        <w:rPr>
          <w:rFonts w:ascii="Arial" w:hAnsi="Arial" w:cs="Arial"/>
        </w:rPr>
      </w:pPr>
    </w:p>
    <w:p w14:paraId="5B555B71" w14:textId="31E5F270" w:rsidR="00C367CF" w:rsidRPr="00AB75B4" w:rsidRDefault="00C367CF" w:rsidP="00E121B7">
      <w:pPr>
        <w:pStyle w:val="ListParagraph"/>
        <w:numPr>
          <w:ilvl w:val="0"/>
          <w:numId w:val="35"/>
        </w:numPr>
        <w:autoSpaceDE w:val="0"/>
        <w:autoSpaceDN w:val="0"/>
        <w:adjustRightInd w:val="0"/>
        <w:spacing w:after="0" w:line="240" w:lineRule="auto"/>
        <w:ind w:left="1276" w:hanging="567"/>
        <w:jc w:val="both"/>
        <w:rPr>
          <w:rFonts w:ascii="Helvetica Neue" w:eastAsia="Times New Roman" w:hAnsi="Helvetica Neue"/>
          <w:u w:val="single"/>
        </w:rPr>
      </w:pPr>
      <w:r w:rsidRPr="00AB75B4">
        <w:rPr>
          <w:rFonts w:ascii="Arial" w:hAnsi="Arial" w:cs="Arial"/>
        </w:rPr>
        <w:t xml:space="preserve">The service provider must also recognise and understand the Government </w:t>
      </w:r>
      <w:r w:rsidR="00C33096">
        <w:rPr>
          <w:rFonts w:ascii="Arial" w:hAnsi="Arial" w:cs="Arial"/>
        </w:rPr>
        <w:t xml:space="preserve">  </w:t>
      </w:r>
      <w:r w:rsidRPr="00AB75B4">
        <w:rPr>
          <w:rFonts w:ascii="Arial" w:hAnsi="Arial" w:cs="Arial"/>
        </w:rPr>
        <w:t xml:space="preserve">Security Classification policy and the classification of information. </w:t>
      </w:r>
    </w:p>
    <w:p w14:paraId="79EE8261" w14:textId="630E9CF9" w:rsidR="00AB75B4" w:rsidRPr="00AB75B4" w:rsidRDefault="00200848" w:rsidP="00E121B7">
      <w:pPr>
        <w:pStyle w:val="ListParagraph"/>
        <w:autoSpaceDE w:val="0"/>
        <w:autoSpaceDN w:val="0"/>
        <w:adjustRightInd w:val="0"/>
        <w:spacing w:after="0" w:line="240" w:lineRule="auto"/>
        <w:ind w:left="1276"/>
        <w:jc w:val="both"/>
        <w:rPr>
          <w:rFonts w:ascii="Helvetica Neue" w:hAnsi="Helvetica Neue"/>
          <w:u w:val="single"/>
        </w:rPr>
      </w:pPr>
      <w:hyperlink r:id="rId12" w:history="1">
        <w:r w:rsidR="00E121B7" w:rsidRPr="00A436B5">
          <w:rPr>
            <w:rStyle w:val="Hyperlink"/>
            <w:rFonts w:ascii="Helvetica Neue" w:hAnsi="Helvetica Neue"/>
          </w:rPr>
          <w:t>https://www.gov.uk/government/</w:t>
        </w:r>
        <w:r w:rsidR="00E121B7" w:rsidRPr="00A436B5">
          <w:rPr>
            <w:rStyle w:val="Hyperlink"/>
            <w:rFonts w:ascii="Helvetica Neue" w:hAnsi="Helvetica Neue"/>
          </w:rPr>
          <w:t>p</w:t>
        </w:r>
        <w:r w:rsidR="00E121B7" w:rsidRPr="00A436B5">
          <w:rPr>
            <w:rStyle w:val="Hyperlink"/>
            <w:rFonts w:ascii="Helvetica Neue" w:hAnsi="Helvetica Neue"/>
          </w:rPr>
          <w:t>ublications/government-security-classifications</w:t>
        </w:r>
      </w:hyperlink>
    </w:p>
    <w:p w14:paraId="010F0A0E" w14:textId="77777777" w:rsidR="00C367CF" w:rsidRPr="00AB75B4" w:rsidRDefault="00C367CF" w:rsidP="00C33096">
      <w:pPr>
        <w:pStyle w:val="ListParagraph"/>
        <w:autoSpaceDE w:val="0"/>
        <w:autoSpaceDN w:val="0"/>
        <w:adjustRightInd w:val="0"/>
        <w:spacing w:after="0" w:line="240" w:lineRule="auto"/>
        <w:ind w:left="792" w:hanging="11"/>
        <w:jc w:val="both"/>
        <w:rPr>
          <w:rFonts w:ascii="Helvetica Neue" w:eastAsia="Times New Roman" w:hAnsi="Helvetica Neue"/>
          <w:u w:val="single"/>
        </w:rPr>
      </w:pPr>
    </w:p>
    <w:p w14:paraId="390167AB" w14:textId="523A9E91" w:rsidR="00C367CF" w:rsidRPr="00AB75B4" w:rsidRDefault="00C367CF" w:rsidP="00E121B7">
      <w:pPr>
        <w:pStyle w:val="ListParagraph"/>
        <w:numPr>
          <w:ilvl w:val="0"/>
          <w:numId w:val="35"/>
        </w:numPr>
        <w:autoSpaceDE w:val="0"/>
        <w:autoSpaceDN w:val="0"/>
        <w:adjustRightInd w:val="0"/>
        <w:spacing w:after="0" w:line="240" w:lineRule="auto"/>
        <w:ind w:left="1276" w:hanging="567"/>
        <w:jc w:val="both"/>
        <w:rPr>
          <w:rFonts w:ascii="Helvetica Neue" w:eastAsia="Times New Roman" w:hAnsi="Helvetica Neue"/>
          <w:u w:val="single"/>
        </w:rPr>
      </w:pPr>
      <w:r w:rsidRPr="00AB75B4">
        <w:rPr>
          <w:rFonts w:ascii="Arial" w:hAnsi="Arial" w:cs="Arial"/>
        </w:rPr>
        <w:t xml:space="preserve">The service provider shall explain how they will dispose of/destroy any </w:t>
      </w:r>
      <w:r w:rsidR="00E121B7" w:rsidRPr="00AB75B4">
        <w:rPr>
          <w:rFonts w:ascii="Arial" w:hAnsi="Arial" w:cs="Arial"/>
        </w:rPr>
        <w:t xml:space="preserve">personal </w:t>
      </w:r>
      <w:r w:rsidR="00E121B7">
        <w:rPr>
          <w:rFonts w:ascii="Arial" w:hAnsi="Arial" w:cs="Arial"/>
        </w:rPr>
        <w:t>information</w:t>
      </w:r>
      <w:r w:rsidRPr="00AB75B4">
        <w:rPr>
          <w:rFonts w:ascii="Arial" w:hAnsi="Arial" w:cs="Arial"/>
        </w:rPr>
        <w:t xml:space="preserve"> collected during the life of the contract.</w:t>
      </w:r>
    </w:p>
    <w:p w14:paraId="05F2E7E3" w14:textId="77777777" w:rsidR="00C367CF" w:rsidRDefault="00C367CF" w:rsidP="00C33096">
      <w:pPr>
        <w:autoSpaceDE w:val="0"/>
        <w:autoSpaceDN w:val="0"/>
        <w:adjustRightInd w:val="0"/>
        <w:spacing w:after="0" w:line="240" w:lineRule="auto"/>
        <w:ind w:hanging="11"/>
        <w:jc w:val="both"/>
        <w:rPr>
          <w:rFonts w:ascii="Helvetica Neue" w:eastAsia="Times New Roman" w:hAnsi="Helvetica Neue"/>
          <w:color w:val="1155CC"/>
          <w:u w:val="single"/>
        </w:rPr>
      </w:pPr>
    </w:p>
    <w:p w14:paraId="52B6A975" w14:textId="7ADE3179" w:rsidR="00C367CF" w:rsidRPr="0005297D" w:rsidRDefault="0005297D" w:rsidP="00E121B7">
      <w:pPr>
        <w:pStyle w:val="ListParagraph"/>
        <w:numPr>
          <w:ilvl w:val="0"/>
          <w:numId w:val="35"/>
        </w:numPr>
        <w:ind w:left="1276" w:hanging="567"/>
        <w:jc w:val="both"/>
        <w:rPr>
          <w:rFonts w:ascii="Arial" w:hAnsi="Arial" w:cs="Arial"/>
        </w:rPr>
      </w:pPr>
      <w:r w:rsidRPr="0005297D">
        <w:rPr>
          <w:rFonts w:ascii="Arial" w:hAnsi="Arial" w:cs="Arial"/>
        </w:rPr>
        <w:t>Additionally,</w:t>
      </w:r>
      <w:r w:rsidR="00C367CF" w:rsidRPr="0005297D">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sidRPr="0005297D">
        <w:rPr>
          <w:rFonts w:ascii="Arial" w:hAnsi="Arial" w:cs="Arial"/>
        </w:rPr>
        <w:t>a number of</w:t>
      </w:r>
      <w:proofErr w:type="gramEnd"/>
      <w:r w:rsidR="00C367CF" w:rsidRPr="0005297D">
        <w:rPr>
          <w:rFonts w:ascii="Arial" w:hAnsi="Arial" w:cs="Arial"/>
        </w:rPr>
        <w:t xml:space="preserve"> applicable links for reference. Further guidance can be found on the National Cyber Security Centre’s website.</w:t>
      </w:r>
    </w:p>
    <w:p w14:paraId="5574F097" w14:textId="7DAF3985" w:rsidR="001927EF" w:rsidRPr="001927EF" w:rsidRDefault="0005297D" w:rsidP="001927EF">
      <w:pPr>
        <w:pStyle w:val="NormalWeb"/>
        <w:numPr>
          <w:ilvl w:val="0"/>
          <w:numId w:val="36"/>
        </w:numPr>
        <w:spacing w:after="120"/>
        <w:ind w:left="1276" w:hanging="567"/>
        <w:jc w:val="both"/>
        <w:rPr>
          <w:rFonts w:ascii="Arial" w:hAnsi="Arial" w:cs="Arial"/>
          <w:sz w:val="22"/>
          <w:szCs w:val="22"/>
        </w:rPr>
      </w:pPr>
      <w:r w:rsidRPr="001927EF">
        <w:rPr>
          <w:rFonts w:ascii="Arial" w:hAnsi="Arial" w:cs="Arial"/>
          <w:sz w:val="22"/>
          <w:szCs w:val="22"/>
        </w:rPr>
        <w:lastRenderedPageBreak/>
        <w:t>F</w:t>
      </w:r>
      <w:r w:rsidR="00C367CF" w:rsidRPr="001927EF">
        <w:rPr>
          <w:rFonts w:ascii="Arial" w:hAnsi="Arial" w:cs="Arial"/>
          <w:sz w:val="22"/>
          <w:szCs w:val="22"/>
        </w:rPr>
        <w:t xml:space="preserve">ollowing the </w:t>
      </w:r>
      <w:r w:rsidR="00C367CF" w:rsidRPr="001927EF">
        <w:rPr>
          <w:rFonts w:ascii="Arial" w:eastAsia="Helvetica Neue" w:hAnsi="Arial" w:cs="Arial"/>
          <w:sz w:val="22"/>
          <w:szCs w:val="22"/>
        </w:rPr>
        <w:t>National Cyber Security Centre’s (</w:t>
      </w:r>
      <w:r w:rsidR="00C367CF" w:rsidRPr="001927EF">
        <w:rPr>
          <w:rFonts w:ascii="Arial" w:hAnsi="Arial" w:cs="Arial"/>
          <w:sz w:val="22"/>
          <w:szCs w:val="22"/>
        </w:rPr>
        <w:t xml:space="preserve">NCSC) Secure design principles for digital services: </w:t>
      </w:r>
      <w:hyperlink r:id="rId13" w:history="1">
        <w:r w:rsidR="001927EF" w:rsidRPr="001927EF">
          <w:rPr>
            <w:rStyle w:val="Hyperlink"/>
            <w:rFonts w:ascii="Arial" w:hAnsi="Arial" w:cs="Arial"/>
          </w:rPr>
          <w:t>https://</w:t>
        </w:r>
        <w:r w:rsidR="001927EF" w:rsidRPr="001927EF">
          <w:rPr>
            <w:rStyle w:val="Hyperlink"/>
            <w:rFonts w:ascii="Arial" w:hAnsi="Arial" w:cs="Arial"/>
          </w:rPr>
          <w:t>w</w:t>
        </w:r>
        <w:r w:rsidR="001927EF" w:rsidRPr="001927EF">
          <w:rPr>
            <w:rStyle w:val="Hyperlink"/>
            <w:rFonts w:ascii="Arial" w:hAnsi="Arial" w:cs="Arial"/>
          </w:rPr>
          <w:t>ww.ncsc.gov.uk/collection/security-design-principles-digital-services-main</w:t>
        </w:r>
      </w:hyperlink>
      <w:bookmarkStart w:id="0" w:name="_GoBack"/>
      <w:bookmarkEnd w:id="0"/>
    </w:p>
    <w:p w14:paraId="5A9CF3F2" w14:textId="23E162C8" w:rsidR="00C367CF" w:rsidRPr="00B6527E" w:rsidRDefault="00ED4F8B" w:rsidP="00ED4F8B">
      <w:pPr>
        <w:pStyle w:val="NormalWeb"/>
        <w:numPr>
          <w:ilvl w:val="0"/>
          <w:numId w:val="36"/>
        </w:numPr>
        <w:spacing w:before="0" w:beforeAutospacing="0" w:after="120" w:afterAutospacing="0"/>
        <w:ind w:left="1276" w:hanging="567"/>
        <w:jc w:val="both"/>
        <w:rPr>
          <w:rFonts w:ascii="Arial" w:hAnsi="Arial" w:cs="Arial"/>
          <w:sz w:val="22"/>
          <w:szCs w:val="22"/>
        </w:rPr>
      </w:pPr>
      <w:r>
        <w:rPr>
          <w:rFonts w:ascii="Arial" w:hAnsi="Arial" w:cs="Arial"/>
          <w:sz w:val="22"/>
          <w:szCs w:val="22"/>
        </w:rPr>
        <w:t>E</w:t>
      </w:r>
      <w:r w:rsidR="00C367CF" w:rsidRPr="00B6527E">
        <w:rPr>
          <w:rFonts w:ascii="Arial" w:hAnsi="Arial" w:cs="Arial"/>
          <w:sz w:val="22"/>
          <w:szCs w:val="22"/>
        </w:rPr>
        <w:t>nsuring applications meets Level 2 of the OWASP Application Security Verification Standard:</w:t>
      </w:r>
      <w:r w:rsidR="00AB75B4">
        <w:rPr>
          <w:rFonts w:ascii="Arial" w:hAnsi="Arial" w:cs="Arial"/>
          <w:sz w:val="22"/>
          <w:szCs w:val="22"/>
        </w:rPr>
        <w:t xml:space="preserve"> </w:t>
      </w:r>
      <w:hyperlink r:id="rId14" w:anchor="tab=Downloads" w:history="1">
        <w:r w:rsidR="00AB75B4" w:rsidRPr="00D442F3">
          <w:rPr>
            <w:rStyle w:val="Hyperlink"/>
            <w:rFonts w:ascii="Arial" w:hAnsi="Arial" w:cs="Arial"/>
            <w:sz w:val="22"/>
            <w:szCs w:val="22"/>
          </w:rPr>
          <w:t>https://www</w:t>
        </w:r>
        <w:r w:rsidR="00AB75B4" w:rsidRPr="00D442F3">
          <w:rPr>
            <w:rStyle w:val="Hyperlink"/>
            <w:rFonts w:ascii="Arial" w:hAnsi="Arial" w:cs="Arial"/>
            <w:sz w:val="22"/>
            <w:szCs w:val="22"/>
          </w:rPr>
          <w:t>.</w:t>
        </w:r>
        <w:r w:rsidR="00AB75B4" w:rsidRPr="00D442F3">
          <w:rPr>
            <w:rStyle w:val="Hyperlink"/>
            <w:rFonts w:ascii="Arial" w:hAnsi="Arial" w:cs="Arial"/>
            <w:sz w:val="22"/>
            <w:szCs w:val="22"/>
          </w:rPr>
          <w:t>owasp.o</w:t>
        </w:r>
        <w:r w:rsidR="00AB75B4" w:rsidRPr="00D442F3">
          <w:rPr>
            <w:rStyle w:val="Hyperlink"/>
            <w:rFonts w:ascii="Arial" w:hAnsi="Arial" w:cs="Arial"/>
            <w:sz w:val="22"/>
            <w:szCs w:val="22"/>
          </w:rPr>
          <w:t>r</w:t>
        </w:r>
        <w:r w:rsidR="00AB75B4" w:rsidRPr="00D442F3">
          <w:rPr>
            <w:rStyle w:val="Hyperlink"/>
            <w:rFonts w:ascii="Arial" w:hAnsi="Arial" w:cs="Arial"/>
            <w:sz w:val="22"/>
            <w:szCs w:val="22"/>
          </w:rPr>
          <w:t>g/index.php/Category:OWASP_Application_Security_Verification_Standard_Project#tab=Downloads</w:t>
        </w:r>
      </w:hyperlink>
    </w:p>
    <w:p w14:paraId="52477D8E" w14:textId="023B5B87" w:rsidR="00C367CF" w:rsidRPr="002C571D" w:rsidRDefault="00AB75B4" w:rsidP="00ED4F8B">
      <w:pPr>
        <w:pStyle w:val="NormalWeb"/>
        <w:spacing w:before="0" w:beforeAutospacing="0" w:after="120" w:afterAutospacing="0"/>
        <w:ind w:left="1276" w:hanging="567"/>
        <w:jc w:val="both"/>
        <w:rPr>
          <w:rStyle w:val="Hyperlink"/>
          <w:rFonts w:ascii="Arial" w:hAnsi="Arial" w:cs="Arial"/>
          <w:color w:val="auto"/>
          <w:sz w:val="22"/>
          <w:szCs w:val="22"/>
          <w:u w:val="none"/>
        </w:rPr>
      </w:pPr>
      <w:r>
        <w:rPr>
          <w:rFonts w:ascii="Arial" w:hAnsi="Arial" w:cs="Arial"/>
          <w:sz w:val="22"/>
          <w:szCs w:val="22"/>
        </w:rPr>
        <w:t>h.</w:t>
      </w:r>
      <w:r>
        <w:rPr>
          <w:rFonts w:ascii="Arial" w:hAnsi="Arial" w:cs="Arial"/>
          <w:sz w:val="22"/>
          <w:szCs w:val="22"/>
        </w:rPr>
        <w:tab/>
        <w:t>E</w:t>
      </w:r>
      <w:r w:rsidR="00C367CF" w:rsidRPr="00B6527E">
        <w:rPr>
          <w:rFonts w:ascii="Arial" w:hAnsi="Arial" w:cs="Arial"/>
          <w:sz w:val="22"/>
          <w:szCs w:val="22"/>
        </w:rPr>
        <w:t>nsur</w:t>
      </w:r>
      <w:r w:rsidR="00C367CF">
        <w:rPr>
          <w:rFonts w:ascii="Arial" w:hAnsi="Arial" w:cs="Arial"/>
          <w:sz w:val="22"/>
          <w:szCs w:val="22"/>
        </w:rPr>
        <w:t>ing</w:t>
      </w:r>
      <w:r w:rsidR="00C367CF" w:rsidRPr="00B6527E">
        <w:rPr>
          <w:rFonts w:ascii="Arial" w:hAnsi="Arial" w:cs="Arial"/>
          <w:sz w:val="22"/>
          <w:szCs w:val="22"/>
        </w:rPr>
        <w:t xml:space="preserve"> service administration architectures follow NCSC principles:  </w:t>
      </w:r>
      <w:r w:rsidR="00C367CF">
        <w:rPr>
          <w:rFonts w:ascii="Arial" w:hAnsi="Arial" w:cs="Arial"/>
          <w:sz w:val="22"/>
          <w:szCs w:val="22"/>
        </w:rPr>
        <w:t xml:space="preserve">     </w:t>
      </w:r>
      <w:hyperlink r:id="rId15" w:history="1">
        <w:r w:rsidRPr="00D442F3">
          <w:rPr>
            <w:rStyle w:val="Hyperlink"/>
            <w:rFonts w:ascii="Arial" w:hAnsi="Arial" w:cs="Arial"/>
            <w:sz w:val="22"/>
            <w:szCs w:val="22"/>
          </w:rPr>
          <w:t>https://www.ncsc.gov.uk/</w:t>
        </w:r>
        <w:r w:rsidRPr="00D442F3">
          <w:rPr>
            <w:rStyle w:val="Hyperlink"/>
            <w:rFonts w:ascii="Arial" w:hAnsi="Arial" w:cs="Arial"/>
            <w:sz w:val="22"/>
            <w:szCs w:val="22"/>
          </w:rPr>
          <w:t>g</w:t>
        </w:r>
        <w:r w:rsidRPr="00D442F3">
          <w:rPr>
            <w:rStyle w:val="Hyperlink"/>
            <w:rFonts w:ascii="Arial" w:hAnsi="Arial" w:cs="Arial"/>
            <w:sz w:val="22"/>
            <w:szCs w:val="22"/>
          </w:rPr>
          <w:t>uidance/systems-administration-architectures</w:t>
        </w:r>
      </w:hyperlink>
    </w:p>
    <w:p w14:paraId="31161430" w14:textId="77777777" w:rsidR="00ED4F8B" w:rsidRDefault="00AB75B4" w:rsidP="00ED4F8B">
      <w:pPr>
        <w:autoSpaceDE w:val="0"/>
        <w:autoSpaceDN w:val="0"/>
        <w:adjustRightInd w:val="0"/>
        <w:spacing w:after="0" w:line="240" w:lineRule="auto"/>
        <w:ind w:left="1276" w:hanging="567"/>
        <w:jc w:val="both"/>
        <w:rPr>
          <w:rFonts w:ascii="Arial" w:eastAsia="Helvetica Neue" w:hAnsi="Arial" w:cs="Arial"/>
        </w:rPr>
      </w:pPr>
      <w:proofErr w:type="spellStart"/>
      <w:r>
        <w:rPr>
          <w:rFonts w:ascii="Arial" w:eastAsia="Helvetica Neue" w:hAnsi="Arial" w:cs="Arial"/>
        </w:rPr>
        <w:t>i</w:t>
      </w:r>
      <w:proofErr w:type="spellEnd"/>
      <w:r>
        <w:rPr>
          <w:rFonts w:ascii="Arial" w:eastAsia="Helvetica Neue" w:hAnsi="Arial" w:cs="Arial"/>
        </w:rPr>
        <w:t>.</w:t>
      </w:r>
      <w:r>
        <w:rPr>
          <w:rFonts w:ascii="Arial" w:eastAsia="Helvetica Neue" w:hAnsi="Arial" w:cs="Arial"/>
        </w:rPr>
        <w:tab/>
        <w:t>T</w:t>
      </w:r>
      <w:r w:rsidR="00C367CF" w:rsidRPr="00F02393">
        <w:rPr>
          <w:rFonts w:ascii="Arial" w:eastAsia="Helvetica Neue" w:hAnsi="Arial" w:cs="Arial"/>
        </w:rPr>
        <w:t>he security requirements of cloud services using the NCSC Cloud Security Principles</w:t>
      </w:r>
      <w:r w:rsidR="00ED4F8B">
        <w:rPr>
          <w:rFonts w:ascii="Arial" w:eastAsia="Helvetica Neue" w:hAnsi="Arial" w:cs="Arial"/>
        </w:rPr>
        <w:t xml:space="preserve"> </w:t>
      </w:r>
      <w:r w:rsidR="00C367CF" w:rsidRPr="00F02393">
        <w:rPr>
          <w:rFonts w:ascii="Arial" w:eastAsia="Helvetica Neue" w:hAnsi="Arial" w:cs="Arial"/>
        </w:rPr>
        <w:t xml:space="preserve">and accompanying guidance at </w:t>
      </w:r>
    </w:p>
    <w:p w14:paraId="7105581F" w14:textId="43A0FB42" w:rsidR="008555CE" w:rsidRDefault="00200848" w:rsidP="00171125">
      <w:pPr>
        <w:autoSpaceDE w:val="0"/>
        <w:autoSpaceDN w:val="0"/>
        <w:adjustRightInd w:val="0"/>
        <w:spacing w:after="0" w:line="240" w:lineRule="auto"/>
        <w:ind w:left="1134" w:firstLine="142"/>
        <w:jc w:val="both"/>
        <w:rPr>
          <w:rStyle w:val="Hyperlink"/>
          <w:rFonts w:ascii="Arial" w:eastAsia="Helvetica Neue" w:hAnsi="Arial" w:cs="Arial"/>
          <w:color w:val="1155CC"/>
        </w:rPr>
      </w:pPr>
      <w:hyperlink r:id="rId16" w:history="1">
        <w:r w:rsidR="00171125" w:rsidRPr="00A436B5">
          <w:rPr>
            <w:rStyle w:val="Hyperlink"/>
            <w:rFonts w:ascii="Arial" w:eastAsia="Helvetica Neue" w:hAnsi="Arial" w:cs="Arial"/>
          </w:rPr>
          <w:t>https://www.ncsc.gov.</w:t>
        </w:r>
        <w:r w:rsidR="00171125" w:rsidRPr="00A436B5">
          <w:rPr>
            <w:rStyle w:val="Hyperlink"/>
            <w:rFonts w:ascii="Arial" w:eastAsia="Helvetica Neue" w:hAnsi="Arial" w:cs="Arial"/>
          </w:rPr>
          <w:t>u</w:t>
        </w:r>
        <w:r w:rsidR="00171125" w:rsidRPr="00A436B5">
          <w:rPr>
            <w:rStyle w:val="Hyperlink"/>
            <w:rFonts w:ascii="Arial" w:eastAsia="Helvetica Neue" w:hAnsi="Arial" w:cs="Arial"/>
          </w:rPr>
          <w:t>k/guidance/implementing-cloud-security-principles</w:t>
        </w:r>
      </w:hyperlink>
    </w:p>
    <w:p w14:paraId="7B7050B3" w14:textId="28B471E4" w:rsidR="00ED4F8B" w:rsidRDefault="00ED4F8B" w:rsidP="00ED4F8B">
      <w:pPr>
        <w:autoSpaceDE w:val="0"/>
        <w:autoSpaceDN w:val="0"/>
        <w:adjustRightInd w:val="0"/>
        <w:spacing w:after="0" w:line="240" w:lineRule="auto"/>
        <w:ind w:left="1276" w:hanging="567"/>
        <w:jc w:val="both"/>
        <w:rPr>
          <w:rFonts w:ascii="Helvetica Neue" w:eastAsia="Times New Roman" w:hAnsi="Helvetica Neue"/>
          <w:color w:val="1155CC"/>
          <w:u w:val="single"/>
        </w:rPr>
      </w:pPr>
    </w:p>
    <w:p w14:paraId="57EDDC5D" w14:textId="77777777" w:rsidR="00365031" w:rsidRPr="00365031" w:rsidRDefault="00365031" w:rsidP="00ED4F8B">
      <w:pPr>
        <w:autoSpaceDE w:val="0"/>
        <w:autoSpaceDN w:val="0"/>
        <w:adjustRightInd w:val="0"/>
        <w:spacing w:after="0" w:line="240" w:lineRule="auto"/>
        <w:ind w:left="1276" w:hanging="567"/>
        <w:jc w:val="both"/>
        <w:rPr>
          <w:rFonts w:ascii="Helvetica Neue" w:eastAsia="Times New Roman" w:hAnsi="Helvetica Neue"/>
          <w:color w:val="1155CC"/>
          <w:u w:val="single"/>
        </w:rPr>
      </w:pPr>
    </w:p>
    <w:p w14:paraId="092E5037" w14:textId="77777777" w:rsidR="003257D9" w:rsidRPr="003257D9" w:rsidRDefault="003257D9" w:rsidP="003257D9">
      <w:pPr>
        <w:spacing w:before="120" w:after="120" w:line="240" w:lineRule="auto"/>
        <w:ind w:left="432" w:hanging="432"/>
        <w:jc w:val="both"/>
        <w:outlineLvl w:val="1"/>
        <w:rPr>
          <w:rFonts w:ascii="Arial" w:eastAsia="Calibri" w:hAnsi="Arial" w:cs="Arial"/>
          <w:b/>
          <w:lang w:eastAsia="en-GB"/>
        </w:rPr>
      </w:pPr>
      <w:bookmarkStart w:id="1" w:name="_Toc534793330"/>
      <w:r w:rsidRPr="003257D9">
        <w:rPr>
          <w:rFonts w:ascii="Arial" w:eastAsia="Calibri" w:hAnsi="Arial" w:cs="Arial"/>
          <w:b/>
          <w:lang w:eastAsia="en-GB"/>
        </w:rPr>
        <w:t>Point(s) of Contact</w:t>
      </w:r>
      <w:bookmarkEnd w:id="1"/>
    </w:p>
    <w:p w14:paraId="50C7FA7D" w14:textId="6CF6EC05" w:rsidR="003257D9" w:rsidRPr="003257D9" w:rsidRDefault="003257D9" w:rsidP="00B85D2A">
      <w:pPr>
        <w:pStyle w:val="ListParagraph"/>
        <w:numPr>
          <w:ilvl w:val="0"/>
          <w:numId w:val="40"/>
        </w:numPr>
        <w:spacing w:before="120" w:after="120" w:line="240" w:lineRule="auto"/>
        <w:ind w:hanging="720"/>
        <w:jc w:val="both"/>
        <w:rPr>
          <w:rFonts w:ascii="Arial" w:eastAsia="Calibri" w:hAnsi="Arial" w:cs="Arial"/>
          <w:lang w:eastAsia="en-GB"/>
        </w:rPr>
      </w:pPr>
      <w:r w:rsidRPr="003257D9">
        <w:rPr>
          <w:rFonts w:ascii="Arial" w:eastAsia="Calibri" w:hAnsi="Arial" w:cs="Arial"/>
          <w:lang w:eastAsia="en-GB"/>
        </w:rPr>
        <w:t xml:space="preserve">For the purpose of this procurement exercise, all queries/questions should be directed to </w:t>
      </w:r>
      <w:hyperlink r:id="rId17" w:history="1">
        <w:r w:rsidRPr="003257D9">
          <w:rPr>
            <w:rFonts w:ascii="Arial" w:eastAsia="Calibri" w:hAnsi="Arial" w:cs="Arial"/>
            <w:color w:val="0000FF"/>
            <w:u w:val="single"/>
            <w:lang w:eastAsia="en-GB"/>
          </w:rPr>
          <w:t>contracts@mcga.gov.uk</w:t>
        </w:r>
      </w:hyperlink>
      <w:r w:rsidRPr="003257D9">
        <w:rPr>
          <w:rFonts w:ascii="Arial" w:eastAsia="Calibri" w:hAnsi="Arial" w:cs="Arial"/>
          <w:lang w:eastAsia="en-GB"/>
        </w:rPr>
        <w:t xml:space="preserve"> .</w:t>
      </w:r>
    </w:p>
    <w:p w14:paraId="7711A68A" w14:textId="77777777" w:rsidR="003257D9" w:rsidRPr="008D4855" w:rsidRDefault="003257D9" w:rsidP="008A2449">
      <w:pPr>
        <w:keepLines/>
        <w:numPr>
          <w:ilvl w:val="12"/>
          <w:numId w:val="0"/>
        </w:numPr>
        <w:suppressLineNumbers/>
        <w:suppressAutoHyphens/>
        <w:spacing w:before="120" w:after="0" w:line="240" w:lineRule="auto"/>
        <w:ind w:left="720"/>
        <w:jc w:val="both"/>
        <w:rPr>
          <w:rFonts w:ascii="Arial" w:hAnsi="Arial" w:cs="Arial"/>
        </w:rPr>
      </w:pPr>
    </w:p>
    <w:sectPr w:rsidR="003257D9"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0F568FD"/>
    <w:multiLevelType w:val="hybridMultilevel"/>
    <w:tmpl w:val="F95AA630"/>
    <w:lvl w:ilvl="0" w:tplc="6032DA36">
      <w:start w:val="27"/>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C12E26"/>
    <w:multiLevelType w:val="hybridMultilevel"/>
    <w:tmpl w:val="9278829A"/>
    <w:lvl w:ilvl="0" w:tplc="B9DEF44C">
      <w:start w:val="26"/>
      <w:numFmt w:val="decimal"/>
      <w:lvlText w:val="%1."/>
      <w:lvlJc w:val="left"/>
      <w:pPr>
        <w:ind w:left="644"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B6B7F"/>
    <w:multiLevelType w:val="hybridMultilevel"/>
    <w:tmpl w:val="5D307E0C"/>
    <w:lvl w:ilvl="0" w:tplc="7C240452">
      <w:start w:val="6"/>
      <w:numFmt w:val="lowerLetter"/>
      <w:lvlText w:val="%1."/>
      <w:lvlJc w:val="left"/>
      <w:pPr>
        <w:ind w:left="10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8"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0"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F7DF2"/>
    <w:multiLevelType w:val="multilevel"/>
    <w:tmpl w:val="634A954C"/>
    <w:lvl w:ilvl="0">
      <w:start w:val="1"/>
      <w:numFmt w:val="decimal"/>
      <w:lvlText w:val="%1"/>
      <w:lvlJc w:val="left"/>
      <w:pPr>
        <w:ind w:left="432" w:hanging="432"/>
      </w:pPr>
    </w:lvl>
    <w:lvl w:ilvl="1">
      <w:start w:val="1"/>
      <w:numFmt w:val="decimal"/>
      <w:lvlText w:val="%1.%2"/>
      <w:lvlJc w:val="left"/>
      <w:pPr>
        <w:ind w:left="576" w:hanging="576"/>
      </w:pPr>
      <w:rPr>
        <w:i w:val="0"/>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6"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A830097"/>
    <w:multiLevelType w:val="hybridMultilevel"/>
    <w:tmpl w:val="8E665852"/>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95AAD"/>
    <w:multiLevelType w:val="hybridMultilevel"/>
    <w:tmpl w:val="D7126278"/>
    <w:lvl w:ilvl="0" w:tplc="C530619E">
      <w:start w:val="39"/>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20"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6"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8F0F6E"/>
    <w:multiLevelType w:val="hybridMultilevel"/>
    <w:tmpl w:val="66624A38"/>
    <w:lvl w:ilvl="0" w:tplc="396EAC60">
      <w:start w:val="37"/>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40B7B"/>
    <w:multiLevelType w:val="multilevel"/>
    <w:tmpl w:val="9B1CF228"/>
    <w:numStyleLink w:val="Definitions"/>
  </w:abstractNum>
  <w:abstractNum w:abstractNumId="29"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0"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3"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382EB7"/>
    <w:multiLevelType w:val="hybridMultilevel"/>
    <w:tmpl w:val="52C0F700"/>
    <w:lvl w:ilvl="0" w:tplc="E188E3EA">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29"/>
  </w:num>
  <w:num w:numId="5">
    <w:abstractNumId w:val="25"/>
  </w:num>
  <w:num w:numId="6">
    <w:abstractNumId w:val="24"/>
  </w:num>
  <w:num w:numId="7">
    <w:abstractNumId w:val="33"/>
  </w:num>
  <w:num w:numId="8">
    <w:abstractNumId w:val="37"/>
  </w:num>
  <w:num w:numId="9">
    <w:abstractNumId w:val="21"/>
  </w:num>
  <w:num w:numId="10">
    <w:abstractNumId w:val="31"/>
  </w:num>
  <w:num w:numId="11">
    <w:abstractNumId w:val="11"/>
  </w:num>
  <w:num w:numId="12">
    <w:abstractNumId w:val="22"/>
  </w:num>
  <w:num w:numId="13">
    <w:abstractNumId w:val="20"/>
  </w:num>
  <w:num w:numId="14">
    <w:abstractNumId w:val="35"/>
  </w:num>
  <w:num w:numId="15">
    <w:abstractNumId w:val="2"/>
  </w:num>
  <w:num w:numId="16">
    <w:abstractNumId w:val="23"/>
  </w:num>
  <w:num w:numId="17">
    <w:abstractNumId w:val="0"/>
  </w:num>
  <w:num w:numId="18">
    <w:abstractNumId w:val="8"/>
  </w:num>
  <w:num w:numId="19">
    <w:abstractNumId w:val="30"/>
  </w:num>
  <w:num w:numId="20">
    <w:abstractNumId w:val="6"/>
  </w:num>
  <w:num w:numId="21">
    <w:abstractNumId w:val="14"/>
  </w:num>
  <w:num w:numId="22">
    <w:abstractNumId w:val="13"/>
  </w:num>
  <w:num w:numId="23">
    <w:abstractNumId w:val="34"/>
  </w:num>
  <w:num w:numId="24">
    <w:abstractNumId w:val="10"/>
  </w:num>
  <w:num w:numId="25">
    <w:abstractNumId w:val="36"/>
  </w:num>
  <w:num w:numId="26">
    <w:abstractNumId w:val="5"/>
  </w:num>
  <w:num w:numId="27">
    <w:abstractNumId w:val="39"/>
  </w:num>
  <w:num w:numId="28">
    <w:abstractNumId w:val="19"/>
  </w:num>
  <w:num w:numId="29">
    <w:abstractNumId w:val="32"/>
  </w:num>
  <w:num w:numId="30">
    <w:abstractNumId w:val="38"/>
  </w:num>
  <w:num w:numId="31">
    <w:abstractNumId w:val="26"/>
  </w:num>
  <w:num w:numId="32">
    <w:abstractNumId w:val="9"/>
  </w:num>
  <w:num w:numId="33">
    <w:abstractNumId w:val="28"/>
  </w:num>
  <w:num w:numId="34">
    <w:abstractNumId w:val="3"/>
  </w:num>
  <w:num w:numId="35">
    <w:abstractNumId w:val="17"/>
  </w:num>
  <w:num w:numId="36">
    <w:abstractNumId w:val="4"/>
  </w:num>
  <w:num w:numId="37">
    <w:abstractNumId w:val="1"/>
  </w:num>
  <w:num w:numId="38">
    <w:abstractNumId w:val="12"/>
  </w:num>
  <w:num w:numId="39">
    <w:abstractNumId w:val="2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5187A"/>
    <w:rsid w:val="0005297D"/>
    <w:rsid w:val="00075489"/>
    <w:rsid w:val="00076613"/>
    <w:rsid w:val="00091102"/>
    <w:rsid w:val="000F28F6"/>
    <w:rsid w:val="000F3750"/>
    <w:rsid w:val="00114363"/>
    <w:rsid w:val="00123F3A"/>
    <w:rsid w:val="0016083B"/>
    <w:rsid w:val="00171125"/>
    <w:rsid w:val="00175AF6"/>
    <w:rsid w:val="00182788"/>
    <w:rsid w:val="001839D4"/>
    <w:rsid w:val="001927EF"/>
    <w:rsid w:val="001A1BF8"/>
    <w:rsid w:val="001C2600"/>
    <w:rsid w:val="001D6C07"/>
    <w:rsid w:val="001F2711"/>
    <w:rsid w:val="001F31B3"/>
    <w:rsid w:val="001F3EED"/>
    <w:rsid w:val="00200848"/>
    <w:rsid w:val="00272416"/>
    <w:rsid w:val="00276EF5"/>
    <w:rsid w:val="002B17E4"/>
    <w:rsid w:val="002B4107"/>
    <w:rsid w:val="003141AE"/>
    <w:rsid w:val="00324364"/>
    <w:rsid w:val="003257D9"/>
    <w:rsid w:val="003462C7"/>
    <w:rsid w:val="00352934"/>
    <w:rsid w:val="00365031"/>
    <w:rsid w:val="0038304D"/>
    <w:rsid w:val="003864EF"/>
    <w:rsid w:val="003939C2"/>
    <w:rsid w:val="003B28F9"/>
    <w:rsid w:val="003D33E4"/>
    <w:rsid w:val="0045332B"/>
    <w:rsid w:val="0046146E"/>
    <w:rsid w:val="00462784"/>
    <w:rsid w:val="00463459"/>
    <w:rsid w:val="00473952"/>
    <w:rsid w:val="004C5F27"/>
    <w:rsid w:val="004F2DAE"/>
    <w:rsid w:val="004F5847"/>
    <w:rsid w:val="00526C57"/>
    <w:rsid w:val="00530972"/>
    <w:rsid w:val="00542192"/>
    <w:rsid w:val="005716F8"/>
    <w:rsid w:val="00571DAC"/>
    <w:rsid w:val="0058366D"/>
    <w:rsid w:val="005B715B"/>
    <w:rsid w:val="005D2D9E"/>
    <w:rsid w:val="00600DA5"/>
    <w:rsid w:val="00612C60"/>
    <w:rsid w:val="00613720"/>
    <w:rsid w:val="00664266"/>
    <w:rsid w:val="00672510"/>
    <w:rsid w:val="006819A5"/>
    <w:rsid w:val="006A2AA0"/>
    <w:rsid w:val="006A2F37"/>
    <w:rsid w:val="006C0CBF"/>
    <w:rsid w:val="006C2B6A"/>
    <w:rsid w:val="006D057C"/>
    <w:rsid w:val="006D26B3"/>
    <w:rsid w:val="00711C3B"/>
    <w:rsid w:val="0072570A"/>
    <w:rsid w:val="00740EF7"/>
    <w:rsid w:val="00747486"/>
    <w:rsid w:val="00754830"/>
    <w:rsid w:val="00763A8A"/>
    <w:rsid w:val="007E4C8E"/>
    <w:rsid w:val="007E602F"/>
    <w:rsid w:val="008555CE"/>
    <w:rsid w:val="008A18A0"/>
    <w:rsid w:val="008A2449"/>
    <w:rsid w:val="008C32EF"/>
    <w:rsid w:val="008D4855"/>
    <w:rsid w:val="008E452F"/>
    <w:rsid w:val="008E5471"/>
    <w:rsid w:val="008F090A"/>
    <w:rsid w:val="00901BF1"/>
    <w:rsid w:val="009224D6"/>
    <w:rsid w:val="0096086C"/>
    <w:rsid w:val="00976DA1"/>
    <w:rsid w:val="009B1543"/>
    <w:rsid w:val="009B7C91"/>
    <w:rsid w:val="00A05800"/>
    <w:rsid w:val="00A76ECE"/>
    <w:rsid w:val="00AB1B4D"/>
    <w:rsid w:val="00AB75B4"/>
    <w:rsid w:val="00AE4571"/>
    <w:rsid w:val="00AE5E92"/>
    <w:rsid w:val="00B0023D"/>
    <w:rsid w:val="00B03B80"/>
    <w:rsid w:val="00B362C1"/>
    <w:rsid w:val="00B421AF"/>
    <w:rsid w:val="00B503F9"/>
    <w:rsid w:val="00B85D2A"/>
    <w:rsid w:val="00BC1E64"/>
    <w:rsid w:val="00BC2955"/>
    <w:rsid w:val="00BC5B25"/>
    <w:rsid w:val="00BC5C1E"/>
    <w:rsid w:val="00BD1C0F"/>
    <w:rsid w:val="00BE6703"/>
    <w:rsid w:val="00BF10F1"/>
    <w:rsid w:val="00C33096"/>
    <w:rsid w:val="00C367CF"/>
    <w:rsid w:val="00C40A10"/>
    <w:rsid w:val="00C5322D"/>
    <w:rsid w:val="00C85D8A"/>
    <w:rsid w:val="00C87CCD"/>
    <w:rsid w:val="00CA4F82"/>
    <w:rsid w:val="00CC688D"/>
    <w:rsid w:val="00CE7D49"/>
    <w:rsid w:val="00D37FDF"/>
    <w:rsid w:val="00D56170"/>
    <w:rsid w:val="00D76D88"/>
    <w:rsid w:val="00D802FF"/>
    <w:rsid w:val="00DA05A2"/>
    <w:rsid w:val="00DA7DD0"/>
    <w:rsid w:val="00DF3175"/>
    <w:rsid w:val="00E0738C"/>
    <w:rsid w:val="00E117E3"/>
    <w:rsid w:val="00E121B7"/>
    <w:rsid w:val="00E27958"/>
    <w:rsid w:val="00E50670"/>
    <w:rsid w:val="00EB090C"/>
    <w:rsid w:val="00EC3B94"/>
    <w:rsid w:val="00ED4F8B"/>
    <w:rsid w:val="00EF3C3C"/>
    <w:rsid w:val="00F03D83"/>
    <w:rsid w:val="00F1265D"/>
    <w:rsid w:val="00F14C0F"/>
    <w:rsid w:val="00F2095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E65"/>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nhideWhenUsed/>
    <w:qFormat/>
    <w:rsid w:val="003257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paragraph" w:customStyle="1" w:styleId="MRDefinitions1">
    <w:name w:val="M&amp;R Definitions 1"/>
    <w:aliases w:val="M&amp;Rdef1"/>
    <w:basedOn w:val="Normal"/>
    <w:uiPriority w:val="24"/>
    <w:qFormat/>
    <w:rsid w:val="006C2B6A"/>
    <w:pPr>
      <w:numPr>
        <w:numId w:val="33"/>
      </w:numPr>
      <w:spacing w:before="240" w:after="0" w:line="360" w:lineRule="auto"/>
      <w:jc w:val="both"/>
    </w:pPr>
    <w:rPr>
      <w:rFonts w:ascii="Arial" w:eastAsia="Calibri" w:hAnsi="Arial" w:cs="Arial"/>
      <w:lang w:eastAsia="en-GB"/>
    </w:rPr>
  </w:style>
  <w:style w:type="paragraph" w:customStyle="1" w:styleId="MRDefinitions2">
    <w:name w:val="M&amp;R Definitions 2"/>
    <w:aliases w:val="M&amp;Rdef2"/>
    <w:basedOn w:val="Normal"/>
    <w:uiPriority w:val="24"/>
    <w:qFormat/>
    <w:rsid w:val="006C2B6A"/>
    <w:pPr>
      <w:numPr>
        <w:ilvl w:val="1"/>
        <w:numId w:val="33"/>
      </w:numPr>
      <w:tabs>
        <w:tab w:val="left" w:pos="1440"/>
      </w:tabs>
      <w:spacing w:before="240" w:after="0" w:line="360" w:lineRule="auto"/>
      <w:jc w:val="both"/>
    </w:pPr>
    <w:rPr>
      <w:rFonts w:ascii="Arial" w:eastAsia="Calibri" w:hAnsi="Arial" w:cs="Times New Roman"/>
      <w:lang w:eastAsia="en-GB"/>
    </w:rPr>
  </w:style>
  <w:style w:type="paragraph" w:customStyle="1" w:styleId="MRDefinitions3">
    <w:name w:val="M&amp;R Definitions 3"/>
    <w:aliases w:val="M&amp;Rdef3"/>
    <w:basedOn w:val="Normal"/>
    <w:uiPriority w:val="24"/>
    <w:qFormat/>
    <w:rsid w:val="006C2B6A"/>
    <w:pPr>
      <w:numPr>
        <w:ilvl w:val="2"/>
        <w:numId w:val="33"/>
      </w:numPr>
      <w:tabs>
        <w:tab w:val="left" w:pos="2160"/>
      </w:tabs>
      <w:spacing w:before="240" w:after="0" w:line="360" w:lineRule="auto"/>
      <w:jc w:val="both"/>
    </w:pPr>
    <w:rPr>
      <w:rFonts w:ascii="Arial" w:eastAsia="Calibri" w:hAnsi="Arial" w:cs="Times New Roman"/>
      <w:lang w:eastAsia="en-GB"/>
    </w:rPr>
  </w:style>
  <w:style w:type="paragraph" w:customStyle="1" w:styleId="MRDefinitions4">
    <w:name w:val="M&amp;R Definitions 4"/>
    <w:aliases w:val="M&amp;Rdef4"/>
    <w:basedOn w:val="Normal"/>
    <w:uiPriority w:val="24"/>
    <w:rsid w:val="006C2B6A"/>
    <w:pPr>
      <w:numPr>
        <w:ilvl w:val="3"/>
        <w:numId w:val="33"/>
      </w:numPr>
      <w:tabs>
        <w:tab w:val="left" w:pos="2880"/>
      </w:tabs>
      <w:spacing w:before="240" w:after="0" w:line="360" w:lineRule="auto"/>
      <w:jc w:val="both"/>
    </w:pPr>
    <w:rPr>
      <w:rFonts w:ascii="Arial" w:eastAsia="Calibri" w:hAnsi="Arial" w:cs="Times New Roman"/>
      <w:lang w:eastAsia="en-GB"/>
    </w:rPr>
  </w:style>
  <w:style w:type="paragraph" w:customStyle="1" w:styleId="MRDefinitions5">
    <w:name w:val="M&amp;R Definitions 5"/>
    <w:aliases w:val="M&amp;Rdef5"/>
    <w:basedOn w:val="Normal"/>
    <w:uiPriority w:val="24"/>
    <w:rsid w:val="006C2B6A"/>
    <w:pPr>
      <w:numPr>
        <w:ilvl w:val="4"/>
        <w:numId w:val="33"/>
      </w:numPr>
      <w:tabs>
        <w:tab w:val="left" w:pos="3600"/>
      </w:tabs>
      <w:spacing w:before="240" w:after="0" w:line="360" w:lineRule="auto"/>
      <w:jc w:val="both"/>
    </w:pPr>
    <w:rPr>
      <w:rFonts w:ascii="Arial" w:eastAsia="Calibri" w:hAnsi="Arial" w:cs="Times New Roman"/>
      <w:lang w:eastAsia="en-GB"/>
    </w:rPr>
  </w:style>
  <w:style w:type="numbering" w:customStyle="1" w:styleId="Definitions">
    <w:name w:val="Definitions"/>
    <w:rsid w:val="006C2B6A"/>
    <w:pPr>
      <w:numPr>
        <w:numId w:val="32"/>
      </w:numPr>
    </w:pPr>
  </w:style>
  <w:style w:type="table" w:customStyle="1" w:styleId="TableGrid1">
    <w:name w:val="Table Grid1"/>
    <w:basedOn w:val="TableNormal"/>
    <w:next w:val="TableGrid"/>
    <w:uiPriority w:val="59"/>
    <w:rsid w:val="006D26B3"/>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257D9"/>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ncsc.gov.uk/collection/security-design-principles-digital-services-ma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tracts@mcga.gov.uk" TargetMode="Externa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mailto:contracts@mcga.gov.uk" TargetMode="Externa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government-supplier-assurance-framework" TargetMode="External"/><Relationship Id="rId5" Type="http://schemas.openxmlformats.org/officeDocument/2006/relationships/webSettings" Target="webSettings.xml"/><Relationship Id="rId15" Type="http://schemas.openxmlformats.org/officeDocument/2006/relationships/hyperlink" Target="https://www.ncsc.gov.uk/guidance/systems-administration-architectures" TargetMode="External"/><Relationship Id="rId10" Type="http://schemas.openxmlformats.org/officeDocument/2006/relationships/hyperlink" Target="mailto:supplier@crowncommercial.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racts@mcga.gov.uk" TargetMode="External"/><Relationship Id="rId14" Type="http://schemas.openxmlformats.org/officeDocument/2006/relationships/hyperlink" Target="https://www.owasp.org/index.php/Category:OWASP_Application_Security_Verification_Standard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1287-1A7D-4A2A-8067-6A127848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cp:lastPrinted>2019-03-29T11:25:00Z</cp:lastPrinted>
  <dcterms:created xsi:type="dcterms:W3CDTF">2019-04-24T11:38:00Z</dcterms:created>
  <dcterms:modified xsi:type="dcterms:W3CDTF">2019-04-24T11:38:00Z</dcterms:modified>
</cp:coreProperties>
</file>