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B92DC3" w14:paraId="6657D5B1" w14:textId="77777777" w:rsidTr="00B92DC3">
        <w:tc>
          <w:tcPr>
            <w:tcW w:w="2624" w:type="dxa"/>
          </w:tcPr>
          <w:p w14:paraId="2F585ADF" w14:textId="5D075FCD"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"Applicable Financial Indicators"</w:t>
            </w:r>
          </w:p>
        </w:tc>
        <w:tc>
          <w:tcPr>
            <w:tcW w:w="5456" w:type="dxa"/>
          </w:tcPr>
          <w:p w14:paraId="6BA2F9D8" w14:textId="7C743AB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which are to apply to the Monitored Suppliers as set out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w:t>
            </w:r>
          </w:p>
        </w:tc>
      </w:tr>
      <w:tr w:rsidR="00B92DC3" w14:paraId="2FA00738" w14:textId="77777777" w:rsidTr="00B92DC3">
        <w:tc>
          <w:tcPr>
            <w:tcW w:w="2624" w:type="dxa"/>
          </w:tcPr>
          <w:p w14:paraId="52ADDBD0" w14:textId="3A67D7EF"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Rating Threshold"</w:t>
            </w:r>
          </w:p>
        </w:tc>
        <w:tc>
          <w:tcPr>
            <w:tcW w:w="5456" w:type="dxa"/>
          </w:tcPr>
          <w:p w14:paraId="72D6A5B5" w14:textId="70573737"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0901A7EC" w14:textId="77777777" w:rsidTr="00B92DC3">
        <w:tc>
          <w:tcPr>
            <w:tcW w:w="2624" w:type="dxa"/>
          </w:tcPr>
          <w:p w14:paraId="2941A991" w14:textId="199B7D6B"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Reference Agencies"</w:t>
            </w:r>
          </w:p>
        </w:tc>
        <w:tc>
          <w:tcPr>
            <w:tcW w:w="5456" w:type="dxa"/>
          </w:tcPr>
          <w:p w14:paraId="5712D852" w14:textId="15F62C0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Pr="006C68D3">
              <w:rPr>
                <w:rFonts w:eastAsia="Arial"/>
                <w:color w:val="000000"/>
                <w:szCs w:val="24"/>
              </w:rPr>
              <w:fldChar w:fldCharType="begin"/>
            </w:r>
            <w:r w:rsidRPr="006C68D3">
              <w:rPr>
                <w:rFonts w:eastAsia="Arial"/>
                <w:color w:val="000000"/>
                <w:szCs w:val="24"/>
              </w:rPr>
              <w:instrText xml:space="preserve"> REF Ann1_Part_B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r w:rsidR="00B92DC3" w14:paraId="33616F00" w14:textId="77777777" w:rsidTr="00B92DC3">
        <w:tc>
          <w:tcPr>
            <w:tcW w:w="2624" w:type="dxa"/>
          </w:tcPr>
          <w:p w14:paraId="1F93ABF4" w14:textId="1DF4EAE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w:t>
            </w:r>
          </w:p>
        </w:tc>
        <w:tc>
          <w:tcPr>
            <w:tcW w:w="5456" w:type="dxa"/>
          </w:tcPr>
          <w:p w14:paraId="7F387159" w14:textId="21BA831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which triggers a Credit Score Notification Trigger Event;</w:t>
            </w:r>
          </w:p>
        </w:tc>
      </w:tr>
      <w:tr w:rsidR="00B92DC3" w14:paraId="5B5E244C" w14:textId="77777777" w:rsidTr="00B92DC3">
        <w:tc>
          <w:tcPr>
            <w:tcW w:w="2624" w:type="dxa"/>
          </w:tcPr>
          <w:p w14:paraId="3BEC1CA8" w14:textId="4DF8960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 Event"</w:t>
            </w:r>
          </w:p>
        </w:tc>
        <w:tc>
          <w:tcPr>
            <w:tcW w:w="5456" w:type="dxa"/>
          </w:tcPr>
          <w:p w14:paraId="6C1421B6" w14:textId="1B6E892B"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B92DC3" w14:paraId="310F5226" w14:textId="77777777" w:rsidTr="00B92DC3">
        <w:tc>
          <w:tcPr>
            <w:tcW w:w="2624" w:type="dxa"/>
          </w:tcPr>
          <w:p w14:paraId="45A36814" w14:textId="7DBF4D40"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Threshold"</w:t>
            </w:r>
          </w:p>
        </w:tc>
        <w:tc>
          <w:tcPr>
            <w:tcW w:w="5456" w:type="dxa"/>
          </w:tcPr>
          <w:p w14:paraId="28DC9365" w14:textId="7D2E53F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3D2BBE37" w14:textId="77777777" w:rsidTr="00B92DC3">
        <w:tc>
          <w:tcPr>
            <w:tcW w:w="2624" w:type="dxa"/>
          </w:tcPr>
          <w:p w14:paraId="23F2E39E" w14:textId="5F09A955" w:rsidR="00B92DC3" w:rsidRDefault="00B92DC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"Financial Distress Service Continuity Plan"</w:t>
            </w:r>
          </w:p>
          <w:p w14:paraId="45FEDD66" w14:textId="77777777" w:rsidR="00B92DC3" w:rsidRPr="006C68D3" w:rsidRDefault="00B92DC3" w:rsidP="006C68D3">
            <w:pPr>
              <w:rPr>
                <w:rFonts w:eastAsia="Arial"/>
                <w:szCs w:val="24"/>
              </w:rPr>
            </w:pPr>
          </w:p>
          <w:p w14:paraId="255003FE" w14:textId="77777777" w:rsidR="00B92DC3" w:rsidRPr="006C68D3" w:rsidRDefault="00B92DC3" w:rsidP="006C68D3">
            <w:pPr>
              <w:rPr>
                <w:rFonts w:eastAsia="Arial"/>
                <w:szCs w:val="24"/>
              </w:rPr>
            </w:pPr>
          </w:p>
          <w:p w14:paraId="21959DEA" w14:textId="77777777" w:rsidR="00B92DC3" w:rsidRDefault="00B92DC3" w:rsidP="006C68D3">
            <w:pPr>
              <w:rPr>
                <w:rFonts w:eastAsia="Arial"/>
                <w:b/>
                <w:color w:val="000000"/>
                <w:szCs w:val="24"/>
              </w:rPr>
            </w:pPr>
          </w:p>
          <w:p w14:paraId="0B686366" w14:textId="77777777" w:rsidR="00B92DC3" w:rsidRDefault="00B92DC3" w:rsidP="006C68D3">
            <w:pPr>
              <w:rPr>
                <w:rFonts w:eastAsia="Arial"/>
                <w:b/>
                <w:color w:val="000000"/>
                <w:szCs w:val="24"/>
              </w:rPr>
            </w:pPr>
          </w:p>
          <w:p w14:paraId="33CF4815" w14:textId="03D7DDE6" w:rsidR="00B92DC3" w:rsidRPr="006C68D3" w:rsidRDefault="00B92DC3" w:rsidP="006C68D3">
            <w:pPr>
              <w:jc w:val="right"/>
              <w:rPr>
                <w:rFonts w:eastAsia="Arial"/>
                <w:szCs w:val="24"/>
              </w:rPr>
            </w:pPr>
          </w:p>
        </w:tc>
        <w:tc>
          <w:tcPr>
            <w:tcW w:w="5456" w:type="dxa"/>
          </w:tcPr>
          <w:p w14:paraId="320D2406" w14:textId="7326FABE"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 plan setting out how the Supplier will ensure the continued performance and delivery of the Deliverables in accordance with this Contract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B92DC3" w14:paraId="020C1CB2" w14:textId="77777777" w:rsidTr="00B92DC3">
        <w:tc>
          <w:tcPr>
            <w:tcW w:w="2624" w:type="dxa"/>
          </w:tcPr>
          <w:p w14:paraId="522D1B1F" w14:textId="0D75A16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Indicators"</w:t>
            </w:r>
          </w:p>
        </w:tc>
        <w:tc>
          <w:tcPr>
            <w:tcW w:w="5456" w:type="dxa"/>
          </w:tcPr>
          <w:p w14:paraId="2776579E" w14:textId="478949A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B92DC3" w14:paraId="7B6176C9" w14:textId="77777777" w:rsidTr="00B92DC3">
        <w:tc>
          <w:tcPr>
            <w:tcW w:w="2624" w:type="dxa"/>
          </w:tcPr>
          <w:p w14:paraId="25B59967" w14:textId="708ECC52"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Target Thresholds"</w:t>
            </w:r>
          </w:p>
        </w:tc>
        <w:tc>
          <w:tcPr>
            <w:tcW w:w="5456" w:type="dxa"/>
          </w:tcPr>
          <w:p w14:paraId="42CADBDD" w14:textId="08B299C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w:t>
            </w:r>
          </w:p>
        </w:tc>
      </w:tr>
      <w:tr w:rsidR="00B92DC3" w14:paraId="675A1961" w14:textId="77777777" w:rsidTr="00B92DC3">
        <w:tc>
          <w:tcPr>
            <w:tcW w:w="2624" w:type="dxa"/>
          </w:tcPr>
          <w:p w14:paraId="6517047D" w14:textId="52C75C56"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"Primary Metric"</w:t>
            </w:r>
          </w:p>
        </w:tc>
        <w:tc>
          <w:tcPr>
            <w:tcW w:w="5456" w:type="dxa"/>
          </w:tcPr>
          <w:p w14:paraId="01099307" w14:textId="2A8CE43C" w:rsidR="00B92DC3" w:rsidRP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Pr>
                <w:rFonts w:eastAsia="Arial"/>
                <w:color w:val="000000"/>
                <w:szCs w:val="24"/>
              </w:rPr>
              <w:fldChar w:fldCharType="begin"/>
            </w:r>
            <w:r>
              <w:rPr>
                <w:rFonts w:eastAsia="Arial"/>
                <w:color w:val="000000"/>
                <w:szCs w:val="24"/>
              </w:rPr>
              <w:instrText xml:space="preserve"> REF _Ref141086653 \n \h </w:instrText>
            </w:r>
            <w:r>
              <w:rPr>
                <w:rFonts w:eastAsia="Arial"/>
                <w:color w:val="000000"/>
                <w:szCs w:val="24"/>
              </w:rPr>
            </w:r>
            <w:r>
              <w:rPr>
                <w:rFonts w:eastAsia="Arial"/>
                <w:color w:val="000000"/>
                <w:szCs w:val="24"/>
              </w:rPr>
              <w:fldChar w:fldCharType="separate"/>
            </w:r>
            <w:r>
              <w:rPr>
                <w:rFonts w:eastAsia="Arial"/>
                <w:color w:val="000000"/>
                <w:szCs w:val="24"/>
              </w:rPr>
              <w:t>3.3</w:t>
            </w:r>
            <w:r>
              <w:rPr>
                <w:rFonts w:eastAsia="Arial"/>
                <w:color w:val="000000"/>
                <w:szCs w:val="24"/>
              </w:rPr>
              <w:fldChar w:fldCharType="end"/>
            </w:r>
          </w:p>
        </w:tc>
      </w:tr>
      <w:tr w:rsidR="00B92DC3" w14:paraId="5801AE02" w14:textId="77777777" w:rsidTr="00B92DC3">
        <w:tc>
          <w:tcPr>
            <w:tcW w:w="2624" w:type="dxa"/>
          </w:tcPr>
          <w:p w14:paraId="068C9408" w14:textId="4DE0AC29"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"Monitored Supplier"</w:t>
            </w:r>
          </w:p>
        </w:tc>
        <w:tc>
          <w:tcPr>
            <w:tcW w:w="5456" w:type="dxa"/>
          </w:tcPr>
          <w:p w14:paraId="5A17A429" w14:textId="34A7CBE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 and</w:t>
            </w:r>
          </w:p>
        </w:tc>
      </w:tr>
      <w:tr w:rsidR="00B92DC3" w14:paraId="3A4E0314" w14:textId="77777777" w:rsidTr="00B92DC3">
        <w:tc>
          <w:tcPr>
            <w:tcW w:w="2624" w:type="dxa"/>
          </w:tcPr>
          <w:p w14:paraId="537D58E5" w14:textId="50917E1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"Rating Agencies"</w:t>
            </w:r>
          </w:p>
        </w:tc>
        <w:tc>
          <w:tcPr>
            <w:tcW w:w="5456" w:type="dxa"/>
          </w:tcPr>
          <w:p w14:paraId="0AC81EB0" w14:textId="7DAD12A5"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Pr="006C68D3">
              <w:rPr>
                <w:rFonts w:eastAsia="Arial"/>
                <w:color w:val="000000"/>
                <w:szCs w:val="24"/>
              </w:rPr>
              <w:fldChar w:fldCharType="begin"/>
            </w:r>
            <w:r w:rsidRPr="006C68D3">
              <w:rPr>
                <w:rFonts w:eastAsia="Arial"/>
                <w:color w:val="000000"/>
                <w:szCs w:val="24"/>
              </w:rPr>
              <w:instrText xml:space="preserve"> REF Ann1_Part_A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notify (or shall procure that its auditors promptly notify) the Buyer in writing if there is any Credit Score Notification Trigger 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w:t>
      </w:r>
      <w:r w:rsidRPr="006C68D3">
        <w:rPr>
          <w:rFonts w:eastAsia="Calibri"/>
          <w:color w:val="000000"/>
          <w:szCs w:val="24"/>
        </w:rPr>
        <w:lastRenderedPageBreak/>
        <w:t>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3E1A10" w:rsidP="002238CF">
      <w:pPr>
        <w:pBdr>
          <w:top w:val="nil"/>
          <w:left w:val="nil"/>
          <w:bottom w:val="nil"/>
          <w:right w:val="nil"/>
          <w:between w:val="nil"/>
        </w:pBdr>
        <w:spacing w:before="120" w:after="120"/>
        <w:ind w:left="907" w:firstLine="20"/>
        <w:jc w:val="left"/>
        <w:rPr>
          <w:rFonts w:eastAsia="Calibri"/>
          <w:color w:val="000000"/>
          <w:szCs w:val="24"/>
        </w:rPr>
      </w:pPr>
      <w:hyperlink r:id="rId8">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be a single report with separate sections for each of the FDE Group entities;</w:t>
      </w:r>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contain a sufficient level of information to enable the Buyer to verify the calculations that have been made in respect of the Financial Indicators;</w:t>
      </w:r>
    </w:p>
    <w:p w14:paraId="76E28BBB" w14:textId="14A5990C"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include key financial and other supporting information (including </w:t>
      </w:r>
      <w:r w:rsidRPr="009D0F54">
        <w:rPr>
          <w:rFonts w:eastAsia="Calibri"/>
          <w:color w:val="000000"/>
          <w:szCs w:val="24"/>
        </w:rPr>
        <w:t>any accounts data that has been relied on) as separate annexes; and</w:t>
      </w:r>
    </w:p>
    <w:p w14:paraId="6C178D27" w14:textId="7498134F"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009D0F54" w:rsidRPr="009D0F54">
        <w:rPr>
          <w:rFonts w:eastAsia="Calibri"/>
          <w:color w:val="000000"/>
          <w:szCs w:val="24"/>
        </w:rPr>
        <w:t xml:space="preserve">. </w:t>
      </w:r>
      <w:r w:rsidRPr="009D0F54">
        <w:rPr>
          <w:rFonts w:eastAsia="Calibri"/>
          <w:color w:val="000000"/>
          <w:szCs w:val="24"/>
        </w:rPr>
        <w:t>and</w:t>
      </w:r>
    </w:p>
    <w:p w14:paraId="5E8EF3B2" w14:textId="0929BB82"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w:t>
      </w:r>
      <w:r w:rsidRPr="006C68D3">
        <w:rPr>
          <w:rFonts w:eastAsia="Calibri"/>
          <w:color w:val="000000"/>
          <w:szCs w:val="24"/>
        </w:rPr>
        <w:lastRenderedPageBreak/>
        <w:t>Group entity shall be deemed to have dropped below the applicable Financial Target Threshold if:</w:t>
      </w:r>
      <w:bookmarkEnd w:id="13"/>
    </w:p>
    <w:p w14:paraId="6FF466A1" w14:textId="045F62D5"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What happens if there is a financial distress event</w:t>
      </w:r>
      <w:bookmarkEnd w:id="15"/>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49B3C565" w14:textId="09750334" w:rsidR="00A731E1" w:rsidRPr="006C68D3" w:rsidRDefault="00043197">
      <w:pPr>
        <w:pBdr>
          <w:top w:val="nil"/>
          <w:left w:val="nil"/>
          <w:bottom w:val="nil"/>
          <w:right w:val="nil"/>
          <w:between w:val="nil"/>
        </w:pBdr>
        <w:tabs>
          <w:tab w:val="left" w:pos="1134"/>
        </w:tabs>
        <w:spacing w:before="120" w:after="120"/>
        <w:ind w:left="357"/>
        <w:jc w:val="left"/>
        <w:rPr>
          <w:rFonts w:eastAsia="Arial"/>
          <w:color w:val="000000"/>
          <w:szCs w:val="24"/>
        </w:rPr>
      </w:pPr>
      <w:bookmarkStart w:id="18" w:name="_heading=h.tyjcwt" w:colFirst="0" w:colLast="0"/>
      <w:bookmarkEnd w:id="18"/>
      <w:r w:rsidRPr="006C68D3">
        <w:rPr>
          <w:rFonts w:eastAsia="Arial"/>
          <w:b/>
          <w:color w:val="000000"/>
          <w:szCs w:val="24"/>
          <w:highlight w:val="yellow"/>
        </w:rPr>
        <w:t>[</w:t>
      </w:r>
      <w:r w:rsidRPr="006C68D3">
        <w:rPr>
          <w:rFonts w:eastAsia="Arial"/>
          <w:b/>
          <w:i/>
          <w:color w:val="000000"/>
          <w:szCs w:val="24"/>
          <w:highlight w:val="yellow"/>
        </w:rPr>
        <w:t xml:space="preserve">Guidance: replace Paragraph </w:t>
      </w:r>
      <w:r w:rsidR="002238CF">
        <w:rPr>
          <w:rFonts w:eastAsia="Arial"/>
          <w:b/>
          <w:i/>
          <w:color w:val="000000"/>
          <w:szCs w:val="24"/>
          <w:highlight w:val="yellow"/>
        </w:rPr>
        <w:fldChar w:fldCharType="begin"/>
      </w:r>
      <w:r w:rsidR="002238CF">
        <w:rPr>
          <w:rFonts w:eastAsia="Arial"/>
          <w:b/>
          <w:i/>
          <w:color w:val="000000"/>
          <w:szCs w:val="24"/>
          <w:highlight w:val="yellow"/>
        </w:rPr>
        <w:instrText xml:space="preserve"> REF _Ref141087134 \n \h </w:instrText>
      </w:r>
      <w:r w:rsidR="002238CF">
        <w:rPr>
          <w:rFonts w:eastAsia="Arial"/>
          <w:b/>
          <w:i/>
          <w:color w:val="000000"/>
          <w:szCs w:val="24"/>
          <w:highlight w:val="yellow"/>
        </w:rPr>
      </w:r>
      <w:r w:rsidR="002238CF">
        <w:rPr>
          <w:rFonts w:eastAsia="Arial"/>
          <w:b/>
          <w:i/>
          <w:color w:val="000000"/>
          <w:szCs w:val="24"/>
          <w:highlight w:val="yellow"/>
        </w:rPr>
        <w:fldChar w:fldCharType="separate"/>
      </w:r>
      <w:r w:rsidR="006772B1">
        <w:rPr>
          <w:rFonts w:eastAsia="Arial"/>
          <w:b/>
          <w:i/>
          <w:color w:val="000000"/>
          <w:szCs w:val="24"/>
          <w:highlight w:val="yellow"/>
        </w:rPr>
        <w:t>6.3</w:t>
      </w:r>
      <w:r w:rsidR="002238CF">
        <w:rPr>
          <w:rFonts w:eastAsia="Arial"/>
          <w:b/>
          <w:i/>
          <w:color w:val="000000"/>
          <w:szCs w:val="24"/>
          <w:highlight w:val="yellow"/>
        </w:rPr>
        <w:fldChar w:fldCharType="end"/>
      </w:r>
      <w:r w:rsidR="002238CF">
        <w:rPr>
          <w:rFonts w:eastAsia="Arial"/>
          <w:b/>
          <w:i/>
          <w:color w:val="000000"/>
          <w:szCs w:val="24"/>
          <w:highlight w:val="yellow"/>
        </w:rPr>
        <w:t xml:space="preserve"> </w:t>
      </w:r>
      <w:r w:rsidRPr="006C68D3">
        <w:rPr>
          <w:rFonts w:eastAsia="Arial"/>
          <w:b/>
          <w:i/>
          <w:color w:val="000000"/>
          <w:szCs w:val="24"/>
          <w:highlight w:val="yellow"/>
        </w:rPr>
        <w:t xml:space="preserve">with </w:t>
      </w:r>
      <w:r w:rsidR="006C68D3" w:rsidRPr="006C68D3">
        <w:rPr>
          <w:rFonts w:eastAsia="Arial"/>
          <w:b/>
          <w:i/>
          <w:color w:val="000000"/>
          <w:szCs w:val="24"/>
          <w:highlight w:val="yellow"/>
        </w:rPr>
        <w:t>"</w:t>
      </w:r>
      <w:r w:rsidRPr="006C68D3">
        <w:rPr>
          <w:rFonts w:eastAsia="Arial"/>
          <w:b/>
          <w:i/>
          <w:color w:val="000000"/>
          <w:szCs w:val="24"/>
          <w:highlight w:val="yellow"/>
        </w:rPr>
        <w:t>NOT USED</w:t>
      </w:r>
      <w:r w:rsidR="006C68D3" w:rsidRPr="006C68D3">
        <w:rPr>
          <w:rFonts w:eastAsia="Arial"/>
          <w:b/>
          <w:i/>
          <w:color w:val="000000"/>
          <w:szCs w:val="24"/>
          <w:highlight w:val="yellow"/>
        </w:rPr>
        <w:t>"</w:t>
      </w:r>
      <w:r w:rsidRPr="006C68D3">
        <w:rPr>
          <w:rFonts w:eastAsia="Arial"/>
          <w:b/>
          <w:i/>
          <w:color w:val="000000"/>
          <w:szCs w:val="24"/>
          <w:highlight w:val="yellow"/>
        </w:rPr>
        <w:t xml:space="preserve"> if there are no Key Subcontractors or the Key Subcontractors are not</w:t>
      </w:r>
      <w:bookmarkStart w:id="19" w:name="bookmark=id.3dy6vkm" w:colFirst="0" w:colLast="0"/>
      <w:bookmarkEnd w:id="19"/>
      <w:r w:rsidRPr="006C68D3">
        <w:rPr>
          <w:rFonts w:eastAsia="Arial"/>
          <w:b/>
          <w:i/>
          <w:color w:val="000000"/>
          <w:szCs w:val="24"/>
          <w:highlight w:val="yellow"/>
        </w:rPr>
        <w:t xml:space="preserve"> Monitored Suppliers</w:t>
      </w:r>
      <w:r w:rsidRPr="006C68D3">
        <w:rPr>
          <w:rFonts w:eastAsia="Arial"/>
          <w:color w:val="000000"/>
          <w:szCs w:val="24"/>
        </w:rPr>
        <w:t>]</w:t>
      </w:r>
    </w:p>
    <w:p w14:paraId="10A87E66" w14:textId="5F844C51"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0" w:name="_Ref141087134"/>
      <w:r w:rsidRPr="006C68D3">
        <w:rPr>
          <w:rFonts w:eastAsia="Calibri"/>
          <w:color w:val="000000"/>
          <w:szCs w:val="24"/>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without first giving the Supplier ten (10) Working Days to:</w:t>
      </w:r>
      <w:bookmarkEnd w:id="20"/>
    </w:p>
    <w:p w14:paraId="2B05C63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rectify such late or non-payment; or </w:t>
      </w:r>
    </w:p>
    <w:p w14:paraId="179186BE"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demonstrate to the Buyer's reasonable satisfaction that there is a valid reason for late or non-payment.]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1" w:name="_heading=h.1t3h5sf" w:colFirst="0" w:colLast="0"/>
      <w:bookmarkStart w:id="22" w:name="_Ref141087122"/>
      <w:bookmarkEnd w:id="21"/>
      <w:r w:rsidRPr="006C68D3">
        <w:rPr>
          <w:rFonts w:eastAsia="Calibri"/>
          <w:color w:val="000000"/>
          <w:szCs w:val="24"/>
        </w:rPr>
        <w:t>The Supplier shall (and shall procure that each Additional FDE Group Member shall):</w:t>
      </w:r>
      <w:bookmarkEnd w:id="22"/>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4d34og8" w:colFirst="0" w:colLast="0"/>
      <w:bookmarkStart w:id="24" w:name="_Ref141087182"/>
      <w:bookmarkEnd w:id="23"/>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4"/>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5" w:name="_heading=h.2s8eyo1" w:colFirst="0" w:colLast="0"/>
      <w:bookmarkEnd w:id="25"/>
      <w:r w:rsidRPr="006C68D3">
        <w:rPr>
          <w:rFonts w:eastAsia="Calibri"/>
          <w:color w:val="000000"/>
          <w:szCs w:val="24"/>
        </w:rPr>
        <w:lastRenderedPageBreak/>
        <w:t>where the Buyer reasonably believes (</w:t>
      </w:r>
      <w:proofErr w:type="gramStart"/>
      <w:r w:rsidRPr="006C68D3">
        <w:rPr>
          <w:rFonts w:eastAsia="Calibri"/>
          <w:color w:val="000000"/>
          <w:szCs w:val="24"/>
        </w:rPr>
        <w:t>taking into account</w:t>
      </w:r>
      <w:proofErr w:type="gramEnd"/>
      <w:r w:rsidRPr="006C68D3">
        <w:rPr>
          <w:rFonts w:eastAsia="Calibri"/>
          <w:color w:val="000000"/>
          <w:szCs w:val="24"/>
        </w:rPr>
        <w:t xml:space="preserve">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 xml:space="preserve">submit to the Buyer for its Approval, a draft Financial Distress Service Continuity Plan as soon as reasonably practicable (and in any event, within ten (10) Working Days of the initial notification (or awareness) of the Financial Distress Event);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use reasonable endeavours to put in place the necessary measures with each Additional FDE Group Member to ensure that it is able to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6" w:name="_heading=h.17dp8vu" w:colFirst="0" w:colLast="0"/>
      <w:bookmarkStart w:id="27" w:name="_Ref141087374"/>
      <w:bookmarkEnd w:id="26"/>
      <w:r w:rsidRPr="006C68D3">
        <w:rPr>
          <w:rFonts w:eastAsia="Calibri"/>
          <w:color w:val="000000"/>
          <w:szCs w:val="24"/>
        </w:rPr>
        <w:t>provide such financial information relating to FDE Group entity as the Buyer may reasonably require.</w:t>
      </w:r>
      <w:bookmarkEnd w:id="27"/>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8" w:name="_heading=h.3rdcrjn" w:colFirst="0" w:colLast="0"/>
      <w:bookmarkStart w:id="29" w:name="_Ref141087221"/>
      <w:bookmarkEnd w:id="28"/>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9"/>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Approved;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1pxezwc" w:colFirst="0" w:colLast="0"/>
      <w:bookmarkStart w:id="31" w:name="_Ref141087280"/>
      <w:bookmarkEnd w:id="30"/>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1"/>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2" w:name="_heading=h.49x2ik5" w:colFirst="0" w:colLast="0"/>
      <w:bookmarkStart w:id="33" w:name="_Ref141087274"/>
      <w:bookmarkEnd w:id="32"/>
      <w:r w:rsidRPr="006C68D3">
        <w:rPr>
          <w:rFonts w:eastAsia="Calibri"/>
          <w:color w:val="000000"/>
          <w:szCs w:val="24"/>
        </w:rPr>
        <w:t>finally rejected by the Buyer.</w:t>
      </w:r>
      <w:bookmarkEnd w:id="33"/>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4" w:name="_heading=h.lnxbz9" w:colFirst="0" w:colLast="0"/>
      <w:bookmarkStart w:id="35" w:name="_Ref141087127"/>
      <w:bookmarkEnd w:id="34"/>
      <w:r w:rsidRPr="006C68D3">
        <w:rPr>
          <w:rFonts w:eastAsia="Calibri"/>
          <w:color w:val="000000"/>
          <w:szCs w:val="24"/>
        </w:rPr>
        <w:t>Following Approval of the Financial Distress Service Continuity Plan by the Buyer, the Supplier shall:</w:t>
      </w:r>
      <w:bookmarkEnd w:id="35"/>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35nkun2" w:colFirst="0" w:colLast="0"/>
      <w:bookmarkStart w:id="37" w:name="_Ref141087211"/>
      <w:bookmarkEnd w:id="36"/>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7"/>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the </w:t>
      </w:r>
      <w:proofErr w:type="gramStart"/>
      <w:r w:rsidRPr="006C68D3">
        <w:rPr>
          <w:rFonts w:eastAsia="Calibri"/>
          <w:color w:val="000000"/>
          <w:szCs w:val="24"/>
        </w:rPr>
        <w:t>Buyer;</w:t>
      </w:r>
      <w:proofErr w:type="gramEnd"/>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1ksv4uv" w:colFirst="0" w:colLast="0"/>
      <w:bookmarkEnd w:id="38"/>
      <w:r w:rsidRPr="006C68D3">
        <w:rPr>
          <w:rFonts w:eastAsia="Calibri"/>
          <w:color w:val="000000"/>
          <w:szCs w:val="24"/>
        </w:rPr>
        <w:lastRenderedPageBreak/>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9" w:name="_heading=h.44sinio" w:colFirst="0" w:colLast="0"/>
      <w:bookmarkStart w:id="40" w:name="_Ref141087302"/>
      <w:bookmarkEnd w:id="39"/>
      <w:r w:rsidRPr="006C68D3">
        <w:rPr>
          <w:rFonts w:eastAsia="Calibri"/>
          <w:color w:val="000000"/>
          <w:szCs w:val="24"/>
        </w:rPr>
        <w:t>comply with the Financial Distress Service Continuity Plan (including any updated Financial Distress Service Continuity Plan).</w:t>
      </w:r>
      <w:bookmarkEnd w:id="40"/>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1" w:name="_heading=h.2jxsxqh" w:colFirst="0" w:colLast="0"/>
      <w:bookmarkEnd w:id="41"/>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2" w:name="_heading=h.2p2csry" w:colFirst="0" w:colLast="0"/>
      <w:bookmarkEnd w:id="42"/>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3" w:name="_heading=h.z337ya" w:colFirst="0" w:colLast="0"/>
      <w:bookmarkEnd w:id="43"/>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4" w:name="_heading=h.147n2zr" w:colFirst="0" w:colLast="0"/>
      <w:bookmarkStart w:id="45" w:name="_Ref141087328"/>
      <w:bookmarkEnd w:id="44"/>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5"/>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6" w:name="_heading=h.3o7alnk" w:colFirst="0" w:colLast="0"/>
      <w:bookmarkStart w:id="47" w:name="_Ref141087270"/>
      <w:bookmarkEnd w:id="46"/>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7"/>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8" w:name="_heading=h.3j2qqm3" w:colFirst="0" w:colLast="0"/>
      <w:bookmarkStart w:id="49" w:name="_Ref141086670"/>
      <w:bookmarkEnd w:id="48"/>
      <w:r w:rsidRPr="006C68D3">
        <w:rPr>
          <w:rFonts w:eastAsia="Calibri"/>
          <w:b/>
          <w:color w:val="000000"/>
          <w:szCs w:val="24"/>
        </w:rPr>
        <w:lastRenderedPageBreak/>
        <w:t xml:space="preserve">What happens If your Primary Metric is still </w:t>
      </w:r>
      <w:proofErr w:type="gramStart"/>
      <w:r w:rsidRPr="006C68D3">
        <w:rPr>
          <w:rFonts w:eastAsia="Calibri"/>
          <w:b/>
          <w:color w:val="000000"/>
          <w:szCs w:val="24"/>
        </w:rPr>
        <w:t>good</w:t>
      </w:r>
      <w:bookmarkEnd w:id="49"/>
      <w:proofErr w:type="gramEnd"/>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xml:space="preserve">, if, following the occurrence of a Financial Distress Event, the Supplier </w:t>
      </w:r>
      <w:proofErr w:type="gramStart"/>
      <w:r w:rsidRPr="006C68D3">
        <w:rPr>
          <w:rFonts w:eastAsia="Calibri"/>
          <w:color w:val="000000"/>
          <w:szCs w:val="24"/>
        </w:rPr>
        <w:t>evidences</w:t>
      </w:r>
      <w:proofErr w:type="gramEnd"/>
      <w:r w:rsidRPr="006C68D3">
        <w:rPr>
          <w:rFonts w:eastAsia="Calibri"/>
          <w:color w:val="000000"/>
          <w:szCs w:val="24"/>
        </w:rPr>
        <w:t xml:space="preserve">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50" w:name="_heading=h.1y810tw" w:colFirst="0" w:colLast="0"/>
      <w:bookmarkEnd w:id="50"/>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1" w:name="_heading=h.4i7ojhp" w:colFirst="0" w:colLast="0"/>
      <w:bookmarkEnd w:id="51"/>
      <w:r w:rsidRPr="006C68D3">
        <w:rPr>
          <w:rFonts w:eastAsia="Arial"/>
          <w:b/>
          <w:smallCaps/>
          <w:color w:val="000000"/>
          <w:szCs w:val="24"/>
        </w:rPr>
        <w:lastRenderedPageBreak/>
        <w:t xml:space="preserve">ANNEX </w:t>
      </w:r>
      <w:bookmarkStart w:id="52" w:name="Ann_1"/>
      <w:r w:rsidRPr="006C68D3">
        <w:rPr>
          <w:rFonts w:eastAsia="Arial"/>
          <w:b/>
          <w:smallCaps/>
          <w:color w:val="000000"/>
          <w:szCs w:val="24"/>
        </w:rPr>
        <w:t>1</w:t>
      </w:r>
      <w:bookmarkEnd w:id="52"/>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7BD2A0AF" w14:textId="77777777" w:rsidR="00D464E7" w:rsidRPr="00D464E7" w:rsidRDefault="00D464E7" w:rsidP="00D464E7">
      <w:pPr>
        <w:keepNext/>
        <w:pBdr>
          <w:top w:val="nil"/>
          <w:left w:val="nil"/>
          <w:bottom w:val="nil"/>
          <w:right w:val="nil"/>
          <w:between w:val="nil"/>
        </w:pBdr>
        <w:spacing w:before="240" w:after="120"/>
        <w:jc w:val="left"/>
        <w:rPr>
          <w:rFonts w:eastAsia="Arial"/>
          <w:bCs/>
          <w:color w:val="000000"/>
          <w:szCs w:val="24"/>
        </w:rPr>
      </w:pPr>
      <w:r w:rsidRPr="00D464E7">
        <w:rPr>
          <w:rFonts w:eastAsia="Arial"/>
          <w:bCs/>
          <w:color w:val="000000"/>
          <w:szCs w:val="24"/>
        </w:rPr>
        <w:t>Dun &amp; Bradstreet</w:t>
      </w:r>
    </w:p>
    <w:p w14:paraId="2B8BA394" w14:textId="77777777" w:rsidR="00A731E1" w:rsidRPr="006C68D3" w:rsidRDefault="00043197">
      <w:pPr>
        <w:spacing w:after="200" w:line="276" w:lineRule="auto"/>
        <w:jc w:val="left"/>
        <w:rPr>
          <w:rFonts w:eastAsia="Arial"/>
          <w:b/>
          <w:smallCaps/>
          <w:color w:val="000000"/>
          <w:szCs w:val="24"/>
        </w:rPr>
      </w:pPr>
      <w:bookmarkStart w:id="53" w:name="_heading=h.2xcytpi" w:colFirst="0" w:colLast="0"/>
      <w:bookmarkEnd w:id="53"/>
      <w:r w:rsidRPr="006C68D3">
        <w:rPr>
          <w:szCs w:val="24"/>
        </w:rPr>
        <w:br w:type="page"/>
      </w:r>
      <w:r w:rsidRPr="006C68D3">
        <w:rPr>
          <w:rFonts w:eastAsia="Arial"/>
          <w:b/>
          <w:smallCaps/>
          <w:color w:val="000000"/>
          <w:szCs w:val="24"/>
        </w:rPr>
        <w:lastRenderedPageBreak/>
        <w:t xml:space="preserve">ANNEX </w:t>
      </w:r>
      <w:bookmarkStart w:id="54" w:name="Ann_2"/>
      <w:r w:rsidRPr="006C68D3">
        <w:rPr>
          <w:rFonts w:eastAsia="Arial"/>
          <w:b/>
          <w:smallCaps/>
          <w:color w:val="000000"/>
          <w:szCs w:val="24"/>
        </w:rPr>
        <w:t>2</w:t>
      </w:r>
      <w:bookmarkEnd w:id="54"/>
      <w:r w:rsidRPr="006C68D3">
        <w:rPr>
          <w:rFonts w:eastAsia="Arial"/>
          <w:b/>
          <w:smallCaps/>
          <w:color w:val="000000"/>
          <w:szCs w:val="24"/>
        </w:rPr>
        <w:t>: CREDIT RATINGS, CREDIT SCORES AND FINANCIAL INDICATORS</w:t>
      </w:r>
    </w:p>
    <w:p w14:paraId="270F25BB" w14:textId="5E84276C" w:rsidR="00A731E1" w:rsidRPr="006C68D3" w:rsidRDefault="00043197">
      <w:pPr>
        <w:spacing w:after="200" w:line="276" w:lineRule="auto"/>
        <w:jc w:val="left"/>
        <w:rPr>
          <w:rFonts w:eastAsia="Arial"/>
          <w:b/>
          <w:color w:val="000000"/>
          <w:szCs w:val="24"/>
        </w:rPr>
      </w:pPr>
      <w:r w:rsidRPr="006C68D3">
        <w:rPr>
          <w:rFonts w:eastAsia="Arial"/>
          <w:b/>
          <w:color w:val="000000"/>
          <w:szCs w:val="24"/>
        </w:rPr>
        <w:t xml:space="preserve">Part </w:t>
      </w:r>
      <w:r w:rsidR="00D464E7">
        <w:rPr>
          <w:rFonts w:eastAsia="Arial"/>
          <w:b/>
          <w:color w:val="000000"/>
          <w:szCs w:val="24"/>
        </w:rPr>
        <w:t>1</w:t>
      </w:r>
      <w:r w:rsidRPr="006C68D3">
        <w:rPr>
          <w:rFonts w:eastAsia="Arial"/>
          <w:b/>
          <w:color w:val="000000"/>
          <w:szCs w:val="24"/>
        </w:rPr>
        <w:t>: C</w:t>
      </w:r>
      <w:r w:rsidR="00D464E7">
        <w:rPr>
          <w:rFonts w:eastAsia="Arial"/>
          <w:b/>
          <w:color w:val="000000"/>
          <w:szCs w:val="24"/>
        </w:rPr>
        <w:t xml:space="preserve">urrent </w:t>
      </w:r>
      <w:r w:rsidRPr="006C68D3">
        <w:rPr>
          <w:rFonts w:eastAsia="Arial"/>
          <w:b/>
          <w:color w:val="000000"/>
          <w:szCs w:val="24"/>
        </w:rPr>
        <w:t>Rating</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2127B8" w:rsidRPr="006C68D3" w14:paraId="7497C085" w14:textId="77777777">
        <w:tc>
          <w:tcPr>
            <w:tcW w:w="3033" w:type="dxa"/>
            <w:shd w:val="clear" w:color="auto" w:fill="FFFFFF"/>
          </w:tcPr>
          <w:p w14:paraId="75429EE7" w14:textId="77777777" w:rsidR="002127B8" w:rsidRPr="00A31ECF" w:rsidRDefault="002127B8" w:rsidP="002127B8">
            <w:pPr>
              <w:pStyle w:val="TableParagraph"/>
              <w:spacing w:before="9"/>
              <w:rPr>
                <w:b/>
                <w:sz w:val="20"/>
              </w:rPr>
            </w:pPr>
          </w:p>
          <w:p w14:paraId="4ACBE21A" w14:textId="17D6E7A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sidRPr="00A31ECF">
              <w:t>Supplier</w:t>
            </w:r>
          </w:p>
        </w:tc>
        <w:tc>
          <w:tcPr>
            <w:tcW w:w="3017" w:type="dxa"/>
            <w:shd w:val="clear" w:color="auto" w:fill="FFFFFF"/>
          </w:tcPr>
          <w:p w14:paraId="2A819C27" w14:textId="77777777" w:rsidR="002127B8" w:rsidRDefault="002127B8" w:rsidP="002127B8">
            <w:pPr>
              <w:pStyle w:val="TableParagraph"/>
              <w:spacing w:before="9"/>
              <w:rPr>
                <w:b/>
                <w:sz w:val="20"/>
              </w:rPr>
            </w:pPr>
          </w:p>
          <w:p w14:paraId="0AADE2A7" w14:textId="49505DA2" w:rsidR="002127B8" w:rsidRPr="006C68D3" w:rsidRDefault="002127B8" w:rsidP="002127B8">
            <w:pPr>
              <w:pBdr>
                <w:top w:val="nil"/>
                <w:left w:val="nil"/>
                <w:bottom w:val="nil"/>
                <w:right w:val="nil"/>
                <w:between w:val="nil"/>
              </w:pBdr>
              <w:spacing w:before="120" w:after="120"/>
              <w:jc w:val="left"/>
              <w:rPr>
                <w:rFonts w:eastAsia="Arial"/>
                <w:color w:val="000000"/>
                <w:szCs w:val="24"/>
              </w:rPr>
            </w:pPr>
            <w:r>
              <w:t>D&amp;B Threshold</w:t>
            </w:r>
          </w:p>
        </w:tc>
        <w:tc>
          <w:tcPr>
            <w:tcW w:w="2966" w:type="dxa"/>
            <w:shd w:val="clear" w:color="auto" w:fill="FFFFFF"/>
          </w:tcPr>
          <w:p w14:paraId="2B24E50C" w14:textId="77777777" w:rsidR="002127B8" w:rsidRDefault="002127B8" w:rsidP="002127B8">
            <w:pPr>
              <w:pStyle w:val="TableParagraph"/>
              <w:rPr>
                <w:sz w:val="24"/>
              </w:rPr>
            </w:pPr>
          </w:p>
          <w:p w14:paraId="4BDCE706" w14:textId="4173C4FE"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80</w:t>
            </w:r>
          </w:p>
        </w:tc>
      </w:tr>
      <w:tr w:rsidR="002127B8" w:rsidRPr="006C68D3" w14:paraId="0DB0AD72" w14:textId="77777777">
        <w:tc>
          <w:tcPr>
            <w:tcW w:w="3033" w:type="dxa"/>
            <w:shd w:val="clear" w:color="auto" w:fill="FFFFFF"/>
          </w:tcPr>
          <w:p w14:paraId="20DFA77D" w14:textId="77777777" w:rsidR="002127B8" w:rsidRPr="00A31ECF" w:rsidRDefault="002127B8" w:rsidP="002127B8">
            <w:pPr>
              <w:pStyle w:val="TableParagraph"/>
              <w:spacing w:before="9"/>
              <w:rPr>
                <w:b/>
                <w:sz w:val="20"/>
              </w:rPr>
            </w:pPr>
          </w:p>
          <w:p w14:paraId="7CC1AB5E" w14:textId="3F292653" w:rsidR="002127B8" w:rsidRPr="006C68D3" w:rsidRDefault="002127B8" w:rsidP="002127B8">
            <w:pPr>
              <w:pBdr>
                <w:top w:val="nil"/>
                <w:left w:val="nil"/>
                <w:bottom w:val="nil"/>
                <w:right w:val="nil"/>
                <w:between w:val="nil"/>
              </w:pBdr>
              <w:spacing w:before="120" w:after="120"/>
              <w:jc w:val="left"/>
              <w:rPr>
                <w:rFonts w:eastAsia="Arial"/>
                <w:color w:val="000000"/>
                <w:szCs w:val="24"/>
              </w:rPr>
            </w:pPr>
            <w:r>
              <w:t>Key Subcontractor</w:t>
            </w:r>
          </w:p>
        </w:tc>
        <w:tc>
          <w:tcPr>
            <w:tcW w:w="3017" w:type="dxa"/>
            <w:shd w:val="clear" w:color="auto" w:fill="FFFFFF"/>
          </w:tcPr>
          <w:p w14:paraId="28B015AC" w14:textId="77777777" w:rsidR="002127B8" w:rsidRDefault="002127B8" w:rsidP="002127B8">
            <w:pPr>
              <w:pStyle w:val="TableParagraph"/>
              <w:rPr>
                <w:rFonts w:ascii="Times New Roman"/>
                <w:sz w:val="24"/>
              </w:rPr>
            </w:pPr>
          </w:p>
          <w:p w14:paraId="2CD83B7F" w14:textId="0923DE06"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D&amp;B Threshold</w:t>
            </w:r>
          </w:p>
        </w:tc>
        <w:tc>
          <w:tcPr>
            <w:tcW w:w="2966" w:type="dxa"/>
            <w:shd w:val="clear" w:color="auto" w:fill="FFFFFF"/>
          </w:tcPr>
          <w:p w14:paraId="4BC916B1" w14:textId="77777777" w:rsidR="002127B8" w:rsidRDefault="002127B8" w:rsidP="002127B8">
            <w:pPr>
              <w:pStyle w:val="TableParagraph"/>
              <w:rPr>
                <w:rFonts w:ascii="Times New Roman"/>
                <w:sz w:val="24"/>
              </w:rPr>
            </w:pPr>
          </w:p>
          <w:p w14:paraId="7E6F44D5" w14:textId="7C786D4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Pr>
                <w:rFonts w:ascii="Times New Roman"/>
              </w:rPr>
              <w:t xml:space="preserve"> </w:t>
            </w:r>
            <w:r w:rsidRPr="00A31ECF">
              <w:t xml:space="preserve">80 </w:t>
            </w:r>
          </w:p>
        </w:tc>
      </w:tr>
    </w:tbl>
    <w:p w14:paraId="5E1A7C61" w14:textId="77777777" w:rsidR="00A731E1" w:rsidRPr="006C68D3" w:rsidRDefault="00A731E1">
      <w:pPr>
        <w:spacing w:after="0"/>
        <w:rPr>
          <w:rFonts w:eastAsia="Arial"/>
          <w:szCs w:val="24"/>
        </w:rPr>
      </w:pPr>
    </w:p>
    <w:p w14:paraId="6446AF2B" w14:textId="77777777" w:rsidR="00A731E1" w:rsidRPr="006C68D3" w:rsidRDefault="00A731E1">
      <w:pPr>
        <w:rPr>
          <w:rFonts w:eastAsia="Arial"/>
          <w:szCs w:val="24"/>
        </w:rPr>
      </w:pPr>
    </w:p>
    <w:sectPr w:rsidR="00A731E1" w:rsidRPr="006C68D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C5515" w14:textId="77777777" w:rsidR="00F763A6" w:rsidRDefault="00F763A6">
      <w:pPr>
        <w:spacing w:after="0"/>
      </w:pPr>
      <w:r>
        <w:separator/>
      </w:r>
    </w:p>
  </w:endnote>
  <w:endnote w:type="continuationSeparator" w:id="0">
    <w:p w14:paraId="443340EC" w14:textId="77777777" w:rsidR="00F763A6" w:rsidRDefault="00F76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4FB4" w14:textId="77777777" w:rsidR="00922F47" w:rsidRDefault="00922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59034732" w:rsidR="00A731E1" w:rsidRDefault="005B22F1" w:rsidP="006C68D3">
    <w:pPr>
      <w:tabs>
        <w:tab w:val="center" w:pos="4513"/>
        <w:tab w:val="right" w:pos="9026"/>
      </w:tabs>
      <w:spacing w:after="0"/>
      <w:rPr>
        <w:rFonts w:eastAsia="Arial"/>
        <w:color w:val="BFBFBF"/>
        <w:sz w:val="20"/>
        <w:szCs w:val="20"/>
      </w:rPr>
    </w:pPr>
    <w:r>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6408" w14:textId="77777777" w:rsidR="00F763A6" w:rsidRDefault="00F763A6">
      <w:pPr>
        <w:spacing w:after="0"/>
      </w:pPr>
      <w:r>
        <w:separator/>
      </w:r>
    </w:p>
  </w:footnote>
  <w:footnote w:type="continuationSeparator" w:id="0">
    <w:p w14:paraId="0A2B2570" w14:textId="77777777" w:rsidR="00F763A6" w:rsidRDefault="00F763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6C35" w14:textId="77777777" w:rsidR="00922F47" w:rsidRDefault="00922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5DB71EDD"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6C68D3" w:rsidRPr="005B22F1">
      <w:rPr>
        <w:rFonts w:eastAsia="Arial"/>
        <w:bCs/>
        <w:color w:val="000000"/>
        <w:sz w:val="20"/>
        <w:szCs w:val="20"/>
      </w:rPr>
      <w:t>[Subject to Contract]</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0042C" w14:textId="77777777" w:rsidR="00922F47" w:rsidRDefault="00922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4663998">
    <w:abstractNumId w:val="1"/>
  </w:num>
  <w:num w:numId="2" w16cid:durableId="1401252828">
    <w:abstractNumId w:val="0"/>
  </w:num>
  <w:num w:numId="3" w16cid:durableId="2038460938">
    <w:abstractNumId w:val="2"/>
  </w:num>
  <w:num w:numId="4" w16cid:durableId="1502551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3197"/>
    <w:rsid w:val="000C367A"/>
    <w:rsid w:val="001E1710"/>
    <w:rsid w:val="002127B8"/>
    <w:rsid w:val="002238CF"/>
    <w:rsid w:val="002A3D1C"/>
    <w:rsid w:val="0032625E"/>
    <w:rsid w:val="003C2B9B"/>
    <w:rsid w:val="003C3D2D"/>
    <w:rsid w:val="003E1A10"/>
    <w:rsid w:val="0049582C"/>
    <w:rsid w:val="00495A80"/>
    <w:rsid w:val="005B22F1"/>
    <w:rsid w:val="006772B1"/>
    <w:rsid w:val="006C68D3"/>
    <w:rsid w:val="008B696B"/>
    <w:rsid w:val="00922F47"/>
    <w:rsid w:val="009D0F54"/>
    <w:rsid w:val="00A731E1"/>
    <w:rsid w:val="00B141A9"/>
    <w:rsid w:val="00B26694"/>
    <w:rsid w:val="00B92DC3"/>
    <w:rsid w:val="00BE660D"/>
    <w:rsid w:val="00C45CED"/>
    <w:rsid w:val="00C518D2"/>
    <w:rsid w:val="00D464E7"/>
    <w:rsid w:val="00E63C21"/>
    <w:rsid w:val="00F64E18"/>
    <w:rsid w:val="00F763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2127B8"/>
    <w:pPr>
      <w:widowControl w:val="0"/>
      <w:overflowPunct/>
      <w:adjustRightInd/>
      <w:spacing w:after="0"/>
      <w:jc w:val="left"/>
      <w:textAlignment w:val="auto"/>
    </w:pPr>
    <w:rPr>
      <w:rFonts w:eastAsia="Arial"/>
      <w:sz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2538</Words>
  <Characters>14473</Characters>
  <Application>Microsoft Office Word</Application>
  <DocSecurity>0</DocSecurity>
  <Lines>120</Lines>
  <Paragraphs>33</Paragraphs>
  <ScaleCrop>false</ScaleCrop>
  <Company>DLA Piper</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L. - UKSBS</cp:lastModifiedBy>
  <cp:revision>3</cp:revision>
  <dcterms:created xsi:type="dcterms:W3CDTF">2024-01-18T18:18:00Z</dcterms:created>
  <dcterms:modified xsi:type="dcterms:W3CDTF">2024-01-19T10:46:00Z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2023-12-19T15:10:49Z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c5a437c9-c72a-43df-a83e-4c2fb0de73e6</vt:lpwstr>
  </property>
  <property fmtid="{D5CDD505-2E9C-101B-9397-08002B2CF9AE}" pid="9" name="MSIP_Label_72408bec-6efb-47bd-b9dc-9f250af91ce7_ContentBits">
    <vt:lpwstr>3</vt:lpwstr>
  </property>
</Properties>
</file>