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B28C6" w14:textId="3DFB6D4D" w:rsidR="00E270E3" w:rsidRPr="00ED215B" w:rsidRDefault="00E270E3" w:rsidP="00E270E3">
      <w:pPr>
        <w:jc w:val="center"/>
        <w:rPr>
          <w:b/>
          <w:sz w:val="40"/>
          <w:szCs w:val="40"/>
        </w:rPr>
      </w:pPr>
      <w:r w:rsidRPr="00ED215B">
        <w:rPr>
          <w:b/>
          <w:sz w:val="40"/>
          <w:szCs w:val="40"/>
        </w:rPr>
        <w:t>Yorkshire Hemp Supply Chain Project</w:t>
      </w:r>
      <w:r w:rsidR="004B2DBB">
        <w:rPr>
          <w:b/>
          <w:sz w:val="40"/>
          <w:szCs w:val="40"/>
        </w:rPr>
        <w:t xml:space="preserve"> – 2020/01</w:t>
      </w:r>
    </w:p>
    <w:p w14:paraId="71D81063" w14:textId="334ACD68" w:rsidR="00E270E3" w:rsidRDefault="00E270E3" w:rsidP="00E270E3">
      <w:pPr>
        <w:jc w:val="center"/>
        <w:rPr>
          <w:b/>
          <w:sz w:val="40"/>
          <w:szCs w:val="40"/>
        </w:rPr>
      </w:pPr>
      <w:r w:rsidRPr="00ED215B">
        <w:rPr>
          <w:b/>
          <w:sz w:val="40"/>
          <w:szCs w:val="40"/>
        </w:rPr>
        <w:t>Briefing Paper</w:t>
      </w:r>
      <w:r w:rsidR="00A31E36">
        <w:rPr>
          <w:b/>
          <w:sz w:val="40"/>
          <w:szCs w:val="40"/>
        </w:rPr>
        <w:t xml:space="preserve"> </w:t>
      </w:r>
      <w:bookmarkStart w:id="0" w:name="_GoBack"/>
      <w:bookmarkEnd w:id="0"/>
    </w:p>
    <w:p w14:paraId="08F9ABB7" w14:textId="495B0354" w:rsidR="00ED215B" w:rsidRPr="00ED215B" w:rsidRDefault="00ED215B" w:rsidP="00E270E3">
      <w:pPr>
        <w:jc w:val="center"/>
        <w:rPr>
          <w:b/>
        </w:rPr>
      </w:pPr>
      <w:r w:rsidRPr="00ED215B">
        <w:rPr>
          <w:b/>
        </w:rPr>
        <w:t>(For the provision of supply chain services)</w:t>
      </w:r>
      <w:r w:rsidR="007018E5">
        <w:rPr>
          <w:b/>
        </w:rPr>
        <w:t>.</w:t>
      </w:r>
    </w:p>
    <w:p w14:paraId="632C3F22" w14:textId="77777777" w:rsidR="00BC4AB4" w:rsidRPr="000D2BEF" w:rsidRDefault="00BC4AB4" w:rsidP="002C22C2">
      <w:pPr>
        <w:rPr>
          <w:b/>
          <w:sz w:val="28"/>
          <w:szCs w:val="28"/>
        </w:rPr>
      </w:pPr>
      <w:r w:rsidRPr="000D2BEF">
        <w:rPr>
          <w:b/>
          <w:sz w:val="28"/>
          <w:szCs w:val="28"/>
        </w:rPr>
        <w:t>Introduction</w:t>
      </w:r>
    </w:p>
    <w:p w14:paraId="52CF359E" w14:textId="72D067EC" w:rsidR="00BC4AB4" w:rsidRPr="000D2BEF" w:rsidRDefault="00BC4AB4" w:rsidP="002C22C2">
      <w:r w:rsidRPr="000D2BEF">
        <w:t xml:space="preserve">The Supply Chain Network in conjunction with Grow Yorkshire wishes to procure a consultant to </w:t>
      </w:r>
      <w:r w:rsidR="001D6662" w:rsidRPr="000D2BEF">
        <w:t xml:space="preserve">provide an insight into the supply chain opportunities to develop the processing of hemp in the region. </w:t>
      </w:r>
      <w:r w:rsidRPr="000D2BEF">
        <w:t>The fundamental purpose of this project is to</w:t>
      </w:r>
      <w:r w:rsidR="001D6662" w:rsidRPr="000D2BEF">
        <w:t xml:space="preserve"> highlight the opportunity for a regional based supply chain to pro</w:t>
      </w:r>
      <w:r w:rsidR="00D336BD" w:rsidRPr="000D2BEF">
        <w:t xml:space="preserve">duce farm to finished product. </w:t>
      </w:r>
    </w:p>
    <w:p w14:paraId="62C325BF" w14:textId="76112648" w:rsidR="00745C01" w:rsidRPr="00D336BD" w:rsidRDefault="00F21CCC" w:rsidP="002C22C2">
      <w:pPr>
        <w:rPr>
          <w:b/>
          <w:sz w:val="28"/>
          <w:szCs w:val="28"/>
        </w:rPr>
      </w:pPr>
      <w:r w:rsidRPr="006E1222">
        <w:rPr>
          <w:b/>
          <w:sz w:val="28"/>
          <w:szCs w:val="28"/>
        </w:rPr>
        <w:t>Contents:</w:t>
      </w:r>
    </w:p>
    <w:p w14:paraId="68A5AB55" w14:textId="77777777" w:rsidR="002C22C2" w:rsidRPr="006E1222" w:rsidRDefault="002C22C2" w:rsidP="006E1222">
      <w:pPr>
        <w:pStyle w:val="ListParagraph"/>
        <w:numPr>
          <w:ilvl w:val="0"/>
          <w:numId w:val="8"/>
        </w:numPr>
        <w:rPr>
          <w:b/>
        </w:rPr>
      </w:pPr>
      <w:r w:rsidRPr="006E1222">
        <w:rPr>
          <w:b/>
        </w:rPr>
        <w:t>Overview</w:t>
      </w:r>
    </w:p>
    <w:p w14:paraId="36AAD650" w14:textId="77777777" w:rsidR="006E1222" w:rsidRPr="000D2BEF" w:rsidRDefault="006E1222" w:rsidP="006E1222">
      <w:pPr>
        <w:pStyle w:val="ListParagraph"/>
        <w:numPr>
          <w:ilvl w:val="1"/>
          <w:numId w:val="8"/>
        </w:numPr>
        <w:rPr>
          <w:color w:val="2F5496" w:themeColor="accent5" w:themeShade="BF"/>
        </w:rPr>
      </w:pPr>
      <w:r w:rsidRPr="000D2BEF">
        <w:rPr>
          <w:color w:val="2F5496" w:themeColor="accent5" w:themeShade="BF"/>
        </w:rPr>
        <w:t>About Grow Yorkshire</w:t>
      </w:r>
    </w:p>
    <w:p w14:paraId="52EC8D42" w14:textId="3B4CED87" w:rsidR="006E1222" w:rsidRPr="000D2BEF" w:rsidRDefault="006E1222" w:rsidP="006E1222">
      <w:pPr>
        <w:pStyle w:val="ListParagraph"/>
        <w:numPr>
          <w:ilvl w:val="1"/>
          <w:numId w:val="8"/>
        </w:numPr>
        <w:rPr>
          <w:color w:val="2F5496" w:themeColor="accent5" w:themeShade="BF"/>
        </w:rPr>
      </w:pPr>
      <w:r w:rsidRPr="000D2BEF">
        <w:rPr>
          <w:color w:val="2F5496" w:themeColor="accent5" w:themeShade="BF"/>
        </w:rPr>
        <w:t>About The Supply Chain Network</w:t>
      </w:r>
      <w:r w:rsidR="00BC4AB4" w:rsidRPr="000D2BEF">
        <w:rPr>
          <w:color w:val="2F5496" w:themeColor="accent5" w:themeShade="BF"/>
        </w:rPr>
        <w:t xml:space="preserve">  </w:t>
      </w:r>
    </w:p>
    <w:p w14:paraId="57F400C8" w14:textId="404592F5" w:rsidR="006E1222" w:rsidRPr="000D2BEF" w:rsidRDefault="006E1222" w:rsidP="006E1222">
      <w:pPr>
        <w:pStyle w:val="ListParagraph"/>
        <w:numPr>
          <w:ilvl w:val="0"/>
          <w:numId w:val="8"/>
        </w:numPr>
        <w:rPr>
          <w:b/>
        </w:rPr>
      </w:pPr>
      <w:r w:rsidRPr="006E1222">
        <w:rPr>
          <w:b/>
        </w:rPr>
        <w:t xml:space="preserve">The Yorkshire Hemp Supply Chain – </w:t>
      </w:r>
      <w:r w:rsidR="00D336BD" w:rsidRPr="000D2BEF">
        <w:rPr>
          <w:b/>
        </w:rPr>
        <w:t xml:space="preserve">Background and </w:t>
      </w:r>
      <w:r w:rsidR="00E471ED">
        <w:rPr>
          <w:b/>
        </w:rPr>
        <w:t>C</w:t>
      </w:r>
      <w:r w:rsidR="00D336BD" w:rsidRPr="000D2BEF">
        <w:rPr>
          <w:b/>
        </w:rPr>
        <w:t>ontext</w:t>
      </w:r>
    </w:p>
    <w:p w14:paraId="46CED066" w14:textId="77777777" w:rsidR="006E1222" w:rsidRPr="000D2BEF" w:rsidRDefault="006E1222" w:rsidP="006E1222">
      <w:pPr>
        <w:pStyle w:val="ListParagraph"/>
        <w:numPr>
          <w:ilvl w:val="1"/>
          <w:numId w:val="8"/>
        </w:numPr>
        <w:rPr>
          <w:color w:val="2F5496" w:themeColor="accent5" w:themeShade="BF"/>
        </w:rPr>
      </w:pPr>
      <w:r w:rsidRPr="000D2BEF">
        <w:rPr>
          <w:color w:val="2F5496" w:themeColor="accent5" w:themeShade="BF"/>
        </w:rPr>
        <w:t>Importance of Hemp Production in Yorkshire</w:t>
      </w:r>
    </w:p>
    <w:p w14:paraId="071DA76F" w14:textId="77777777" w:rsidR="006E1222" w:rsidRPr="000D2BEF" w:rsidRDefault="006E1222" w:rsidP="006E1222">
      <w:pPr>
        <w:pStyle w:val="ListParagraph"/>
        <w:numPr>
          <w:ilvl w:val="1"/>
          <w:numId w:val="8"/>
        </w:numPr>
        <w:rPr>
          <w:color w:val="2F5496" w:themeColor="accent5" w:themeShade="BF"/>
        </w:rPr>
      </w:pPr>
      <w:r w:rsidRPr="000D2BEF">
        <w:rPr>
          <w:color w:val="2F5496" w:themeColor="accent5" w:themeShade="BF"/>
        </w:rPr>
        <w:t>Economic Opportunities for the Yorkshire Region</w:t>
      </w:r>
    </w:p>
    <w:p w14:paraId="17AD00A7" w14:textId="77777777" w:rsidR="006E1222" w:rsidRPr="000D2BEF" w:rsidRDefault="006E1222" w:rsidP="006E1222">
      <w:pPr>
        <w:pStyle w:val="ListParagraph"/>
        <w:numPr>
          <w:ilvl w:val="1"/>
          <w:numId w:val="8"/>
        </w:numPr>
        <w:rPr>
          <w:color w:val="2F5496" w:themeColor="accent5" w:themeShade="BF"/>
        </w:rPr>
      </w:pPr>
      <w:r w:rsidRPr="000D2BEF">
        <w:rPr>
          <w:color w:val="2F5496" w:themeColor="accent5" w:themeShade="BF"/>
        </w:rPr>
        <w:t>Benefits of a Yorkshire Hemp Supply Chain</w:t>
      </w:r>
    </w:p>
    <w:p w14:paraId="62FECA67" w14:textId="77777777" w:rsidR="006E1222" w:rsidRPr="000D2BEF" w:rsidRDefault="006E1222" w:rsidP="006E1222">
      <w:pPr>
        <w:pStyle w:val="ListParagraph"/>
        <w:numPr>
          <w:ilvl w:val="1"/>
          <w:numId w:val="8"/>
        </w:numPr>
        <w:rPr>
          <w:color w:val="2F5496" w:themeColor="accent5" w:themeShade="BF"/>
        </w:rPr>
      </w:pPr>
      <w:r w:rsidRPr="000D2BEF">
        <w:rPr>
          <w:color w:val="2F5496" w:themeColor="accent5" w:themeShade="BF"/>
        </w:rPr>
        <w:t>Market Sectors and Development Opportunities</w:t>
      </w:r>
    </w:p>
    <w:p w14:paraId="63A7B30C" w14:textId="365C557F" w:rsidR="006E1222" w:rsidRPr="000D2BEF" w:rsidRDefault="006E1222" w:rsidP="006E1222">
      <w:pPr>
        <w:pStyle w:val="ListParagraph"/>
        <w:numPr>
          <w:ilvl w:val="0"/>
          <w:numId w:val="8"/>
        </w:numPr>
        <w:rPr>
          <w:b/>
        </w:rPr>
      </w:pPr>
      <w:r w:rsidRPr="006E1222">
        <w:rPr>
          <w:b/>
        </w:rPr>
        <w:t>Yorkshire Hemp Supply Chain Project</w:t>
      </w:r>
      <w:r w:rsidR="002C7A47">
        <w:rPr>
          <w:b/>
        </w:rPr>
        <w:t xml:space="preserve"> –</w:t>
      </w:r>
      <w:r w:rsidR="000D2BEF">
        <w:rPr>
          <w:b/>
        </w:rPr>
        <w:t xml:space="preserve"> </w:t>
      </w:r>
      <w:r w:rsidR="00E471ED">
        <w:rPr>
          <w:b/>
        </w:rPr>
        <w:t xml:space="preserve">Aims, </w:t>
      </w:r>
      <w:r w:rsidR="00D336BD" w:rsidRPr="000D2BEF">
        <w:rPr>
          <w:b/>
        </w:rPr>
        <w:t xml:space="preserve">Objectives and Outputs </w:t>
      </w:r>
    </w:p>
    <w:p w14:paraId="338CC733" w14:textId="4BA65E75" w:rsidR="006E1222" w:rsidRPr="000D2BEF" w:rsidRDefault="00C356F7" w:rsidP="006E1222">
      <w:pPr>
        <w:pStyle w:val="ListParagraph"/>
        <w:numPr>
          <w:ilvl w:val="1"/>
          <w:numId w:val="8"/>
        </w:numPr>
        <w:rPr>
          <w:color w:val="2F5496" w:themeColor="accent5" w:themeShade="BF"/>
        </w:rPr>
      </w:pPr>
      <w:r w:rsidRPr="000D2BEF">
        <w:rPr>
          <w:color w:val="2F5496" w:themeColor="accent5" w:themeShade="BF"/>
        </w:rPr>
        <w:t>Project Aims</w:t>
      </w:r>
    </w:p>
    <w:p w14:paraId="3AC2C253" w14:textId="750DB369" w:rsidR="006E1222" w:rsidRPr="000D2BEF" w:rsidRDefault="00C356F7" w:rsidP="006E1222">
      <w:pPr>
        <w:pStyle w:val="ListParagraph"/>
        <w:numPr>
          <w:ilvl w:val="1"/>
          <w:numId w:val="8"/>
        </w:numPr>
        <w:rPr>
          <w:color w:val="2F5496" w:themeColor="accent5" w:themeShade="BF"/>
        </w:rPr>
      </w:pPr>
      <w:r w:rsidRPr="000D2BEF">
        <w:rPr>
          <w:color w:val="2F5496" w:themeColor="accent5" w:themeShade="BF"/>
        </w:rPr>
        <w:t>Project Objectives</w:t>
      </w:r>
    </w:p>
    <w:p w14:paraId="58B892CA" w14:textId="0FFE0242" w:rsidR="0009271B" w:rsidRPr="000D2BEF" w:rsidRDefault="006E1222" w:rsidP="0055668E">
      <w:pPr>
        <w:pStyle w:val="ListParagraph"/>
        <w:numPr>
          <w:ilvl w:val="1"/>
          <w:numId w:val="8"/>
        </w:numPr>
        <w:rPr>
          <w:color w:val="2F5496" w:themeColor="accent5" w:themeShade="BF"/>
        </w:rPr>
      </w:pPr>
      <w:r w:rsidRPr="000D2BEF">
        <w:rPr>
          <w:color w:val="2F5496" w:themeColor="accent5" w:themeShade="BF"/>
        </w:rPr>
        <w:t xml:space="preserve">Project </w:t>
      </w:r>
      <w:r w:rsidR="00716737">
        <w:rPr>
          <w:color w:val="2F5496" w:themeColor="accent5" w:themeShade="BF"/>
        </w:rPr>
        <w:t xml:space="preserve">Milestones and </w:t>
      </w:r>
      <w:r w:rsidRPr="000D2BEF">
        <w:rPr>
          <w:color w:val="2F5496" w:themeColor="accent5" w:themeShade="BF"/>
        </w:rPr>
        <w:t>Timescales</w:t>
      </w:r>
    </w:p>
    <w:p w14:paraId="651C3A0A" w14:textId="2C5D461D" w:rsidR="00D336BD" w:rsidRPr="00716737" w:rsidRDefault="00D336BD" w:rsidP="0055668E">
      <w:pPr>
        <w:pStyle w:val="ListParagraph"/>
        <w:numPr>
          <w:ilvl w:val="1"/>
          <w:numId w:val="8"/>
        </w:numPr>
        <w:rPr>
          <w:color w:val="2F5496" w:themeColor="accent5" w:themeShade="BF"/>
        </w:rPr>
      </w:pPr>
      <w:r w:rsidRPr="00716737">
        <w:rPr>
          <w:color w:val="2F5496" w:themeColor="accent5" w:themeShade="BF"/>
        </w:rPr>
        <w:t>Budget</w:t>
      </w:r>
    </w:p>
    <w:p w14:paraId="14D0E13B" w14:textId="0D21FD35" w:rsidR="00D336BD" w:rsidRPr="00F7078F" w:rsidRDefault="00D336BD" w:rsidP="0055668E">
      <w:pPr>
        <w:pStyle w:val="ListParagraph"/>
        <w:numPr>
          <w:ilvl w:val="1"/>
          <w:numId w:val="8"/>
        </w:numPr>
        <w:rPr>
          <w:color w:val="2F5496" w:themeColor="accent5" w:themeShade="BF"/>
        </w:rPr>
      </w:pPr>
      <w:r w:rsidRPr="00F7078F">
        <w:rPr>
          <w:color w:val="2F5496" w:themeColor="accent5" w:themeShade="BF"/>
        </w:rPr>
        <w:t xml:space="preserve">Scoring and </w:t>
      </w:r>
      <w:r w:rsidR="00F7078F" w:rsidRPr="00F7078F">
        <w:rPr>
          <w:color w:val="2F5496" w:themeColor="accent5" w:themeShade="BF"/>
        </w:rPr>
        <w:t>E</w:t>
      </w:r>
      <w:r w:rsidRPr="00F7078F">
        <w:rPr>
          <w:color w:val="2F5496" w:themeColor="accent5" w:themeShade="BF"/>
        </w:rPr>
        <w:t xml:space="preserve">valuation </w:t>
      </w:r>
    </w:p>
    <w:p w14:paraId="53C12760" w14:textId="3638783F" w:rsidR="00E93E06" w:rsidRDefault="00E93E06" w:rsidP="00E93E06">
      <w:pPr>
        <w:pStyle w:val="ListParagraph"/>
        <w:numPr>
          <w:ilvl w:val="0"/>
          <w:numId w:val="8"/>
        </w:numPr>
      </w:pPr>
      <w:r w:rsidRPr="00E93E06">
        <w:t>Appendix 1. Existing primary supply chain organisations</w:t>
      </w:r>
    </w:p>
    <w:p w14:paraId="2F69EC3E" w14:textId="68455966" w:rsidR="00523453" w:rsidRDefault="00523453" w:rsidP="00523453">
      <w:pPr>
        <w:pStyle w:val="ListParagraph"/>
        <w:numPr>
          <w:ilvl w:val="0"/>
          <w:numId w:val="8"/>
        </w:numPr>
      </w:pPr>
      <w:r>
        <w:t xml:space="preserve">Appendix 2. Project fit with </w:t>
      </w:r>
      <w:r w:rsidRPr="00523453">
        <w:t>Carbon Neutral Circular Economy strategy.</w:t>
      </w:r>
    </w:p>
    <w:p w14:paraId="47838C0D" w14:textId="5DE0985F" w:rsidR="00331D74" w:rsidRDefault="00331D74" w:rsidP="00331D74">
      <w:pPr>
        <w:pStyle w:val="ListParagraph"/>
        <w:numPr>
          <w:ilvl w:val="0"/>
          <w:numId w:val="8"/>
        </w:numPr>
      </w:pPr>
      <w:r>
        <w:t xml:space="preserve">Appendix 3. </w:t>
      </w:r>
      <w:r w:rsidRPr="00331D74">
        <w:t>Interaction points between Yorkshire Hemp Supply Chain Project and Bio</w:t>
      </w:r>
      <w:r>
        <w:t xml:space="preserve"> </w:t>
      </w:r>
      <w:r w:rsidRPr="00331D74">
        <w:t>based and Circular Construction</w:t>
      </w:r>
      <w:r>
        <w:t xml:space="preserve"> in Yorkshire project</w:t>
      </w:r>
    </w:p>
    <w:p w14:paraId="5C0045B6" w14:textId="5B381912" w:rsidR="005A7072" w:rsidRDefault="005A7072" w:rsidP="00331D74">
      <w:pPr>
        <w:pStyle w:val="ListParagraph"/>
        <w:numPr>
          <w:ilvl w:val="0"/>
          <w:numId w:val="8"/>
        </w:numPr>
      </w:pPr>
      <w:r>
        <w:t xml:space="preserve">Appendix 4. </w:t>
      </w:r>
      <w:r w:rsidR="00133428">
        <w:t xml:space="preserve"> Scoring Criteria </w:t>
      </w:r>
    </w:p>
    <w:p w14:paraId="12762D36" w14:textId="72508C90" w:rsidR="00504D7C" w:rsidRDefault="00133428" w:rsidP="00331D74">
      <w:pPr>
        <w:pStyle w:val="ListParagraph"/>
        <w:numPr>
          <w:ilvl w:val="0"/>
          <w:numId w:val="8"/>
        </w:numPr>
      </w:pPr>
      <w:r>
        <w:t xml:space="preserve">Appendix 5. </w:t>
      </w:r>
      <w:r w:rsidR="00504D7C">
        <w:t xml:space="preserve"> Award Criteria </w:t>
      </w:r>
    </w:p>
    <w:p w14:paraId="4322717E" w14:textId="40ADB71F" w:rsidR="00133428" w:rsidRPr="004709A6" w:rsidRDefault="00133428" w:rsidP="00331D74">
      <w:pPr>
        <w:pStyle w:val="ListParagraph"/>
        <w:numPr>
          <w:ilvl w:val="0"/>
          <w:numId w:val="8"/>
        </w:numPr>
      </w:pPr>
      <w:r w:rsidRPr="004709A6">
        <w:t xml:space="preserve">Appendix 6. ERYC Standard terms and conditions. </w:t>
      </w:r>
      <w:r w:rsidR="00E47FD8">
        <w:t xml:space="preserve">(see separate document) </w:t>
      </w:r>
    </w:p>
    <w:p w14:paraId="172D52D9" w14:textId="60B6E397" w:rsidR="00504D7C" w:rsidRPr="00504D7C" w:rsidRDefault="00504D7C" w:rsidP="00FB2E8F">
      <w:pPr>
        <w:pStyle w:val="ListParagraph"/>
        <w:rPr>
          <w:color w:val="FF0000"/>
        </w:rPr>
      </w:pPr>
    </w:p>
    <w:p w14:paraId="0C424AD5" w14:textId="77777777" w:rsidR="0000263C" w:rsidRPr="00504D7C" w:rsidRDefault="0000263C" w:rsidP="0000263C">
      <w:pPr>
        <w:pStyle w:val="ListParagraph"/>
        <w:rPr>
          <w:color w:val="FF0000"/>
        </w:rPr>
      </w:pPr>
    </w:p>
    <w:p w14:paraId="0AF69211" w14:textId="77777777" w:rsidR="00D336BD" w:rsidRDefault="00D336BD" w:rsidP="0000263C">
      <w:pPr>
        <w:pStyle w:val="ListParagraph"/>
      </w:pPr>
    </w:p>
    <w:p w14:paraId="304E5E09" w14:textId="77777777" w:rsidR="00D336BD" w:rsidRDefault="00D336BD" w:rsidP="0000263C">
      <w:pPr>
        <w:pStyle w:val="ListParagraph"/>
      </w:pPr>
    </w:p>
    <w:p w14:paraId="497A3A2A" w14:textId="77777777" w:rsidR="00D336BD" w:rsidRDefault="00D336BD" w:rsidP="0000263C">
      <w:pPr>
        <w:pStyle w:val="ListParagraph"/>
      </w:pPr>
    </w:p>
    <w:p w14:paraId="71162E41" w14:textId="77777777" w:rsidR="00D336BD" w:rsidRDefault="00D336BD" w:rsidP="0000263C">
      <w:pPr>
        <w:pStyle w:val="ListParagraph"/>
      </w:pPr>
    </w:p>
    <w:p w14:paraId="49E7D7C2" w14:textId="77777777" w:rsidR="00133428" w:rsidRDefault="00133428" w:rsidP="00E47FD8">
      <w:pPr>
        <w:rPr>
          <w:b/>
          <w:sz w:val="28"/>
          <w:szCs w:val="28"/>
        </w:rPr>
      </w:pPr>
    </w:p>
    <w:p w14:paraId="18616994" w14:textId="77777777" w:rsidR="00D336BD" w:rsidRDefault="00D336BD" w:rsidP="00DC3E2D">
      <w:pPr>
        <w:rPr>
          <w:b/>
          <w:sz w:val="28"/>
          <w:szCs w:val="28"/>
        </w:rPr>
      </w:pPr>
    </w:p>
    <w:p w14:paraId="4072D12E" w14:textId="065C70CE" w:rsidR="00E270E3" w:rsidRPr="00D336BD" w:rsidRDefault="00E270E3" w:rsidP="00D336BD">
      <w:pPr>
        <w:pStyle w:val="ListParagraph"/>
        <w:numPr>
          <w:ilvl w:val="0"/>
          <w:numId w:val="15"/>
        </w:numPr>
        <w:rPr>
          <w:b/>
          <w:sz w:val="28"/>
          <w:szCs w:val="28"/>
        </w:rPr>
      </w:pPr>
      <w:r w:rsidRPr="00D336BD">
        <w:rPr>
          <w:b/>
          <w:sz w:val="28"/>
          <w:szCs w:val="28"/>
        </w:rPr>
        <w:lastRenderedPageBreak/>
        <w:t>Overview</w:t>
      </w:r>
    </w:p>
    <w:p w14:paraId="0FCF9E4A" w14:textId="55380F30" w:rsidR="00E270E3" w:rsidRPr="000D2BEF" w:rsidRDefault="00E270E3" w:rsidP="00E270E3">
      <w:r w:rsidRPr="000D2BEF">
        <w:t xml:space="preserve">The York and North Yorkshire Local Enterprise Partnership (Y&amp;NY LEP) </w:t>
      </w:r>
      <w:r w:rsidR="00E852B3" w:rsidRPr="000D2BEF">
        <w:t xml:space="preserve">formerly the York, North York and East Riding Local Enterprise Partnership (YNYER LEP) </w:t>
      </w:r>
      <w:r w:rsidRPr="000D2BEF">
        <w:t xml:space="preserve">works with partners across the region to set the strategic direction for </w:t>
      </w:r>
      <w:r w:rsidR="006547F3" w:rsidRPr="000D2BEF">
        <w:t>the region’s</w:t>
      </w:r>
      <w:r w:rsidR="00E852B3" w:rsidRPr="000D2BEF">
        <w:t xml:space="preserve"> </w:t>
      </w:r>
      <w:r w:rsidRPr="000D2BEF">
        <w:t xml:space="preserve">economy, which aims to be good for people, business and the planet. </w:t>
      </w:r>
    </w:p>
    <w:p w14:paraId="02771063" w14:textId="0CEEA440" w:rsidR="00371C49" w:rsidRPr="000D2BEF" w:rsidRDefault="00371C49" w:rsidP="00371C49">
      <w:r w:rsidRPr="000D2BEF">
        <w:t>The YNYER European Strategic Investment Fund (ESIF) Revised Strategy (5 February 2016) structured around the YNYER economic plan for growth</w:t>
      </w:r>
      <w:r w:rsidR="00CA1E42" w:rsidRPr="000D2BEF">
        <w:t xml:space="preserve">, set out the approach to delivery, focusing on specific interventions that supports economic growth through </w:t>
      </w:r>
      <w:r w:rsidRPr="000D2BEF">
        <w:t>five strategic priorities</w:t>
      </w:r>
      <w:r w:rsidR="00CA1E42" w:rsidRPr="000D2BEF">
        <w:t xml:space="preserve">. </w:t>
      </w:r>
    </w:p>
    <w:p w14:paraId="765ABD49" w14:textId="77777777" w:rsidR="00CA1E42" w:rsidRPr="000D2BEF" w:rsidRDefault="00CA1E42" w:rsidP="00CA1E42">
      <w:r w:rsidRPr="000D2BEF">
        <w:t>Priority 1 - Profitable and ambitious small and micro businesses</w:t>
      </w:r>
    </w:p>
    <w:p w14:paraId="121C9F6B" w14:textId="38D3742C" w:rsidR="00CA1E42" w:rsidRPr="000D2BEF" w:rsidRDefault="00CA1E42" w:rsidP="00CA1E42">
      <w:r w:rsidRPr="000D2BEF">
        <w:t xml:space="preserve">Priority 2 - A global leader in food manufacturing, </w:t>
      </w:r>
      <w:proofErr w:type="spellStart"/>
      <w:r w:rsidRPr="000D2BEF">
        <w:t>agri</w:t>
      </w:r>
      <w:proofErr w:type="spellEnd"/>
      <w:r w:rsidR="00700A01" w:rsidRPr="000D2BEF">
        <w:t>-</w:t>
      </w:r>
      <w:r w:rsidRPr="000D2BEF">
        <w:t xml:space="preserve">tech and </w:t>
      </w:r>
      <w:proofErr w:type="spellStart"/>
      <w:r w:rsidRPr="000D2BEF">
        <w:t>biorenewables</w:t>
      </w:r>
      <w:proofErr w:type="spellEnd"/>
    </w:p>
    <w:p w14:paraId="6F1C961F" w14:textId="77777777" w:rsidR="00CA1E42" w:rsidRPr="000D2BEF" w:rsidRDefault="00CA1E42" w:rsidP="00CA1E42">
      <w:r w:rsidRPr="000D2BEF">
        <w:t>Priority 3 - Inspired people</w:t>
      </w:r>
    </w:p>
    <w:p w14:paraId="36B823B1" w14:textId="77777777" w:rsidR="00CA1E42" w:rsidRPr="000D2BEF" w:rsidRDefault="00CA1E42" w:rsidP="00CA1E42">
      <w:r w:rsidRPr="000D2BEF">
        <w:t>Priority 4 - Successful and distinctive places</w:t>
      </w:r>
    </w:p>
    <w:p w14:paraId="29C8B78C" w14:textId="513DFDAA" w:rsidR="00371C49" w:rsidRPr="000D2BEF" w:rsidRDefault="00CA1E42" w:rsidP="00CA1E42">
      <w:r w:rsidRPr="000D2BEF">
        <w:t>Priority 5 – A well connected economy</w:t>
      </w:r>
    </w:p>
    <w:p w14:paraId="5C285C32" w14:textId="403B9FAC" w:rsidR="00700A01" w:rsidRPr="000D2BEF" w:rsidRDefault="00700A01" w:rsidP="00700A01">
      <w:pPr>
        <w:jc w:val="both"/>
        <w:rPr>
          <w:rFonts w:cstheme="minorHAnsi"/>
        </w:rPr>
      </w:pPr>
      <w:r w:rsidRPr="000D2BEF">
        <w:rPr>
          <w:rFonts w:cstheme="minorHAnsi"/>
        </w:rPr>
        <w:t>Through the identification of potential supply chain opportunities, t</w:t>
      </w:r>
      <w:r w:rsidR="00D336BD" w:rsidRPr="000D2BEF">
        <w:rPr>
          <w:rFonts w:cstheme="minorHAnsi"/>
        </w:rPr>
        <w:t xml:space="preserve">his </w:t>
      </w:r>
      <w:r w:rsidRPr="000D2BEF">
        <w:rPr>
          <w:rFonts w:cstheme="minorHAnsi"/>
        </w:rPr>
        <w:t xml:space="preserve">project </w:t>
      </w:r>
      <w:r w:rsidR="00371C49" w:rsidRPr="000D2BEF">
        <w:rPr>
          <w:rFonts w:cstheme="minorHAnsi"/>
        </w:rPr>
        <w:t xml:space="preserve">will contribute to the Strategic Economic Priorities </w:t>
      </w:r>
      <w:r w:rsidR="00DC3E2D" w:rsidRPr="000D2BEF">
        <w:rPr>
          <w:rFonts w:cstheme="minorHAnsi"/>
        </w:rPr>
        <w:t>of</w:t>
      </w:r>
      <w:r w:rsidR="00D336BD" w:rsidRPr="000D2BEF">
        <w:rPr>
          <w:rFonts w:cstheme="minorHAnsi"/>
        </w:rPr>
        <w:t xml:space="preserve">: </w:t>
      </w:r>
    </w:p>
    <w:p w14:paraId="1E56D7D0" w14:textId="1F68BC40" w:rsidR="00371C49" w:rsidRPr="000D2BEF" w:rsidRDefault="00371C49" w:rsidP="00700A01">
      <w:pPr>
        <w:pStyle w:val="ListParagraph"/>
        <w:numPr>
          <w:ilvl w:val="0"/>
          <w:numId w:val="13"/>
        </w:numPr>
        <w:jc w:val="both"/>
        <w:rPr>
          <w:rFonts w:cstheme="minorHAnsi"/>
          <w:bCs/>
          <w:iCs/>
        </w:rPr>
      </w:pPr>
      <w:r w:rsidRPr="000D2BEF">
        <w:rPr>
          <w:rFonts w:cstheme="minorHAnsi"/>
        </w:rPr>
        <w:t xml:space="preserve">Help </w:t>
      </w:r>
      <w:r w:rsidRPr="000D2BEF">
        <w:rPr>
          <w:rFonts w:cstheme="minorHAnsi"/>
          <w:bCs/>
          <w:iCs/>
        </w:rPr>
        <w:t>established small and micro businesses</w:t>
      </w:r>
      <w:r w:rsidR="00700A01" w:rsidRPr="000D2BEF">
        <w:rPr>
          <w:rFonts w:cstheme="minorHAnsi"/>
          <w:bCs/>
          <w:iCs/>
        </w:rPr>
        <w:t xml:space="preserve"> to </w:t>
      </w:r>
      <w:r w:rsidRPr="000D2BEF">
        <w:rPr>
          <w:rFonts w:cstheme="minorHAnsi"/>
          <w:bCs/>
          <w:iCs/>
        </w:rPr>
        <w:t xml:space="preserve">be more successful </w:t>
      </w:r>
    </w:p>
    <w:p w14:paraId="04A2038F" w14:textId="3873B6E3" w:rsidR="00371C49" w:rsidRPr="000D2BEF" w:rsidRDefault="00371C49" w:rsidP="00371C49">
      <w:pPr>
        <w:pStyle w:val="ListParagraph"/>
        <w:numPr>
          <w:ilvl w:val="0"/>
          <w:numId w:val="13"/>
        </w:numPr>
        <w:autoSpaceDE w:val="0"/>
        <w:autoSpaceDN w:val="0"/>
        <w:adjustRightInd w:val="0"/>
        <w:spacing w:after="0" w:line="240" w:lineRule="auto"/>
        <w:jc w:val="both"/>
        <w:rPr>
          <w:rFonts w:cstheme="minorHAnsi"/>
        </w:rPr>
      </w:pPr>
      <w:r w:rsidRPr="000D2BEF">
        <w:rPr>
          <w:rFonts w:cstheme="minorHAnsi"/>
          <w:bCs/>
          <w:iCs/>
        </w:rPr>
        <w:t xml:space="preserve">Help growth minded businesses </w:t>
      </w:r>
      <w:r w:rsidR="00700A01" w:rsidRPr="000D2BEF">
        <w:rPr>
          <w:rFonts w:cstheme="minorHAnsi"/>
          <w:bCs/>
          <w:iCs/>
        </w:rPr>
        <w:t xml:space="preserve">to </w:t>
      </w:r>
      <w:r w:rsidRPr="000D2BEF">
        <w:rPr>
          <w:rFonts w:cstheme="minorHAnsi"/>
          <w:bCs/>
          <w:iCs/>
        </w:rPr>
        <w:t>achieve their ambitions</w:t>
      </w:r>
    </w:p>
    <w:p w14:paraId="566F32E1" w14:textId="7F506DE8" w:rsidR="00371C49" w:rsidRPr="000D2BEF" w:rsidRDefault="00371C49" w:rsidP="00371C49">
      <w:pPr>
        <w:pStyle w:val="ListParagraph"/>
        <w:numPr>
          <w:ilvl w:val="0"/>
          <w:numId w:val="13"/>
        </w:numPr>
        <w:autoSpaceDE w:val="0"/>
        <w:autoSpaceDN w:val="0"/>
        <w:adjustRightInd w:val="0"/>
        <w:spacing w:after="0" w:line="240" w:lineRule="auto"/>
        <w:rPr>
          <w:rFonts w:cstheme="minorHAnsi"/>
          <w:bCs/>
          <w:iCs/>
        </w:rPr>
      </w:pPr>
      <w:r w:rsidRPr="000D2BEF">
        <w:rPr>
          <w:rFonts w:cstheme="minorHAnsi"/>
          <w:bCs/>
          <w:iCs/>
        </w:rPr>
        <w:t>Facilitat</w:t>
      </w:r>
      <w:r w:rsidR="00DC3E2D" w:rsidRPr="000D2BEF">
        <w:rPr>
          <w:rFonts w:cstheme="minorHAnsi"/>
          <w:bCs/>
          <w:iCs/>
        </w:rPr>
        <w:t>e</w:t>
      </w:r>
      <w:r w:rsidRPr="000D2BEF">
        <w:rPr>
          <w:rFonts w:cstheme="minorHAnsi"/>
          <w:bCs/>
          <w:iCs/>
        </w:rPr>
        <w:t xml:space="preserve"> connections between </w:t>
      </w:r>
      <w:proofErr w:type="spellStart"/>
      <w:r w:rsidRPr="000D2BEF">
        <w:rPr>
          <w:rFonts w:cstheme="minorHAnsi"/>
          <w:bCs/>
          <w:iCs/>
        </w:rPr>
        <w:t>agri</w:t>
      </w:r>
      <w:proofErr w:type="spellEnd"/>
      <w:r w:rsidRPr="000D2BEF">
        <w:rPr>
          <w:rFonts w:cstheme="minorHAnsi"/>
          <w:bCs/>
          <w:iCs/>
        </w:rPr>
        <w:t xml:space="preserve">-food / bio-renewables businesses and support supply chains interventions </w:t>
      </w:r>
    </w:p>
    <w:p w14:paraId="02FFC8D8" w14:textId="479E045F" w:rsidR="00371C49" w:rsidRPr="000D2BEF" w:rsidRDefault="00371C49" w:rsidP="00371C49">
      <w:pPr>
        <w:pStyle w:val="ListParagraph"/>
        <w:numPr>
          <w:ilvl w:val="0"/>
          <w:numId w:val="13"/>
        </w:numPr>
        <w:autoSpaceDE w:val="0"/>
        <w:autoSpaceDN w:val="0"/>
        <w:adjustRightInd w:val="0"/>
        <w:spacing w:after="0" w:line="240" w:lineRule="auto"/>
        <w:jc w:val="both"/>
        <w:rPr>
          <w:rFonts w:cstheme="minorHAnsi"/>
          <w:iCs/>
        </w:rPr>
      </w:pPr>
      <w:r w:rsidRPr="000D2BEF">
        <w:rPr>
          <w:rFonts w:cstheme="minorHAnsi"/>
          <w:bCs/>
          <w:iCs/>
        </w:rPr>
        <w:t>Stimulat</w:t>
      </w:r>
      <w:r w:rsidR="00DC3E2D" w:rsidRPr="000D2BEF">
        <w:rPr>
          <w:rFonts w:cstheme="minorHAnsi"/>
          <w:bCs/>
          <w:iCs/>
        </w:rPr>
        <w:t>e</w:t>
      </w:r>
      <w:r w:rsidRPr="000D2BEF">
        <w:rPr>
          <w:rFonts w:cstheme="minorHAnsi"/>
          <w:bCs/>
          <w:iCs/>
        </w:rPr>
        <w:t xml:space="preserve"> </w:t>
      </w:r>
      <w:r w:rsidR="00700A01" w:rsidRPr="000D2BEF">
        <w:rPr>
          <w:rFonts w:cstheme="minorHAnsi"/>
          <w:bCs/>
          <w:iCs/>
        </w:rPr>
        <w:t xml:space="preserve">market demand, </w:t>
      </w:r>
      <w:r w:rsidRPr="000D2BEF">
        <w:rPr>
          <w:rFonts w:cstheme="minorHAnsi"/>
          <w:iCs/>
        </w:rPr>
        <w:t>to drive job creation.</w:t>
      </w:r>
    </w:p>
    <w:p w14:paraId="3C0FA31A" w14:textId="575D45D6" w:rsidR="00E03366" w:rsidRPr="000D2BEF" w:rsidRDefault="00DC3E2D" w:rsidP="00371C49">
      <w:pPr>
        <w:pStyle w:val="ListParagraph"/>
        <w:numPr>
          <w:ilvl w:val="0"/>
          <w:numId w:val="13"/>
        </w:numPr>
        <w:autoSpaceDE w:val="0"/>
        <w:autoSpaceDN w:val="0"/>
        <w:adjustRightInd w:val="0"/>
        <w:spacing w:after="0" w:line="240" w:lineRule="auto"/>
        <w:jc w:val="both"/>
        <w:rPr>
          <w:rFonts w:cstheme="minorHAnsi"/>
          <w:iCs/>
        </w:rPr>
      </w:pPr>
      <w:r w:rsidRPr="000D2BEF">
        <w:t>T</w:t>
      </w:r>
      <w:r w:rsidR="00E03366" w:rsidRPr="000D2BEF">
        <w:t>he ‘Greener Fairer Stronger’ ambitions of the developing “Plan to Reshape our Economy” in response to the challenges posed by COVID-19.</w:t>
      </w:r>
    </w:p>
    <w:p w14:paraId="7AF6A018" w14:textId="77777777" w:rsidR="006547F3" w:rsidRPr="000D2BEF" w:rsidRDefault="006547F3" w:rsidP="00E270E3">
      <w:pPr>
        <w:rPr>
          <w:rFonts w:cstheme="minorHAnsi"/>
        </w:rPr>
      </w:pPr>
    </w:p>
    <w:p w14:paraId="2AF848C9" w14:textId="77777777" w:rsidR="00E270E3" w:rsidRPr="006937C2" w:rsidRDefault="006E1222" w:rsidP="006E1222">
      <w:pPr>
        <w:rPr>
          <w:b/>
          <w:color w:val="2F5496" w:themeColor="accent5" w:themeShade="BF"/>
          <w:sz w:val="24"/>
          <w:szCs w:val="24"/>
        </w:rPr>
      </w:pPr>
      <w:r w:rsidRPr="006937C2">
        <w:rPr>
          <w:b/>
          <w:color w:val="2F5496" w:themeColor="accent5" w:themeShade="BF"/>
          <w:sz w:val="24"/>
          <w:szCs w:val="24"/>
        </w:rPr>
        <w:t xml:space="preserve">1a. </w:t>
      </w:r>
      <w:r w:rsidR="00265495" w:rsidRPr="006937C2">
        <w:rPr>
          <w:b/>
          <w:color w:val="2F5496" w:themeColor="accent5" w:themeShade="BF"/>
          <w:sz w:val="24"/>
          <w:szCs w:val="24"/>
        </w:rPr>
        <w:t xml:space="preserve">About </w:t>
      </w:r>
      <w:r w:rsidR="00E270E3" w:rsidRPr="006937C2">
        <w:rPr>
          <w:b/>
          <w:color w:val="2F5496" w:themeColor="accent5" w:themeShade="BF"/>
          <w:sz w:val="24"/>
          <w:szCs w:val="24"/>
        </w:rPr>
        <w:t>Grow Yorkshire</w:t>
      </w:r>
    </w:p>
    <w:p w14:paraId="120D20F0" w14:textId="60FE6B28" w:rsidR="00841AC9" w:rsidRDefault="00E270E3" w:rsidP="00E270E3">
      <w:r>
        <w:t xml:space="preserve">Grow Yorkshire is a Y&amp;NY LEP initiative designed to help the region’s farming and food production businesses to build resilience and adapt to a multitude of external factors which will impact their profitability in the future. </w:t>
      </w:r>
      <w:r w:rsidRPr="00E270E3">
        <w:t>Grow Yorkshire brings together organisations which already offer extensive assistance to farmers and farm businesses. Through a more collabora</w:t>
      </w:r>
      <w:r>
        <w:t>tive and coordinated approach, Grow Yorkshire seeks</w:t>
      </w:r>
      <w:r w:rsidRPr="00E270E3">
        <w:t xml:space="preserve"> to increase</w:t>
      </w:r>
      <w:r>
        <w:t xml:space="preserve"> the</w:t>
      </w:r>
      <w:r w:rsidRPr="00E270E3">
        <w:t xml:space="preserve"> take up and impact of support services, identify the current and future needs of farming and</w:t>
      </w:r>
      <w:r w:rsidR="00E83308">
        <w:t xml:space="preserve"> the</w:t>
      </w:r>
      <w:r w:rsidRPr="00E270E3">
        <w:t xml:space="preserve"> food industry and secure future funding and backing from the Government to address them. </w:t>
      </w:r>
      <w:r>
        <w:t>Significant change faces the sector, including the COVID-19 pandemic, B</w:t>
      </w:r>
      <w:r w:rsidR="00E83308">
        <w:t>R</w:t>
      </w:r>
      <w:r>
        <w:t xml:space="preserve">EXIT, climate change and the transition from the </w:t>
      </w:r>
      <w:r w:rsidR="00E83308">
        <w:t xml:space="preserve">Common </w:t>
      </w:r>
      <w:r>
        <w:t xml:space="preserve">Agricultural Policy to the Environmental Land Management Scheme. </w:t>
      </w:r>
    </w:p>
    <w:p w14:paraId="27265E3D" w14:textId="77777777" w:rsidR="000D2BEF" w:rsidRDefault="000D2BEF" w:rsidP="00E270E3"/>
    <w:p w14:paraId="1CB54978" w14:textId="77777777" w:rsidR="00FC4B22" w:rsidRPr="006937C2" w:rsidRDefault="006E1222" w:rsidP="006E1222">
      <w:pPr>
        <w:rPr>
          <w:b/>
          <w:color w:val="2F5496" w:themeColor="accent5" w:themeShade="BF"/>
          <w:sz w:val="24"/>
          <w:szCs w:val="24"/>
        </w:rPr>
      </w:pPr>
      <w:r w:rsidRPr="006937C2">
        <w:rPr>
          <w:b/>
          <w:color w:val="2F5496" w:themeColor="accent5" w:themeShade="BF"/>
          <w:sz w:val="24"/>
          <w:szCs w:val="24"/>
        </w:rPr>
        <w:t xml:space="preserve">1b. </w:t>
      </w:r>
      <w:proofErr w:type="gramStart"/>
      <w:r w:rsidR="00265495" w:rsidRPr="006937C2">
        <w:rPr>
          <w:b/>
          <w:color w:val="2F5496" w:themeColor="accent5" w:themeShade="BF"/>
          <w:sz w:val="24"/>
          <w:szCs w:val="24"/>
        </w:rPr>
        <w:t>About</w:t>
      </w:r>
      <w:proofErr w:type="gramEnd"/>
      <w:r w:rsidR="00265495" w:rsidRPr="006937C2">
        <w:rPr>
          <w:b/>
          <w:color w:val="2F5496" w:themeColor="accent5" w:themeShade="BF"/>
          <w:sz w:val="24"/>
          <w:szCs w:val="24"/>
        </w:rPr>
        <w:t xml:space="preserve"> </w:t>
      </w:r>
      <w:r w:rsidR="00FC4B22" w:rsidRPr="006937C2">
        <w:rPr>
          <w:b/>
          <w:color w:val="2F5496" w:themeColor="accent5" w:themeShade="BF"/>
          <w:sz w:val="24"/>
          <w:szCs w:val="24"/>
        </w:rPr>
        <w:t>The Supply Chain Network</w:t>
      </w:r>
    </w:p>
    <w:p w14:paraId="1572ED17" w14:textId="32F27715" w:rsidR="00700A01" w:rsidRPr="000D2BEF" w:rsidRDefault="00FC4B22" w:rsidP="00FC4B22">
      <w:pPr>
        <w:rPr>
          <w:rFonts w:cstheme="minorHAnsi"/>
        </w:rPr>
      </w:pPr>
      <w:r w:rsidRPr="000D2BEF">
        <w:rPr>
          <w:rFonts w:cstheme="minorHAnsi"/>
        </w:rPr>
        <w:t xml:space="preserve">The Supply Chain Network </w:t>
      </w:r>
      <w:r w:rsidR="00375188" w:rsidRPr="000D2BEF">
        <w:rPr>
          <w:rFonts w:cstheme="minorHAnsi"/>
        </w:rPr>
        <w:t>(</w:t>
      </w:r>
      <w:proofErr w:type="gramStart"/>
      <w:r w:rsidR="004709A6" w:rsidRPr="000D2BEF">
        <w:rPr>
          <w:rFonts w:cstheme="minorHAnsi"/>
        </w:rPr>
        <w:t>a</w:t>
      </w:r>
      <w:proofErr w:type="gramEnd"/>
      <w:r w:rsidR="00E852B3" w:rsidRPr="000D2BEF">
        <w:rPr>
          <w:rFonts w:cstheme="minorHAnsi"/>
        </w:rPr>
        <w:t xml:space="preserve"> YNYER LEP </w:t>
      </w:r>
      <w:r w:rsidR="004709A6">
        <w:rPr>
          <w:rFonts w:cstheme="minorHAnsi"/>
        </w:rPr>
        <w:t>European Regional Development Fund (ERDF) Programme</w:t>
      </w:r>
      <w:r w:rsidR="00375188" w:rsidRPr="000D2BEF">
        <w:rPr>
          <w:rFonts w:cstheme="minorHAnsi"/>
        </w:rPr>
        <w:t xml:space="preserve">) </w:t>
      </w:r>
      <w:r w:rsidR="00700A01" w:rsidRPr="000D2BEF">
        <w:rPr>
          <w:rFonts w:cstheme="minorHAnsi"/>
        </w:rPr>
        <w:t xml:space="preserve">is a partnership bringing together a programme of support for businesses within the Yorkshire and </w:t>
      </w:r>
      <w:r w:rsidR="00700A01" w:rsidRPr="000D2BEF">
        <w:rPr>
          <w:rFonts w:cstheme="minorHAnsi"/>
        </w:rPr>
        <w:lastRenderedPageBreak/>
        <w:t>Humber regions, led by East Riding of Yorkshire Council.</w:t>
      </w:r>
      <w:r w:rsidR="00E461CC" w:rsidRPr="000D2BEF">
        <w:rPr>
          <w:rFonts w:cstheme="minorHAnsi"/>
        </w:rPr>
        <w:t xml:space="preserve"> </w:t>
      </w:r>
      <w:r w:rsidR="00BB2067" w:rsidRPr="000D2BEF">
        <w:rPr>
          <w:rFonts w:cstheme="minorHAnsi"/>
        </w:rPr>
        <w:t>I</w:t>
      </w:r>
      <w:r w:rsidR="00E461CC" w:rsidRPr="000D2BEF">
        <w:rPr>
          <w:rFonts w:cstheme="minorHAnsi"/>
        </w:rPr>
        <w:t>ts priority is to continually support SME’s to make supply chain opportunities visible, accessible and winnable</w:t>
      </w:r>
      <w:r w:rsidR="00BB2067" w:rsidRPr="000D2BEF">
        <w:rPr>
          <w:rFonts w:cstheme="minorHAnsi"/>
        </w:rPr>
        <w:t xml:space="preserve">. </w:t>
      </w:r>
      <w:r w:rsidR="00E461CC" w:rsidRPr="000D2BEF">
        <w:rPr>
          <w:rFonts w:cstheme="minorHAnsi"/>
        </w:rPr>
        <w:t>Working across different sectors and geographies its aim is to help share intelligence regarding existing supply chain opportunities, the development of new market opportunities</w:t>
      </w:r>
      <w:r w:rsidR="00BB2067" w:rsidRPr="000D2BEF">
        <w:rPr>
          <w:rFonts w:cstheme="minorHAnsi"/>
        </w:rPr>
        <w:t>, to learn and share best practice and support our small business base to improve margins and win new business.</w:t>
      </w:r>
      <w:r w:rsidR="00700A01" w:rsidRPr="000D2BEF">
        <w:rPr>
          <w:rFonts w:cstheme="minorHAnsi"/>
        </w:rPr>
        <w:t xml:space="preserve"> </w:t>
      </w:r>
      <w:r w:rsidR="009D5FDA" w:rsidRPr="000D2BEF">
        <w:rPr>
          <w:rFonts w:cstheme="minorHAnsi"/>
        </w:rPr>
        <w:t xml:space="preserve">Support is available through 1-2-1 business advice, </w:t>
      </w:r>
      <w:r w:rsidR="00443048" w:rsidRPr="000D2BEF">
        <w:rPr>
          <w:rFonts w:cstheme="minorHAnsi"/>
        </w:rPr>
        <w:t xml:space="preserve">supply chain sector knowledge and </w:t>
      </w:r>
      <w:r w:rsidR="009D5FDA" w:rsidRPr="000D2BEF">
        <w:rPr>
          <w:rFonts w:cstheme="minorHAnsi"/>
        </w:rPr>
        <w:t>information</w:t>
      </w:r>
      <w:r w:rsidR="00443048" w:rsidRPr="000D2BEF">
        <w:rPr>
          <w:rFonts w:cstheme="minorHAnsi"/>
        </w:rPr>
        <w:t xml:space="preserve">, workshops / webinars, networking opportunities and grant funding. </w:t>
      </w:r>
      <w:r w:rsidR="009D5FDA" w:rsidRPr="000D2BEF">
        <w:rPr>
          <w:rFonts w:cstheme="minorHAnsi"/>
        </w:rPr>
        <w:t xml:space="preserve"> </w:t>
      </w:r>
    </w:p>
    <w:p w14:paraId="55657DC0" w14:textId="182AA615" w:rsidR="00841AC9" w:rsidRPr="00D336BD" w:rsidRDefault="00FC4B22" w:rsidP="00D336BD">
      <w:pPr>
        <w:pStyle w:val="ListParagraph"/>
        <w:numPr>
          <w:ilvl w:val="0"/>
          <w:numId w:val="15"/>
        </w:numPr>
        <w:rPr>
          <w:b/>
          <w:sz w:val="28"/>
          <w:szCs w:val="28"/>
        </w:rPr>
      </w:pPr>
      <w:r w:rsidRPr="00D336BD">
        <w:rPr>
          <w:b/>
          <w:sz w:val="28"/>
          <w:szCs w:val="28"/>
        </w:rPr>
        <w:t xml:space="preserve">Yorkshire Hemp Supply Chain </w:t>
      </w:r>
      <w:r w:rsidR="000D2BEF">
        <w:rPr>
          <w:b/>
          <w:sz w:val="28"/>
          <w:szCs w:val="28"/>
        </w:rPr>
        <w:t>–</w:t>
      </w:r>
      <w:r w:rsidRPr="00D336BD">
        <w:rPr>
          <w:b/>
          <w:sz w:val="28"/>
          <w:szCs w:val="28"/>
        </w:rPr>
        <w:t xml:space="preserve"> </w:t>
      </w:r>
      <w:r w:rsidR="000D2BEF">
        <w:rPr>
          <w:b/>
          <w:sz w:val="28"/>
          <w:szCs w:val="28"/>
        </w:rPr>
        <w:t xml:space="preserve">Background and Context </w:t>
      </w:r>
    </w:p>
    <w:p w14:paraId="31961374" w14:textId="1771AE93" w:rsidR="00FC4B22" w:rsidRDefault="000D2BEF" w:rsidP="00FC4B22">
      <w:r>
        <w:t>T</w:t>
      </w:r>
      <w:r w:rsidR="006C15C7">
        <w:t xml:space="preserve">his project is to map the end-to-end supply chain associated with the growing and production of hemp </w:t>
      </w:r>
      <w:r w:rsidR="00B145A4">
        <w:t xml:space="preserve">and hemp products </w:t>
      </w:r>
      <w:r w:rsidR="006C15C7">
        <w:t>in the Yorkshire region</w:t>
      </w:r>
      <w:r w:rsidR="00326787">
        <w:t>, bringing</w:t>
      </w:r>
      <w:r w:rsidR="00326787" w:rsidRPr="00326787">
        <w:t xml:space="preserve"> together </w:t>
      </w:r>
      <w:r w:rsidR="00326787">
        <w:t xml:space="preserve">relevant organisations and identifying gaps. </w:t>
      </w:r>
      <w:r w:rsidR="00062E42" w:rsidRPr="000D2BEF">
        <w:t xml:space="preserve">We </w:t>
      </w:r>
      <w:r w:rsidR="00FC4B22" w:rsidRPr="000D2BEF">
        <w:t>a</w:t>
      </w:r>
      <w:r w:rsidR="00FC4B22">
        <w:t>re seeking to engage supply chain expertise to deliver this projec</w:t>
      </w:r>
      <w:r w:rsidR="00326787">
        <w:t>t, providing specialist insight</w:t>
      </w:r>
      <w:r w:rsidR="00FC4B22">
        <w:t xml:space="preserve"> to inform decisions </w:t>
      </w:r>
      <w:r w:rsidR="00326787">
        <w:t xml:space="preserve">regarding opportunities </w:t>
      </w:r>
      <w:r w:rsidR="00FC4B22">
        <w:t>to develop the processing of hemp in the Yorkshire region</w:t>
      </w:r>
      <w:r w:rsidR="00265495">
        <w:t>.</w:t>
      </w:r>
    </w:p>
    <w:p w14:paraId="657527C6" w14:textId="77777777" w:rsidR="00265495" w:rsidRDefault="00265495" w:rsidP="00265495">
      <w:r w:rsidRPr="00265495">
        <w:t>Yorkshire already hosts many suppliers, growers, producers and academics associated with the Hemp Supply Chain – arguably, the most sophisticated in the country.</w:t>
      </w:r>
      <w:r>
        <w:t xml:space="preserve"> Therefore</w:t>
      </w:r>
      <w:r w:rsidR="001F60B8">
        <w:t>,</w:t>
      </w:r>
      <w:r>
        <w:t xml:space="preserve"> the key opportunity is the coordination of a Yorkshire based supply chain, ready to produce farm to finished product ‘Made </w:t>
      </w:r>
      <w:proofErr w:type="gramStart"/>
      <w:r>
        <w:t>In</w:t>
      </w:r>
      <w:proofErr w:type="gramEnd"/>
      <w:r>
        <w:t xml:space="preserve"> Yorkshire’. </w:t>
      </w:r>
      <w:r w:rsidR="001F60B8" w:rsidRPr="001F60B8">
        <w:t xml:space="preserve">Some of the organisations in the primary supply chain have already been identified and initial contact made to highlight this project (see </w:t>
      </w:r>
      <w:r w:rsidR="001F60B8" w:rsidRPr="001F60B8">
        <w:rPr>
          <w:b/>
          <w:i/>
        </w:rPr>
        <w:t>Appendix 1</w:t>
      </w:r>
      <w:r w:rsidR="001F60B8" w:rsidRPr="001F60B8">
        <w:t>.).</w:t>
      </w:r>
    </w:p>
    <w:p w14:paraId="5A83C094" w14:textId="77777777" w:rsidR="006C15C7" w:rsidRPr="006937C2" w:rsidRDefault="006E1222" w:rsidP="006E1222">
      <w:pPr>
        <w:rPr>
          <w:b/>
          <w:sz w:val="24"/>
          <w:szCs w:val="24"/>
        </w:rPr>
      </w:pPr>
      <w:r w:rsidRPr="006937C2">
        <w:rPr>
          <w:b/>
          <w:color w:val="2F5496" w:themeColor="accent5" w:themeShade="BF"/>
          <w:sz w:val="24"/>
          <w:szCs w:val="24"/>
        </w:rPr>
        <w:t xml:space="preserve">2a. </w:t>
      </w:r>
      <w:r w:rsidR="00265495" w:rsidRPr="006937C2">
        <w:rPr>
          <w:b/>
          <w:color w:val="2F5496" w:themeColor="accent5" w:themeShade="BF"/>
          <w:sz w:val="24"/>
          <w:szCs w:val="24"/>
        </w:rPr>
        <w:t>I</w:t>
      </w:r>
      <w:r w:rsidR="004350CB" w:rsidRPr="006937C2">
        <w:rPr>
          <w:b/>
          <w:color w:val="2F5496" w:themeColor="accent5" w:themeShade="BF"/>
          <w:sz w:val="24"/>
          <w:szCs w:val="24"/>
        </w:rPr>
        <w:t>mportance of H</w:t>
      </w:r>
      <w:r w:rsidR="006C15C7" w:rsidRPr="006937C2">
        <w:rPr>
          <w:b/>
          <w:color w:val="2F5496" w:themeColor="accent5" w:themeShade="BF"/>
          <w:sz w:val="24"/>
          <w:szCs w:val="24"/>
        </w:rPr>
        <w:t xml:space="preserve">emp </w:t>
      </w:r>
      <w:r w:rsidR="004350CB" w:rsidRPr="006937C2">
        <w:rPr>
          <w:b/>
          <w:color w:val="2F5496" w:themeColor="accent5" w:themeShade="BF"/>
          <w:sz w:val="24"/>
          <w:szCs w:val="24"/>
        </w:rPr>
        <w:t xml:space="preserve">Production </w:t>
      </w:r>
      <w:r w:rsidR="006C15C7" w:rsidRPr="006937C2">
        <w:rPr>
          <w:b/>
          <w:color w:val="2F5496" w:themeColor="accent5" w:themeShade="BF"/>
          <w:sz w:val="24"/>
          <w:szCs w:val="24"/>
        </w:rPr>
        <w:t xml:space="preserve">in </w:t>
      </w:r>
      <w:r w:rsidR="00265495" w:rsidRPr="006937C2">
        <w:rPr>
          <w:b/>
          <w:color w:val="2F5496" w:themeColor="accent5" w:themeShade="BF"/>
          <w:sz w:val="24"/>
          <w:szCs w:val="24"/>
        </w:rPr>
        <w:t xml:space="preserve">Yorkshire </w:t>
      </w:r>
    </w:p>
    <w:p w14:paraId="0B7FCBF4" w14:textId="77777777" w:rsidR="006C15C7" w:rsidRDefault="006C15C7" w:rsidP="006C15C7">
      <w:r>
        <w:t>It is believed that an unrestricted and thriving hemp</w:t>
      </w:r>
      <w:r w:rsidR="00265495">
        <w:t xml:space="preserve"> supply chain</w:t>
      </w:r>
      <w:r>
        <w:t xml:space="preserve"> delivers several key goals relevant to both agricultural and emerging environmental policies</w:t>
      </w:r>
      <w:r w:rsidR="00265495">
        <w:t xml:space="preserve"> across the Yorkshire region</w:t>
      </w:r>
      <w:r>
        <w:t xml:space="preserve">. </w:t>
      </w:r>
    </w:p>
    <w:p w14:paraId="647B3141" w14:textId="48238B68" w:rsidR="000D2BEF" w:rsidRDefault="006C15C7" w:rsidP="00265495">
      <w:r>
        <w:t xml:space="preserve">Hemp can be used for a range of environmentally </w:t>
      </w:r>
      <w:r w:rsidR="009C63EE">
        <w:t>sustainable</w:t>
      </w:r>
      <w:r>
        <w:t xml:space="preserve"> and carbon negative products, whilst actively contributing to mitigating climate change.  A thriving Yorkshire hemp supply chain can kick-start, boost local economies, and help to develop a ‘</w:t>
      </w:r>
      <w:r w:rsidRPr="00265495">
        <w:rPr>
          <w:b/>
        </w:rPr>
        <w:t>Greener Fairer Stronger’</w:t>
      </w:r>
      <w:r w:rsidRPr="006C15C7">
        <w:t xml:space="preserve"> </w:t>
      </w:r>
      <w:r>
        <w:t>future in a post-Brexit landscape.</w:t>
      </w:r>
      <w:r w:rsidR="00265495" w:rsidRPr="00265495">
        <w:t xml:space="preserve"> </w:t>
      </w:r>
      <w:r w:rsidR="00326787">
        <w:t xml:space="preserve"> </w:t>
      </w:r>
      <w:r w:rsidR="00326787" w:rsidRPr="00326787">
        <w:t>Since the passing of the US Hemp Farm Bill in 2018, there has been a global resurgence in h</w:t>
      </w:r>
      <w:r w:rsidR="00326787">
        <w:t xml:space="preserve">emp production and processing and it is believed that Yorkshire has a golden opportunity </w:t>
      </w:r>
      <w:r w:rsidR="00326787" w:rsidRPr="00326787">
        <w:t>to be part of the worldwide hemp renaissance.</w:t>
      </w:r>
    </w:p>
    <w:p w14:paraId="231EB23C" w14:textId="77777777" w:rsidR="00326A3D" w:rsidRPr="006937C2" w:rsidRDefault="006E1222" w:rsidP="006E1222">
      <w:pPr>
        <w:rPr>
          <w:b/>
          <w:color w:val="2F5496" w:themeColor="accent5" w:themeShade="BF"/>
          <w:sz w:val="24"/>
          <w:szCs w:val="24"/>
        </w:rPr>
      </w:pPr>
      <w:r w:rsidRPr="006937C2">
        <w:rPr>
          <w:b/>
          <w:color w:val="2F5496" w:themeColor="accent5" w:themeShade="BF"/>
          <w:sz w:val="24"/>
          <w:szCs w:val="24"/>
        </w:rPr>
        <w:t xml:space="preserve">2b. </w:t>
      </w:r>
      <w:r w:rsidR="00326787" w:rsidRPr="006937C2">
        <w:rPr>
          <w:b/>
          <w:color w:val="2F5496" w:themeColor="accent5" w:themeShade="BF"/>
          <w:sz w:val="24"/>
          <w:szCs w:val="24"/>
        </w:rPr>
        <w:t>Economic Opportunities for the Yorkshire Region</w:t>
      </w:r>
    </w:p>
    <w:p w14:paraId="6BA86563" w14:textId="77777777" w:rsidR="00326A3D" w:rsidRDefault="00326787" w:rsidP="00326A3D">
      <w:r>
        <w:t>A Yorkshire based hemp supply chain</w:t>
      </w:r>
      <w:r w:rsidR="00326A3D">
        <w:t xml:space="preserve"> can provide many economic benefits for the</w:t>
      </w:r>
      <w:r>
        <w:t xml:space="preserve"> region,</w:t>
      </w:r>
      <w:r w:rsidR="00326A3D">
        <w:t xml:space="preserve"> as well as </w:t>
      </w:r>
      <w:r>
        <w:t>Yorkshire</w:t>
      </w:r>
      <w:r w:rsidR="00326A3D">
        <w:t xml:space="preserve"> farmers, by fuelling technological, manufacturing, and design innovations that are essential to create new market opportunities and boost the local, bio and circular economies.</w:t>
      </w:r>
    </w:p>
    <w:p w14:paraId="36466CA5" w14:textId="1B61D665" w:rsidR="00326A3D" w:rsidRDefault="00326787" w:rsidP="00326A3D">
      <w:r>
        <w:t>The region</w:t>
      </w:r>
      <w:r w:rsidR="00326A3D">
        <w:t xml:space="preserve"> is a world leader in research and design, </w:t>
      </w:r>
      <w:r w:rsidR="00A0295A">
        <w:t>however d</w:t>
      </w:r>
      <w:r w:rsidR="00326A3D">
        <w:t>ue to the removal of the processing subsidy as part of the EU CAP in 2013, and the above political barriers to growth, hemp has received little to no industrial interest or funding.</w:t>
      </w:r>
    </w:p>
    <w:p w14:paraId="46C2BC26" w14:textId="4C51AE76" w:rsidR="00326A3D" w:rsidRDefault="00A0295A" w:rsidP="00A0295A">
      <w:r>
        <w:t xml:space="preserve">In the UK, it is estimated that the maximum area of hemp cultivation is around 810 hectares.  By comparison, Europe cultivates over 33,000 hectares of </w:t>
      </w:r>
      <w:r w:rsidR="009C63EE">
        <w:t>industrial hemp and is increasing</w:t>
      </w:r>
      <w:r>
        <w:t xml:space="preserve"> year on year.  </w:t>
      </w:r>
    </w:p>
    <w:p w14:paraId="1ACF3334" w14:textId="77777777" w:rsidR="004709A6" w:rsidRDefault="004709A6" w:rsidP="00A0295A"/>
    <w:p w14:paraId="37B8DF36" w14:textId="77777777" w:rsidR="00326A3D" w:rsidRPr="006937C2" w:rsidRDefault="006E1222" w:rsidP="006E1222">
      <w:pPr>
        <w:rPr>
          <w:b/>
          <w:color w:val="2F5496" w:themeColor="accent5" w:themeShade="BF"/>
          <w:sz w:val="24"/>
          <w:szCs w:val="24"/>
        </w:rPr>
      </w:pPr>
      <w:r w:rsidRPr="006937C2">
        <w:rPr>
          <w:b/>
          <w:color w:val="2F5496" w:themeColor="accent5" w:themeShade="BF"/>
          <w:sz w:val="24"/>
          <w:szCs w:val="24"/>
        </w:rPr>
        <w:lastRenderedPageBreak/>
        <w:t xml:space="preserve">2c. </w:t>
      </w:r>
      <w:r w:rsidR="00A0295A" w:rsidRPr="006937C2">
        <w:rPr>
          <w:b/>
          <w:color w:val="2F5496" w:themeColor="accent5" w:themeShade="BF"/>
          <w:sz w:val="24"/>
          <w:szCs w:val="24"/>
        </w:rPr>
        <w:t>B</w:t>
      </w:r>
      <w:r w:rsidR="00326A3D" w:rsidRPr="006937C2">
        <w:rPr>
          <w:b/>
          <w:color w:val="2F5496" w:themeColor="accent5" w:themeShade="BF"/>
          <w:sz w:val="24"/>
          <w:szCs w:val="24"/>
        </w:rPr>
        <w:t xml:space="preserve">enefits of </w:t>
      </w:r>
      <w:r w:rsidR="00A0295A" w:rsidRPr="006937C2">
        <w:rPr>
          <w:b/>
          <w:color w:val="2F5496" w:themeColor="accent5" w:themeShade="BF"/>
          <w:sz w:val="24"/>
          <w:szCs w:val="24"/>
        </w:rPr>
        <w:t>a Yorkshire Hemp Supply Chain</w:t>
      </w:r>
    </w:p>
    <w:p w14:paraId="4A57F98D" w14:textId="77777777" w:rsidR="00A0295A" w:rsidRDefault="00326A3D" w:rsidP="00326A3D">
      <w:r>
        <w:t xml:space="preserve">Hemp is </w:t>
      </w:r>
      <w:r w:rsidR="00A0295A">
        <w:t xml:space="preserve">widely recognised to be </w:t>
      </w:r>
      <w:r>
        <w:t>one o</w:t>
      </w:r>
      <w:r w:rsidR="00A0295A">
        <w:t>f the most versatile, prolific and</w:t>
      </w:r>
      <w:r>
        <w:t xml:space="preserve"> synergistic tools available to tackle key environ</w:t>
      </w:r>
      <w:r w:rsidR="00A0295A">
        <w:t>mental challenges, such as CO2 and land contamination.</w:t>
      </w:r>
    </w:p>
    <w:p w14:paraId="2C0D7562" w14:textId="77777777" w:rsidR="00A0295A" w:rsidRDefault="00A0295A" w:rsidP="00A0295A">
      <w:pPr>
        <w:pStyle w:val="ListParagraph"/>
        <w:numPr>
          <w:ilvl w:val="0"/>
          <w:numId w:val="1"/>
        </w:numPr>
      </w:pPr>
      <w:proofErr w:type="gramStart"/>
      <w:r>
        <w:t xml:space="preserve">Hemp </w:t>
      </w:r>
      <w:r w:rsidR="00326A3D">
        <w:t xml:space="preserve"> bio</w:t>
      </w:r>
      <w:proofErr w:type="gramEnd"/>
      <w:r w:rsidR="00326A3D">
        <w:t xml:space="preserve">-remediates contaminated soil, improves soil structure </w:t>
      </w:r>
      <w:r>
        <w:t>and</w:t>
      </w:r>
      <w:r w:rsidR="00326A3D">
        <w:t xml:space="preserve"> nutrient levels, and can lead to greater yields in follow on crops, such as wheat.</w:t>
      </w:r>
    </w:p>
    <w:p w14:paraId="1B5CFE4E" w14:textId="77777777" w:rsidR="00A0295A" w:rsidRDefault="00326A3D" w:rsidP="00A0295A">
      <w:pPr>
        <w:pStyle w:val="ListParagraph"/>
        <w:numPr>
          <w:ilvl w:val="0"/>
          <w:numId w:val="1"/>
        </w:numPr>
      </w:pPr>
      <w:r>
        <w:t>Hemp grows without the need of pesticid</w:t>
      </w:r>
      <w:r w:rsidR="00A0295A">
        <w:t>es or herbicides and</w:t>
      </w:r>
      <w:r>
        <w:t xml:space="preserve"> needs minimal water. It’s one of the most effective CO2 offsets, as it can grow up </w:t>
      </w:r>
      <w:r w:rsidR="00A0295A">
        <w:t>to 5 metres in only 3-4 months.</w:t>
      </w:r>
    </w:p>
    <w:p w14:paraId="5994B7AC" w14:textId="77777777" w:rsidR="00A0295A" w:rsidRDefault="00326A3D" w:rsidP="00A0295A">
      <w:pPr>
        <w:pStyle w:val="ListParagraph"/>
        <w:numPr>
          <w:ilvl w:val="0"/>
          <w:numId w:val="1"/>
        </w:numPr>
      </w:pPr>
      <w:r>
        <w:t xml:space="preserve">Hemp is a sustainable raw material </w:t>
      </w:r>
      <w:r w:rsidR="00A0295A">
        <w:t>and can make thousands of environmentally responsible and</w:t>
      </w:r>
      <w:r>
        <w:t xml:space="preserve"> bio-degradable products inclu</w:t>
      </w:r>
      <w:r w:rsidR="00A0295A">
        <w:t>ding plastics, fuel and textiles.</w:t>
      </w:r>
    </w:p>
    <w:p w14:paraId="39572A4F" w14:textId="77777777" w:rsidR="00326A3D" w:rsidRDefault="00A0295A" w:rsidP="00A0295A">
      <w:pPr>
        <w:pStyle w:val="ListParagraph"/>
        <w:numPr>
          <w:ilvl w:val="0"/>
          <w:numId w:val="1"/>
        </w:numPr>
      </w:pPr>
      <w:r>
        <w:t>I</w:t>
      </w:r>
      <w:r w:rsidR="00326A3D">
        <w:t xml:space="preserve">mportantly </w:t>
      </w:r>
      <w:r>
        <w:t xml:space="preserve">for the region, a Yorkshire hemp supply chain can </w:t>
      </w:r>
      <w:r w:rsidR="00326A3D">
        <w:t>empower small local communities by</w:t>
      </w:r>
      <w:r>
        <w:t xml:space="preserve"> providing local manufacturing and industry together with wider opportunities with local supply and service businesses.</w:t>
      </w:r>
    </w:p>
    <w:p w14:paraId="5FFEF6F5" w14:textId="77777777" w:rsidR="00A0295A" w:rsidRDefault="00A0295A" w:rsidP="00A0295A">
      <w:pPr>
        <w:pStyle w:val="ListParagraph"/>
        <w:numPr>
          <w:ilvl w:val="0"/>
          <w:numId w:val="1"/>
        </w:numPr>
      </w:pPr>
      <w:r>
        <w:t xml:space="preserve">Yorkshire was once the textile manufacturing centre of the world – with </w:t>
      </w:r>
      <w:r w:rsidR="00217D3B">
        <w:t xml:space="preserve">investment into </w:t>
      </w:r>
      <w:r>
        <w:t>a Y</w:t>
      </w:r>
      <w:r w:rsidR="00217D3B">
        <w:t>orkshire based supply chain it c</w:t>
      </w:r>
      <w:r>
        <w:t xml:space="preserve">ould be feasible to </w:t>
      </w:r>
      <w:r w:rsidR="00217D3B">
        <w:t>develop sustainable manufacturing once again with a significantly lower carbon footprint compared to off-shore production.</w:t>
      </w:r>
    </w:p>
    <w:p w14:paraId="5355022C" w14:textId="77777777" w:rsidR="002C22C2" w:rsidRDefault="00217D3B" w:rsidP="002C22C2">
      <w:pPr>
        <w:pStyle w:val="ListParagraph"/>
        <w:numPr>
          <w:ilvl w:val="0"/>
          <w:numId w:val="1"/>
        </w:numPr>
      </w:pPr>
      <w:r w:rsidRPr="00217D3B">
        <w:t xml:space="preserve">Although the size of the UK hemp cultivation sector is currently extremely small, </w:t>
      </w:r>
      <w:r>
        <w:t xml:space="preserve">there is already significant </w:t>
      </w:r>
      <w:r w:rsidRPr="00217D3B">
        <w:t xml:space="preserve">innovation </w:t>
      </w:r>
      <w:r>
        <w:t xml:space="preserve">and </w:t>
      </w:r>
      <w:r w:rsidRPr="00217D3B">
        <w:t>pioneering research</w:t>
      </w:r>
      <w:r>
        <w:t xml:space="preserve"> being developed in the sector through work</w:t>
      </w:r>
      <w:r w:rsidRPr="00217D3B">
        <w:t xml:space="preserve"> at </w:t>
      </w:r>
      <w:r>
        <w:t xml:space="preserve">the </w:t>
      </w:r>
      <w:r w:rsidRPr="00217D3B">
        <w:t>University</w:t>
      </w:r>
      <w:r>
        <w:t xml:space="preserve"> of York (plus </w:t>
      </w:r>
      <w:r w:rsidRPr="00217D3B">
        <w:t>other leading institutions</w:t>
      </w:r>
      <w:r>
        <w:t>)</w:t>
      </w:r>
      <w:r w:rsidRPr="00217D3B">
        <w:t>.</w:t>
      </w:r>
    </w:p>
    <w:p w14:paraId="7F4144C5" w14:textId="77777777" w:rsidR="002C22C2" w:rsidRDefault="002C22C2" w:rsidP="002C22C2">
      <w:pPr>
        <w:pStyle w:val="ListParagraph"/>
      </w:pPr>
    </w:p>
    <w:p w14:paraId="05F84443" w14:textId="77777777" w:rsidR="00326A3D" w:rsidRPr="006937C2" w:rsidRDefault="006E1222" w:rsidP="006E1222">
      <w:pPr>
        <w:rPr>
          <w:b/>
          <w:color w:val="2F5496" w:themeColor="accent5" w:themeShade="BF"/>
          <w:sz w:val="24"/>
          <w:szCs w:val="24"/>
        </w:rPr>
      </w:pPr>
      <w:r w:rsidRPr="006937C2">
        <w:rPr>
          <w:b/>
          <w:color w:val="2F5496" w:themeColor="accent5" w:themeShade="BF"/>
          <w:sz w:val="24"/>
          <w:szCs w:val="24"/>
        </w:rPr>
        <w:t xml:space="preserve">2d. </w:t>
      </w:r>
      <w:r w:rsidR="00217D3B" w:rsidRPr="006937C2">
        <w:rPr>
          <w:b/>
          <w:color w:val="2F5496" w:themeColor="accent5" w:themeShade="BF"/>
          <w:sz w:val="24"/>
          <w:szCs w:val="24"/>
        </w:rPr>
        <w:t xml:space="preserve">Market </w:t>
      </w:r>
      <w:r w:rsidR="00DC7D65" w:rsidRPr="006937C2">
        <w:rPr>
          <w:b/>
          <w:color w:val="2F5496" w:themeColor="accent5" w:themeShade="BF"/>
          <w:sz w:val="24"/>
          <w:szCs w:val="24"/>
        </w:rPr>
        <w:t>Sectors and Development</w:t>
      </w:r>
      <w:r w:rsidR="00217D3B" w:rsidRPr="006937C2">
        <w:rPr>
          <w:b/>
          <w:color w:val="2F5496" w:themeColor="accent5" w:themeShade="BF"/>
          <w:sz w:val="24"/>
          <w:szCs w:val="24"/>
        </w:rPr>
        <w:t xml:space="preserve"> Opportunities</w:t>
      </w:r>
    </w:p>
    <w:p w14:paraId="205F7A36" w14:textId="420649E9" w:rsidR="00217D3B" w:rsidRDefault="00217D3B" w:rsidP="00217D3B">
      <w:r>
        <w:t xml:space="preserve">Hemp </w:t>
      </w:r>
      <w:r w:rsidR="00C76691">
        <w:t>is</w:t>
      </w:r>
      <w:r w:rsidR="00DC7D65">
        <w:t xml:space="preserve"> known to offer many </w:t>
      </w:r>
      <w:r>
        <w:t>diverse industrial applications</w:t>
      </w:r>
      <w:r w:rsidR="00DC7D65">
        <w:t xml:space="preserve"> some of which are already being developed in the Yorkshire region. Sectors include</w:t>
      </w:r>
      <w:r>
        <w:t>:</w:t>
      </w:r>
    </w:p>
    <w:p w14:paraId="09E0221E" w14:textId="77777777" w:rsidR="00217D3B" w:rsidRDefault="00217D3B" w:rsidP="00217D3B">
      <w:pPr>
        <w:pStyle w:val="ListParagraph"/>
        <w:numPr>
          <w:ilvl w:val="0"/>
          <w:numId w:val="2"/>
        </w:numPr>
      </w:pPr>
      <w:r>
        <w:t>Plant protein</w:t>
      </w:r>
    </w:p>
    <w:p w14:paraId="76898AB9" w14:textId="77777777" w:rsidR="00217D3B" w:rsidRDefault="00217D3B" w:rsidP="00217D3B">
      <w:pPr>
        <w:pStyle w:val="ListParagraph"/>
        <w:numPr>
          <w:ilvl w:val="0"/>
          <w:numId w:val="2"/>
        </w:numPr>
      </w:pPr>
      <w:r>
        <w:t>Bioplastics</w:t>
      </w:r>
    </w:p>
    <w:p w14:paraId="159BD365" w14:textId="136A93A5" w:rsidR="00217D3B" w:rsidRDefault="00217D3B" w:rsidP="00217D3B">
      <w:pPr>
        <w:pStyle w:val="ListParagraph"/>
        <w:numPr>
          <w:ilvl w:val="0"/>
          <w:numId w:val="2"/>
        </w:numPr>
      </w:pPr>
      <w:r w:rsidRPr="00217D3B">
        <w:t>Biofuels</w:t>
      </w:r>
    </w:p>
    <w:p w14:paraId="16098AA8" w14:textId="1C697B6D" w:rsidR="00217D3B" w:rsidRPr="004F45B7" w:rsidRDefault="00217D3B" w:rsidP="00217D3B">
      <w:pPr>
        <w:pStyle w:val="ListParagraph"/>
        <w:numPr>
          <w:ilvl w:val="0"/>
          <w:numId w:val="2"/>
        </w:numPr>
        <w:rPr>
          <w:b/>
        </w:rPr>
      </w:pPr>
      <w:r w:rsidRPr="004F45B7">
        <w:rPr>
          <w:b/>
        </w:rPr>
        <w:t>Construction materials</w:t>
      </w:r>
      <w:r w:rsidR="00B145A4">
        <w:rPr>
          <w:b/>
        </w:rPr>
        <w:t>*</w:t>
      </w:r>
      <w:r w:rsidRPr="004F45B7">
        <w:rPr>
          <w:b/>
        </w:rPr>
        <w:t xml:space="preserve"> </w:t>
      </w:r>
      <w:r w:rsidR="004F45B7" w:rsidRPr="004F45B7">
        <w:t xml:space="preserve">(see note below and </w:t>
      </w:r>
      <w:r w:rsidR="004F45B7" w:rsidRPr="00DA6A7A">
        <w:rPr>
          <w:b/>
          <w:i/>
        </w:rPr>
        <w:t>Appendix 2</w:t>
      </w:r>
      <w:r w:rsidR="004F45B7" w:rsidRPr="004F45B7">
        <w:t>).</w:t>
      </w:r>
    </w:p>
    <w:p w14:paraId="07191505" w14:textId="230EBC67" w:rsidR="00217D3B" w:rsidRDefault="00217D3B" w:rsidP="00217D3B">
      <w:pPr>
        <w:pStyle w:val="ListParagraph"/>
        <w:numPr>
          <w:ilvl w:val="0"/>
          <w:numId w:val="2"/>
        </w:numPr>
      </w:pPr>
      <w:r>
        <w:t xml:space="preserve">Food and beverages </w:t>
      </w:r>
    </w:p>
    <w:p w14:paraId="684806F4" w14:textId="075E872D" w:rsidR="00217D3B" w:rsidRDefault="00217D3B" w:rsidP="00217D3B">
      <w:pPr>
        <w:pStyle w:val="ListParagraph"/>
        <w:numPr>
          <w:ilvl w:val="0"/>
          <w:numId w:val="2"/>
        </w:numPr>
      </w:pPr>
      <w:r w:rsidRPr="00217D3B">
        <w:t>Food supplements</w:t>
      </w:r>
    </w:p>
    <w:p w14:paraId="2E3FA9F0" w14:textId="77777777" w:rsidR="00217D3B" w:rsidRDefault="00217D3B" w:rsidP="00217D3B">
      <w:pPr>
        <w:pStyle w:val="ListParagraph"/>
        <w:numPr>
          <w:ilvl w:val="0"/>
          <w:numId w:val="2"/>
        </w:numPr>
      </w:pPr>
      <w:r>
        <w:t xml:space="preserve">Textiles and fashion </w:t>
      </w:r>
    </w:p>
    <w:p w14:paraId="5B673A39" w14:textId="50746EF6" w:rsidR="00217D3B" w:rsidRDefault="00217D3B" w:rsidP="00217D3B">
      <w:pPr>
        <w:pStyle w:val="ListParagraph"/>
        <w:numPr>
          <w:ilvl w:val="0"/>
          <w:numId w:val="2"/>
        </w:numPr>
      </w:pPr>
      <w:r>
        <w:t>Paper</w:t>
      </w:r>
    </w:p>
    <w:p w14:paraId="223174FA" w14:textId="77777777" w:rsidR="00217D3B" w:rsidRDefault="00217D3B" w:rsidP="00217D3B">
      <w:pPr>
        <w:pStyle w:val="ListParagraph"/>
        <w:numPr>
          <w:ilvl w:val="0"/>
          <w:numId w:val="2"/>
        </w:numPr>
      </w:pPr>
      <w:r>
        <w:t xml:space="preserve">Composite panels (Automotive industry) </w:t>
      </w:r>
    </w:p>
    <w:p w14:paraId="5E614D3F" w14:textId="05FCF7C5" w:rsidR="00DC7D65" w:rsidRDefault="00DC7D65" w:rsidP="00DC7D65">
      <w:pPr>
        <w:rPr>
          <w:i/>
        </w:rPr>
      </w:pPr>
      <w:r w:rsidRPr="00DC7D65">
        <w:t>The</w:t>
      </w:r>
      <w:r>
        <w:t xml:space="preserve"> scale of opportunity for </w:t>
      </w:r>
      <w:r w:rsidRPr="00DC7D65">
        <w:t>industrial applications is considerable and global.  The worldwide movement towards creating environmentally responsible manufactured products places industrial hemp at the forefront of product innovation, with major s</w:t>
      </w:r>
      <w:r>
        <w:t>ocietal and economic benefits possible.</w:t>
      </w:r>
      <w:r w:rsidRPr="00DC7D65">
        <w:t xml:space="preserve"> </w:t>
      </w:r>
      <w:r>
        <w:t xml:space="preserve">For example, </w:t>
      </w:r>
      <w:r w:rsidRPr="004350CB">
        <w:rPr>
          <w:i/>
        </w:rPr>
        <w:t xml:space="preserve">“It has been calculated that the serial implementation of lightweight biomaterials on high volume vehicles will deliver a reduction of 40,000 tons of CO2 emissions and the ability to drive an additional 325 million kilometres with the same quantity of fuel.” – </w:t>
      </w:r>
      <w:proofErr w:type="spellStart"/>
      <w:r w:rsidRPr="004350CB">
        <w:rPr>
          <w:i/>
        </w:rPr>
        <w:t>Autocar</w:t>
      </w:r>
      <w:proofErr w:type="spellEnd"/>
      <w:r w:rsidRPr="004350CB">
        <w:rPr>
          <w:i/>
        </w:rPr>
        <w:t xml:space="preserve"> Pro News Desk 18 Mar</w:t>
      </w:r>
      <w:r w:rsidR="004350CB">
        <w:rPr>
          <w:i/>
        </w:rPr>
        <w:t>ch</w:t>
      </w:r>
      <w:r w:rsidRPr="004350CB">
        <w:rPr>
          <w:i/>
        </w:rPr>
        <w:t>, 2018</w:t>
      </w:r>
    </w:p>
    <w:p w14:paraId="3B6E690C" w14:textId="479B3CBE" w:rsidR="004F45B7" w:rsidRDefault="00B145A4" w:rsidP="00DC7D65">
      <w:r>
        <w:rPr>
          <w:b/>
        </w:rPr>
        <w:t>*</w:t>
      </w:r>
      <w:r w:rsidR="004F45B7" w:rsidRPr="004F45B7">
        <w:rPr>
          <w:b/>
        </w:rPr>
        <w:t>Construction Materials</w:t>
      </w:r>
      <w:r w:rsidR="004F45B7">
        <w:t xml:space="preserve"> - The YNY LEP Low Carbon team are already developing a project to explore </w:t>
      </w:r>
      <w:r w:rsidR="004F45B7" w:rsidRPr="004F45B7">
        <w:t>Bio</w:t>
      </w:r>
      <w:r w:rsidR="004F45B7">
        <w:t xml:space="preserve"> </w:t>
      </w:r>
      <w:r w:rsidR="004F45B7" w:rsidRPr="004F45B7">
        <w:t>based and Circular Construction in Yorkshire</w:t>
      </w:r>
      <w:r w:rsidR="004F45B7">
        <w:t xml:space="preserve"> (</w:t>
      </w:r>
      <w:proofErr w:type="spellStart"/>
      <w:r w:rsidR="004F45B7">
        <w:t>BaCCY</w:t>
      </w:r>
      <w:proofErr w:type="spellEnd"/>
      <w:r w:rsidR="004F45B7">
        <w:t xml:space="preserve">) and this project forms part of the overall </w:t>
      </w:r>
      <w:r w:rsidR="004F45B7" w:rsidRPr="004F45B7">
        <w:lastRenderedPageBreak/>
        <w:t>Carbon Neutral Circular Economy</w:t>
      </w:r>
      <w:r w:rsidR="004F45B7">
        <w:t xml:space="preserve"> strategy. One of the output of this Yorkshire Hemp Supply Chain project will be to feed into and inform </w:t>
      </w:r>
      <w:proofErr w:type="spellStart"/>
      <w:r w:rsidR="004F45B7">
        <w:t>BaCCY</w:t>
      </w:r>
      <w:proofErr w:type="spellEnd"/>
      <w:r w:rsidR="004F45B7">
        <w:t xml:space="preserve"> as shown at high-level in </w:t>
      </w:r>
      <w:r w:rsidR="004F45B7" w:rsidRPr="00DA6A7A">
        <w:rPr>
          <w:b/>
          <w:i/>
        </w:rPr>
        <w:t>Appendix 2</w:t>
      </w:r>
      <w:r w:rsidR="004F45B7">
        <w:rPr>
          <w:i/>
        </w:rPr>
        <w:t>.</w:t>
      </w:r>
      <w:r w:rsidRPr="00B145A4">
        <w:t xml:space="preserve"> </w:t>
      </w:r>
      <w:r w:rsidRPr="00B145A4">
        <w:rPr>
          <w:i/>
        </w:rPr>
        <w:t xml:space="preserve">”. </w:t>
      </w:r>
      <w:r w:rsidRPr="00B145A4">
        <w:t>Assuming the</w:t>
      </w:r>
      <w:r>
        <w:t xml:space="preserve"> two</w:t>
      </w:r>
      <w:r w:rsidRPr="00B145A4">
        <w:t xml:space="preserve"> pieces of work </w:t>
      </w:r>
      <w:r w:rsidR="00DA6A7A">
        <w:t>will be undertaken</w:t>
      </w:r>
      <w:r w:rsidRPr="00B145A4">
        <w:t xml:space="preserve"> </w:t>
      </w:r>
      <w:r>
        <w:t>in a similar timeframe</w:t>
      </w:r>
      <w:r w:rsidRPr="00B145A4">
        <w:t xml:space="preserve">, it is expected that the successful bidders for each piece of work will have an initial meeting to discuss methodology and overlap </w:t>
      </w:r>
      <w:r w:rsidR="00DA6A7A">
        <w:t xml:space="preserve">in order </w:t>
      </w:r>
      <w:r w:rsidRPr="00B145A4">
        <w:t xml:space="preserve">to minimise the potential for conflicting or confusing results. If the timelines are staggered, the project team for the front-running study must commit to a hand-over meeting with the second project team to pass over a clear understanding of methodologies used. See </w:t>
      </w:r>
      <w:r w:rsidR="00244196">
        <w:rPr>
          <w:b/>
          <w:i/>
        </w:rPr>
        <w:t>Appendix 3</w:t>
      </w:r>
      <w:r w:rsidRPr="00B145A4">
        <w:t xml:space="preserve"> for </w:t>
      </w:r>
      <w:r w:rsidR="00244196">
        <w:t xml:space="preserve">potential interaction or </w:t>
      </w:r>
      <w:r w:rsidRPr="00B145A4">
        <w:t>crossover points</w:t>
      </w:r>
      <w:r w:rsidR="00DA6A7A">
        <w:t xml:space="preserve"> between the two projects</w:t>
      </w:r>
      <w:r w:rsidR="00E471ED">
        <w:t>, where deemed appropriate</w:t>
      </w:r>
      <w:r w:rsidRPr="00B145A4">
        <w:t>.</w:t>
      </w:r>
      <w:r w:rsidR="00E471ED">
        <w:t xml:space="preserve"> </w:t>
      </w:r>
    </w:p>
    <w:p w14:paraId="74A74443" w14:textId="77777777" w:rsidR="00133428" w:rsidRPr="00B145A4" w:rsidRDefault="00133428" w:rsidP="00DC7D65"/>
    <w:p w14:paraId="25E35814" w14:textId="396C7BEB" w:rsidR="00591237" w:rsidRPr="00D336BD" w:rsidRDefault="004350CB" w:rsidP="00D336BD">
      <w:pPr>
        <w:pStyle w:val="ListParagraph"/>
        <w:numPr>
          <w:ilvl w:val="0"/>
          <w:numId w:val="15"/>
        </w:numPr>
        <w:rPr>
          <w:b/>
          <w:sz w:val="28"/>
          <w:szCs w:val="28"/>
        </w:rPr>
      </w:pPr>
      <w:r w:rsidRPr="00D336BD">
        <w:rPr>
          <w:b/>
          <w:sz w:val="28"/>
          <w:szCs w:val="28"/>
        </w:rPr>
        <w:t xml:space="preserve">Yorkshire Hemp Supply Chain </w:t>
      </w:r>
      <w:r w:rsidR="00770E49" w:rsidRPr="00D336BD">
        <w:rPr>
          <w:b/>
          <w:sz w:val="28"/>
          <w:szCs w:val="28"/>
        </w:rPr>
        <w:t xml:space="preserve">– </w:t>
      </w:r>
      <w:r w:rsidR="00E471ED">
        <w:rPr>
          <w:b/>
          <w:sz w:val="28"/>
          <w:szCs w:val="28"/>
        </w:rPr>
        <w:t>Aims, Objectives and Outputs</w:t>
      </w:r>
      <w:r w:rsidRPr="00D336BD">
        <w:rPr>
          <w:b/>
          <w:sz w:val="28"/>
          <w:szCs w:val="28"/>
        </w:rPr>
        <w:t xml:space="preserve"> </w:t>
      </w:r>
    </w:p>
    <w:p w14:paraId="1DB6C040" w14:textId="799F118A" w:rsidR="00326A3D" w:rsidRPr="006937C2" w:rsidRDefault="006937C2" w:rsidP="00326A3D">
      <w:pPr>
        <w:rPr>
          <w:b/>
          <w:color w:val="2F5496" w:themeColor="accent5" w:themeShade="BF"/>
          <w:sz w:val="24"/>
          <w:szCs w:val="24"/>
        </w:rPr>
      </w:pPr>
      <w:r w:rsidRPr="006937C2">
        <w:rPr>
          <w:b/>
          <w:color w:val="2F5496" w:themeColor="accent5" w:themeShade="BF"/>
          <w:sz w:val="24"/>
          <w:szCs w:val="24"/>
        </w:rPr>
        <w:t xml:space="preserve">3a. </w:t>
      </w:r>
      <w:r w:rsidR="00C356F7">
        <w:rPr>
          <w:b/>
          <w:color w:val="2F5496" w:themeColor="accent5" w:themeShade="BF"/>
          <w:sz w:val="24"/>
          <w:szCs w:val="24"/>
        </w:rPr>
        <w:t>Aims</w:t>
      </w:r>
      <w:r w:rsidR="00591237" w:rsidRPr="006937C2">
        <w:rPr>
          <w:b/>
          <w:color w:val="2F5496" w:themeColor="accent5" w:themeShade="BF"/>
          <w:sz w:val="24"/>
          <w:szCs w:val="24"/>
        </w:rPr>
        <w:t>:</w:t>
      </w:r>
    </w:p>
    <w:p w14:paraId="0F4739D0" w14:textId="77777777" w:rsidR="00062E42" w:rsidRDefault="00C356F7" w:rsidP="00C356F7">
      <w:r w:rsidRPr="00035F72">
        <w:t>The successful delivery of this project will</w:t>
      </w:r>
      <w:r w:rsidR="00062E42">
        <w:t>:</w:t>
      </w:r>
    </w:p>
    <w:p w14:paraId="11297DC5" w14:textId="77777777" w:rsidR="004A3AA6" w:rsidRPr="00E471ED" w:rsidRDefault="00B219D8" w:rsidP="004A3AA6">
      <w:pPr>
        <w:pStyle w:val="ListParagraph"/>
        <w:numPr>
          <w:ilvl w:val="0"/>
          <w:numId w:val="17"/>
        </w:numPr>
      </w:pPr>
      <w:r w:rsidRPr="00E471ED">
        <w:t xml:space="preserve">Map out the </w:t>
      </w:r>
      <w:r w:rsidR="004A3AA6" w:rsidRPr="00E471ED">
        <w:t>Hemp production supply chain (farm to finished product)</w:t>
      </w:r>
    </w:p>
    <w:p w14:paraId="7E67FED7" w14:textId="3E4B9DAD" w:rsidR="004A3AA6" w:rsidRPr="00E471ED" w:rsidRDefault="004A3AA6" w:rsidP="004A3AA6">
      <w:pPr>
        <w:pStyle w:val="ListParagraph"/>
        <w:numPr>
          <w:ilvl w:val="0"/>
          <w:numId w:val="17"/>
        </w:numPr>
        <w:spacing w:after="0" w:line="240" w:lineRule="auto"/>
        <w:jc w:val="both"/>
        <w:rPr>
          <w:rFonts w:cstheme="minorHAnsi"/>
        </w:rPr>
      </w:pPr>
      <w:r w:rsidRPr="00E471ED">
        <w:rPr>
          <w:rFonts w:cstheme="minorHAnsi"/>
        </w:rPr>
        <w:t xml:space="preserve">Gather intelligence on current </w:t>
      </w:r>
      <w:r w:rsidR="009D5FDA" w:rsidRPr="00E471ED">
        <w:rPr>
          <w:rFonts w:cstheme="minorHAnsi"/>
        </w:rPr>
        <w:t xml:space="preserve">supplier requirements to support, in the development of our regional SME’s </w:t>
      </w:r>
      <w:r w:rsidRPr="00E471ED">
        <w:rPr>
          <w:rFonts w:cstheme="minorHAnsi"/>
        </w:rPr>
        <w:t xml:space="preserve">with an ambition to grow </w:t>
      </w:r>
    </w:p>
    <w:p w14:paraId="40A9E9D2" w14:textId="5755CD36" w:rsidR="00B219D8" w:rsidRDefault="00B219D8" w:rsidP="004A3AA6">
      <w:pPr>
        <w:pStyle w:val="ListParagraph"/>
        <w:numPr>
          <w:ilvl w:val="0"/>
          <w:numId w:val="17"/>
        </w:numPr>
      </w:pPr>
      <w:r w:rsidRPr="00035F72">
        <w:t>Inform</w:t>
      </w:r>
      <w:r w:rsidR="00C356F7">
        <w:t xml:space="preserve"> </w:t>
      </w:r>
      <w:r>
        <w:t xml:space="preserve">on </w:t>
      </w:r>
      <w:r w:rsidR="00C356F7">
        <w:t xml:space="preserve">the opportunities to further develop the supply chain associated with hemp production in the region and therefore support any further projects and funding bids.  </w:t>
      </w:r>
    </w:p>
    <w:p w14:paraId="05ACF084" w14:textId="38AE1FD1" w:rsidR="00062E42" w:rsidRDefault="00E471ED" w:rsidP="00B219D8">
      <w:r>
        <w:t xml:space="preserve">Note: </w:t>
      </w:r>
      <w:r w:rsidR="00C356F7">
        <w:t>It is</w:t>
      </w:r>
      <w:r w:rsidR="00C356F7" w:rsidRPr="00035F72">
        <w:t xml:space="preserve"> anticipa</w:t>
      </w:r>
      <w:r w:rsidR="00C356F7">
        <w:t>ted that central Government may</w:t>
      </w:r>
      <w:r w:rsidR="00C356F7" w:rsidRPr="00035F72">
        <w:t xml:space="preserve"> make additional funding available for regional development and as such, the LEP are working on the expectation that there may be an opportunity to bid for </w:t>
      </w:r>
      <w:r>
        <w:t xml:space="preserve">further </w:t>
      </w:r>
      <w:r w:rsidR="00C356F7" w:rsidRPr="00035F72">
        <w:t xml:space="preserve">funds </w:t>
      </w:r>
      <w:r>
        <w:t xml:space="preserve">soon. </w:t>
      </w:r>
    </w:p>
    <w:p w14:paraId="0D99BE9D" w14:textId="44866E41" w:rsidR="00B145A4" w:rsidRPr="002C22C2" w:rsidRDefault="00B145A4" w:rsidP="00C356F7">
      <w:r w:rsidRPr="00B145A4">
        <w:t>Beyond</w:t>
      </w:r>
      <w:r w:rsidR="005E7088">
        <w:t xml:space="preserve"> the </w:t>
      </w:r>
      <w:r w:rsidRPr="00B145A4">
        <w:t xml:space="preserve">imminent </w:t>
      </w:r>
      <w:r w:rsidR="005E7088">
        <w:t>expectation of government funding</w:t>
      </w:r>
      <w:r w:rsidRPr="00B145A4">
        <w:t xml:space="preserve">, we </w:t>
      </w:r>
      <w:r w:rsidR="005E7088">
        <w:t>anticipate that this project wi</w:t>
      </w:r>
      <w:r w:rsidR="00E471ED">
        <w:t>ll</w:t>
      </w:r>
      <w:r w:rsidR="005E7088">
        <w:t xml:space="preserve"> identify</w:t>
      </w:r>
      <w:r w:rsidRPr="00B145A4">
        <w:t xml:space="preserve"> specific opportunities </w:t>
      </w:r>
      <w:r w:rsidRPr="00E471ED">
        <w:t>for</w:t>
      </w:r>
      <w:r w:rsidR="009D5FDA" w:rsidRPr="00E471ED">
        <w:t xml:space="preserve"> our regional SME community as well as for</w:t>
      </w:r>
      <w:r w:rsidRPr="00E471ED">
        <w:t xml:space="preserve"> </w:t>
      </w:r>
      <w:r w:rsidRPr="00B145A4">
        <w:t>investment, be it publi</w:t>
      </w:r>
      <w:r w:rsidR="005E7088">
        <w:t>c or private, beyond early 2021.</w:t>
      </w:r>
    </w:p>
    <w:p w14:paraId="24B05D39" w14:textId="42313233" w:rsidR="00035F72" w:rsidRPr="006937C2" w:rsidRDefault="006937C2" w:rsidP="006937C2">
      <w:pPr>
        <w:rPr>
          <w:b/>
          <w:color w:val="2F5496" w:themeColor="accent5" w:themeShade="BF"/>
          <w:sz w:val="24"/>
          <w:szCs w:val="24"/>
        </w:rPr>
      </w:pPr>
      <w:r w:rsidRPr="006937C2">
        <w:rPr>
          <w:b/>
          <w:color w:val="2F5496" w:themeColor="accent5" w:themeShade="BF"/>
          <w:sz w:val="24"/>
          <w:szCs w:val="24"/>
        </w:rPr>
        <w:t xml:space="preserve">3b. </w:t>
      </w:r>
      <w:r w:rsidR="00035F72" w:rsidRPr="006937C2">
        <w:rPr>
          <w:b/>
          <w:color w:val="2F5496" w:themeColor="accent5" w:themeShade="BF"/>
          <w:sz w:val="24"/>
          <w:szCs w:val="24"/>
        </w:rPr>
        <w:t xml:space="preserve">Project </w:t>
      </w:r>
      <w:r w:rsidR="00C356F7">
        <w:rPr>
          <w:b/>
          <w:color w:val="2F5496" w:themeColor="accent5" w:themeShade="BF"/>
          <w:sz w:val="24"/>
          <w:szCs w:val="24"/>
        </w:rPr>
        <w:t>Objectives</w:t>
      </w:r>
      <w:r w:rsidRPr="006937C2">
        <w:rPr>
          <w:b/>
          <w:color w:val="2F5496" w:themeColor="accent5" w:themeShade="BF"/>
          <w:sz w:val="24"/>
          <w:szCs w:val="24"/>
        </w:rPr>
        <w:t>:</w:t>
      </w:r>
    </w:p>
    <w:p w14:paraId="183150EA" w14:textId="77777777" w:rsidR="00C356F7" w:rsidRPr="00591237" w:rsidRDefault="00C356F7" w:rsidP="00C356F7">
      <w:pPr>
        <w:rPr>
          <w:b/>
        </w:rPr>
      </w:pPr>
      <w:r>
        <w:rPr>
          <w:b/>
        </w:rPr>
        <w:t xml:space="preserve">Key </w:t>
      </w:r>
      <w:r w:rsidRPr="00591237">
        <w:rPr>
          <w:b/>
        </w:rPr>
        <w:t>Business O</w:t>
      </w:r>
      <w:r>
        <w:rPr>
          <w:b/>
        </w:rPr>
        <w:t>bjective</w:t>
      </w:r>
      <w:r w:rsidRPr="00591237">
        <w:rPr>
          <w:b/>
        </w:rPr>
        <w:t>:</w:t>
      </w:r>
    </w:p>
    <w:p w14:paraId="36F9F17B" w14:textId="3ADBB9A9" w:rsidR="00C356F7" w:rsidRDefault="00C356F7" w:rsidP="00C356F7">
      <w:r>
        <w:t xml:space="preserve">As stated above in the Project Overview, </w:t>
      </w:r>
      <w:r w:rsidR="00E471ED">
        <w:t>we</w:t>
      </w:r>
      <w:r>
        <w:t xml:space="preserve"> want to understand the current Yorkshire based hemp supply chain and what the short term and long-term opportunities are.</w:t>
      </w:r>
    </w:p>
    <w:p w14:paraId="2DB1D8AC" w14:textId="77777777" w:rsidR="00C356F7" w:rsidRDefault="00C356F7" w:rsidP="00C356F7">
      <w:pPr>
        <w:rPr>
          <w:b/>
        </w:rPr>
      </w:pPr>
      <w:r w:rsidRPr="00A96F65">
        <w:rPr>
          <w:b/>
        </w:rPr>
        <w:t xml:space="preserve">Key </w:t>
      </w:r>
      <w:r>
        <w:rPr>
          <w:b/>
        </w:rPr>
        <w:t xml:space="preserve">Project </w:t>
      </w:r>
      <w:r w:rsidRPr="00A96F65">
        <w:rPr>
          <w:b/>
        </w:rPr>
        <w:t>Objectives</w:t>
      </w:r>
      <w:r>
        <w:rPr>
          <w:b/>
        </w:rPr>
        <w:t>:</w:t>
      </w:r>
    </w:p>
    <w:p w14:paraId="1AD201EC" w14:textId="77777777" w:rsidR="00C356F7" w:rsidRPr="00E651EA" w:rsidRDefault="00C356F7" w:rsidP="00C356F7">
      <w:r w:rsidRPr="00E651EA">
        <w:t>To gain a detailed understanding of:</w:t>
      </w:r>
    </w:p>
    <w:p w14:paraId="05A0807F" w14:textId="33F45092" w:rsidR="00C356F7" w:rsidRDefault="00C356F7" w:rsidP="00C356F7">
      <w:pPr>
        <w:pStyle w:val="ListParagraph"/>
        <w:numPr>
          <w:ilvl w:val="0"/>
          <w:numId w:val="3"/>
        </w:numPr>
      </w:pPr>
      <w:r>
        <w:t>The current supply chain associated with th</w:t>
      </w:r>
      <w:r w:rsidR="00B145A4">
        <w:t>e growing of hemp and production of hemp based products</w:t>
      </w:r>
      <w:r>
        <w:t xml:space="preserve"> in the Yorkshire region. An end-to-end supply chain mapping exercise is required.</w:t>
      </w:r>
    </w:p>
    <w:p w14:paraId="796E3FBB" w14:textId="77777777" w:rsidR="00C356F7" w:rsidRDefault="00C356F7" w:rsidP="00C356F7">
      <w:pPr>
        <w:pStyle w:val="ListParagraph"/>
        <w:numPr>
          <w:ilvl w:val="1"/>
          <w:numId w:val="3"/>
        </w:numPr>
      </w:pPr>
      <w:r w:rsidRPr="00E651EA">
        <w:t>Detail current organisations/businesses associated with the primary supply chain bringing together relevant organisations.</w:t>
      </w:r>
    </w:p>
    <w:p w14:paraId="158FE099" w14:textId="77777777" w:rsidR="00C356F7" w:rsidRDefault="00C356F7" w:rsidP="00C356F7">
      <w:pPr>
        <w:pStyle w:val="ListParagraph"/>
        <w:numPr>
          <w:ilvl w:val="1"/>
          <w:numId w:val="3"/>
        </w:numPr>
      </w:pPr>
      <w:r w:rsidRPr="00E651EA">
        <w:t>Detail</w:t>
      </w:r>
      <w:r>
        <w:t xml:space="preserve"> the relationships between the</w:t>
      </w:r>
      <w:r w:rsidRPr="00E651EA">
        <w:t xml:space="preserve"> primary suppliers and customers</w:t>
      </w:r>
      <w:r>
        <w:t xml:space="preserve"> (up and down the supply chain)</w:t>
      </w:r>
    </w:p>
    <w:p w14:paraId="4BA80434" w14:textId="77777777" w:rsidR="00C356F7" w:rsidRDefault="00C356F7" w:rsidP="00C356F7">
      <w:pPr>
        <w:pStyle w:val="ListParagraph"/>
        <w:numPr>
          <w:ilvl w:val="1"/>
          <w:numId w:val="3"/>
        </w:numPr>
      </w:pPr>
      <w:r>
        <w:t>Quantify existing capacities</w:t>
      </w:r>
    </w:p>
    <w:p w14:paraId="07B628B1" w14:textId="3F90AF6D" w:rsidR="00C356F7" w:rsidRDefault="00C356F7" w:rsidP="00C356F7">
      <w:pPr>
        <w:pStyle w:val="ListParagraph"/>
        <w:numPr>
          <w:ilvl w:val="1"/>
          <w:numId w:val="3"/>
        </w:numPr>
      </w:pPr>
      <w:r>
        <w:lastRenderedPageBreak/>
        <w:t>Detail all channels or vertical sectors (e.g. Construction, Textiles etc</w:t>
      </w:r>
      <w:r w:rsidR="00B145A4">
        <w:t>.</w:t>
      </w:r>
      <w:r>
        <w:t>)</w:t>
      </w:r>
    </w:p>
    <w:p w14:paraId="7243D40E" w14:textId="77777777" w:rsidR="00C356F7" w:rsidRDefault="00C356F7" w:rsidP="00C356F7">
      <w:pPr>
        <w:pStyle w:val="ListParagraph"/>
        <w:numPr>
          <w:ilvl w:val="0"/>
          <w:numId w:val="3"/>
        </w:numPr>
      </w:pPr>
      <w:r>
        <w:t>What are the opportunities to make the current supply chain more effective and resilient perhaps by improved use of local SMEs as suppliers?</w:t>
      </w:r>
    </w:p>
    <w:p w14:paraId="2F2B2169" w14:textId="77777777" w:rsidR="00C356F7" w:rsidRDefault="00C356F7" w:rsidP="00C356F7">
      <w:pPr>
        <w:pStyle w:val="ListParagraph"/>
        <w:numPr>
          <w:ilvl w:val="1"/>
          <w:numId w:val="3"/>
        </w:numPr>
      </w:pPr>
      <w:r>
        <w:t>What are the gaps in the supply chain currently (where are services being carried out outside the region)?</w:t>
      </w:r>
      <w:r w:rsidRPr="00033A21">
        <w:t xml:space="preserve"> </w:t>
      </w:r>
    </w:p>
    <w:p w14:paraId="24AD8A98" w14:textId="77777777" w:rsidR="00C356F7" w:rsidRDefault="00C356F7" w:rsidP="00C356F7">
      <w:pPr>
        <w:pStyle w:val="ListParagraph"/>
        <w:numPr>
          <w:ilvl w:val="1"/>
          <w:numId w:val="3"/>
        </w:numPr>
      </w:pPr>
      <w:r w:rsidRPr="00033A21">
        <w:t>Explore opportunities for improvements in the supply chain process (i.e. where is the centre of gravity? Can local suppliers be used to reduce road miles</w:t>
      </w:r>
      <w:r>
        <w:t xml:space="preserve">? </w:t>
      </w:r>
      <w:proofErr w:type="gramStart"/>
      <w:r>
        <w:t>e.g</w:t>
      </w:r>
      <w:proofErr w:type="gramEnd"/>
      <w:r>
        <w:t>. suppliers of packaging, transport etc.)</w:t>
      </w:r>
    </w:p>
    <w:p w14:paraId="30AAADB4" w14:textId="33F4BBF4" w:rsidR="00C356F7" w:rsidRDefault="00C356F7" w:rsidP="00C356F7">
      <w:pPr>
        <w:pStyle w:val="ListParagraph"/>
        <w:numPr>
          <w:ilvl w:val="0"/>
          <w:numId w:val="3"/>
        </w:numPr>
      </w:pPr>
      <w:r>
        <w:t>Where are the opportunities for future</w:t>
      </w:r>
      <w:r w:rsidR="00B145A4">
        <w:t xml:space="preserve"> improvements to the Yorkshire supply c</w:t>
      </w:r>
      <w:r>
        <w:t xml:space="preserve">hain? </w:t>
      </w:r>
    </w:p>
    <w:p w14:paraId="1ED6ACFB" w14:textId="77777777" w:rsidR="00C356F7" w:rsidRDefault="00C356F7" w:rsidP="00C356F7">
      <w:pPr>
        <w:pStyle w:val="ListParagraph"/>
        <w:numPr>
          <w:ilvl w:val="1"/>
          <w:numId w:val="3"/>
        </w:numPr>
      </w:pPr>
      <w:r>
        <w:t>New technologies</w:t>
      </w:r>
    </w:p>
    <w:p w14:paraId="2CB6E3D0" w14:textId="77777777" w:rsidR="00C356F7" w:rsidRDefault="00C356F7" w:rsidP="00C356F7">
      <w:pPr>
        <w:pStyle w:val="ListParagraph"/>
        <w:numPr>
          <w:ilvl w:val="1"/>
          <w:numId w:val="3"/>
        </w:numPr>
      </w:pPr>
      <w:r>
        <w:t>Improved visibility (i.e. control tower approach, digital techniques)</w:t>
      </w:r>
    </w:p>
    <w:p w14:paraId="7F4E791A" w14:textId="77777777" w:rsidR="00C356F7" w:rsidRDefault="00C356F7" w:rsidP="00C356F7">
      <w:pPr>
        <w:pStyle w:val="ListParagraph"/>
        <w:numPr>
          <w:ilvl w:val="1"/>
          <w:numId w:val="3"/>
        </w:numPr>
      </w:pPr>
      <w:r>
        <w:t>Investment</w:t>
      </w:r>
    </w:p>
    <w:p w14:paraId="0088D2C9" w14:textId="77777777" w:rsidR="00C356F7" w:rsidRDefault="00C356F7" w:rsidP="00C356F7">
      <w:pPr>
        <w:pStyle w:val="ListParagraph"/>
        <w:numPr>
          <w:ilvl w:val="1"/>
          <w:numId w:val="3"/>
        </w:numPr>
      </w:pPr>
      <w:r>
        <w:t>Skills</w:t>
      </w:r>
    </w:p>
    <w:p w14:paraId="1C0B11B5" w14:textId="77777777" w:rsidR="00C356F7" w:rsidRDefault="00C356F7" w:rsidP="00C356F7">
      <w:pPr>
        <w:pStyle w:val="ListParagraph"/>
        <w:numPr>
          <w:ilvl w:val="1"/>
          <w:numId w:val="3"/>
        </w:numPr>
      </w:pPr>
      <w:r>
        <w:t>Environmental policy</w:t>
      </w:r>
    </w:p>
    <w:p w14:paraId="44BD2AD6" w14:textId="77777777" w:rsidR="00C356F7" w:rsidRDefault="00C356F7" w:rsidP="00C356F7">
      <w:pPr>
        <w:pStyle w:val="ListParagraph"/>
      </w:pPr>
    </w:p>
    <w:p w14:paraId="7C57ED71" w14:textId="142EF2CB" w:rsidR="0035637C" w:rsidRPr="00E471ED" w:rsidRDefault="00F7078F" w:rsidP="00E471ED">
      <w:pPr>
        <w:rPr>
          <w:b/>
          <w:color w:val="2F5496" w:themeColor="accent5" w:themeShade="BF"/>
          <w:sz w:val="24"/>
          <w:szCs w:val="24"/>
        </w:rPr>
      </w:pPr>
      <w:r>
        <w:rPr>
          <w:b/>
          <w:color w:val="2F5496" w:themeColor="accent5" w:themeShade="BF"/>
          <w:sz w:val="24"/>
          <w:szCs w:val="24"/>
        </w:rPr>
        <w:t>3c</w:t>
      </w:r>
      <w:r w:rsidR="006937C2" w:rsidRPr="006937C2">
        <w:rPr>
          <w:b/>
          <w:color w:val="2F5496" w:themeColor="accent5" w:themeShade="BF"/>
          <w:sz w:val="24"/>
          <w:szCs w:val="24"/>
        </w:rPr>
        <w:t xml:space="preserve">. </w:t>
      </w:r>
      <w:r w:rsidR="00C40D26" w:rsidRPr="006937C2">
        <w:rPr>
          <w:b/>
          <w:color w:val="2F5496" w:themeColor="accent5" w:themeShade="BF"/>
          <w:sz w:val="24"/>
          <w:szCs w:val="24"/>
        </w:rPr>
        <w:t xml:space="preserve">Project </w:t>
      </w:r>
      <w:r w:rsidR="00716737">
        <w:rPr>
          <w:b/>
          <w:color w:val="2F5496" w:themeColor="accent5" w:themeShade="BF"/>
          <w:sz w:val="24"/>
          <w:szCs w:val="24"/>
        </w:rPr>
        <w:t xml:space="preserve">Milestones and </w:t>
      </w:r>
      <w:r w:rsidR="00C40D26" w:rsidRPr="006937C2">
        <w:rPr>
          <w:b/>
          <w:color w:val="2F5496" w:themeColor="accent5" w:themeShade="BF"/>
          <w:sz w:val="24"/>
          <w:szCs w:val="24"/>
        </w:rPr>
        <w:t>Timescales:</w:t>
      </w:r>
    </w:p>
    <w:tbl>
      <w:tblPr>
        <w:tblStyle w:val="TableGrid"/>
        <w:tblW w:w="0" w:type="auto"/>
        <w:tblLook w:val="04A0" w:firstRow="1" w:lastRow="0" w:firstColumn="1" w:lastColumn="0" w:noHBand="0" w:noVBand="1"/>
      </w:tblPr>
      <w:tblGrid>
        <w:gridCol w:w="5524"/>
        <w:gridCol w:w="3362"/>
      </w:tblGrid>
      <w:tr w:rsidR="004709A6" w:rsidRPr="004709A6" w14:paraId="74188943" w14:textId="77777777" w:rsidTr="008357DE">
        <w:trPr>
          <w:trHeight w:val="277"/>
        </w:trPr>
        <w:tc>
          <w:tcPr>
            <w:tcW w:w="5524" w:type="dxa"/>
          </w:tcPr>
          <w:p w14:paraId="543D142A" w14:textId="77777777" w:rsidR="0035637C" w:rsidRPr="004709A6" w:rsidRDefault="0035637C" w:rsidP="0035637C">
            <w:pPr>
              <w:pStyle w:val="ListParagraph"/>
              <w:numPr>
                <w:ilvl w:val="0"/>
                <w:numId w:val="14"/>
              </w:numPr>
              <w:rPr>
                <w:rFonts w:cstheme="minorHAnsi"/>
              </w:rPr>
            </w:pPr>
            <w:r w:rsidRPr="004709A6">
              <w:rPr>
                <w:rFonts w:eastAsia="Times New Roman" w:cstheme="minorHAnsi"/>
                <w:lang w:eastAsia="en-GB"/>
              </w:rPr>
              <w:t>Tender advertised</w:t>
            </w:r>
          </w:p>
        </w:tc>
        <w:tc>
          <w:tcPr>
            <w:tcW w:w="3362" w:type="dxa"/>
          </w:tcPr>
          <w:p w14:paraId="463B82DF" w14:textId="5029E98E" w:rsidR="0035637C" w:rsidRPr="004709A6" w:rsidRDefault="0035637C" w:rsidP="00E471ED">
            <w:pPr>
              <w:rPr>
                <w:rFonts w:cstheme="minorHAnsi"/>
              </w:rPr>
            </w:pPr>
            <w:r w:rsidRPr="004709A6">
              <w:rPr>
                <w:rFonts w:eastAsia="Times New Roman" w:cstheme="minorHAnsi"/>
                <w:lang w:eastAsia="en-GB"/>
              </w:rPr>
              <w:t>w/c 2</w:t>
            </w:r>
            <w:r w:rsidR="00E471ED" w:rsidRPr="004709A6">
              <w:rPr>
                <w:rFonts w:eastAsia="Times New Roman" w:cstheme="minorHAnsi"/>
                <w:lang w:eastAsia="en-GB"/>
              </w:rPr>
              <w:t>3rd</w:t>
            </w:r>
            <w:r w:rsidRPr="004709A6">
              <w:rPr>
                <w:rFonts w:eastAsia="Times New Roman" w:cstheme="minorHAnsi"/>
                <w:lang w:eastAsia="en-GB"/>
              </w:rPr>
              <w:t xml:space="preserve"> November 2020</w:t>
            </w:r>
          </w:p>
        </w:tc>
      </w:tr>
      <w:tr w:rsidR="004709A6" w:rsidRPr="004709A6" w14:paraId="4DE271FD" w14:textId="77777777" w:rsidTr="008357DE">
        <w:trPr>
          <w:trHeight w:val="277"/>
        </w:trPr>
        <w:tc>
          <w:tcPr>
            <w:tcW w:w="5524" w:type="dxa"/>
          </w:tcPr>
          <w:p w14:paraId="6C56D0E3" w14:textId="77777777" w:rsidR="0035637C" w:rsidRPr="004709A6" w:rsidRDefault="0035637C" w:rsidP="0035637C">
            <w:pPr>
              <w:pStyle w:val="ListParagraph"/>
              <w:numPr>
                <w:ilvl w:val="0"/>
                <w:numId w:val="14"/>
              </w:numPr>
              <w:rPr>
                <w:rFonts w:eastAsia="Times New Roman" w:cstheme="minorHAnsi"/>
                <w:lang w:eastAsia="en-GB"/>
              </w:rPr>
            </w:pPr>
            <w:r w:rsidRPr="004709A6">
              <w:rPr>
                <w:rFonts w:eastAsia="Times New Roman" w:cstheme="minorHAnsi"/>
                <w:lang w:eastAsia="en-GB"/>
              </w:rPr>
              <w:t>Final submission of queries and questions regarding tender</w:t>
            </w:r>
          </w:p>
        </w:tc>
        <w:tc>
          <w:tcPr>
            <w:tcW w:w="3362" w:type="dxa"/>
          </w:tcPr>
          <w:p w14:paraId="599896EA" w14:textId="295A6A81" w:rsidR="0035637C" w:rsidRPr="004709A6" w:rsidRDefault="0035637C" w:rsidP="00051FEE">
            <w:pPr>
              <w:rPr>
                <w:rFonts w:eastAsia="Times New Roman" w:cstheme="minorHAnsi"/>
                <w:lang w:eastAsia="en-GB"/>
              </w:rPr>
            </w:pPr>
            <w:r w:rsidRPr="004709A6">
              <w:rPr>
                <w:rFonts w:eastAsia="Times New Roman" w:cstheme="minorHAnsi"/>
                <w:lang w:eastAsia="en-GB"/>
              </w:rPr>
              <w:t xml:space="preserve">Noon Monday </w:t>
            </w:r>
            <w:r w:rsidR="00051FEE">
              <w:rPr>
                <w:rFonts w:eastAsia="Times New Roman" w:cstheme="minorHAnsi"/>
                <w:lang w:eastAsia="en-GB"/>
              </w:rPr>
              <w:t>14</w:t>
            </w:r>
            <w:r w:rsidR="00921F03" w:rsidRPr="004709A6">
              <w:rPr>
                <w:rFonts w:eastAsia="Times New Roman" w:cstheme="minorHAnsi"/>
                <w:lang w:eastAsia="en-GB"/>
              </w:rPr>
              <w:t>th</w:t>
            </w:r>
            <w:r w:rsidRPr="004709A6">
              <w:rPr>
                <w:rFonts w:eastAsia="Times New Roman" w:cstheme="minorHAnsi"/>
                <w:lang w:eastAsia="en-GB"/>
              </w:rPr>
              <w:t xml:space="preserve"> </w:t>
            </w:r>
            <w:r w:rsidR="00921F03" w:rsidRPr="004709A6">
              <w:rPr>
                <w:rFonts w:eastAsia="Times New Roman" w:cstheme="minorHAnsi"/>
                <w:lang w:eastAsia="en-GB"/>
              </w:rPr>
              <w:t>December</w:t>
            </w:r>
            <w:r w:rsidRPr="004709A6">
              <w:rPr>
                <w:rFonts w:eastAsia="Times New Roman" w:cstheme="minorHAnsi"/>
                <w:lang w:eastAsia="en-GB"/>
              </w:rPr>
              <w:t xml:space="preserve"> 2020</w:t>
            </w:r>
          </w:p>
        </w:tc>
      </w:tr>
      <w:tr w:rsidR="004709A6" w:rsidRPr="004709A6" w14:paraId="66BC0894" w14:textId="77777777" w:rsidTr="008357DE">
        <w:trPr>
          <w:trHeight w:val="277"/>
        </w:trPr>
        <w:tc>
          <w:tcPr>
            <w:tcW w:w="5524" w:type="dxa"/>
          </w:tcPr>
          <w:p w14:paraId="033BCEBB" w14:textId="77777777" w:rsidR="0035637C" w:rsidRPr="004709A6" w:rsidRDefault="0035637C" w:rsidP="0035637C">
            <w:pPr>
              <w:pStyle w:val="ListParagraph"/>
              <w:numPr>
                <w:ilvl w:val="0"/>
                <w:numId w:val="14"/>
              </w:numPr>
              <w:rPr>
                <w:rFonts w:cstheme="minorHAnsi"/>
                <w:b/>
              </w:rPr>
            </w:pPr>
            <w:r w:rsidRPr="004709A6">
              <w:rPr>
                <w:rFonts w:eastAsia="Times New Roman" w:cstheme="minorHAnsi"/>
                <w:b/>
                <w:lang w:eastAsia="en-GB"/>
              </w:rPr>
              <w:t>Closing date for submissions</w:t>
            </w:r>
          </w:p>
        </w:tc>
        <w:tc>
          <w:tcPr>
            <w:tcW w:w="3362" w:type="dxa"/>
          </w:tcPr>
          <w:p w14:paraId="28768AEA" w14:textId="06233229" w:rsidR="0035637C" w:rsidRPr="004709A6" w:rsidRDefault="00F7078F" w:rsidP="00051FEE">
            <w:pPr>
              <w:rPr>
                <w:rFonts w:cstheme="minorHAnsi"/>
                <w:b/>
              </w:rPr>
            </w:pPr>
            <w:r w:rsidRPr="004709A6">
              <w:rPr>
                <w:rFonts w:eastAsia="Times New Roman" w:cstheme="minorHAnsi"/>
                <w:b/>
                <w:lang w:eastAsia="en-GB"/>
              </w:rPr>
              <w:t>Noon</w:t>
            </w:r>
            <w:r w:rsidR="0035637C" w:rsidRPr="004709A6">
              <w:rPr>
                <w:rFonts w:eastAsia="Times New Roman" w:cstheme="minorHAnsi"/>
                <w:b/>
                <w:lang w:eastAsia="en-GB"/>
              </w:rPr>
              <w:t xml:space="preserve"> on </w:t>
            </w:r>
            <w:r w:rsidR="00051FEE">
              <w:rPr>
                <w:rFonts w:eastAsia="Times New Roman" w:cstheme="minorHAnsi"/>
                <w:b/>
                <w:lang w:eastAsia="en-GB"/>
              </w:rPr>
              <w:t>21st</w:t>
            </w:r>
            <w:r w:rsidR="00921F03" w:rsidRPr="004709A6">
              <w:rPr>
                <w:rFonts w:eastAsia="Times New Roman" w:cstheme="minorHAnsi"/>
                <w:b/>
                <w:lang w:eastAsia="en-GB"/>
              </w:rPr>
              <w:t xml:space="preserve"> December</w:t>
            </w:r>
            <w:r w:rsidR="0035637C" w:rsidRPr="004709A6">
              <w:rPr>
                <w:rFonts w:eastAsia="Times New Roman" w:cstheme="minorHAnsi"/>
                <w:b/>
                <w:lang w:eastAsia="en-GB"/>
              </w:rPr>
              <w:t xml:space="preserve"> 2020</w:t>
            </w:r>
          </w:p>
        </w:tc>
      </w:tr>
      <w:tr w:rsidR="004709A6" w:rsidRPr="004709A6" w14:paraId="073124B8" w14:textId="77777777" w:rsidTr="008357DE">
        <w:trPr>
          <w:trHeight w:val="277"/>
        </w:trPr>
        <w:tc>
          <w:tcPr>
            <w:tcW w:w="5524" w:type="dxa"/>
          </w:tcPr>
          <w:p w14:paraId="56A1F0E1" w14:textId="77777777" w:rsidR="0035637C" w:rsidRPr="004709A6" w:rsidRDefault="0035637C" w:rsidP="0035637C">
            <w:pPr>
              <w:pStyle w:val="ListParagraph"/>
              <w:numPr>
                <w:ilvl w:val="0"/>
                <w:numId w:val="14"/>
              </w:numPr>
              <w:rPr>
                <w:rFonts w:cstheme="minorHAnsi"/>
              </w:rPr>
            </w:pPr>
            <w:r w:rsidRPr="004709A6">
              <w:rPr>
                <w:rFonts w:eastAsia="Times New Roman" w:cstheme="minorHAnsi"/>
                <w:lang w:eastAsia="en-GB"/>
              </w:rPr>
              <w:t xml:space="preserve">Scoring of submissions </w:t>
            </w:r>
          </w:p>
        </w:tc>
        <w:tc>
          <w:tcPr>
            <w:tcW w:w="3362" w:type="dxa"/>
          </w:tcPr>
          <w:p w14:paraId="1DA2BCC9" w14:textId="7BCA9A75" w:rsidR="0035637C" w:rsidRPr="004709A6" w:rsidRDefault="0035637C" w:rsidP="00051FEE">
            <w:pPr>
              <w:rPr>
                <w:rFonts w:cstheme="minorHAnsi"/>
              </w:rPr>
            </w:pPr>
            <w:r w:rsidRPr="004709A6">
              <w:rPr>
                <w:rFonts w:eastAsia="Times New Roman" w:cstheme="minorHAnsi"/>
                <w:lang w:eastAsia="en-GB"/>
              </w:rPr>
              <w:t xml:space="preserve">w/c </w:t>
            </w:r>
            <w:r w:rsidR="00051FEE">
              <w:rPr>
                <w:rFonts w:eastAsia="Times New Roman" w:cstheme="minorHAnsi"/>
                <w:lang w:eastAsia="en-GB"/>
              </w:rPr>
              <w:t>21st</w:t>
            </w:r>
            <w:r w:rsidR="00921F03" w:rsidRPr="004709A6">
              <w:rPr>
                <w:rFonts w:eastAsia="Times New Roman" w:cstheme="minorHAnsi"/>
                <w:lang w:eastAsia="en-GB"/>
              </w:rPr>
              <w:t xml:space="preserve"> December</w:t>
            </w:r>
            <w:r w:rsidRPr="004709A6">
              <w:rPr>
                <w:rFonts w:eastAsia="Times New Roman" w:cstheme="minorHAnsi"/>
                <w:lang w:eastAsia="en-GB"/>
              </w:rPr>
              <w:t xml:space="preserve"> 2020</w:t>
            </w:r>
          </w:p>
        </w:tc>
      </w:tr>
      <w:tr w:rsidR="004709A6" w:rsidRPr="004709A6" w14:paraId="02610CEA" w14:textId="77777777" w:rsidTr="008357DE">
        <w:trPr>
          <w:trHeight w:val="277"/>
        </w:trPr>
        <w:tc>
          <w:tcPr>
            <w:tcW w:w="5524" w:type="dxa"/>
          </w:tcPr>
          <w:p w14:paraId="035A5514" w14:textId="724C3DE2" w:rsidR="0035637C" w:rsidRPr="004709A6" w:rsidRDefault="0035637C" w:rsidP="0035637C">
            <w:pPr>
              <w:pStyle w:val="ListParagraph"/>
              <w:numPr>
                <w:ilvl w:val="0"/>
                <w:numId w:val="14"/>
              </w:numPr>
              <w:rPr>
                <w:rFonts w:eastAsia="Times New Roman" w:cstheme="minorHAnsi"/>
                <w:lang w:eastAsia="en-GB"/>
              </w:rPr>
            </w:pPr>
            <w:r w:rsidRPr="004709A6">
              <w:rPr>
                <w:rFonts w:eastAsia="Times New Roman" w:cstheme="minorHAnsi"/>
                <w:lang w:eastAsia="en-GB"/>
              </w:rPr>
              <w:t>Notif</w:t>
            </w:r>
            <w:r w:rsidR="00443048" w:rsidRPr="004709A6">
              <w:rPr>
                <w:rFonts w:eastAsia="Times New Roman" w:cstheme="minorHAnsi"/>
                <w:lang w:eastAsia="en-GB"/>
              </w:rPr>
              <w:t>ication to successful applicant</w:t>
            </w:r>
          </w:p>
        </w:tc>
        <w:tc>
          <w:tcPr>
            <w:tcW w:w="3362" w:type="dxa"/>
          </w:tcPr>
          <w:p w14:paraId="3B7E9684" w14:textId="2606C807" w:rsidR="0035637C" w:rsidRPr="004709A6" w:rsidRDefault="00921F03" w:rsidP="00051FEE">
            <w:pPr>
              <w:rPr>
                <w:rFonts w:eastAsia="Times New Roman" w:cstheme="minorHAnsi"/>
                <w:lang w:eastAsia="en-GB"/>
              </w:rPr>
            </w:pPr>
            <w:r w:rsidRPr="004709A6">
              <w:rPr>
                <w:rFonts w:eastAsia="Times New Roman" w:cstheme="minorHAnsi"/>
                <w:lang w:eastAsia="en-GB"/>
              </w:rPr>
              <w:t xml:space="preserve">By </w:t>
            </w:r>
            <w:r w:rsidR="00051FEE">
              <w:rPr>
                <w:rFonts w:eastAsia="Times New Roman" w:cstheme="minorHAnsi"/>
                <w:lang w:eastAsia="en-GB"/>
              </w:rPr>
              <w:t>24</w:t>
            </w:r>
            <w:r w:rsidRPr="004709A6">
              <w:rPr>
                <w:rFonts w:eastAsia="Times New Roman" w:cstheme="minorHAnsi"/>
                <w:vertAlign w:val="superscript"/>
                <w:lang w:eastAsia="en-GB"/>
              </w:rPr>
              <w:t>th</w:t>
            </w:r>
            <w:r w:rsidRPr="004709A6">
              <w:rPr>
                <w:rFonts w:eastAsia="Times New Roman" w:cstheme="minorHAnsi"/>
                <w:lang w:eastAsia="en-GB"/>
              </w:rPr>
              <w:t xml:space="preserve"> December 2020</w:t>
            </w:r>
          </w:p>
        </w:tc>
      </w:tr>
      <w:tr w:rsidR="004709A6" w:rsidRPr="004709A6" w14:paraId="3C1B9679" w14:textId="77777777" w:rsidTr="008357DE">
        <w:trPr>
          <w:trHeight w:val="277"/>
        </w:trPr>
        <w:tc>
          <w:tcPr>
            <w:tcW w:w="5524" w:type="dxa"/>
          </w:tcPr>
          <w:p w14:paraId="60392102" w14:textId="11F70A7C" w:rsidR="0035637C" w:rsidRPr="004709A6" w:rsidRDefault="0035637C" w:rsidP="00921F03">
            <w:pPr>
              <w:pStyle w:val="ListParagraph"/>
              <w:numPr>
                <w:ilvl w:val="0"/>
                <w:numId w:val="14"/>
              </w:numPr>
              <w:rPr>
                <w:rFonts w:cstheme="minorHAnsi"/>
              </w:rPr>
            </w:pPr>
            <w:r w:rsidRPr="004709A6">
              <w:rPr>
                <w:rFonts w:eastAsia="Times New Roman" w:cstheme="minorHAnsi"/>
                <w:lang w:eastAsia="en-GB"/>
              </w:rPr>
              <w:t>Inception meeting and agreement of approach</w:t>
            </w:r>
          </w:p>
        </w:tc>
        <w:tc>
          <w:tcPr>
            <w:tcW w:w="3362" w:type="dxa"/>
          </w:tcPr>
          <w:p w14:paraId="0AB425D2" w14:textId="3674404B" w:rsidR="0035637C" w:rsidRPr="004709A6" w:rsidRDefault="00921F03" w:rsidP="00051FEE">
            <w:pPr>
              <w:rPr>
                <w:rFonts w:cstheme="minorHAnsi"/>
              </w:rPr>
            </w:pPr>
            <w:r w:rsidRPr="004709A6">
              <w:rPr>
                <w:rFonts w:eastAsia="Times New Roman" w:cstheme="minorHAnsi"/>
                <w:lang w:eastAsia="en-GB"/>
              </w:rPr>
              <w:t xml:space="preserve">w/c </w:t>
            </w:r>
            <w:r w:rsidR="00051FEE">
              <w:rPr>
                <w:rFonts w:eastAsia="Times New Roman" w:cstheme="minorHAnsi"/>
                <w:lang w:eastAsia="en-GB"/>
              </w:rPr>
              <w:t>4</w:t>
            </w:r>
            <w:r w:rsidR="00051FEE" w:rsidRPr="00051FEE">
              <w:rPr>
                <w:rFonts w:eastAsia="Times New Roman" w:cstheme="minorHAnsi"/>
                <w:vertAlign w:val="superscript"/>
                <w:lang w:eastAsia="en-GB"/>
              </w:rPr>
              <w:t>th</w:t>
            </w:r>
            <w:r w:rsidR="00051FEE">
              <w:rPr>
                <w:rFonts w:eastAsia="Times New Roman" w:cstheme="minorHAnsi"/>
                <w:lang w:eastAsia="en-GB"/>
              </w:rPr>
              <w:t xml:space="preserve"> January</w:t>
            </w:r>
            <w:r w:rsidRPr="004709A6">
              <w:rPr>
                <w:rFonts w:eastAsia="Times New Roman" w:cstheme="minorHAnsi"/>
                <w:lang w:eastAsia="en-GB"/>
              </w:rPr>
              <w:t xml:space="preserve"> 202</w:t>
            </w:r>
            <w:r w:rsidR="00051FEE">
              <w:rPr>
                <w:rFonts w:eastAsia="Times New Roman" w:cstheme="minorHAnsi"/>
                <w:lang w:eastAsia="en-GB"/>
              </w:rPr>
              <w:t>1</w:t>
            </w:r>
          </w:p>
        </w:tc>
      </w:tr>
      <w:tr w:rsidR="004709A6" w:rsidRPr="004709A6" w14:paraId="65B21A65" w14:textId="77777777" w:rsidTr="008357DE">
        <w:trPr>
          <w:trHeight w:val="277"/>
        </w:trPr>
        <w:tc>
          <w:tcPr>
            <w:tcW w:w="5524" w:type="dxa"/>
          </w:tcPr>
          <w:p w14:paraId="096867BE" w14:textId="46AE3790" w:rsidR="0035637C" w:rsidRPr="004709A6" w:rsidRDefault="00921F03" w:rsidP="00921F03">
            <w:pPr>
              <w:pStyle w:val="ListParagraph"/>
              <w:numPr>
                <w:ilvl w:val="0"/>
                <w:numId w:val="14"/>
              </w:numPr>
              <w:rPr>
                <w:rFonts w:eastAsia="Times New Roman" w:cstheme="minorHAnsi"/>
                <w:lang w:eastAsia="en-GB"/>
              </w:rPr>
            </w:pPr>
            <w:r w:rsidRPr="004709A6">
              <w:rPr>
                <w:rFonts w:eastAsia="Times New Roman" w:cstheme="minorHAnsi"/>
                <w:lang w:eastAsia="en-GB"/>
              </w:rPr>
              <w:t>Delivery of Contract</w:t>
            </w:r>
          </w:p>
        </w:tc>
        <w:tc>
          <w:tcPr>
            <w:tcW w:w="3362" w:type="dxa"/>
          </w:tcPr>
          <w:p w14:paraId="056097F4" w14:textId="4E52B0D2" w:rsidR="0035637C" w:rsidRPr="004709A6" w:rsidRDefault="00051FEE" w:rsidP="00051FEE">
            <w:pPr>
              <w:rPr>
                <w:rFonts w:eastAsia="Times New Roman" w:cstheme="minorHAnsi"/>
                <w:lang w:eastAsia="en-GB"/>
              </w:rPr>
            </w:pPr>
            <w:r>
              <w:rPr>
                <w:rFonts w:eastAsia="Times New Roman" w:cstheme="minorHAnsi"/>
                <w:lang w:eastAsia="en-GB"/>
              </w:rPr>
              <w:t>11</w:t>
            </w:r>
            <w:r w:rsidR="00921F03" w:rsidRPr="004709A6">
              <w:rPr>
                <w:rFonts w:eastAsia="Times New Roman" w:cstheme="minorHAnsi"/>
                <w:vertAlign w:val="superscript"/>
                <w:lang w:eastAsia="en-GB"/>
              </w:rPr>
              <w:t>th</w:t>
            </w:r>
            <w:r w:rsidR="00921F03" w:rsidRPr="004709A6">
              <w:rPr>
                <w:rFonts w:eastAsia="Times New Roman" w:cstheme="minorHAnsi"/>
                <w:lang w:eastAsia="en-GB"/>
              </w:rPr>
              <w:t xml:space="preserve"> </w:t>
            </w:r>
            <w:r w:rsidR="0035637C" w:rsidRPr="004709A6">
              <w:rPr>
                <w:rFonts w:eastAsia="Times New Roman" w:cstheme="minorHAnsi"/>
                <w:lang w:eastAsia="en-GB"/>
              </w:rPr>
              <w:t xml:space="preserve">January – </w:t>
            </w:r>
            <w:r>
              <w:rPr>
                <w:rFonts w:eastAsia="Times New Roman" w:cstheme="minorHAnsi"/>
                <w:lang w:eastAsia="en-GB"/>
              </w:rPr>
              <w:t>7</w:t>
            </w:r>
            <w:r w:rsidRPr="00051FEE">
              <w:rPr>
                <w:rFonts w:eastAsia="Times New Roman" w:cstheme="minorHAnsi"/>
                <w:vertAlign w:val="superscript"/>
                <w:lang w:eastAsia="en-GB"/>
              </w:rPr>
              <w:t>th</w:t>
            </w:r>
            <w:r>
              <w:rPr>
                <w:rFonts w:eastAsia="Times New Roman" w:cstheme="minorHAnsi"/>
                <w:lang w:eastAsia="en-GB"/>
              </w:rPr>
              <w:t xml:space="preserve"> March</w:t>
            </w:r>
            <w:r w:rsidR="00921F03" w:rsidRPr="004709A6">
              <w:rPr>
                <w:rFonts w:eastAsia="Times New Roman" w:cstheme="minorHAnsi"/>
                <w:lang w:eastAsia="en-GB"/>
              </w:rPr>
              <w:t xml:space="preserve"> 2021</w:t>
            </w:r>
          </w:p>
        </w:tc>
      </w:tr>
      <w:tr w:rsidR="004709A6" w:rsidRPr="004709A6" w14:paraId="25E66DB2" w14:textId="77777777" w:rsidTr="008357DE">
        <w:trPr>
          <w:trHeight w:val="277"/>
        </w:trPr>
        <w:tc>
          <w:tcPr>
            <w:tcW w:w="5524" w:type="dxa"/>
          </w:tcPr>
          <w:p w14:paraId="17258B63" w14:textId="73CB77CD" w:rsidR="00716737" w:rsidRPr="004709A6" w:rsidRDefault="00504D7C" w:rsidP="00921F03">
            <w:pPr>
              <w:pStyle w:val="ListParagraph"/>
              <w:numPr>
                <w:ilvl w:val="0"/>
                <w:numId w:val="14"/>
              </w:numPr>
              <w:rPr>
                <w:rFonts w:eastAsia="Times New Roman" w:cstheme="minorHAnsi"/>
                <w:lang w:eastAsia="en-GB"/>
              </w:rPr>
            </w:pPr>
            <w:r w:rsidRPr="004709A6">
              <w:rPr>
                <w:rFonts w:eastAsia="Times New Roman" w:cstheme="minorHAnsi"/>
                <w:lang w:eastAsia="en-GB"/>
              </w:rPr>
              <w:t xml:space="preserve">Regular project Updates </w:t>
            </w:r>
          </w:p>
        </w:tc>
        <w:tc>
          <w:tcPr>
            <w:tcW w:w="3362" w:type="dxa"/>
          </w:tcPr>
          <w:p w14:paraId="1661181A" w14:textId="2602A0F2" w:rsidR="00716737" w:rsidRPr="004709A6" w:rsidRDefault="00504D7C" w:rsidP="00504D7C">
            <w:pPr>
              <w:rPr>
                <w:rFonts w:eastAsia="Times New Roman" w:cstheme="minorHAnsi"/>
                <w:lang w:eastAsia="en-GB"/>
              </w:rPr>
            </w:pPr>
            <w:r w:rsidRPr="004709A6">
              <w:rPr>
                <w:rFonts w:eastAsia="Times New Roman" w:cstheme="minorHAnsi"/>
                <w:lang w:eastAsia="en-GB"/>
              </w:rPr>
              <w:t xml:space="preserve">Fortnightly during contract delivery </w:t>
            </w:r>
          </w:p>
        </w:tc>
      </w:tr>
      <w:tr w:rsidR="00921F03" w:rsidRPr="004709A6" w14:paraId="6A57E00C" w14:textId="77777777" w:rsidTr="008357DE">
        <w:trPr>
          <w:trHeight w:val="277"/>
        </w:trPr>
        <w:tc>
          <w:tcPr>
            <w:tcW w:w="5524" w:type="dxa"/>
          </w:tcPr>
          <w:p w14:paraId="255F8DC8" w14:textId="37E17E13" w:rsidR="00921F03" w:rsidRPr="004709A6" w:rsidRDefault="00716737" w:rsidP="00716737">
            <w:pPr>
              <w:pStyle w:val="ListParagraph"/>
              <w:numPr>
                <w:ilvl w:val="0"/>
                <w:numId w:val="14"/>
              </w:numPr>
              <w:rPr>
                <w:rFonts w:eastAsia="Times New Roman" w:cstheme="minorHAnsi"/>
                <w:lang w:eastAsia="en-GB"/>
              </w:rPr>
            </w:pPr>
            <w:r w:rsidRPr="004709A6">
              <w:rPr>
                <w:rFonts w:eastAsia="Times New Roman" w:cstheme="minorHAnsi"/>
                <w:lang w:eastAsia="en-GB"/>
              </w:rPr>
              <w:t xml:space="preserve">Final </w:t>
            </w:r>
            <w:r w:rsidR="00921F03" w:rsidRPr="004709A6">
              <w:rPr>
                <w:rFonts w:eastAsia="Times New Roman" w:cstheme="minorHAnsi"/>
                <w:lang w:eastAsia="en-GB"/>
              </w:rPr>
              <w:t xml:space="preserve">Project Presentation </w:t>
            </w:r>
          </w:p>
        </w:tc>
        <w:tc>
          <w:tcPr>
            <w:tcW w:w="3362" w:type="dxa"/>
          </w:tcPr>
          <w:p w14:paraId="5DCF074C" w14:textId="7AEDD245" w:rsidR="00921F03" w:rsidRPr="004709A6" w:rsidRDefault="00921F03" w:rsidP="00051FEE">
            <w:pPr>
              <w:rPr>
                <w:rFonts w:eastAsia="Times New Roman" w:cstheme="minorHAnsi"/>
                <w:lang w:eastAsia="en-GB"/>
              </w:rPr>
            </w:pPr>
            <w:r w:rsidRPr="004709A6">
              <w:rPr>
                <w:rFonts w:eastAsia="Times New Roman" w:cstheme="minorHAnsi"/>
                <w:lang w:eastAsia="en-GB"/>
              </w:rPr>
              <w:t xml:space="preserve">w/c </w:t>
            </w:r>
            <w:r w:rsidR="00051FEE">
              <w:rPr>
                <w:rFonts w:eastAsia="Times New Roman" w:cstheme="minorHAnsi"/>
                <w:lang w:eastAsia="en-GB"/>
              </w:rPr>
              <w:t>8th</w:t>
            </w:r>
            <w:r w:rsidRPr="004709A6">
              <w:rPr>
                <w:rFonts w:eastAsia="Times New Roman" w:cstheme="minorHAnsi"/>
                <w:lang w:eastAsia="en-GB"/>
              </w:rPr>
              <w:t xml:space="preserve"> March 2021</w:t>
            </w:r>
          </w:p>
        </w:tc>
      </w:tr>
    </w:tbl>
    <w:p w14:paraId="2F19A02B" w14:textId="77777777" w:rsidR="0035637C" w:rsidRPr="004709A6" w:rsidRDefault="0035637C" w:rsidP="002A6B1C"/>
    <w:p w14:paraId="60AE6110" w14:textId="6F6F866C" w:rsidR="00716737" w:rsidRPr="00F7078F" w:rsidRDefault="00F7078F" w:rsidP="0035637C">
      <w:pPr>
        <w:spacing w:after="0" w:line="240" w:lineRule="auto"/>
        <w:rPr>
          <w:rFonts w:cstheme="minorHAnsi"/>
          <w:b/>
          <w:color w:val="2F5496" w:themeColor="accent5" w:themeShade="BF"/>
          <w:sz w:val="24"/>
          <w:szCs w:val="24"/>
        </w:rPr>
      </w:pPr>
      <w:r>
        <w:rPr>
          <w:rFonts w:cstheme="minorHAnsi"/>
          <w:b/>
          <w:color w:val="2F5496" w:themeColor="accent5" w:themeShade="BF"/>
          <w:sz w:val="24"/>
          <w:szCs w:val="24"/>
        </w:rPr>
        <w:t>3d</w:t>
      </w:r>
      <w:r w:rsidR="00716737" w:rsidRPr="00F7078F">
        <w:rPr>
          <w:rFonts w:cstheme="minorHAnsi"/>
          <w:b/>
          <w:color w:val="2F5496" w:themeColor="accent5" w:themeShade="BF"/>
          <w:sz w:val="24"/>
          <w:szCs w:val="24"/>
        </w:rPr>
        <w:t xml:space="preserve">. Budget </w:t>
      </w:r>
    </w:p>
    <w:p w14:paraId="32A01D1D" w14:textId="77777777" w:rsidR="00716737" w:rsidRDefault="00716737" w:rsidP="0035637C">
      <w:pPr>
        <w:spacing w:after="0" w:line="240" w:lineRule="auto"/>
        <w:rPr>
          <w:rFonts w:ascii="Calibri Light" w:hAnsi="Calibri Light" w:cs="Calibri Light"/>
          <w:b/>
        </w:rPr>
      </w:pPr>
    </w:p>
    <w:p w14:paraId="5DC3B015" w14:textId="442C0A4F" w:rsidR="00716737" w:rsidRPr="004709A6" w:rsidRDefault="00716737" w:rsidP="0035637C">
      <w:pPr>
        <w:spacing w:after="0" w:line="240" w:lineRule="auto"/>
        <w:rPr>
          <w:rFonts w:cstheme="minorHAnsi"/>
        </w:rPr>
      </w:pPr>
      <w:r w:rsidRPr="00F7078F">
        <w:rPr>
          <w:rFonts w:cstheme="minorHAnsi"/>
        </w:rPr>
        <w:t xml:space="preserve">Quotations for this work is expected to be in the region of </w:t>
      </w:r>
      <w:r w:rsidRPr="004709A6">
        <w:rPr>
          <w:rFonts w:cstheme="minorHAnsi"/>
        </w:rPr>
        <w:t>£10,000</w:t>
      </w:r>
    </w:p>
    <w:p w14:paraId="271C59F5" w14:textId="77777777" w:rsidR="00133428" w:rsidRDefault="00133428" w:rsidP="0035637C">
      <w:pPr>
        <w:spacing w:after="0" w:line="240" w:lineRule="auto"/>
        <w:rPr>
          <w:rFonts w:cstheme="minorHAnsi"/>
          <w:color w:val="FF0000"/>
        </w:rPr>
      </w:pPr>
    </w:p>
    <w:p w14:paraId="1159F7ED" w14:textId="77777777" w:rsidR="00716737" w:rsidRDefault="00716737" w:rsidP="0035637C">
      <w:pPr>
        <w:spacing w:after="0" w:line="240" w:lineRule="auto"/>
        <w:rPr>
          <w:rFonts w:ascii="Calibri Light" w:hAnsi="Calibri Light" w:cs="Calibri Light"/>
          <w:b/>
        </w:rPr>
      </w:pPr>
    </w:p>
    <w:p w14:paraId="43890588" w14:textId="1375B9F5" w:rsidR="00716737" w:rsidRPr="00F7078F" w:rsidRDefault="00F7078F" w:rsidP="0035637C">
      <w:pPr>
        <w:spacing w:after="0" w:line="240" w:lineRule="auto"/>
        <w:rPr>
          <w:rFonts w:cstheme="minorHAnsi"/>
          <w:b/>
          <w:color w:val="2F5496" w:themeColor="accent5" w:themeShade="BF"/>
          <w:sz w:val="24"/>
          <w:szCs w:val="24"/>
        </w:rPr>
      </w:pPr>
      <w:r>
        <w:rPr>
          <w:rFonts w:cstheme="minorHAnsi"/>
          <w:b/>
          <w:color w:val="2F5496" w:themeColor="accent5" w:themeShade="BF"/>
          <w:sz w:val="24"/>
          <w:szCs w:val="24"/>
        </w:rPr>
        <w:t>3e</w:t>
      </w:r>
      <w:r w:rsidR="00716737" w:rsidRPr="00F7078F">
        <w:rPr>
          <w:rFonts w:cstheme="minorHAnsi"/>
          <w:b/>
          <w:color w:val="2F5496" w:themeColor="accent5" w:themeShade="BF"/>
          <w:sz w:val="24"/>
          <w:szCs w:val="24"/>
        </w:rPr>
        <w:t xml:space="preserve">. Scoring and Evaluation </w:t>
      </w:r>
    </w:p>
    <w:p w14:paraId="1CCE8B91" w14:textId="77777777" w:rsidR="00716737" w:rsidRDefault="00716737" w:rsidP="0035637C">
      <w:pPr>
        <w:spacing w:after="0" w:line="240" w:lineRule="auto"/>
        <w:rPr>
          <w:rFonts w:ascii="Calibri Light" w:hAnsi="Calibri Light" w:cs="Calibri Light"/>
          <w:b/>
        </w:rPr>
      </w:pPr>
    </w:p>
    <w:p w14:paraId="0492C9D1" w14:textId="7B62E391" w:rsidR="00716737" w:rsidRPr="00F7078F" w:rsidRDefault="005A7072" w:rsidP="00716737">
      <w:pPr>
        <w:rPr>
          <w:rFonts w:cstheme="minorHAnsi"/>
          <w:color w:val="FF0000"/>
        </w:rPr>
      </w:pPr>
      <w:r>
        <w:rPr>
          <w:rFonts w:cstheme="minorHAnsi"/>
        </w:rPr>
        <w:t xml:space="preserve">Responses to this brief will </w:t>
      </w:r>
      <w:r w:rsidR="00F7078F">
        <w:rPr>
          <w:rFonts w:cstheme="minorHAnsi"/>
        </w:rPr>
        <w:t xml:space="preserve">be </w:t>
      </w:r>
      <w:r>
        <w:rPr>
          <w:rFonts w:cstheme="minorHAnsi"/>
        </w:rPr>
        <w:t xml:space="preserve">scored </w:t>
      </w:r>
      <w:r w:rsidR="00716737" w:rsidRPr="00F7078F">
        <w:rPr>
          <w:rFonts w:cstheme="minorHAnsi"/>
        </w:rPr>
        <w:t xml:space="preserve">using a </w:t>
      </w:r>
      <w:r w:rsidRPr="00F7078F">
        <w:rPr>
          <w:rFonts w:cstheme="minorHAnsi"/>
        </w:rPr>
        <w:t>price</w:t>
      </w:r>
      <w:r>
        <w:rPr>
          <w:rFonts w:cstheme="minorHAnsi"/>
        </w:rPr>
        <w:t>:</w:t>
      </w:r>
      <w:r w:rsidRPr="00F7078F">
        <w:rPr>
          <w:rFonts w:cstheme="minorHAnsi"/>
        </w:rPr>
        <w:t xml:space="preserve"> quality</w:t>
      </w:r>
      <w:r w:rsidR="00716737" w:rsidRPr="00F7078F">
        <w:rPr>
          <w:rFonts w:cstheme="minorHAnsi"/>
        </w:rPr>
        <w:t xml:space="preserve"> ratio </w:t>
      </w:r>
      <w:r w:rsidR="00716737" w:rsidRPr="004709A6">
        <w:rPr>
          <w:rFonts w:cstheme="minorHAnsi"/>
        </w:rPr>
        <w:t xml:space="preserve">of </w:t>
      </w:r>
      <w:r w:rsidR="004B2DBB">
        <w:rPr>
          <w:rFonts w:cstheme="minorHAnsi"/>
        </w:rPr>
        <w:t>15</w:t>
      </w:r>
      <w:r w:rsidR="00716737" w:rsidRPr="004709A6">
        <w:rPr>
          <w:rFonts w:cstheme="minorHAnsi"/>
        </w:rPr>
        <w:t>:</w:t>
      </w:r>
      <w:r w:rsidR="003B7595" w:rsidRPr="004709A6">
        <w:rPr>
          <w:rFonts w:cstheme="minorHAnsi"/>
        </w:rPr>
        <w:t>8</w:t>
      </w:r>
      <w:r w:rsidR="004B2DBB">
        <w:rPr>
          <w:rFonts w:cstheme="minorHAnsi"/>
        </w:rPr>
        <w:t>5</w:t>
      </w:r>
      <w:r w:rsidR="00716737" w:rsidRPr="004709A6">
        <w:rPr>
          <w:rFonts w:cstheme="minorHAnsi"/>
        </w:rPr>
        <w:t>.</w:t>
      </w:r>
    </w:p>
    <w:p w14:paraId="3D15307F" w14:textId="77777777" w:rsidR="005A7072" w:rsidRDefault="005A7072" w:rsidP="00716737">
      <w:pPr>
        <w:rPr>
          <w:rFonts w:cstheme="minorHAnsi"/>
        </w:rPr>
      </w:pPr>
      <w:r>
        <w:rPr>
          <w:rFonts w:cstheme="minorHAnsi"/>
        </w:rPr>
        <w:t>Scores will be on a scale of 0 -10 dependent on how bidders respond to the brief.</w:t>
      </w:r>
    </w:p>
    <w:p w14:paraId="42DF1BA5" w14:textId="0E44FAE4" w:rsidR="003B7595" w:rsidRDefault="003B7595" w:rsidP="00716737">
      <w:pPr>
        <w:rPr>
          <w:rFonts w:cstheme="minorHAnsi"/>
        </w:rPr>
      </w:pPr>
      <w:r>
        <w:rPr>
          <w:rFonts w:cstheme="minorHAnsi"/>
        </w:rPr>
        <w:t>Submissions should clearly demonstrate:</w:t>
      </w:r>
    </w:p>
    <w:p w14:paraId="0759BC4C" w14:textId="637DCC60" w:rsidR="003B7595" w:rsidRPr="004709A6" w:rsidRDefault="003B7595" w:rsidP="003B7595">
      <w:pPr>
        <w:pStyle w:val="ListParagraph"/>
        <w:numPr>
          <w:ilvl w:val="0"/>
          <w:numId w:val="19"/>
        </w:numPr>
        <w:rPr>
          <w:rFonts w:cstheme="minorHAnsi"/>
        </w:rPr>
      </w:pPr>
      <w:r w:rsidRPr="004709A6">
        <w:rPr>
          <w:rFonts w:cstheme="minorHAnsi"/>
        </w:rPr>
        <w:t>Capabilities and experience to deliver the brief</w:t>
      </w:r>
    </w:p>
    <w:p w14:paraId="5B2632F5" w14:textId="4165BBAF" w:rsidR="003B7595" w:rsidRPr="004709A6" w:rsidRDefault="003B7595" w:rsidP="003B7595">
      <w:pPr>
        <w:pStyle w:val="ListParagraph"/>
        <w:numPr>
          <w:ilvl w:val="0"/>
          <w:numId w:val="19"/>
        </w:numPr>
        <w:rPr>
          <w:rFonts w:cstheme="minorHAnsi"/>
        </w:rPr>
      </w:pPr>
      <w:r w:rsidRPr="004709A6">
        <w:rPr>
          <w:rFonts w:cstheme="minorHAnsi"/>
        </w:rPr>
        <w:t>Evidence of similar work undertaken</w:t>
      </w:r>
    </w:p>
    <w:p w14:paraId="408820F9" w14:textId="6CB877B1" w:rsidR="003B7595" w:rsidRPr="004709A6" w:rsidRDefault="003B7595" w:rsidP="003B7595">
      <w:pPr>
        <w:pStyle w:val="ListParagraph"/>
        <w:numPr>
          <w:ilvl w:val="0"/>
          <w:numId w:val="19"/>
        </w:numPr>
        <w:rPr>
          <w:rFonts w:cstheme="minorHAnsi"/>
        </w:rPr>
      </w:pPr>
      <w:r w:rsidRPr="004709A6">
        <w:rPr>
          <w:rFonts w:cstheme="minorHAnsi"/>
        </w:rPr>
        <w:t>Capacity to undertake work in the required timeframe</w:t>
      </w:r>
    </w:p>
    <w:p w14:paraId="47EBD247" w14:textId="789F2D2B" w:rsidR="003B7595" w:rsidRPr="004709A6" w:rsidRDefault="003B7595" w:rsidP="003B7595">
      <w:pPr>
        <w:pStyle w:val="ListParagraph"/>
        <w:numPr>
          <w:ilvl w:val="0"/>
          <w:numId w:val="19"/>
        </w:numPr>
        <w:rPr>
          <w:rFonts w:cstheme="minorHAnsi"/>
        </w:rPr>
      </w:pPr>
      <w:r w:rsidRPr="004709A6">
        <w:rPr>
          <w:rFonts w:cstheme="minorHAnsi"/>
        </w:rPr>
        <w:t>Details on the team / consultant and proportion of time to be allocated</w:t>
      </w:r>
    </w:p>
    <w:p w14:paraId="6B9DF775" w14:textId="77777777" w:rsidR="00B20851" w:rsidRPr="004709A6" w:rsidRDefault="00B20851" w:rsidP="00B20851">
      <w:pPr>
        <w:pStyle w:val="ListParagraph"/>
        <w:numPr>
          <w:ilvl w:val="0"/>
          <w:numId w:val="19"/>
        </w:numPr>
        <w:rPr>
          <w:rFonts w:cstheme="minorHAnsi"/>
        </w:rPr>
      </w:pPr>
      <w:r w:rsidRPr="004709A6">
        <w:rPr>
          <w:rFonts w:cstheme="minorHAnsi"/>
        </w:rPr>
        <w:lastRenderedPageBreak/>
        <w:t xml:space="preserve">Your proposed approach </w:t>
      </w:r>
    </w:p>
    <w:p w14:paraId="3404D0BB" w14:textId="262B3852" w:rsidR="00B20851" w:rsidRPr="004709A6" w:rsidRDefault="00B20851" w:rsidP="00B20851">
      <w:pPr>
        <w:pStyle w:val="ListParagraph"/>
        <w:numPr>
          <w:ilvl w:val="0"/>
          <w:numId w:val="19"/>
        </w:numPr>
        <w:rPr>
          <w:rFonts w:cstheme="minorHAnsi"/>
        </w:rPr>
      </w:pPr>
      <w:r w:rsidRPr="004709A6">
        <w:rPr>
          <w:rFonts w:cstheme="minorHAnsi"/>
        </w:rPr>
        <w:t>Your proposed format for presenting the outcomes of the brief</w:t>
      </w:r>
    </w:p>
    <w:p w14:paraId="1E2FFF38" w14:textId="77777777" w:rsidR="00B20851" w:rsidRPr="004709A6" w:rsidRDefault="00B20851" w:rsidP="00B20851">
      <w:pPr>
        <w:pStyle w:val="ListParagraph"/>
        <w:rPr>
          <w:rFonts w:cstheme="minorHAnsi"/>
        </w:rPr>
      </w:pPr>
    </w:p>
    <w:p w14:paraId="0E5514BF" w14:textId="37C8674E" w:rsidR="00716737" w:rsidRPr="00B20851" w:rsidRDefault="005A7072" w:rsidP="00B20851">
      <w:pPr>
        <w:rPr>
          <w:rFonts w:cstheme="minorHAnsi"/>
          <w:color w:val="FF0000"/>
        </w:rPr>
      </w:pPr>
      <w:r w:rsidRPr="00B20851">
        <w:rPr>
          <w:rFonts w:cstheme="minorHAnsi"/>
        </w:rPr>
        <w:t>See scoring and award criteria</w:t>
      </w:r>
      <w:r w:rsidR="00716737" w:rsidRPr="00B20851">
        <w:rPr>
          <w:rFonts w:cstheme="minorHAnsi"/>
        </w:rPr>
        <w:t xml:space="preserve"> set out </w:t>
      </w:r>
      <w:r w:rsidR="00716737" w:rsidRPr="004709A6">
        <w:rPr>
          <w:rFonts w:cstheme="minorHAnsi"/>
        </w:rPr>
        <w:t xml:space="preserve">in Appendix </w:t>
      </w:r>
      <w:r w:rsidRPr="004709A6">
        <w:rPr>
          <w:rFonts w:cstheme="minorHAnsi"/>
        </w:rPr>
        <w:t>4</w:t>
      </w:r>
      <w:r w:rsidR="00504D7C" w:rsidRPr="004709A6">
        <w:rPr>
          <w:rFonts w:cstheme="minorHAnsi"/>
        </w:rPr>
        <w:t xml:space="preserve"> &amp; 5</w:t>
      </w:r>
      <w:r w:rsidR="00504D7C" w:rsidRPr="004709A6">
        <w:rPr>
          <w:rFonts w:cstheme="minorHAnsi"/>
          <w:b/>
        </w:rPr>
        <w:t xml:space="preserve"> </w:t>
      </w:r>
    </w:p>
    <w:p w14:paraId="20251358" w14:textId="2DA4C3D1" w:rsidR="00133428" w:rsidRPr="00133428" w:rsidRDefault="00133428" w:rsidP="00133428">
      <w:pPr>
        <w:rPr>
          <w:rFonts w:cstheme="minorHAnsi"/>
          <w:sz w:val="24"/>
          <w:szCs w:val="24"/>
        </w:rPr>
      </w:pPr>
      <w:r w:rsidRPr="00133428">
        <w:rPr>
          <w:rFonts w:cstheme="minorHAnsi"/>
          <w:sz w:val="24"/>
          <w:szCs w:val="24"/>
        </w:rPr>
        <w:t xml:space="preserve">Questions about the specification should be directed to Ben Wright via email ben.wright@eastriding.gov.uk by </w:t>
      </w:r>
      <w:r w:rsidR="00051FEE">
        <w:rPr>
          <w:rFonts w:cstheme="minorHAnsi"/>
          <w:sz w:val="24"/>
          <w:szCs w:val="24"/>
        </w:rPr>
        <w:t>Noon Monday the 14</w:t>
      </w:r>
      <w:r w:rsidRPr="00133428">
        <w:rPr>
          <w:rFonts w:cstheme="minorHAnsi"/>
          <w:sz w:val="24"/>
          <w:szCs w:val="24"/>
          <w:vertAlign w:val="superscript"/>
        </w:rPr>
        <w:t>th</w:t>
      </w:r>
      <w:r w:rsidRPr="00133428">
        <w:rPr>
          <w:rFonts w:cstheme="minorHAnsi"/>
          <w:sz w:val="24"/>
          <w:szCs w:val="24"/>
        </w:rPr>
        <w:t xml:space="preserve"> December 2020 </w:t>
      </w:r>
    </w:p>
    <w:p w14:paraId="4963DD53" w14:textId="51C40285" w:rsidR="00133428" w:rsidRPr="00133428" w:rsidRDefault="00133428" w:rsidP="00133428">
      <w:pPr>
        <w:rPr>
          <w:rFonts w:cstheme="minorHAnsi"/>
          <w:sz w:val="24"/>
          <w:szCs w:val="24"/>
        </w:rPr>
      </w:pPr>
      <w:r w:rsidRPr="00133428">
        <w:rPr>
          <w:rFonts w:cstheme="minorHAnsi"/>
          <w:sz w:val="24"/>
          <w:szCs w:val="24"/>
        </w:rPr>
        <w:t xml:space="preserve">If you are interested in this opportunity responses should be sent to Ben Wright via email ben.wright@eastriding.gov.uk by Noon on Monday </w:t>
      </w:r>
      <w:r w:rsidR="00051FEE">
        <w:rPr>
          <w:rFonts w:cstheme="minorHAnsi"/>
          <w:sz w:val="24"/>
          <w:szCs w:val="24"/>
        </w:rPr>
        <w:t>21st</w:t>
      </w:r>
      <w:r w:rsidRPr="00133428">
        <w:rPr>
          <w:rFonts w:cstheme="minorHAnsi"/>
          <w:sz w:val="24"/>
          <w:szCs w:val="24"/>
        </w:rPr>
        <w:t xml:space="preserve"> December 2020</w:t>
      </w:r>
    </w:p>
    <w:p w14:paraId="3ACCEA9B" w14:textId="77777777" w:rsidR="00716737" w:rsidRDefault="00716737" w:rsidP="0035637C">
      <w:pPr>
        <w:spacing w:after="0" w:line="240" w:lineRule="auto"/>
        <w:rPr>
          <w:rFonts w:ascii="Calibri Light" w:hAnsi="Calibri Light" w:cs="Calibri Light"/>
          <w:b/>
        </w:rPr>
      </w:pPr>
    </w:p>
    <w:p w14:paraId="6251073C" w14:textId="77777777" w:rsidR="00716737" w:rsidRDefault="00716737" w:rsidP="0035637C">
      <w:pPr>
        <w:spacing w:after="0" w:line="240" w:lineRule="auto"/>
        <w:rPr>
          <w:rFonts w:ascii="Calibri Light" w:hAnsi="Calibri Light" w:cs="Calibri Light"/>
          <w:b/>
        </w:rPr>
      </w:pPr>
    </w:p>
    <w:p w14:paraId="598F7B36" w14:textId="77777777" w:rsidR="00716737" w:rsidRDefault="00716737" w:rsidP="0035637C">
      <w:pPr>
        <w:spacing w:after="0" w:line="240" w:lineRule="auto"/>
        <w:rPr>
          <w:rFonts w:ascii="Calibri Light" w:hAnsi="Calibri Light" w:cs="Calibri Light"/>
          <w:b/>
        </w:rPr>
      </w:pPr>
    </w:p>
    <w:p w14:paraId="7076AE77" w14:textId="77777777" w:rsidR="00716737" w:rsidRDefault="00716737" w:rsidP="0035637C">
      <w:pPr>
        <w:spacing w:after="0" w:line="240" w:lineRule="auto"/>
        <w:rPr>
          <w:rFonts w:ascii="Calibri Light" w:hAnsi="Calibri Light" w:cs="Calibri Light"/>
          <w:b/>
        </w:rPr>
      </w:pPr>
    </w:p>
    <w:p w14:paraId="1C8ABE50" w14:textId="77777777" w:rsidR="00745C01" w:rsidRDefault="00745C01" w:rsidP="0035637C">
      <w:pPr>
        <w:spacing w:after="0" w:line="240" w:lineRule="auto"/>
        <w:rPr>
          <w:rFonts w:ascii="Calibri Light" w:hAnsi="Calibri Light" w:cs="Calibri Light"/>
          <w:sz w:val="18"/>
          <w:szCs w:val="18"/>
        </w:rPr>
      </w:pPr>
    </w:p>
    <w:p w14:paraId="4084BA33" w14:textId="77777777" w:rsidR="00745C01" w:rsidRDefault="00745C01" w:rsidP="0035637C">
      <w:pPr>
        <w:spacing w:after="0" w:line="240" w:lineRule="auto"/>
        <w:rPr>
          <w:rFonts w:ascii="Calibri Light" w:hAnsi="Calibri Light" w:cs="Calibri Light"/>
          <w:sz w:val="18"/>
          <w:szCs w:val="18"/>
        </w:rPr>
      </w:pPr>
    </w:p>
    <w:p w14:paraId="0C16C47D" w14:textId="77777777" w:rsidR="00745C01" w:rsidRDefault="00745C01" w:rsidP="0035637C">
      <w:pPr>
        <w:spacing w:after="0" w:line="240" w:lineRule="auto"/>
        <w:rPr>
          <w:rFonts w:ascii="Calibri Light" w:hAnsi="Calibri Light" w:cs="Calibri Light"/>
          <w:sz w:val="18"/>
          <w:szCs w:val="18"/>
        </w:rPr>
      </w:pPr>
    </w:p>
    <w:p w14:paraId="6D333208" w14:textId="77777777" w:rsidR="00745C01" w:rsidRDefault="00745C01" w:rsidP="0035637C">
      <w:pPr>
        <w:spacing w:after="0" w:line="240" w:lineRule="auto"/>
        <w:rPr>
          <w:rFonts w:ascii="Calibri Light" w:hAnsi="Calibri Light" w:cs="Calibri Light"/>
          <w:sz w:val="18"/>
          <w:szCs w:val="18"/>
        </w:rPr>
      </w:pPr>
    </w:p>
    <w:p w14:paraId="5BD2C2CC" w14:textId="77777777" w:rsidR="002A6B1C" w:rsidRDefault="002A6B1C">
      <w:r>
        <w:br w:type="page"/>
      </w:r>
    </w:p>
    <w:p w14:paraId="3F87F289" w14:textId="77777777" w:rsidR="002A6B1C" w:rsidRPr="002A6B1C" w:rsidRDefault="002A6B1C" w:rsidP="002A6B1C">
      <w:pPr>
        <w:rPr>
          <w:b/>
          <w:sz w:val="28"/>
          <w:szCs w:val="28"/>
        </w:rPr>
      </w:pPr>
      <w:r w:rsidRPr="002A6B1C">
        <w:rPr>
          <w:b/>
          <w:sz w:val="28"/>
          <w:szCs w:val="28"/>
        </w:rPr>
        <w:lastRenderedPageBreak/>
        <w:t>Appendix 1.</w:t>
      </w:r>
    </w:p>
    <w:p w14:paraId="5D705739" w14:textId="77777777" w:rsidR="002A6B1C" w:rsidRDefault="002A6B1C" w:rsidP="002A6B1C"/>
    <w:p w14:paraId="39CEFD4D" w14:textId="77777777" w:rsidR="002A6B1C" w:rsidRDefault="002A6B1C" w:rsidP="002A6B1C">
      <w:pPr>
        <w:pStyle w:val="ListParagraph"/>
        <w:numPr>
          <w:ilvl w:val="0"/>
          <w:numId w:val="9"/>
        </w:numPr>
      </w:pPr>
      <w:r>
        <w:t>Organisations already identified as being involved in the primary hemp supply chain in Yorkshire:</w:t>
      </w:r>
    </w:p>
    <w:p w14:paraId="54D83369" w14:textId="01464A57" w:rsidR="002A6B1C" w:rsidRDefault="002A6B1C" w:rsidP="002A6B1C">
      <w:r w:rsidRPr="002A6B1C">
        <w:rPr>
          <w:noProof/>
          <w:lang w:eastAsia="en-GB"/>
        </w:rPr>
        <w:drawing>
          <wp:inline distT="0" distB="0" distL="0" distR="0" wp14:anchorId="05392514" wp14:editId="7C503340">
            <wp:extent cx="5731510" cy="322389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3223895"/>
                    </a:xfrm>
                    <a:prstGeom prst="rect">
                      <a:avLst/>
                    </a:prstGeom>
                  </pic:spPr>
                </pic:pic>
              </a:graphicData>
            </a:graphic>
          </wp:inline>
        </w:drawing>
      </w:r>
    </w:p>
    <w:p w14:paraId="34E994EA" w14:textId="77777777" w:rsidR="00523453" w:rsidRDefault="00523453">
      <w:pPr>
        <w:rPr>
          <w:b/>
          <w:sz w:val="28"/>
          <w:szCs w:val="28"/>
        </w:rPr>
      </w:pPr>
      <w:r>
        <w:rPr>
          <w:b/>
          <w:sz w:val="28"/>
          <w:szCs w:val="28"/>
        </w:rPr>
        <w:br w:type="page"/>
      </w:r>
    </w:p>
    <w:p w14:paraId="009E901A" w14:textId="02B6ABCD" w:rsidR="004F45B7" w:rsidRPr="00523453" w:rsidRDefault="004F45B7" w:rsidP="002A6B1C">
      <w:pPr>
        <w:rPr>
          <w:b/>
          <w:sz w:val="28"/>
          <w:szCs w:val="28"/>
        </w:rPr>
      </w:pPr>
      <w:r w:rsidRPr="00523453">
        <w:rPr>
          <w:b/>
          <w:sz w:val="28"/>
          <w:szCs w:val="28"/>
        </w:rPr>
        <w:lastRenderedPageBreak/>
        <w:t>Appendix 2.</w:t>
      </w:r>
    </w:p>
    <w:p w14:paraId="6EBC34F3" w14:textId="77777777" w:rsidR="005E7088" w:rsidRDefault="004F45B7" w:rsidP="002A6B1C">
      <w:r>
        <w:t xml:space="preserve">It is expected that the output of this Yorkshire Hemp Supply Chain project could </w:t>
      </w:r>
      <w:r w:rsidR="00523453">
        <w:t xml:space="preserve">signpost vertical markets for hemp production in the region. </w:t>
      </w:r>
    </w:p>
    <w:p w14:paraId="03123A17" w14:textId="2E8CC894" w:rsidR="00523453" w:rsidRDefault="00523453" w:rsidP="002A6B1C"/>
    <w:p w14:paraId="69F7941B" w14:textId="729BB04E" w:rsidR="00523453" w:rsidRDefault="005E7088" w:rsidP="002A6B1C">
      <w:r w:rsidRPr="005E7088">
        <w:rPr>
          <w:noProof/>
          <w:lang w:eastAsia="en-GB"/>
        </w:rPr>
        <w:drawing>
          <wp:inline distT="0" distB="0" distL="0" distR="0" wp14:anchorId="59C798BF" wp14:editId="561AB730">
            <wp:extent cx="5731510" cy="322389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3223895"/>
                    </a:xfrm>
                    <a:prstGeom prst="rect">
                      <a:avLst/>
                    </a:prstGeom>
                  </pic:spPr>
                </pic:pic>
              </a:graphicData>
            </a:graphic>
          </wp:inline>
        </w:drawing>
      </w:r>
    </w:p>
    <w:p w14:paraId="094E69BB" w14:textId="46FA35EF" w:rsidR="005E7088" w:rsidRDefault="005E7088" w:rsidP="002A6B1C"/>
    <w:p w14:paraId="681CDF84" w14:textId="6C0CA285" w:rsidR="005E7088" w:rsidRPr="005E7088" w:rsidRDefault="005E7088">
      <w:r w:rsidRPr="005E7088">
        <w:t>The YNY LEP Low Carbon team are already developing a project to explore Bio based and Circular Construction in Yorkshire (</w:t>
      </w:r>
      <w:proofErr w:type="spellStart"/>
      <w:r w:rsidRPr="005E7088">
        <w:t>BaCCY</w:t>
      </w:r>
      <w:proofErr w:type="spellEnd"/>
      <w:r w:rsidRPr="005E7088">
        <w:t xml:space="preserve">) and this project forms part of the overall Carbon Neutral Circular Economy strategy. </w:t>
      </w:r>
      <w:r w:rsidR="00244196">
        <w:t xml:space="preserve">Potential interaction points between the two projects are shown in </w:t>
      </w:r>
      <w:r w:rsidR="00244196" w:rsidRPr="00244196">
        <w:rPr>
          <w:b/>
          <w:i/>
        </w:rPr>
        <w:t>Appendix 3.</w:t>
      </w:r>
      <w:r w:rsidRPr="005E7088">
        <w:br w:type="page"/>
      </w:r>
    </w:p>
    <w:p w14:paraId="6A387908" w14:textId="5F840E13" w:rsidR="005E7088" w:rsidRPr="005E7088" w:rsidRDefault="005E7088" w:rsidP="005E7088">
      <w:pPr>
        <w:rPr>
          <w:b/>
          <w:sz w:val="28"/>
          <w:szCs w:val="28"/>
        </w:rPr>
      </w:pPr>
      <w:r>
        <w:rPr>
          <w:b/>
          <w:sz w:val="28"/>
          <w:szCs w:val="28"/>
        </w:rPr>
        <w:lastRenderedPageBreak/>
        <w:t>Appendix 3</w:t>
      </w:r>
      <w:r w:rsidRPr="005E7088">
        <w:rPr>
          <w:b/>
          <w:sz w:val="28"/>
          <w:szCs w:val="28"/>
        </w:rPr>
        <w:t xml:space="preserve">: </w:t>
      </w:r>
    </w:p>
    <w:p w14:paraId="486C6CEA" w14:textId="67214525" w:rsidR="005E7088" w:rsidRDefault="005E7088" w:rsidP="005E7088">
      <w:r w:rsidRPr="005E7088">
        <w:t>Interaction points between Yorkshire Hemp Supply Chain Project (YHSCP) and “Assessing the potential of Bio</w:t>
      </w:r>
      <w:r w:rsidR="00DC1767">
        <w:t>-</w:t>
      </w:r>
      <w:r w:rsidRPr="005E7088">
        <w:t>based and Circular Construction in Yorkshire” (</w:t>
      </w:r>
      <w:proofErr w:type="spellStart"/>
      <w:r w:rsidRPr="005E7088">
        <w:t>BaCCY</w:t>
      </w:r>
      <w:proofErr w:type="spellEnd"/>
      <w:r w:rsidRPr="005E7088">
        <w:t xml:space="preserve">). The matrix below is a simplification of the </w:t>
      </w:r>
      <w:proofErr w:type="spellStart"/>
      <w:r w:rsidRPr="005E7088">
        <w:t>BaCCY</w:t>
      </w:r>
      <w:proofErr w:type="spellEnd"/>
      <w:r w:rsidRPr="005E7088">
        <w:t xml:space="preserve"> study’s Annex 1, Matrix of expected aspects of the route</w:t>
      </w:r>
      <w:r w:rsidR="00DC1767">
        <w:t>-</w:t>
      </w:r>
      <w:r w:rsidRPr="005E7088">
        <w:t>map developed under the study, with areas of cross-over identified.</w:t>
      </w:r>
    </w:p>
    <w:p w14:paraId="05C8C927" w14:textId="77777777" w:rsidR="00695BE8" w:rsidRPr="005E7088" w:rsidRDefault="00695BE8" w:rsidP="005E7088"/>
    <w:tbl>
      <w:tblPr>
        <w:tblW w:w="8755" w:type="dxa"/>
        <w:tblCellMar>
          <w:left w:w="0" w:type="dxa"/>
          <w:right w:w="0" w:type="dxa"/>
        </w:tblCellMar>
        <w:tblLook w:val="04A0" w:firstRow="1" w:lastRow="0" w:firstColumn="1" w:lastColumn="0" w:noHBand="0" w:noVBand="1"/>
      </w:tblPr>
      <w:tblGrid>
        <w:gridCol w:w="1637"/>
        <w:gridCol w:w="1154"/>
        <w:gridCol w:w="1168"/>
        <w:gridCol w:w="788"/>
        <w:gridCol w:w="1513"/>
        <w:gridCol w:w="1213"/>
        <w:gridCol w:w="1282"/>
      </w:tblGrid>
      <w:tr w:rsidR="006E4C46" w:rsidRPr="007D34BA" w14:paraId="4D57C8A4" w14:textId="77777777" w:rsidTr="006E4C46">
        <w:trPr>
          <w:trHeight w:val="552"/>
        </w:trPr>
        <w:tc>
          <w:tcPr>
            <w:tcW w:w="1628" w:type="dxa"/>
            <w:tcBorders>
              <w:top w:val="single" w:sz="8" w:space="0" w:color="FFFFFF"/>
              <w:left w:val="single" w:sz="8" w:space="0" w:color="FFFFFF"/>
              <w:bottom w:val="single" w:sz="24" w:space="0" w:color="FFFFFF"/>
              <w:right w:val="single" w:sz="8" w:space="0" w:color="FFFFFF"/>
            </w:tcBorders>
            <w:shd w:val="clear" w:color="auto" w:fill="5B9BD5"/>
            <w:tcMar>
              <w:top w:w="15" w:type="dxa"/>
              <w:left w:w="42" w:type="dxa"/>
              <w:bottom w:w="0" w:type="dxa"/>
              <w:right w:w="42" w:type="dxa"/>
            </w:tcMar>
            <w:hideMark/>
          </w:tcPr>
          <w:p w14:paraId="029B1FE2" w14:textId="77777777" w:rsidR="005E7088" w:rsidRPr="000C2553" w:rsidRDefault="005E7088" w:rsidP="000C2553">
            <w:pPr>
              <w:spacing w:after="0" w:line="240" w:lineRule="auto"/>
              <w:contextualSpacing/>
              <w:jc w:val="center"/>
              <w:rPr>
                <w:b/>
                <w:sz w:val="20"/>
                <w:szCs w:val="20"/>
              </w:rPr>
            </w:pPr>
            <w:r w:rsidRPr="000C2553">
              <w:rPr>
                <w:b/>
                <w:bCs/>
                <w:sz w:val="20"/>
                <w:szCs w:val="20"/>
              </w:rPr>
              <w:t> </w:t>
            </w:r>
          </w:p>
        </w:tc>
        <w:tc>
          <w:tcPr>
            <w:tcW w:w="1171" w:type="dxa"/>
            <w:tcBorders>
              <w:top w:val="single" w:sz="8" w:space="0" w:color="FFFFFF"/>
              <w:left w:val="single" w:sz="8" w:space="0" w:color="FFFFFF"/>
              <w:bottom w:val="single" w:sz="24" w:space="0" w:color="FFFFFF"/>
              <w:right w:val="single" w:sz="8" w:space="0" w:color="FFFFFF"/>
            </w:tcBorders>
            <w:shd w:val="clear" w:color="auto" w:fill="5B9BD5"/>
            <w:tcMar>
              <w:top w:w="15" w:type="dxa"/>
              <w:left w:w="42" w:type="dxa"/>
              <w:bottom w:w="0" w:type="dxa"/>
              <w:right w:w="42" w:type="dxa"/>
            </w:tcMar>
            <w:hideMark/>
          </w:tcPr>
          <w:p w14:paraId="1422D089" w14:textId="081F988D" w:rsidR="005E7088" w:rsidRPr="000C2553" w:rsidRDefault="00DC1767" w:rsidP="000C2553">
            <w:pPr>
              <w:spacing w:after="0" w:line="240" w:lineRule="auto"/>
              <w:contextualSpacing/>
              <w:jc w:val="center"/>
              <w:rPr>
                <w:b/>
                <w:sz w:val="20"/>
                <w:szCs w:val="20"/>
              </w:rPr>
            </w:pPr>
            <w:r w:rsidRPr="000C2553">
              <w:rPr>
                <w:b/>
                <w:bCs/>
                <w:sz w:val="20"/>
                <w:szCs w:val="20"/>
              </w:rPr>
              <w:t>Feedstock</w:t>
            </w:r>
          </w:p>
        </w:tc>
        <w:tc>
          <w:tcPr>
            <w:tcW w:w="1168" w:type="dxa"/>
            <w:tcBorders>
              <w:top w:val="single" w:sz="8" w:space="0" w:color="FFFFFF"/>
              <w:left w:val="single" w:sz="8" w:space="0" w:color="FFFFFF"/>
              <w:bottom w:val="single" w:sz="24" w:space="0" w:color="FFFFFF"/>
              <w:right w:val="single" w:sz="8" w:space="0" w:color="FFFFFF"/>
            </w:tcBorders>
            <w:shd w:val="clear" w:color="auto" w:fill="5B9BD5"/>
            <w:tcMar>
              <w:top w:w="15" w:type="dxa"/>
              <w:left w:w="42" w:type="dxa"/>
              <w:bottom w:w="0" w:type="dxa"/>
              <w:right w:w="42" w:type="dxa"/>
            </w:tcMar>
            <w:hideMark/>
          </w:tcPr>
          <w:p w14:paraId="16A6CA6D" w14:textId="77777777" w:rsidR="005E7088" w:rsidRPr="000C2553" w:rsidRDefault="005E7088" w:rsidP="000C2553">
            <w:pPr>
              <w:spacing w:after="0" w:line="240" w:lineRule="auto"/>
              <w:contextualSpacing/>
              <w:jc w:val="center"/>
              <w:rPr>
                <w:b/>
                <w:sz w:val="20"/>
                <w:szCs w:val="20"/>
              </w:rPr>
            </w:pPr>
            <w:r w:rsidRPr="000C2553">
              <w:rPr>
                <w:b/>
                <w:bCs/>
                <w:sz w:val="20"/>
                <w:szCs w:val="20"/>
              </w:rPr>
              <w:t>Materials</w:t>
            </w:r>
          </w:p>
        </w:tc>
        <w:tc>
          <w:tcPr>
            <w:tcW w:w="786" w:type="dxa"/>
            <w:tcBorders>
              <w:top w:val="single" w:sz="8" w:space="0" w:color="FFFFFF"/>
              <w:left w:val="single" w:sz="8" w:space="0" w:color="FFFFFF"/>
              <w:bottom w:val="single" w:sz="24" w:space="0" w:color="FFFFFF"/>
              <w:right w:val="single" w:sz="8" w:space="0" w:color="FFFFFF"/>
            </w:tcBorders>
            <w:shd w:val="clear" w:color="auto" w:fill="5B9BD5"/>
            <w:tcMar>
              <w:top w:w="15" w:type="dxa"/>
              <w:left w:w="42" w:type="dxa"/>
              <w:bottom w:w="0" w:type="dxa"/>
              <w:right w:w="42" w:type="dxa"/>
            </w:tcMar>
            <w:hideMark/>
          </w:tcPr>
          <w:p w14:paraId="17B079FD" w14:textId="77777777" w:rsidR="005E7088" w:rsidRPr="000C2553" w:rsidRDefault="005E7088" w:rsidP="000C2553">
            <w:pPr>
              <w:spacing w:after="0" w:line="240" w:lineRule="auto"/>
              <w:contextualSpacing/>
              <w:jc w:val="center"/>
              <w:rPr>
                <w:b/>
                <w:sz w:val="20"/>
                <w:szCs w:val="20"/>
              </w:rPr>
            </w:pPr>
            <w:r w:rsidRPr="000C2553">
              <w:rPr>
                <w:b/>
                <w:bCs/>
                <w:sz w:val="20"/>
                <w:szCs w:val="20"/>
              </w:rPr>
              <w:t>Design</w:t>
            </w:r>
          </w:p>
        </w:tc>
        <w:tc>
          <w:tcPr>
            <w:tcW w:w="1511" w:type="dxa"/>
            <w:tcBorders>
              <w:top w:val="single" w:sz="8" w:space="0" w:color="FFFFFF"/>
              <w:left w:val="single" w:sz="8" w:space="0" w:color="FFFFFF"/>
              <w:bottom w:val="single" w:sz="24" w:space="0" w:color="FFFFFF"/>
              <w:right w:val="single" w:sz="8" w:space="0" w:color="FFFFFF"/>
            </w:tcBorders>
            <w:shd w:val="clear" w:color="auto" w:fill="5B9BD5"/>
            <w:tcMar>
              <w:top w:w="15" w:type="dxa"/>
              <w:left w:w="42" w:type="dxa"/>
              <w:bottom w:w="0" w:type="dxa"/>
              <w:right w:w="42" w:type="dxa"/>
            </w:tcMar>
            <w:hideMark/>
          </w:tcPr>
          <w:p w14:paraId="68448FD6" w14:textId="77777777" w:rsidR="005E7088" w:rsidRPr="000C2553" w:rsidRDefault="005E7088" w:rsidP="000C2553">
            <w:pPr>
              <w:spacing w:after="0" w:line="240" w:lineRule="auto"/>
              <w:contextualSpacing/>
              <w:jc w:val="center"/>
              <w:rPr>
                <w:b/>
                <w:sz w:val="20"/>
                <w:szCs w:val="20"/>
              </w:rPr>
            </w:pPr>
            <w:r w:rsidRPr="000C2553">
              <w:rPr>
                <w:b/>
                <w:bCs/>
                <w:sz w:val="20"/>
                <w:szCs w:val="20"/>
              </w:rPr>
              <w:t>Commissioning and Contracting</w:t>
            </w:r>
          </w:p>
        </w:tc>
        <w:tc>
          <w:tcPr>
            <w:tcW w:w="1213" w:type="dxa"/>
            <w:tcBorders>
              <w:top w:val="single" w:sz="8" w:space="0" w:color="FFFFFF"/>
              <w:left w:val="single" w:sz="8" w:space="0" w:color="FFFFFF"/>
              <w:bottom w:val="single" w:sz="24" w:space="0" w:color="FFFFFF"/>
              <w:right w:val="single" w:sz="8" w:space="0" w:color="FFFFFF"/>
            </w:tcBorders>
            <w:shd w:val="clear" w:color="auto" w:fill="5B9BD5"/>
            <w:tcMar>
              <w:top w:w="15" w:type="dxa"/>
              <w:left w:w="42" w:type="dxa"/>
              <w:bottom w:w="0" w:type="dxa"/>
              <w:right w:w="42" w:type="dxa"/>
            </w:tcMar>
            <w:hideMark/>
          </w:tcPr>
          <w:p w14:paraId="294EF609" w14:textId="77777777" w:rsidR="005E7088" w:rsidRPr="000C2553" w:rsidRDefault="005E7088" w:rsidP="000C2553">
            <w:pPr>
              <w:spacing w:after="0" w:line="240" w:lineRule="auto"/>
              <w:contextualSpacing/>
              <w:jc w:val="center"/>
              <w:rPr>
                <w:b/>
                <w:sz w:val="20"/>
                <w:szCs w:val="20"/>
              </w:rPr>
            </w:pPr>
            <w:r w:rsidRPr="000C2553">
              <w:rPr>
                <w:b/>
                <w:bCs/>
                <w:sz w:val="20"/>
                <w:szCs w:val="20"/>
              </w:rPr>
              <w:t>Construction</w:t>
            </w:r>
          </w:p>
        </w:tc>
        <w:tc>
          <w:tcPr>
            <w:tcW w:w="1278" w:type="dxa"/>
            <w:tcBorders>
              <w:top w:val="single" w:sz="8" w:space="0" w:color="FFFFFF"/>
              <w:left w:val="single" w:sz="8" w:space="0" w:color="FFFFFF"/>
              <w:bottom w:val="single" w:sz="24" w:space="0" w:color="FFFFFF"/>
              <w:right w:val="single" w:sz="8" w:space="0" w:color="FFFFFF"/>
            </w:tcBorders>
            <w:shd w:val="clear" w:color="auto" w:fill="5B9BD5"/>
            <w:tcMar>
              <w:top w:w="15" w:type="dxa"/>
              <w:left w:w="42" w:type="dxa"/>
              <w:bottom w:w="0" w:type="dxa"/>
              <w:right w:w="42" w:type="dxa"/>
            </w:tcMar>
            <w:hideMark/>
          </w:tcPr>
          <w:p w14:paraId="55418352" w14:textId="77777777" w:rsidR="005E7088" w:rsidRPr="000C2553" w:rsidRDefault="005E7088" w:rsidP="000C2553">
            <w:pPr>
              <w:spacing w:after="0" w:line="240" w:lineRule="auto"/>
              <w:contextualSpacing/>
              <w:jc w:val="center"/>
              <w:rPr>
                <w:b/>
                <w:sz w:val="20"/>
                <w:szCs w:val="20"/>
              </w:rPr>
            </w:pPr>
            <w:r w:rsidRPr="000C2553">
              <w:rPr>
                <w:b/>
                <w:bCs/>
                <w:sz w:val="20"/>
                <w:szCs w:val="20"/>
              </w:rPr>
              <w:t>Monitoring and Evaluation</w:t>
            </w:r>
          </w:p>
        </w:tc>
      </w:tr>
      <w:tr w:rsidR="006E4C46" w:rsidRPr="007D34BA" w14:paraId="4483EEE0" w14:textId="77777777" w:rsidTr="006E4C46">
        <w:trPr>
          <w:trHeight w:val="449"/>
        </w:trPr>
        <w:tc>
          <w:tcPr>
            <w:tcW w:w="1682" w:type="dxa"/>
            <w:tcBorders>
              <w:top w:val="single" w:sz="24" w:space="0" w:color="FFFFFF"/>
              <w:left w:val="single" w:sz="8" w:space="0" w:color="FFFFFF"/>
              <w:bottom w:val="single" w:sz="8" w:space="0" w:color="FFFFFF"/>
              <w:right w:val="single" w:sz="8" w:space="0" w:color="FFFFFF"/>
            </w:tcBorders>
            <w:shd w:val="clear" w:color="auto" w:fill="5B9BD5"/>
            <w:tcMar>
              <w:top w:w="15" w:type="dxa"/>
              <w:left w:w="42" w:type="dxa"/>
              <w:bottom w:w="0" w:type="dxa"/>
              <w:right w:w="42" w:type="dxa"/>
            </w:tcMar>
            <w:hideMark/>
          </w:tcPr>
          <w:p w14:paraId="3BB90BFA" w14:textId="77777777" w:rsidR="005E7088" w:rsidRPr="000C2553" w:rsidRDefault="005E7088" w:rsidP="000C2553">
            <w:pPr>
              <w:spacing w:after="0" w:line="240" w:lineRule="auto"/>
              <w:contextualSpacing/>
              <w:jc w:val="center"/>
              <w:rPr>
                <w:b/>
                <w:sz w:val="20"/>
                <w:szCs w:val="20"/>
              </w:rPr>
            </w:pPr>
            <w:r w:rsidRPr="000C2553">
              <w:rPr>
                <w:b/>
                <w:bCs/>
                <w:sz w:val="20"/>
                <w:szCs w:val="20"/>
              </w:rPr>
              <w:t>Map existing capacity</w:t>
            </w:r>
            <w:r w:rsidRPr="000C2553">
              <w:rPr>
                <w:b/>
                <w:bCs/>
                <w:sz w:val="20"/>
                <w:szCs w:val="20"/>
              </w:rPr>
              <w:tab/>
            </w:r>
          </w:p>
        </w:tc>
        <w:tc>
          <w:tcPr>
            <w:tcW w:w="1064" w:type="dxa"/>
            <w:tcBorders>
              <w:top w:val="single" w:sz="24" w:space="0" w:color="FFFFFF"/>
              <w:left w:val="single" w:sz="8" w:space="0" w:color="FFFFFF"/>
              <w:bottom w:val="single" w:sz="8" w:space="0" w:color="FFFFFF"/>
              <w:right w:val="single" w:sz="8" w:space="0" w:color="FFFFFF"/>
            </w:tcBorders>
            <w:shd w:val="clear" w:color="auto" w:fill="D2DEEF"/>
            <w:tcMar>
              <w:top w:w="15" w:type="dxa"/>
              <w:left w:w="42" w:type="dxa"/>
              <w:bottom w:w="0" w:type="dxa"/>
              <w:right w:w="42" w:type="dxa"/>
            </w:tcMar>
            <w:hideMark/>
          </w:tcPr>
          <w:p w14:paraId="355CBE11" w14:textId="04D9347A" w:rsidR="006E4C46" w:rsidRPr="006E4C46" w:rsidRDefault="005E7088" w:rsidP="006E4C46">
            <w:pPr>
              <w:pStyle w:val="ListParagraph"/>
              <w:numPr>
                <w:ilvl w:val="0"/>
                <w:numId w:val="10"/>
              </w:numPr>
              <w:ind w:left="113" w:hanging="113"/>
              <w:rPr>
                <w:sz w:val="16"/>
                <w:szCs w:val="16"/>
              </w:rPr>
            </w:pPr>
            <w:r w:rsidRPr="006E4C46">
              <w:rPr>
                <w:b/>
                <w:sz w:val="16"/>
                <w:szCs w:val="16"/>
              </w:rPr>
              <w:t xml:space="preserve"> </w:t>
            </w:r>
            <w:r w:rsidR="006E4C46" w:rsidRPr="006E4C46">
              <w:rPr>
                <w:sz w:val="16"/>
                <w:szCs w:val="16"/>
              </w:rPr>
              <w:t>Types (straw, hemp, timber, etc</w:t>
            </w:r>
            <w:r w:rsidR="006E4C46">
              <w:rPr>
                <w:sz w:val="16"/>
                <w:szCs w:val="16"/>
              </w:rPr>
              <w:t>.</w:t>
            </w:r>
            <w:r w:rsidR="006E4C46" w:rsidRPr="006E4C46">
              <w:rPr>
                <w:sz w:val="16"/>
                <w:szCs w:val="16"/>
              </w:rPr>
              <w:t>)</w:t>
            </w:r>
          </w:p>
          <w:p w14:paraId="41F45EC1" w14:textId="77777777" w:rsidR="006E4C46" w:rsidRPr="006E4C46" w:rsidRDefault="006E4C46" w:rsidP="006E4C46">
            <w:pPr>
              <w:pStyle w:val="ListParagraph"/>
              <w:numPr>
                <w:ilvl w:val="0"/>
                <w:numId w:val="10"/>
              </w:numPr>
              <w:ind w:left="113" w:hanging="113"/>
              <w:rPr>
                <w:sz w:val="16"/>
                <w:szCs w:val="16"/>
              </w:rPr>
            </w:pPr>
            <w:r w:rsidRPr="006E4C46">
              <w:rPr>
                <w:sz w:val="16"/>
                <w:szCs w:val="16"/>
              </w:rPr>
              <w:t>Locations</w:t>
            </w:r>
          </w:p>
          <w:p w14:paraId="56E3DE04" w14:textId="77777777" w:rsidR="006E4C46" w:rsidRPr="006E4C46" w:rsidRDefault="006E4C46" w:rsidP="006E4C46">
            <w:pPr>
              <w:pStyle w:val="ListParagraph"/>
              <w:numPr>
                <w:ilvl w:val="0"/>
                <w:numId w:val="10"/>
              </w:numPr>
              <w:ind w:left="113" w:hanging="113"/>
              <w:rPr>
                <w:sz w:val="16"/>
                <w:szCs w:val="16"/>
              </w:rPr>
            </w:pPr>
            <w:r w:rsidRPr="006E4C46">
              <w:rPr>
                <w:sz w:val="16"/>
                <w:szCs w:val="16"/>
              </w:rPr>
              <w:t>Volumes available</w:t>
            </w:r>
          </w:p>
          <w:p w14:paraId="450D4BD7" w14:textId="21726BEA" w:rsidR="005E7088" w:rsidRPr="000C2553" w:rsidRDefault="006E4C46" w:rsidP="006E4C46">
            <w:pPr>
              <w:spacing w:after="0" w:line="240" w:lineRule="auto"/>
              <w:contextualSpacing/>
              <w:rPr>
                <w:b/>
                <w:sz w:val="20"/>
                <w:szCs w:val="20"/>
              </w:rPr>
            </w:pPr>
            <w:r w:rsidRPr="006E4C46">
              <w:rPr>
                <w:sz w:val="16"/>
                <w:szCs w:val="16"/>
              </w:rPr>
              <w:t>Theoretical property numbers (%age of house</w:t>
            </w:r>
            <w:r>
              <w:rPr>
                <w:sz w:val="16"/>
                <w:szCs w:val="16"/>
              </w:rPr>
              <w:t xml:space="preserve"> </w:t>
            </w:r>
            <w:r w:rsidRPr="006E4C46">
              <w:rPr>
                <w:sz w:val="16"/>
                <w:szCs w:val="16"/>
              </w:rPr>
              <w:t>builds)</w:t>
            </w:r>
          </w:p>
        </w:tc>
        <w:tc>
          <w:tcPr>
            <w:tcW w:w="1168" w:type="dxa"/>
            <w:tcBorders>
              <w:top w:val="single" w:sz="24" w:space="0" w:color="FFFFFF"/>
              <w:left w:val="single" w:sz="8" w:space="0" w:color="FFFFFF"/>
              <w:bottom w:val="single" w:sz="8" w:space="0" w:color="FFFFFF"/>
              <w:right w:val="single" w:sz="8" w:space="0" w:color="FFFFFF"/>
            </w:tcBorders>
            <w:shd w:val="clear" w:color="auto" w:fill="D2DEEF"/>
            <w:tcMar>
              <w:top w:w="15" w:type="dxa"/>
              <w:left w:w="42" w:type="dxa"/>
              <w:bottom w:w="0" w:type="dxa"/>
              <w:right w:w="42" w:type="dxa"/>
            </w:tcMar>
            <w:hideMark/>
          </w:tcPr>
          <w:p w14:paraId="6C9F768A" w14:textId="77777777" w:rsidR="006E4C46" w:rsidRPr="006E4C46" w:rsidRDefault="006E4C46" w:rsidP="006E4C46">
            <w:pPr>
              <w:pStyle w:val="ListParagraph"/>
              <w:numPr>
                <w:ilvl w:val="0"/>
                <w:numId w:val="10"/>
              </w:numPr>
              <w:ind w:left="113" w:hanging="113"/>
              <w:rPr>
                <w:sz w:val="16"/>
                <w:szCs w:val="16"/>
              </w:rPr>
            </w:pPr>
            <w:r w:rsidRPr="006E4C46">
              <w:rPr>
                <w:sz w:val="16"/>
                <w:szCs w:val="16"/>
              </w:rPr>
              <w:t>On-farm processing</w:t>
            </w:r>
          </w:p>
          <w:p w14:paraId="3C936C1E" w14:textId="77777777" w:rsidR="006E4C46" w:rsidRPr="006E4C46" w:rsidRDefault="006E4C46" w:rsidP="006E4C46">
            <w:pPr>
              <w:pStyle w:val="ListParagraph"/>
              <w:numPr>
                <w:ilvl w:val="0"/>
                <w:numId w:val="10"/>
              </w:numPr>
              <w:ind w:left="113" w:hanging="113"/>
              <w:rPr>
                <w:sz w:val="16"/>
                <w:szCs w:val="16"/>
              </w:rPr>
            </w:pPr>
            <w:r w:rsidRPr="006E4C46">
              <w:rPr>
                <w:sz w:val="16"/>
                <w:szCs w:val="16"/>
              </w:rPr>
              <w:t>Transportation</w:t>
            </w:r>
          </w:p>
          <w:p w14:paraId="7EA78898" w14:textId="77777777" w:rsidR="006E4C46" w:rsidRPr="006E4C46" w:rsidRDefault="006E4C46" w:rsidP="006E4C46">
            <w:pPr>
              <w:pStyle w:val="ListParagraph"/>
              <w:numPr>
                <w:ilvl w:val="0"/>
                <w:numId w:val="10"/>
              </w:numPr>
              <w:ind w:left="113" w:hanging="113"/>
              <w:rPr>
                <w:sz w:val="16"/>
                <w:szCs w:val="16"/>
              </w:rPr>
            </w:pPr>
            <w:r w:rsidRPr="006E4C46">
              <w:rPr>
                <w:sz w:val="16"/>
                <w:szCs w:val="16"/>
              </w:rPr>
              <w:t>Storage</w:t>
            </w:r>
          </w:p>
          <w:p w14:paraId="7C303D48" w14:textId="77777777" w:rsidR="006E4C46" w:rsidRPr="006E4C46" w:rsidRDefault="006E4C46" w:rsidP="006E4C46">
            <w:pPr>
              <w:pStyle w:val="ListParagraph"/>
              <w:numPr>
                <w:ilvl w:val="0"/>
                <w:numId w:val="10"/>
              </w:numPr>
              <w:ind w:left="113" w:hanging="113"/>
              <w:rPr>
                <w:sz w:val="16"/>
                <w:szCs w:val="16"/>
              </w:rPr>
            </w:pPr>
            <w:r w:rsidRPr="006E4C46">
              <w:rPr>
                <w:sz w:val="16"/>
                <w:szCs w:val="16"/>
              </w:rPr>
              <w:t xml:space="preserve">Manufacturing (e.g. </w:t>
            </w:r>
            <w:proofErr w:type="spellStart"/>
            <w:r w:rsidRPr="006E4C46">
              <w:rPr>
                <w:sz w:val="16"/>
                <w:szCs w:val="16"/>
              </w:rPr>
              <w:t>hempcrete</w:t>
            </w:r>
            <w:proofErr w:type="spellEnd"/>
            <w:r w:rsidRPr="006E4C46">
              <w:rPr>
                <w:sz w:val="16"/>
                <w:szCs w:val="16"/>
              </w:rPr>
              <w:t xml:space="preserve"> blocks)</w:t>
            </w:r>
          </w:p>
          <w:p w14:paraId="61ABDBFB" w14:textId="77777777" w:rsidR="006E4C46" w:rsidRPr="006E4C46" w:rsidRDefault="006E4C46" w:rsidP="006E4C46">
            <w:pPr>
              <w:pStyle w:val="ListParagraph"/>
              <w:numPr>
                <w:ilvl w:val="0"/>
                <w:numId w:val="10"/>
              </w:numPr>
              <w:ind w:left="113" w:hanging="113"/>
              <w:rPr>
                <w:sz w:val="16"/>
                <w:szCs w:val="16"/>
              </w:rPr>
            </w:pPr>
            <w:r w:rsidRPr="006E4C46">
              <w:rPr>
                <w:sz w:val="16"/>
                <w:szCs w:val="16"/>
              </w:rPr>
              <w:t>On-site processing</w:t>
            </w:r>
          </w:p>
          <w:p w14:paraId="2A233EAA" w14:textId="19230A85" w:rsidR="005E7088" w:rsidRPr="000C2553" w:rsidRDefault="006E4C46" w:rsidP="006E4C46">
            <w:pPr>
              <w:spacing w:after="0" w:line="240" w:lineRule="auto"/>
              <w:contextualSpacing/>
              <w:rPr>
                <w:b/>
                <w:sz w:val="20"/>
                <w:szCs w:val="20"/>
              </w:rPr>
            </w:pPr>
            <w:r w:rsidRPr="006E4C46">
              <w:rPr>
                <w:sz w:val="16"/>
                <w:szCs w:val="16"/>
              </w:rPr>
              <w:t>Volumes feedstock processed</w:t>
            </w:r>
          </w:p>
        </w:tc>
        <w:tc>
          <w:tcPr>
            <w:tcW w:w="798" w:type="dxa"/>
            <w:tcBorders>
              <w:top w:val="single" w:sz="24" w:space="0" w:color="FFFFFF"/>
              <w:left w:val="single" w:sz="8" w:space="0" w:color="FFFFFF"/>
              <w:bottom w:val="single" w:sz="8" w:space="0" w:color="FFFFFF"/>
              <w:right w:val="single" w:sz="8" w:space="0" w:color="FFFFFF"/>
            </w:tcBorders>
            <w:shd w:val="clear" w:color="auto" w:fill="D2DEEF"/>
            <w:tcMar>
              <w:top w:w="15" w:type="dxa"/>
              <w:left w:w="42" w:type="dxa"/>
              <w:bottom w:w="0" w:type="dxa"/>
              <w:right w:w="42" w:type="dxa"/>
            </w:tcMar>
            <w:hideMark/>
          </w:tcPr>
          <w:p w14:paraId="2527C525" w14:textId="77777777" w:rsidR="005E7088" w:rsidRPr="000C2553" w:rsidRDefault="005E7088" w:rsidP="000C2553">
            <w:pPr>
              <w:spacing w:after="0" w:line="240" w:lineRule="auto"/>
              <w:contextualSpacing/>
              <w:jc w:val="center"/>
              <w:rPr>
                <w:b/>
                <w:sz w:val="20"/>
                <w:szCs w:val="20"/>
              </w:rPr>
            </w:pPr>
            <w:r w:rsidRPr="000C2553">
              <w:rPr>
                <w:b/>
                <w:sz w:val="20"/>
                <w:szCs w:val="20"/>
              </w:rPr>
              <w:t>YHSCP</w:t>
            </w:r>
          </w:p>
        </w:tc>
        <w:tc>
          <w:tcPr>
            <w:tcW w:w="1525" w:type="dxa"/>
            <w:tcBorders>
              <w:top w:val="single" w:sz="24" w:space="0" w:color="FFFFFF"/>
              <w:left w:val="single" w:sz="8" w:space="0" w:color="FFFFFF"/>
              <w:bottom w:val="single" w:sz="8" w:space="0" w:color="FFFFFF"/>
              <w:right w:val="single" w:sz="8" w:space="0" w:color="FFFFFF"/>
            </w:tcBorders>
            <w:shd w:val="clear" w:color="auto" w:fill="D2DEEF"/>
            <w:tcMar>
              <w:top w:w="15" w:type="dxa"/>
              <w:left w:w="42" w:type="dxa"/>
              <w:bottom w:w="0" w:type="dxa"/>
              <w:right w:w="42" w:type="dxa"/>
            </w:tcMar>
            <w:hideMark/>
          </w:tcPr>
          <w:p w14:paraId="01C2D790" w14:textId="77777777" w:rsidR="005E7088" w:rsidRPr="000C2553" w:rsidRDefault="005E7088" w:rsidP="000C2553">
            <w:pPr>
              <w:spacing w:after="0" w:line="240" w:lineRule="auto"/>
              <w:contextualSpacing/>
              <w:jc w:val="center"/>
              <w:rPr>
                <w:b/>
                <w:sz w:val="20"/>
                <w:szCs w:val="20"/>
              </w:rPr>
            </w:pPr>
            <w:r w:rsidRPr="000C2553">
              <w:rPr>
                <w:b/>
                <w:sz w:val="20"/>
                <w:szCs w:val="20"/>
              </w:rPr>
              <w:t>YHSCP</w:t>
            </w:r>
          </w:p>
        </w:tc>
        <w:tc>
          <w:tcPr>
            <w:tcW w:w="1218" w:type="dxa"/>
            <w:tcBorders>
              <w:top w:val="single" w:sz="24" w:space="0" w:color="FFFFFF"/>
              <w:left w:val="single" w:sz="8" w:space="0" w:color="FFFFFF"/>
              <w:bottom w:val="single" w:sz="8" w:space="0" w:color="FFFFFF"/>
              <w:right w:val="single" w:sz="8" w:space="0" w:color="FFFFFF"/>
            </w:tcBorders>
            <w:shd w:val="clear" w:color="auto" w:fill="D2DEEF"/>
            <w:tcMar>
              <w:top w:w="15" w:type="dxa"/>
              <w:left w:w="42" w:type="dxa"/>
              <w:bottom w:w="0" w:type="dxa"/>
              <w:right w:w="42" w:type="dxa"/>
            </w:tcMar>
            <w:hideMark/>
          </w:tcPr>
          <w:p w14:paraId="2AD46EDA" w14:textId="77777777" w:rsidR="005E7088" w:rsidRPr="000C2553" w:rsidRDefault="005E7088" w:rsidP="000C2553">
            <w:pPr>
              <w:spacing w:after="0" w:line="240" w:lineRule="auto"/>
              <w:contextualSpacing/>
              <w:jc w:val="center"/>
              <w:rPr>
                <w:b/>
                <w:sz w:val="20"/>
                <w:szCs w:val="20"/>
              </w:rPr>
            </w:pPr>
            <w:r w:rsidRPr="000C2553">
              <w:rPr>
                <w:b/>
                <w:sz w:val="20"/>
                <w:szCs w:val="20"/>
              </w:rPr>
              <w:t>YHSCP</w:t>
            </w:r>
          </w:p>
        </w:tc>
        <w:tc>
          <w:tcPr>
            <w:tcW w:w="1300" w:type="dxa"/>
            <w:tcBorders>
              <w:top w:val="single" w:sz="24" w:space="0" w:color="FFFFFF"/>
              <w:left w:val="single" w:sz="8" w:space="0" w:color="FFFFFF"/>
              <w:bottom w:val="single" w:sz="8" w:space="0" w:color="FFFFFF"/>
              <w:right w:val="single" w:sz="8" w:space="0" w:color="FFFFFF"/>
            </w:tcBorders>
            <w:shd w:val="clear" w:color="auto" w:fill="D2DEEF"/>
            <w:tcMar>
              <w:top w:w="15" w:type="dxa"/>
              <w:left w:w="42" w:type="dxa"/>
              <w:bottom w:w="0" w:type="dxa"/>
              <w:right w:w="42" w:type="dxa"/>
            </w:tcMar>
            <w:hideMark/>
          </w:tcPr>
          <w:p w14:paraId="32AD7C3D" w14:textId="77777777" w:rsidR="005E7088" w:rsidRPr="000C2553" w:rsidRDefault="005E7088" w:rsidP="000C2553">
            <w:pPr>
              <w:spacing w:after="0" w:line="240" w:lineRule="auto"/>
              <w:contextualSpacing/>
              <w:jc w:val="center"/>
              <w:rPr>
                <w:b/>
                <w:sz w:val="20"/>
                <w:szCs w:val="20"/>
              </w:rPr>
            </w:pPr>
          </w:p>
        </w:tc>
      </w:tr>
      <w:tr w:rsidR="006E4C46" w:rsidRPr="007D34BA" w14:paraId="74281B9C" w14:textId="77777777" w:rsidTr="00CB5C11">
        <w:trPr>
          <w:trHeight w:val="532"/>
        </w:trPr>
        <w:tc>
          <w:tcPr>
            <w:tcW w:w="1682" w:type="dxa"/>
            <w:tcBorders>
              <w:top w:val="single" w:sz="8" w:space="0" w:color="FFFFFF"/>
              <w:left w:val="single" w:sz="8" w:space="0" w:color="FFFFFF"/>
              <w:bottom w:val="single" w:sz="8" w:space="0" w:color="FFFFFF"/>
              <w:right w:val="single" w:sz="8" w:space="0" w:color="FFFFFF"/>
            </w:tcBorders>
            <w:shd w:val="clear" w:color="auto" w:fill="5B9BD5"/>
            <w:tcMar>
              <w:top w:w="15" w:type="dxa"/>
              <w:left w:w="42" w:type="dxa"/>
              <w:bottom w:w="0" w:type="dxa"/>
              <w:right w:w="42" w:type="dxa"/>
            </w:tcMar>
            <w:hideMark/>
          </w:tcPr>
          <w:p w14:paraId="146FE27E" w14:textId="77777777" w:rsidR="006E4C46" w:rsidRPr="000C2553" w:rsidRDefault="006E4C46" w:rsidP="006E4C46">
            <w:pPr>
              <w:spacing w:after="0" w:line="240" w:lineRule="auto"/>
              <w:contextualSpacing/>
              <w:jc w:val="center"/>
              <w:rPr>
                <w:b/>
                <w:sz w:val="20"/>
                <w:szCs w:val="20"/>
              </w:rPr>
            </w:pPr>
            <w:r w:rsidRPr="000C2553">
              <w:rPr>
                <w:b/>
                <w:bCs/>
                <w:sz w:val="20"/>
                <w:szCs w:val="20"/>
              </w:rPr>
              <w:t>Outline feasible uplift</w:t>
            </w:r>
          </w:p>
        </w:tc>
        <w:tc>
          <w:tcPr>
            <w:tcW w:w="7127" w:type="dxa"/>
            <w:gridSpan w:val="6"/>
            <w:tcBorders>
              <w:top w:val="single" w:sz="8" w:space="0" w:color="FFFFFF"/>
              <w:left w:val="single" w:sz="8" w:space="0" w:color="FFFFFF"/>
              <w:bottom w:val="single" w:sz="8" w:space="0" w:color="FFFFFF"/>
              <w:right w:val="single" w:sz="8" w:space="0" w:color="FFFFFF"/>
            </w:tcBorders>
            <w:shd w:val="clear" w:color="auto" w:fill="EAEFF7"/>
            <w:tcMar>
              <w:top w:w="15" w:type="dxa"/>
              <w:left w:w="42" w:type="dxa"/>
              <w:bottom w:w="0" w:type="dxa"/>
              <w:right w:w="42" w:type="dxa"/>
            </w:tcMar>
            <w:hideMark/>
          </w:tcPr>
          <w:p w14:paraId="13B0793F" w14:textId="3501590E" w:rsidR="006E4C46" w:rsidRPr="000C2553" w:rsidRDefault="006E4C46" w:rsidP="006E4C46">
            <w:pPr>
              <w:spacing w:after="0" w:line="240" w:lineRule="auto"/>
              <w:contextualSpacing/>
              <w:jc w:val="center"/>
              <w:rPr>
                <w:b/>
                <w:sz w:val="20"/>
                <w:szCs w:val="20"/>
              </w:rPr>
            </w:pPr>
            <w:r w:rsidRPr="003264F2">
              <w:t>Maximising the above within the geography’s context</w:t>
            </w:r>
          </w:p>
        </w:tc>
      </w:tr>
      <w:tr w:rsidR="006E4C46" w:rsidRPr="007D34BA" w14:paraId="3FE11DD9" w14:textId="77777777" w:rsidTr="006E4C46">
        <w:trPr>
          <w:trHeight w:val="508"/>
        </w:trPr>
        <w:tc>
          <w:tcPr>
            <w:tcW w:w="1628" w:type="dxa"/>
            <w:tcBorders>
              <w:top w:val="single" w:sz="8" w:space="0" w:color="FFFFFF"/>
              <w:left w:val="single" w:sz="8" w:space="0" w:color="FFFFFF"/>
              <w:bottom w:val="single" w:sz="8" w:space="0" w:color="FFFFFF"/>
              <w:right w:val="single" w:sz="8" w:space="0" w:color="FFFFFF"/>
            </w:tcBorders>
            <w:shd w:val="clear" w:color="auto" w:fill="5B9BD5"/>
            <w:tcMar>
              <w:top w:w="15" w:type="dxa"/>
              <w:left w:w="42" w:type="dxa"/>
              <w:bottom w:w="0" w:type="dxa"/>
              <w:right w:w="42" w:type="dxa"/>
            </w:tcMar>
            <w:hideMark/>
          </w:tcPr>
          <w:p w14:paraId="41B81294" w14:textId="77777777" w:rsidR="005E7088" w:rsidRPr="000C2553" w:rsidRDefault="005E7088" w:rsidP="000C2553">
            <w:pPr>
              <w:spacing w:after="0" w:line="240" w:lineRule="auto"/>
              <w:contextualSpacing/>
              <w:jc w:val="center"/>
              <w:rPr>
                <w:b/>
                <w:sz w:val="20"/>
                <w:szCs w:val="20"/>
              </w:rPr>
            </w:pPr>
            <w:r w:rsidRPr="000C2553">
              <w:rPr>
                <w:b/>
                <w:bCs/>
                <w:sz w:val="20"/>
                <w:szCs w:val="20"/>
              </w:rPr>
              <w:t>Propose actions to generate uplift</w:t>
            </w:r>
          </w:p>
        </w:tc>
        <w:tc>
          <w:tcPr>
            <w:tcW w:w="1171" w:type="dxa"/>
            <w:tcBorders>
              <w:top w:val="single" w:sz="8" w:space="0" w:color="FFFFFF"/>
              <w:left w:val="single" w:sz="8" w:space="0" w:color="FFFFFF"/>
              <w:bottom w:val="single" w:sz="8" w:space="0" w:color="FFFFFF"/>
              <w:right w:val="single" w:sz="8" w:space="0" w:color="FFFFFF"/>
            </w:tcBorders>
            <w:shd w:val="clear" w:color="auto" w:fill="D2DEEF"/>
            <w:tcMar>
              <w:top w:w="15" w:type="dxa"/>
              <w:left w:w="42" w:type="dxa"/>
              <w:bottom w:w="0" w:type="dxa"/>
              <w:right w:w="42" w:type="dxa"/>
            </w:tcMar>
            <w:hideMark/>
          </w:tcPr>
          <w:p w14:paraId="4D4F31CC" w14:textId="77777777" w:rsidR="006E4C46" w:rsidRPr="006E4C46" w:rsidRDefault="006E4C46" w:rsidP="006E4C46">
            <w:pPr>
              <w:pStyle w:val="ListParagraph"/>
              <w:numPr>
                <w:ilvl w:val="0"/>
                <w:numId w:val="10"/>
              </w:numPr>
              <w:spacing w:after="0" w:line="240" w:lineRule="auto"/>
              <w:ind w:left="113" w:hanging="113"/>
              <w:rPr>
                <w:sz w:val="16"/>
                <w:szCs w:val="16"/>
              </w:rPr>
            </w:pPr>
            <w:r w:rsidRPr="006E4C46">
              <w:rPr>
                <w:sz w:val="16"/>
                <w:szCs w:val="16"/>
              </w:rPr>
              <w:t>Cropping changes</w:t>
            </w:r>
          </w:p>
          <w:p w14:paraId="4DAD889D" w14:textId="7236301B" w:rsidR="005E7088" w:rsidRPr="006E4C46" w:rsidRDefault="006E4C46" w:rsidP="006E4C46">
            <w:pPr>
              <w:spacing w:after="0" w:line="240" w:lineRule="auto"/>
              <w:contextualSpacing/>
              <w:rPr>
                <w:b/>
                <w:sz w:val="16"/>
                <w:szCs w:val="16"/>
              </w:rPr>
            </w:pPr>
            <w:r w:rsidRPr="006E4C46">
              <w:rPr>
                <w:sz w:val="16"/>
                <w:szCs w:val="16"/>
              </w:rPr>
              <w:t>Harvesting needs</w:t>
            </w:r>
          </w:p>
        </w:tc>
        <w:tc>
          <w:tcPr>
            <w:tcW w:w="1168" w:type="dxa"/>
            <w:tcBorders>
              <w:top w:val="single" w:sz="8" w:space="0" w:color="FFFFFF"/>
              <w:left w:val="single" w:sz="8" w:space="0" w:color="FFFFFF"/>
              <w:bottom w:val="single" w:sz="8" w:space="0" w:color="FFFFFF"/>
              <w:right w:val="single" w:sz="8" w:space="0" w:color="FFFFFF"/>
            </w:tcBorders>
            <w:shd w:val="clear" w:color="auto" w:fill="D2DEEF"/>
            <w:tcMar>
              <w:top w:w="15" w:type="dxa"/>
              <w:left w:w="42" w:type="dxa"/>
              <w:bottom w:w="0" w:type="dxa"/>
              <w:right w:w="42" w:type="dxa"/>
            </w:tcMar>
            <w:hideMark/>
          </w:tcPr>
          <w:p w14:paraId="6B82B4AF" w14:textId="77777777" w:rsidR="006E4C46" w:rsidRPr="006E4C46" w:rsidRDefault="006E4C46" w:rsidP="006E4C46">
            <w:pPr>
              <w:pStyle w:val="ListParagraph"/>
              <w:numPr>
                <w:ilvl w:val="0"/>
                <w:numId w:val="10"/>
              </w:numPr>
              <w:spacing w:after="0" w:line="240" w:lineRule="auto"/>
              <w:ind w:left="113" w:hanging="113"/>
              <w:rPr>
                <w:sz w:val="16"/>
                <w:szCs w:val="16"/>
              </w:rPr>
            </w:pPr>
            <w:r w:rsidRPr="006E4C46">
              <w:rPr>
                <w:sz w:val="16"/>
                <w:szCs w:val="16"/>
              </w:rPr>
              <w:t>New manufacturing capability</w:t>
            </w:r>
          </w:p>
          <w:p w14:paraId="105A9CCE" w14:textId="77777777" w:rsidR="006E4C46" w:rsidRPr="006E4C46" w:rsidRDefault="006E4C46" w:rsidP="006E4C46">
            <w:pPr>
              <w:pStyle w:val="ListParagraph"/>
              <w:numPr>
                <w:ilvl w:val="0"/>
                <w:numId w:val="10"/>
              </w:numPr>
              <w:spacing w:after="0" w:line="240" w:lineRule="auto"/>
              <w:ind w:left="113" w:hanging="113"/>
              <w:rPr>
                <w:sz w:val="16"/>
                <w:szCs w:val="16"/>
              </w:rPr>
            </w:pPr>
            <w:r w:rsidRPr="006E4C46">
              <w:rPr>
                <w:sz w:val="16"/>
                <w:szCs w:val="16"/>
              </w:rPr>
              <w:t>Certification</w:t>
            </w:r>
          </w:p>
          <w:p w14:paraId="155EC881" w14:textId="7F3E4ECB" w:rsidR="005E7088" w:rsidRPr="006E4C46" w:rsidRDefault="006E4C46" w:rsidP="006E4C46">
            <w:pPr>
              <w:spacing w:after="0" w:line="240" w:lineRule="auto"/>
              <w:contextualSpacing/>
              <w:rPr>
                <w:b/>
                <w:sz w:val="16"/>
                <w:szCs w:val="16"/>
              </w:rPr>
            </w:pPr>
            <w:r w:rsidRPr="006E4C46">
              <w:rPr>
                <w:sz w:val="16"/>
                <w:szCs w:val="16"/>
              </w:rPr>
              <w:t>Marketing</w:t>
            </w:r>
          </w:p>
        </w:tc>
        <w:tc>
          <w:tcPr>
            <w:tcW w:w="786" w:type="dxa"/>
            <w:tcBorders>
              <w:top w:val="single" w:sz="8" w:space="0" w:color="FFFFFF"/>
              <w:left w:val="single" w:sz="8" w:space="0" w:color="FFFFFF"/>
              <w:bottom w:val="single" w:sz="8" w:space="0" w:color="FFFFFF"/>
              <w:right w:val="single" w:sz="8" w:space="0" w:color="FFFFFF"/>
            </w:tcBorders>
            <w:shd w:val="clear" w:color="auto" w:fill="D2DEEF"/>
            <w:tcMar>
              <w:top w:w="15" w:type="dxa"/>
              <w:left w:w="42" w:type="dxa"/>
              <w:bottom w:w="0" w:type="dxa"/>
              <w:right w:w="42" w:type="dxa"/>
            </w:tcMar>
            <w:hideMark/>
          </w:tcPr>
          <w:p w14:paraId="703EABB1" w14:textId="77777777" w:rsidR="005E7088" w:rsidRPr="000C2553" w:rsidRDefault="005E7088" w:rsidP="000C2553">
            <w:pPr>
              <w:spacing w:after="0" w:line="240" w:lineRule="auto"/>
              <w:contextualSpacing/>
              <w:jc w:val="center"/>
              <w:rPr>
                <w:b/>
                <w:sz w:val="20"/>
                <w:szCs w:val="20"/>
              </w:rPr>
            </w:pPr>
            <w:r w:rsidRPr="000C2553">
              <w:rPr>
                <w:b/>
                <w:sz w:val="20"/>
                <w:szCs w:val="20"/>
              </w:rPr>
              <w:t>YHSCP</w:t>
            </w:r>
          </w:p>
        </w:tc>
        <w:tc>
          <w:tcPr>
            <w:tcW w:w="1511" w:type="dxa"/>
            <w:tcBorders>
              <w:top w:val="single" w:sz="8" w:space="0" w:color="FFFFFF"/>
              <w:left w:val="single" w:sz="8" w:space="0" w:color="FFFFFF"/>
              <w:bottom w:val="single" w:sz="8" w:space="0" w:color="FFFFFF"/>
              <w:right w:val="single" w:sz="8" w:space="0" w:color="FFFFFF"/>
            </w:tcBorders>
            <w:shd w:val="clear" w:color="auto" w:fill="D2DEEF"/>
            <w:tcMar>
              <w:top w:w="15" w:type="dxa"/>
              <w:left w:w="42" w:type="dxa"/>
              <w:bottom w:w="0" w:type="dxa"/>
              <w:right w:w="42" w:type="dxa"/>
            </w:tcMar>
            <w:hideMark/>
          </w:tcPr>
          <w:p w14:paraId="2F4D934C" w14:textId="77777777" w:rsidR="005E7088" w:rsidRPr="000C2553" w:rsidRDefault="005E7088" w:rsidP="000C2553">
            <w:pPr>
              <w:spacing w:after="0" w:line="240" w:lineRule="auto"/>
              <w:contextualSpacing/>
              <w:jc w:val="center"/>
              <w:rPr>
                <w:b/>
                <w:sz w:val="20"/>
                <w:szCs w:val="20"/>
              </w:rPr>
            </w:pPr>
            <w:r w:rsidRPr="000C2553">
              <w:rPr>
                <w:b/>
                <w:sz w:val="20"/>
                <w:szCs w:val="20"/>
              </w:rPr>
              <w:t>YHSCP</w:t>
            </w:r>
          </w:p>
        </w:tc>
        <w:tc>
          <w:tcPr>
            <w:tcW w:w="1213" w:type="dxa"/>
            <w:tcBorders>
              <w:top w:val="single" w:sz="8" w:space="0" w:color="FFFFFF"/>
              <w:left w:val="single" w:sz="8" w:space="0" w:color="FFFFFF"/>
              <w:bottom w:val="single" w:sz="8" w:space="0" w:color="FFFFFF"/>
              <w:right w:val="single" w:sz="8" w:space="0" w:color="FFFFFF"/>
            </w:tcBorders>
            <w:shd w:val="clear" w:color="auto" w:fill="D2DEEF"/>
            <w:tcMar>
              <w:top w:w="15" w:type="dxa"/>
              <w:left w:w="42" w:type="dxa"/>
              <w:bottom w:w="0" w:type="dxa"/>
              <w:right w:w="42" w:type="dxa"/>
            </w:tcMar>
            <w:hideMark/>
          </w:tcPr>
          <w:p w14:paraId="4E1896F6" w14:textId="77777777" w:rsidR="005E7088" w:rsidRPr="000C2553" w:rsidRDefault="005E7088" w:rsidP="000C2553">
            <w:pPr>
              <w:spacing w:after="0" w:line="240" w:lineRule="auto"/>
              <w:contextualSpacing/>
              <w:jc w:val="center"/>
              <w:rPr>
                <w:b/>
                <w:sz w:val="20"/>
                <w:szCs w:val="20"/>
              </w:rPr>
            </w:pPr>
            <w:r w:rsidRPr="000C2553">
              <w:rPr>
                <w:b/>
                <w:sz w:val="20"/>
                <w:szCs w:val="20"/>
              </w:rPr>
              <w:t>YHSCP</w:t>
            </w:r>
          </w:p>
        </w:tc>
        <w:tc>
          <w:tcPr>
            <w:tcW w:w="1278" w:type="dxa"/>
            <w:tcBorders>
              <w:top w:val="single" w:sz="8" w:space="0" w:color="FFFFFF"/>
              <w:left w:val="single" w:sz="8" w:space="0" w:color="FFFFFF"/>
              <w:bottom w:val="single" w:sz="8" w:space="0" w:color="FFFFFF"/>
              <w:right w:val="single" w:sz="8" w:space="0" w:color="FFFFFF"/>
            </w:tcBorders>
            <w:shd w:val="clear" w:color="auto" w:fill="D2DEEF"/>
            <w:tcMar>
              <w:top w:w="15" w:type="dxa"/>
              <w:left w:w="42" w:type="dxa"/>
              <w:bottom w:w="0" w:type="dxa"/>
              <w:right w:w="42" w:type="dxa"/>
            </w:tcMar>
            <w:hideMark/>
          </w:tcPr>
          <w:p w14:paraId="206438BB" w14:textId="77777777" w:rsidR="005E7088" w:rsidRPr="000C2553" w:rsidRDefault="005E7088" w:rsidP="000C2553">
            <w:pPr>
              <w:spacing w:after="0" w:line="240" w:lineRule="auto"/>
              <w:contextualSpacing/>
              <w:jc w:val="center"/>
              <w:rPr>
                <w:b/>
                <w:sz w:val="20"/>
                <w:szCs w:val="20"/>
              </w:rPr>
            </w:pPr>
          </w:p>
        </w:tc>
      </w:tr>
      <w:tr w:rsidR="006E4C46" w:rsidRPr="007D34BA" w14:paraId="120551E7" w14:textId="77777777" w:rsidTr="006E4C46">
        <w:trPr>
          <w:trHeight w:val="545"/>
        </w:trPr>
        <w:tc>
          <w:tcPr>
            <w:tcW w:w="1628" w:type="dxa"/>
            <w:tcBorders>
              <w:top w:val="single" w:sz="8" w:space="0" w:color="FFFFFF"/>
              <w:left w:val="single" w:sz="8" w:space="0" w:color="FFFFFF"/>
              <w:bottom w:val="single" w:sz="8" w:space="0" w:color="FFFFFF"/>
              <w:right w:val="single" w:sz="8" w:space="0" w:color="FFFFFF"/>
            </w:tcBorders>
            <w:shd w:val="clear" w:color="auto" w:fill="5B9BD5"/>
            <w:tcMar>
              <w:top w:w="15" w:type="dxa"/>
              <w:left w:w="42" w:type="dxa"/>
              <w:bottom w:w="0" w:type="dxa"/>
              <w:right w:w="42" w:type="dxa"/>
            </w:tcMar>
            <w:hideMark/>
          </w:tcPr>
          <w:p w14:paraId="3A42E559" w14:textId="77777777" w:rsidR="005E7088" w:rsidRPr="000C2553" w:rsidRDefault="005E7088" w:rsidP="000C2553">
            <w:pPr>
              <w:spacing w:after="0" w:line="240" w:lineRule="auto"/>
              <w:contextualSpacing/>
              <w:jc w:val="center"/>
              <w:rPr>
                <w:b/>
                <w:sz w:val="20"/>
                <w:szCs w:val="20"/>
              </w:rPr>
            </w:pPr>
            <w:r w:rsidRPr="000C2553">
              <w:rPr>
                <w:b/>
                <w:bCs/>
                <w:sz w:val="20"/>
                <w:szCs w:val="20"/>
              </w:rPr>
              <w:t>Identify knowledge gaps</w:t>
            </w:r>
          </w:p>
        </w:tc>
        <w:tc>
          <w:tcPr>
            <w:tcW w:w="1171" w:type="dxa"/>
            <w:tcBorders>
              <w:top w:val="single" w:sz="8" w:space="0" w:color="FFFFFF"/>
              <w:left w:val="single" w:sz="8" w:space="0" w:color="FFFFFF"/>
              <w:bottom w:val="single" w:sz="8" w:space="0" w:color="FFFFFF"/>
              <w:right w:val="single" w:sz="8" w:space="0" w:color="FFFFFF"/>
            </w:tcBorders>
            <w:shd w:val="clear" w:color="auto" w:fill="EAEFF7"/>
            <w:tcMar>
              <w:top w:w="15" w:type="dxa"/>
              <w:left w:w="42" w:type="dxa"/>
              <w:bottom w:w="0" w:type="dxa"/>
              <w:right w:w="42" w:type="dxa"/>
            </w:tcMar>
            <w:hideMark/>
          </w:tcPr>
          <w:p w14:paraId="3365672B" w14:textId="26A3A668" w:rsidR="005E7088" w:rsidRPr="006E4C46" w:rsidRDefault="006E4C46" w:rsidP="006E4C46">
            <w:pPr>
              <w:spacing w:after="0" w:line="240" w:lineRule="auto"/>
              <w:contextualSpacing/>
              <w:rPr>
                <w:b/>
                <w:sz w:val="16"/>
                <w:szCs w:val="16"/>
              </w:rPr>
            </w:pPr>
            <w:r w:rsidRPr="006E4C46">
              <w:rPr>
                <w:b/>
                <w:sz w:val="16"/>
                <w:szCs w:val="16"/>
              </w:rPr>
              <w:t>e.g. impacts on farming, impacts on biodiversity</w:t>
            </w:r>
          </w:p>
        </w:tc>
        <w:tc>
          <w:tcPr>
            <w:tcW w:w="1168" w:type="dxa"/>
            <w:tcBorders>
              <w:top w:val="single" w:sz="8" w:space="0" w:color="FFFFFF"/>
              <w:left w:val="single" w:sz="8" w:space="0" w:color="FFFFFF"/>
              <w:bottom w:val="single" w:sz="8" w:space="0" w:color="FFFFFF"/>
              <w:right w:val="single" w:sz="8" w:space="0" w:color="FFFFFF"/>
            </w:tcBorders>
            <w:shd w:val="clear" w:color="auto" w:fill="EAEFF7"/>
            <w:tcMar>
              <w:top w:w="15" w:type="dxa"/>
              <w:left w:w="42" w:type="dxa"/>
              <w:bottom w:w="0" w:type="dxa"/>
              <w:right w:w="42" w:type="dxa"/>
            </w:tcMar>
            <w:hideMark/>
          </w:tcPr>
          <w:p w14:paraId="54339C4F" w14:textId="46E73324" w:rsidR="005E7088" w:rsidRPr="006E4C46" w:rsidRDefault="006E4C46" w:rsidP="006E4C46">
            <w:pPr>
              <w:spacing w:after="0" w:line="240" w:lineRule="auto"/>
              <w:contextualSpacing/>
              <w:rPr>
                <w:b/>
                <w:sz w:val="16"/>
                <w:szCs w:val="16"/>
              </w:rPr>
            </w:pPr>
            <w:r w:rsidRPr="006E4C46">
              <w:rPr>
                <w:sz w:val="16"/>
                <w:szCs w:val="16"/>
              </w:rPr>
              <w:t>e.g. performance, multi-material performance, LCAs</w:t>
            </w:r>
          </w:p>
        </w:tc>
        <w:tc>
          <w:tcPr>
            <w:tcW w:w="786" w:type="dxa"/>
            <w:tcBorders>
              <w:top w:val="single" w:sz="8" w:space="0" w:color="FFFFFF"/>
              <w:left w:val="single" w:sz="8" w:space="0" w:color="FFFFFF"/>
              <w:bottom w:val="single" w:sz="8" w:space="0" w:color="FFFFFF"/>
              <w:right w:val="single" w:sz="8" w:space="0" w:color="FFFFFF"/>
            </w:tcBorders>
            <w:shd w:val="clear" w:color="auto" w:fill="EAEFF7"/>
            <w:tcMar>
              <w:top w:w="15" w:type="dxa"/>
              <w:left w:w="42" w:type="dxa"/>
              <w:bottom w:w="0" w:type="dxa"/>
              <w:right w:w="42" w:type="dxa"/>
            </w:tcMar>
            <w:hideMark/>
          </w:tcPr>
          <w:p w14:paraId="5B006BAC" w14:textId="77777777" w:rsidR="005E7088" w:rsidRPr="000C2553" w:rsidRDefault="005E7088" w:rsidP="000C2553">
            <w:pPr>
              <w:spacing w:after="0" w:line="240" w:lineRule="auto"/>
              <w:contextualSpacing/>
              <w:jc w:val="center"/>
              <w:rPr>
                <w:b/>
                <w:sz w:val="20"/>
                <w:szCs w:val="20"/>
              </w:rPr>
            </w:pPr>
          </w:p>
        </w:tc>
        <w:tc>
          <w:tcPr>
            <w:tcW w:w="1511" w:type="dxa"/>
            <w:tcBorders>
              <w:top w:val="single" w:sz="8" w:space="0" w:color="FFFFFF"/>
              <w:left w:val="single" w:sz="8" w:space="0" w:color="FFFFFF"/>
              <w:bottom w:val="single" w:sz="8" w:space="0" w:color="FFFFFF"/>
              <w:right w:val="single" w:sz="8" w:space="0" w:color="FFFFFF"/>
            </w:tcBorders>
            <w:shd w:val="clear" w:color="auto" w:fill="EAEFF7"/>
            <w:tcMar>
              <w:top w:w="15" w:type="dxa"/>
              <w:left w:w="42" w:type="dxa"/>
              <w:bottom w:w="0" w:type="dxa"/>
              <w:right w:w="42" w:type="dxa"/>
            </w:tcMar>
            <w:hideMark/>
          </w:tcPr>
          <w:p w14:paraId="3A2F91AE" w14:textId="77777777" w:rsidR="005E7088" w:rsidRPr="000C2553" w:rsidRDefault="005E7088" w:rsidP="000C2553">
            <w:pPr>
              <w:spacing w:after="0" w:line="240" w:lineRule="auto"/>
              <w:contextualSpacing/>
              <w:jc w:val="center"/>
              <w:rPr>
                <w:b/>
                <w:sz w:val="20"/>
                <w:szCs w:val="20"/>
              </w:rPr>
            </w:pPr>
          </w:p>
        </w:tc>
        <w:tc>
          <w:tcPr>
            <w:tcW w:w="1213" w:type="dxa"/>
            <w:tcBorders>
              <w:top w:val="single" w:sz="8" w:space="0" w:color="FFFFFF"/>
              <w:left w:val="single" w:sz="8" w:space="0" w:color="FFFFFF"/>
              <w:bottom w:val="single" w:sz="8" w:space="0" w:color="FFFFFF"/>
              <w:right w:val="single" w:sz="8" w:space="0" w:color="FFFFFF"/>
            </w:tcBorders>
            <w:shd w:val="clear" w:color="auto" w:fill="EAEFF7"/>
            <w:tcMar>
              <w:top w:w="15" w:type="dxa"/>
              <w:left w:w="42" w:type="dxa"/>
              <w:bottom w:w="0" w:type="dxa"/>
              <w:right w:w="42" w:type="dxa"/>
            </w:tcMar>
            <w:hideMark/>
          </w:tcPr>
          <w:p w14:paraId="4DF4A524" w14:textId="77777777" w:rsidR="005E7088" w:rsidRPr="000C2553" w:rsidRDefault="005E7088" w:rsidP="000C2553">
            <w:pPr>
              <w:spacing w:after="0" w:line="240" w:lineRule="auto"/>
              <w:contextualSpacing/>
              <w:jc w:val="center"/>
              <w:rPr>
                <w:b/>
                <w:sz w:val="20"/>
                <w:szCs w:val="20"/>
              </w:rPr>
            </w:pPr>
          </w:p>
        </w:tc>
        <w:tc>
          <w:tcPr>
            <w:tcW w:w="1278" w:type="dxa"/>
            <w:tcBorders>
              <w:top w:val="single" w:sz="8" w:space="0" w:color="FFFFFF"/>
              <w:left w:val="single" w:sz="8" w:space="0" w:color="FFFFFF"/>
              <w:bottom w:val="single" w:sz="8" w:space="0" w:color="FFFFFF"/>
              <w:right w:val="single" w:sz="8" w:space="0" w:color="FFFFFF"/>
            </w:tcBorders>
            <w:shd w:val="clear" w:color="auto" w:fill="EAEFF7"/>
            <w:tcMar>
              <w:top w:w="15" w:type="dxa"/>
              <w:left w:w="42" w:type="dxa"/>
              <w:bottom w:w="0" w:type="dxa"/>
              <w:right w:w="42" w:type="dxa"/>
            </w:tcMar>
            <w:hideMark/>
          </w:tcPr>
          <w:p w14:paraId="3D702341" w14:textId="77777777" w:rsidR="005E7088" w:rsidRPr="000C2553" w:rsidRDefault="005E7088" w:rsidP="000C2553">
            <w:pPr>
              <w:spacing w:after="0" w:line="240" w:lineRule="auto"/>
              <w:contextualSpacing/>
              <w:jc w:val="center"/>
              <w:rPr>
                <w:b/>
                <w:sz w:val="20"/>
                <w:szCs w:val="20"/>
              </w:rPr>
            </w:pPr>
          </w:p>
        </w:tc>
      </w:tr>
      <w:tr w:rsidR="006E4C46" w:rsidRPr="007D34BA" w14:paraId="38FE88FC" w14:textId="77777777" w:rsidTr="006E4C46">
        <w:trPr>
          <w:trHeight w:val="408"/>
        </w:trPr>
        <w:tc>
          <w:tcPr>
            <w:tcW w:w="1628" w:type="dxa"/>
            <w:tcBorders>
              <w:top w:val="single" w:sz="8" w:space="0" w:color="FFFFFF"/>
              <w:left w:val="single" w:sz="8" w:space="0" w:color="FFFFFF"/>
              <w:bottom w:val="single" w:sz="8" w:space="0" w:color="FFFFFF"/>
              <w:right w:val="single" w:sz="8" w:space="0" w:color="FFFFFF"/>
            </w:tcBorders>
            <w:shd w:val="clear" w:color="auto" w:fill="5B9BD5"/>
            <w:tcMar>
              <w:top w:w="15" w:type="dxa"/>
              <w:left w:w="42" w:type="dxa"/>
              <w:bottom w:w="0" w:type="dxa"/>
              <w:right w:w="42" w:type="dxa"/>
            </w:tcMar>
            <w:hideMark/>
          </w:tcPr>
          <w:p w14:paraId="7123C3DC" w14:textId="77777777" w:rsidR="005E7088" w:rsidRPr="000C2553" w:rsidRDefault="005E7088" w:rsidP="000C2553">
            <w:pPr>
              <w:spacing w:after="0" w:line="240" w:lineRule="auto"/>
              <w:contextualSpacing/>
              <w:jc w:val="center"/>
              <w:rPr>
                <w:b/>
                <w:sz w:val="20"/>
                <w:szCs w:val="20"/>
              </w:rPr>
            </w:pPr>
            <w:r w:rsidRPr="000C2553">
              <w:rPr>
                <w:b/>
                <w:bCs/>
                <w:sz w:val="20"/>
                <w:szCs w:val="20"/>
              </w:rPr>
              <w:t>Identify and propose mitigation to risks</w:t>
            </w:r>
          </w:p>
        </w:tc>
        <w:tc>
          <w:tcPr>
            <w:tcW w:w="1171" w:type="dxa"/>
            <w:tcBorders>
              <w:top w:val="single" w:sz="8" w:space="0" w:color="FFFFFF"/>
              <w:left w:val="single" w:sz="8" w:space="0" w:color="FFFFFF"/>
              <w:bottom w:val="single" w:sz="8" w:space="0" w:color="FFFFFF"/>
              <w:right w:val="single" w:sz="8" w:space="0" w:color="FFFFFF"/>
            </w:tcBorders>
            <w:shd w:val="clear" w:color="auto" w:fill="D2DEEF"/>
            <w:tcMar>
              <w:top w:w="15" w:type="dxa"/>
              <w:left w:w="42" w:type="dxa"/>
              <w:bottom w:w="0" w:type="dxa"/>
              <w:right w:w="42" w:type="dxa"/>
            </w:tcMar>
            <w:hideMark/>
          </w:tcPr>
          <w:p w14:paraId="041DD0ED" w14:textId="77777777" w:rsidR="005E7088" w:rsidRPr="000C2553" w:rsidRDefault="005E7088" w:rsidP="000C2553">
            <w:pPr>
              <w:spacing w:after="0" w:line="240" w:lineRule="auto"/>
              <w:contextualSpacing/>
              <w:jc w:val="center"/>
              <w:rPr>
                <w:b/>
                <w:sz w:val="20"/>
                <w:szCs w:val="20"/>
              </w:rPr>
            </w:pPr>
          </w:p>
        </w:tc>
        <w:tc>
          <w:tcPr>
            <w:tcW w:w="1168" w:type="dxa"/>
            <w:tcBorders>
              <w:top w:val="single" w:sz="8" w:space="0" w:color="FFFFFF"/>
              <w:left w:val="single" w:sz="8" w:space="0" w:color="FFFFFF"/>
              <w:bottom w:val="single" w:sz="8" w:space="0" w:color="FFFFFF"/>
              <w:right w:val="single" w:sz="8" w:space="0" w:color="FFFFFF"/>
            </w:tcBorders>
            <w:shd w:val="clear" w:color="auto" w:fill="D2DEEF"/>
            <w:tcMar>
              <w:top w:w="15" w:type="dxa"/>
              <w:left w:w="42" w:type="dxa"/>
              <w:bottom w:w="0" w:type="dxa"/>
              <w:right w:w="42" w:type="dxa"/>
            </w:tcMar>
            <w:hideMark/>
          </w:tcPr>
          <w:p w14:paraId="06E4CD46" w14:textId="77777777" w:rsidR="005E7088" w:rsidRPr="000C2553" w:rsidRDefault="005E7088" w:rsidP="000C2553">
            <w:pPr>
              <w:spacing w:after="0" w:line="240" w:lineRule="auto"/>
              <w:contextualSpacing/>
              <w:jc w:val="center"/>
              <w:rPr>
                <w:b/>
                <w:sz w:val="20"/>
                <w:szCs w:val="20"/>
              </w:rPr>
            </w:pPr>
          </w:p>
        </w:tc>
        <w:tc>
          <w:tcPr>
            <w:tcW w:w="786" w:type="dxa"/>
            <w:tcBorders>
              <w:top w:val="single" w:sz="8" w:space="0" w:color="FFFFFF"/>
              <w:left w:val="single" w:sz="8" w:space="0" w:color="FFFFFF"/>
              <w:bottom w:val="single" w:sz="8" w:space="0" w:color="FFFFFF"/>
              <w:right w:val="single" w:sz="8" w:space="0" w:color="FFFFFF"/>
            </w:tcBorders>
            <w:shd w:val="clear" w:color="auto" w:fill="D2DEEF"/>
            <w:tcMar>
              <w:top w:w="15" w:type="dxa"/>
              <w:left w:w="42" w:type="dxa"/>
              <w:bottom w:w="0" w:type="dxa"/>
              <w:right w:w="42" w:type="dxa"/>
            </w:tcMar>
            <w:hideMark/>
          </w:tcPr>
          <w:p w14:paraId="12A39A40" w14:textId="77777777" w:rsidR="005E7088" w:rsidRPr="000C2553" w:rsidRDefault="005E7088" w:rsidP="000C2553">
            <w:pPr>
              <w:spacing w:after="0" w:line="240" w:lineRule="auto"/>
              <w:contextualSpacing/>
              <w:jc w:val="center"/>
              <w:rPr>
                <w:b/>
                <w:sz w:val="20"/>
                <w:szCs w:val="20"/>
              </w:rPr>
            </w:pPr>
          </w:p>
        </w:tc>
        <w:tc>
          <w:tcPr>
            <w:tcW w:w="1511" w:type="dxa"/>
            <w:tcBorders>
              <w:top w:val="single" w:sz="8" w:space="0" w:color="FFFFFF"/>
              <w:left w:val="single" w:sz="8" w:space="0" w:color="FFFFFF"/>
              <w:bottom w:val="single" w:sz="8" w:space="0" w:color="FFFFFF"/>
              <w:right w:val="single" w:sz="8" w:space="0" w:color="FFFFFF"/>
            </w:tcBorders>
            <w:shd w:val="clear" w:color="auto" w:fill="D2DEEF"/>
            <w:tcMar>
              <w:top w:w="15" w:type="dxa"/>
              <w:left w:w="42" w:type="dxa"/>
              <w:bottom w:w="0" w:type="dxa"/>
              <w:right w:w="42" w:type="dxa"/>
            </w:tcMar>
            <w:hideMark/>
          </w:tcPr>
          <w:p w14:paraId="296135FC" w14:textId="77777777" w:rsidR="005E7088" w:rsidRPr="000C2553" w:rsidRDefault="005E7088" w:rsidP="000C2553">
            <w:pPr>
              <w:spacing w:after="0" w:line="240" w:lineRule="auto"/>
              <w:contextualSpacing/>
              <w:jc w:val="center"/>
              <w:rPr>
                <w:b/>
                <w:sz w:val="20"/>
                <w:szCs w:val="20"/>
              </w:rPr>
            </w:pPr>
          </w:p>
        </w:tc>
        <w:tc>
          <w:tcPr>
            <w:tcW w:w="1213" w:type="dxa"/>
            <w:tcBorders>
              <w:top w:val="single" w:sz="8" w:space="0" w:color="FFFFFF"/>
              <w:left w:val="single" w:sz="8" w:space="0" w:color="FFFFFF"/>
              <w:bottom w:val="single" w:sz="8" w:space="0" w:color="FFFFFF"/>
              <w:right w:val="single" w:sz="8" w:space="0" w:color="FFFFFF"/>
            </w:tcBorders>
            <w:shd w:val="clear" w:color="auto" w:fill="D2DEEF"/>
            <w:tcMar>
              <w:top w:w="15" w:type="dxa"/>
              <w:left w:w="42" w:type="dxa"/>
              <w:bottom w:w="0" w:type="dxa"/>
              <w:right w:w="42" w:type="dxa"/>
            </w:tcMar>
            <w:hideMark/>
          </w:tcPr>
          <w:p w14:paraId="1160C8E2" w14:textId="77777777" w:rsidR="005E7088" w:rsidRPr="000C2553" w:rsidRDefault="005E7088" w:rsidP="000C2553">
            <w:pPr>
              <w:spacing w:after="0" w:line="240" w:lineRule="auto"/>
              <w:contextualSpacing/>
              <w:jc w:val="center"/>
              <w:rPr>
                <w:b/>
                <w:sz w:val="20"/>
                <w:szCs w:val="20"/>
              </w:rPr>
            </w:pPr>
          </w:p>
        </w:tc>
        <w:tc>
          <w:tcPr>
            <w:tcW w:w="1278" w:type="dxa"/>
            <w:tcBorders>
              <w:top w:val="single" w:sz="8" w:space="0" w:color="FFFFFF"/>
              <w:left w:val="single" w:sz="8" w:space="0" w:color="FFFFFF"/>
              <w:bottom w:val="single" w:sz="8" w:space="0" w:color="FFFFFF"/>
              <w:right w:val="single" w:sz="8" w:space="0" w:color="FFFFFF"/>
            </w:tcBorders>
            <w:shd w:val="clear" w:color="auto" w:fill="D2DEEF"/>
            <w:tcMar>
              <w:top w:w="15" w:type="dxa"/>
              <w:left w:w="42" w:type="dxa"/>
              <w:bottom w:w="0" w:type="dxa"/>
              <w:right w:w="42" w:type="dxa"/>
            </w:tcMar>
            <w:hideMark/>
          </w:tcPr>
          <w:p w14:paraId="490752C1" w14:textId="77777777" w:rsidR="005E7088" w:rsidRPr="000C2553" w:rsidRDefault="005E7088" w:rsidP="000C2553">
            <w:pPr>
              <w:spacing w:after="0" w:line="240" w:lineRule="auto"/>
              <w:contextualSpacing/>
              <w:jc w:val="center"/>
              <w:rPr>
                <w:b/>
                <w:sz w:val="20"/>
                <w:szCs w:val="20"/>
              </w:rPr>
            </w:pPr>
          </w:p>
        </w:tc>
      </w:tr>
      <w:tr w:rsidR="006E4C46" w:rsidRPr="007D34BA" w14:paraId="4DADB1AE" w14:textId="77777777" w:rsidTr="006E4C46">
        <w:trPr>
          <w:trHeight w:val="505"/>
        </w:trPr>
        <w:tc>
          <w:tcPr>
            <w:tcW w:w="1628" w:type="dxa"/>
            <w:tcBorders>
              <w:top w:val="single" w:sz="8" w:space="0" w:color="FFFFFF"/>
              <w:left w:val="single" w:sz="8" w:space="0" w:color="FFFFFF"/>
              <w:bottom w:val="single" w:sz="8" w:space="0" w:color="FFFFFF"/>
              <w:right w:val="single" w:sz="8" w:space="0" w:color="FFFFFF"/>
            </w:tcBorders>
            <w:shd w:val="clear" w:color="auto" w:fill="5B9BD5"/>
            <w:tcMar>
              <w:top w:w="15" w:type="dxa"/>
              <w:left w:w="42" w:type="dxa"/>
              <w:bottom w:w="0" w:type="dxa"/>
              <w:right w:w="42" w:type="dxa"/>
            </w:tcMar>
            <w:hideMark/>
          </w:tcPr>
          <w:p w14:paraId="17DA0158" w14:textId="77777777" w:rsidR="005E7088" w:rsidRPr="000C2553" w:rsidRDefault="005E7088" w:rsidP="000C2553">
            <w:pPr>
              <w:spacing w:after="0" w:line="240" w:lineRule="auto"/>
              <w:contextualSpacing/>
              <w:jc w:val="center"/>
              <w:rPr>
                <w:b/>
                <w:sz w:val="20"/>
                <w:szCs w:val="20"/>
              </w:rPr>
            </w:pPr>
            <w:r w:rsidRPr="000C2553">
              <w:rPr>
                <w:b/>
                <w:bCs/>
                <w:sz w:val="20"/>
                <w:szCs w:val="20"/>
              </w:rPr>
              <w:t>Detail expected impacts of uplift</w:t>
            </w:r>
          </w:p>
        </w:tc>
        <w:tc>
          <w:tcPr>
            <w:tcW w:w="1171" w:type="dxa"/>
            <w:tcBorders>
              <w:top w:val="single" w:sz="8" w:space="0" w:color="FFFFFF"/>
              <w:left w:val="single" w:sz="8" w:space="0" w:color="FFFFFF"/>
              <w:bottom w:val="single" w:sz="8" w:space="0" w:color="FFFFFF"/>
              <w:right w:val="single" w:sz="8" w:space="0" w:color="FFFFFF"/>
            </w:tcBorders>
            <w:shd w:val="clear" w:color="auto" w:fill="EAEFF7"/>
            <w:tcMar>
              <w:top w:w="15" w:type="dxa"/>
              <w:left w:w="42" w:type="dxa"/>
              <w:bottom w:w="0" w:type="dxa"/>
              <w:right w:w="42" w:type="dxa"/>
            </w:tcMar>
            <w:hideMark/>
          </w:tcPr>
          <w:p w14:paraId="21723F9F" w14:textId="77777777" w:rsidR="005E7088" w:rsidRPr="000C2553" w:rsidRDefault="005E7088" w:rsidP="000C2553">
            <w:pPr>
              <w:spacing w:after="0" w:line="240" w:lineRule="auto"/>
              <w:contextualSpacing/>
              <w:jc w:val="center"/>
              <w:rPr>
                <w:b/>
                <w:sz w:val="20"/>
                <w:szCs w:val="20"/>
              </w:rPr>
            </w:pPr>
          </w:p>
        </w:tc>
        <w:tc>
          <w:tcPr>
            <w:tcW w:w="1168" w:type="dxa"/>
            <w:tcBorders>
              <w:top w:val="single" w:sz="8" w:space="0" w:color="FFFFFF"/>
              <w:left w:val="single" w:sz="8" w:space="0" w:color="FFFFFF"/>
              <w:bottom w:val="single" w:sz="8" w:space="0" w:color="FFFFFF"/>
              <w:right w:val="single" w:sz="8" w:space="0" w:color="FFFFFF"/>
            </w:tcBorders>
            <w:shd w:val="clear" w:color="auto" w:fill="EAEFF7"/>
            <w:tcMar>
              <w:top w:w="15" w:type="dxa"/>
              <w:left w:w="42" w:type="dxa"/>
              <w:bottom w:w="0" w:type="dxa"/>
              <w:right w:w="42" w:type="dxa"/>
            </w:tcMar>
            <w:hideMark/>
          </w:tcPr>
          <w:p w14:paraId="36FF8882" w14:textId="77777777" w:rsidR="005E7088" w:rsidRPr="000C2553" w:rsidRDefault="005E7088" w:rsidP="000C2553">
            <w:pPr>
              <w:spacing w:after="0" w:line="240" w:lineRule="auto"/>
              <w:contextualSpacing/>
              <w:jc w:val="center"/>
              <w:rPr>
                <w:b/>
                <w:sz w:val="20"/>
                <w:szCs w:val="20"/>
              </w:rPr>
            </w:pPr>
          </w:p>
        </w:tc>
        <w:tc>
          <w:tcPr>
            <w:tcW w:w="786" w:type="dxa"/>
            <w:tcBorders>
              <w:top w:val="single" w:sz="8" w:space="0" w:color="FFFFFF"/>
              <w:left w:val="single" w:sz="8" w:space="0" w:color="FFFFFF"/>
              <w:bottom w:val="single" w:sz="8" w:space="0" w:color="FFFFFF"/>
              <w:right w:val="single" w:sz="8" w:space="0" w:color="FFFFFF"/>
            </w:tcBorders>
            <w:shd w:val="clear" w:color="auto" w:fill="EAEFF7"/>
            <w:tcMar>
              <w:top w:w="15" w:type="dxa"/>
              <w:left w:w="42" w:type="dxa"/>
              <w:bottom w:w="0" w:type="dxa"/>
              <w:right w:w="42" w:type="dxa"/>
            </w:tcMar>
            <w:hideMark/>
          </w:tcPr>
          <w:p w14:paraId="0424C397" w14:textId="77777777" w:rsidR="005E7088" w:rsidRPr="000C2553" w:rsidRDefault="005E7088" w:rsidP="000C2553">
            <w:pPr>
              <w:spacing w:after="0" w:line="240" w:lineRule="auto"/>
              <w:contextualSpacing/>
              <w:jc w:val="center"/>
              <w:rPr>
                <w:b/>
                <w:sz w:val="20"/>
                <w:szCs w:val="20"/>
              </w:rPr>
            </w:pPr>
          </w:p>
        </w:tc>
        <w:tc>
          <w:tcPr>
            <w:tcW w:w="1511" w:type="dxa"/>
            <w:tcBorders>
              <w:top w:val="single" w:sz="8" w:space="0" w:color="FFFFFF"/>
              <w:left w:val="single" w:sz="8" w:space="0" w:color="FFFFFF"/>
              <w:bottom w:val="single" w:sz="8" w:space="0" w:color="FFFFFF"/>
              <w:right w:val="single" w:sz="8" w:space="0" w:color="FFFFFF"/>
            </w:tcBorders>
            <w:shd w:val="clear" w:color="auto" w:fill="EAEFF7"/>
            <w:tcMar>
              <w:top w:w="15" w:type="dxa"/>
              <w:left w:w="42" w:type="dxa"/>
              <w:bottom w:w="0" w:type="dxa"/>
              <w:right w:w="42" w:type="dxa"/>
            </w:tcMar>
            <w:hideMark/>
          </w:tcPr>
          <w:p w14:paraId="11701B99" w14:textId="77777777" w:rsidR="005E7088" w:rsidRPr="000C2553" w:rsidRDefault="005E7088" w:rsidP="000C2553">
            <w:pPr>
              <w:spacing w:after="0" w:line="240" w:lineRule="auto"/>
              <w:contextualSpacing/>
              <w:jc w:val="center"/>
              <w:rPr>
                <w:b/>
                <w:sz w:val="20"/>
                <w:szCs w:val="20"/>
              </w:rPr>
            </w:pPr>
          </w:p>
        </w:tc>
        <w:tc>
          <w:tcPr>
            <w:tcW w:w="1213" w:type="dxa"/>
            <w:tcBorders>
              <w:top w:val="single" w:sz="8" w:space="0" w:color="FFFFFF"/>
              <w:left w:val="single" w:sz="8" w:space="0" w:color="FFFFFF"/>
              <w:bottom w:val="single" w:sz="8" w:space="0" w:color="FFFFFF"/>
              <w:right w:val="single" w:sz="8" w:space="0" w:color="FFFFFF"/>
            </w:tcBorders>
            <w:shd w:val="clear" w:color="auto" w:fill="EAEFF7"/>
            <w:tcMar>
              <w:top w:w="15" w:type="dxa"/>
              <w:left w:w="42" w:type="dxa"/>
              <w:bottom w:w="0" w:type="dxa"/>
              <w:right w:w="42" w:type="dxa"/>
            </w:tcMar>
            <w:hideMark/>
          </w:tcPr>
          <w:p w14:paraId="14DF88B6" w14:textId="77777777" w:rsidR="005E7088" w:rsidRPr="000C2553" w:rsidRDefault="005E7088" w:rsidP="000C2553">
            <w:pPr>
              <w:spacing w:after="0" w:line="240" w:lineRule="auto"/>
              <w:contextualSpacing/>
              <w:jc w:val="center"/>
              <w:rPr>
                <w:b/>
                <w:sz w:val="20"/>
                <w:szCs w:val="20"/>
              </w:rPr>
            </w:pPr>
          </w:p>
        </w:tc>
        <w:tc>
          <w:tcPr>
            <w:tcW w:w="1278" w:type="dxa"/>
            <w:tcBorders>
              <w:top w:val="single" w:sz="8" w:space="0" w:color="FFFFFF"/>
              <w:left w:val="single" w:sz="8" w:space="0" w:color="FFFFFF"/>
              <w:bottom w:val="single" w:sz="8" w:space="0" w:color="FFFFFF"/>
              <w:right w:val="single" w:sz="8" w:space="0" w:color="FFFFFF"/>
            </w:tcBorders>
            <w:shd w:val="clear" w:color="auto" w:fill="EAEFF7"/>
            <w:tcMar>
              <w:top w:w="15" w:type="dxa"/>
              <w:left w:w="42" w:type="dxa"/>
              <w:bottom w:w="0" w:type="dxa"/>
              <w:right w:w="42" w:type="dxa"/>
            </w:tcMar>
            <w:hideMark/>
          </w:tcPr>
          <w:p w14:paraId="5E8C7692" w14:textId="77777777" w:rsidR="005E7088" w:rsidRPr="000C2553" w:rsidRDefault="005E7088" w:rsidP="000C2553">
            <w:pPr>
              <w:spacing w:after="0" w:line="240" w:lineRule="auto"/>
              <w:contextualSpacing/>
              <w:jc w:val="center"/>
              <w:rPr>
                <w:b/>
                <w:sz w:val="20"/>
                <w:szCs w:val="20"/>
              </w:rPr>
            </w:pPr>
          </w:p>
        </w:tc>
      </w:tr>
    </w:tbl>
    <w:p w14:paraId="07F3F230" w14:textId="6EE47A0F" w:rsidR="005E7088" w:rsidRDefault="005E7088" w:rsidP="002A6B1C"/>
    <w:p w14:paraId="4E2B8EF4" w14:textId="73E7E397" w:rsidR="006E4C46" w:rsidRDefault="006E4C46" w:rsidP="002A6B1C">
      <w:r>
        <w:t xml:space="preserve">(Note: A detailed version of the </w:t>
      </w:r>
      <w:proofErr w:type="spellStart"/>
      <w:r>
        <w:t>BaCCY</w:t>
      </w:r>
      <w:proofErr w:type="spellEnd"/>
      <w:r>
        <w:t xml:space="preserve"> template is available upon request for greater understanding and awareness of the project)</w:t>
      </w:r>
    </w:p>
    <w:p w14:paraId="7CAB7BB7" w14:textId="77777777" w:rsidR="0035637C" w:rsidRDefault="0035637C" w:rsidP="002A6B1C"/>
    <w:p w14:paraId="59B61251" w14:textId="77777777" w:rsidR="0035637C" w:rsidRDefault="0035637C" w:rsidP="002A6B1C"/>
    <w:p w14:paraId="38E98A90" w14:textId="77777777" w:rsidR="0035637C" w:rsidRDefault="0035637C" w:rsidP="002A6B1C"/>
    <w:p w14:paraId="727587AF" w14:textId="77777777" w:rsidR="0035637C" w:rsidRDefault="0035637C" w:rsidP="002A6B1C"/>
    <w:p w14:paraId="21E32875" w14:textId="77777777" w:rsidR="0035637C" w:rsidRDefault="0035637C" w:rsidP="002A6B1C"/>
    <w:p w14:paraId="2EDAE85D" w14:textId="713E7176" w:rsidR="00133428" w:rsidRDefault="00133428" w:rsidP="0035637C">
      <w:pPr>
        <w:spacing w:after="0" w:line="240" w:lineRule="auto"/>
        <w:rPr>
          <w:rFonts w:cstheme="minorHAnsi"/>
          <w:b/>
          <w:sz w:val="28"/>
          <w:szCs w:val="28"/>
        </w:rPr>
      </w:pPr>
      <w:r w:rsidRPr="00133428">
        <w:rPr>
          <w:rFonts w:cstheme="minorHAnsi"/>
          <w:b/>
          <w:sz w:val="28"/>
          <w:szCs w:val="28"/>
        </w:rPr>
        <w:t>A</w:t>
      </w:r>
      <w:r>
        <w:rPr>
          <w:rFonts w:cstheme="minorHAnsi"/>
          <w:b/>
          <w:sz w:val="28"/>
          <w:szCs w:val="28"/>
        </w:rPr>
        <w:t>ppendix 4:</w:t>
      </w:r>
    </w:p>
    <w:p w14:paraId="52E4BC46" w14:textId="77777777" w:rsidR="004709A6" w:rsidRDefault="004709A6" w:rsidP="0035637C">
      <w:pPr>
        <w:spacing w:after="0" w:line="240" w:lineRule="auto"/>
        <w:rPr>
          <w:rFonts w:cstheme="minorHAnsi"/>
          <w:b/>
          <w:sz w:val="28"/>
          <w:szCs w:val="28"/>
        </w:rPr>
      </w:pPr>
    </w:p>
    <w:p w14:paraId="2C17B7E0" w14:textId="2E519E93" w:rsidR="004709A6" w:rsidRPr="004709A6" w:rsidRDefault="004709A6" w:rsidP="0035637C">
      <w:pPr>
        <w:spacing w:after="0" w:line="240" w:lineRule="auto"/>
        <w:rPr>
          <w:rFonts w:cstheme="minorHAnsi"/>
          <w:b/>
          <w:sz w:val="24"/>
          <w:szCs w:val="24"/>
        </w:rPr>
      </w:pPr>
      <w:r w:rsidRPr="004709A6">
        <w:rPr>
          <w:rFonts w:cstheme="minorHAnsi"/>
          <w:b/>
          <w:sz w:val="24"/>
          <w:szCs w:val="24"/>
        </w:rPr>
        <w:t>Scoring Criteria</w:t>
      </w:r>
    </w:p>
    <w:p w14:paraId="24F5DC2D" w14:textId="77777777" w:rsidR="004709A6" w:rsidRDefault="004709A6" w:rsidP="0035637C">
      <w:pPr>
        <w:spacing w:after="0" w:line="240" w:lineRule="auto"/>
        <w:rPr>
          <w:rFonts w:cstheme="minorHAnsi"/>
          <w:b/>
          <w:sz w:val="28"/>
          <w:szCs w:val="28"/>
        </w:rPr>
      </w:pPr>
    </w:p>
    <w:p w14:paraId="0393B003" w14:textId="77777777" w:rsidR="00133428" w:rsidRDefault="00133428" w:rsidP="0035637C">
      <w:pPr>
        <w:spacing w:after="0" w:line="240" w:lineRule="auto"/>
        <w:rPr>
          <w:rFonts w:cstheme="minorHAnsi"/>
          <w:b/>
          <w:sz w:val="28"/>
          <w:szCs w:val="28"/>
        </w:rPr>
      </w:pPr>
    </w:p>
    <w:p w14:paraId="0F8DEDB4" w14:textId="77777777" w:rsidR="004709A6" w:rsidRDefault="004709A6" w:rsidP="0035637C">
      <w:pPr>
        <w:spacing w:after="0" w:line="240" w:lineRule="auto"/>
        <w:rPr>
          <w:rFonts w:cstheme="minorHAnsi"/>
          <w:b/>
          <w:sz w:val="28"/>
          <w:szCs w:val="28"/>
        </w:rPr>
      </w:pPr>
    </w:p>
    <w:p w14:paraId="20F608BC" w14:textId="2820D442" w:rsidR="0035637C" w:rsidRDefault="0035637C" w:rsidP="002A6B1C"/>
    <w:p w14:paraId="2D7EA8BC" w14:textId="77777777" w:rsidR="0035637C" w:rsidRPr="0035637C" w:rsidRDefault="0035637C" w:rsidP="0035637C"/>
    <w:p w14:paraId="5281FC08" w14:textId="77777777" w:rsidR="0035637C" w:rsidRDefault="0035637C" w:rsidP="0035637C">
      <w:pPr>
        <w:spacing w:after="0" w:line="240" w:lineRule="auto"/>
      </w:pPr>
    </w:p>
    <w:tbl>
      <w:tblPr>
        <w:tblpPr w:leftFromText="180" w:rightFromText="180" w:vertAnchor="page" w:horzAnchor="margin" w:tblpY="33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7171"/>
      </w:tblGrid>
      <w:tr w:rsidR="0035637C" w:rsidRPr="00754859" w14:paraId="62C46A0B" w14:textId="77777777" w:rsidTr="008357DE">
        <w:trPr>
          <w:trHeight w:val="560"/>
        </w:trPr>
        <w:tc>
          <w:tcPr>
            <w:tcW w:w="2547" w:type="dxa"/>
            <w:shd w:val="clear" w:color="auto" w:fill="C3D42E"/>
            <w:vAlign w:val="center"/>
          </w:tcPr>
          <w:p w14:paraId="5FAE9CB7" w14:textId="77777777" w:rsidR="0035637C" w:rsidRPr="001E599B" w:rsidRDefault="0035637C" w:rsidP="008357DE">
            <w:pPr>
              <w:spacing w:after="0"/>
              <w:rPr>
                <w:rFonts w:ascii="Calibri Light" w:hAnsi="Calibri Light" w:cs="Calibri Light"/>
                <w:b/>
                <w:color w:val="000000"/>
              </w:rPr>
            </w:pPr>
            <w:r w:rsidRPr="001E599B">
              <w:rPr>
                <w:rFonts w:ascii="Calibri Light" w:hAnsi="Calibri Light" w:cs="Calibri Light"/>
                <w:b/>
                <w:color w:val="000000"/>
              </w:rPr>
              <w:t>Score</w:t>
            </w:r>
          </w:p>
        </w:tc>
        <w:tc>
          <w:tcPr>
            <w:tcW w:w="10671" w:type="dxa"/>
            <w:shd w:val="clear" w:color="auto" w:fill="C3D42E"/>
            <w:vAlign w:val="center"/>
          </w:tcPr>
          <w:p w14:paraId="48BF0234" w14:textId="77777777" w:rsidR="0035637C" w:rsidRPr="001E599B" w:rsidRDefault="0035637C" w:rsidP="008357DE">
            <w:pPr>
              <w:spacing w:after="0"/>
              <w:rPr>
                <w:rFonts w:ascii="Calibri Light" w:hAnsi="Calibri Light" w:cs="Calibri Light"/>
                <w:b/>
                <w:color w:val="000000"/>
              </w:rPr>
            </w:pPr>
            <w:r w:rsidRPr="001E599B">
              <w:rPr>
                <w:rFonts w:ascii="Calibri Light" w:hAnsi="Calibri Light" w:cs="Calibri Light"/>
                <w:b/>
                <w:color w:val="000000"/>
              </w:rPr>
              <w:t>Criteria for awarding the score</w:t>
            </w:r>
          </w:p>
        </w:tc>
      </w:tr>
      <w:tr w:rsidR="0035637C" w:rsidRPr="00754859" w14:paraId="78297BDE" w14:textId="77777777" w:rsidTr="008357DE">
        <w:trPr>
          <w:trHeight w:val="697"/>
        </w:trPr>
        <w:tc>
          <w:tcPr>
            <w:tcW w:w="2547" w:type="dxa"/>
            <w:shd w:val="clear" w:color="auto" w:fill="auto"/>
          </w:tcPr>
          <w:p w14:paraId="24250A14" w14:textId="77777777" w:rsidR="0035637C" w:rsidRPr="001E599B" w:rsidRDefault="0035637C" w:rsidP="008357DE">
            <w:pPr>
              <w:spacing w:after="0"/>
              <w:rPr>
                <w:rFonts w:ascii="Calibri Light" w:hAnsi="Calibri Light" w:cs="Calibri Light"/>
                <w:color w:val="000000"/>
              </w:rPr>
            </w:pPr>
            <w:r w:rsidRPr="001E599B">
              <w:rPr>
                <w:rFonts w:ascii="Calibri Light" w:hAnsi="Calibri Light" w:cs="Calibri Light"/>
                <w:color w:val="000000"/>
              </w:rPr>
              <w:t xml:space="preserve">0 </w:t>
            </w:r>
          </w:p>
        </w:tc>
        <w:tc>
          <w:tcPr>
            <w:tcW w:w="10671" w:type="dxa"/>
            <w:shd w:val="clear" w:color="auto" w:fill="auto"/>
          </w:tcPr>
          <w:p w14:paraId="3C007230" w14:textId="77777777" w:rsidR="0035637C" w:rsidRPr="001E599B" w:rsidRDefault="0035637C" w:rsidP="008357DE">
            <w:pPr>
              <w:spacing w:after="0"/>
              <w:rPr>
                <w:rFonts w:ascii="Calibri Light" w:hAnsi="Calibri Light" w:cs="Calibri Light"/>
                <w:color w:val="000000"/>
              </w:rPr>
            </w:pPr>
            <w:r w:rsidRPr="001E599B">
              <w:rPr>
                <w:rFonts w:ascii="Calibri Light" w:hAnsi="Calibri Light" w:cs="Calibri Light"/>
                <w:color w:val="000000"/>
              </w:rPr>
              <w:t>Complete failure to grasp/reflect the issue or does not provide a proposal.</w:t>
            </w:r>
          </w:p>
        </w:tc>
      </w:tr>
      <w:tr w:rsidR="0035637C" w:rsidRPr="00754859" w14:paraId="32624F93" w14:textId="77777777" w:rsidTr="008357DE">
        <w:trPr>
          <w:trHeight w:val="651"/>
        </w:trPr>
        <w:tc>
          <w:tcPr>
            <w:tcW w:w="2547" w:type="dxa"/>
            <w:shd w:val="clear" w:color="auto" w:fill="auto"/>
          </w:tcPr>
          <w:p w14:paraId="6A81EB15" w14:textId="77777777" w:rsidR="0035637C" w:rsidRPr="001E599B" w:rsidRDefault="0035637C" w:rsidP="008357DE">
            <w:pPr>
              <w:spacing w:after="0"/>
              <w:rPr>
                <w:rFonts w:ascii="Calibri Light" w:hAnsi="Calibri Light" w:cs="Calibri Light"/>
                <w:color w:val="000000"/>
              </w:rPr>
            </w:pPr>
            <w:r w:rsidRPr="001E599B">
              <w:rPr>
                <w:rFonts w:ascii="Calibri Light" w:hAnsi="Calibri Light" w:cs="Calibri Light"/>
                <w:color w:val="000000"/>
              </w:rPr>
              <w:t>1 -2</w:t>
            </w:r>
          </w:p>
        </w:tc>
        <w:tc>
          <w:tcPr>
            <w:tcW w:w="10671" w:type="dxa"/>
            <w:shd w:val="clear" w:color="auto" w:fill="auto"/>
          </w:tcPr>
          <w:p w14:paraId="15247327" w14:textId="77777777" w:rsidR="0035637C" w:rsidRPr="001E599B" w:rsidRDefault="0035637C" w:rsidP="008357DE">
            <w:pPr>
              <w:spacing w:after="0"/>
              <w:rPr>
                <w:rFonts w:ascii="Calibri Light" w:hAnsi="Calibri Light" w:cs="Calibri Light"/>
                <w:color w:val="000000"/>
              </w:rPr>
            </w:pPr>
            <w:r w:rsidRPr="001E599B">
              <w:rPr>
                <w:rFonts w:ascii="Calibri Light" w:hAnsi="Calibri Light" w:cs="Calibri Light"/>
                <w:color w:val="000000"/>
              </w:rPr>
              <w:t>Serious weaknesses, or does not address the question in a meaningful way.</w:t>
            </w:r>
          </w:p>
        </w:tc>
      </w:tr>
      <w:tr w:rsidR="0035637C" w:rsidRPr="00754859" w14:paraId="756FE882" w14:textId="77777777" w:rsidTr="008357DE">
        <w:trPr>
          <w:trHeight w:val="1395"/>
        </w:trPr>
        <w:tc>
          <w:tcPr>
            <w:tcW w:w="2547" w:type="dxa"/>
            <w:shd w:val="clear" w:color="auto" w:fill="auto"/>
          </w:tcPr>
          <w:p w14:paraId="00937AEB" w14:textId="77777777" w:rsidR="0035637C" w:rsidRPr="001E599B" w:rsidRDefault="0035637C" w:rsidP="008357DE">
            <w:pPr>
              <w:spacing w:after="0"/>
              <w:rPr>
                <w:rFonts w:ascii="Calibri Light" w:hAnsi="Calibri Light" w:cs="Calibri Light"/>
                <w:color w:val="000000"/>
              </w:rPr>
            </w:pPr>
            <w:r w:rsidRPr="001E599B">
              <w:rPr>
                <w:rFonts w:ascii="Calibri Light" w:hAnsi="Calibri Light" w:cs="Calibri Light"/>
                <w:color w:val="000000"/>
              </w:rPr>
              <w:t>3 - 4</w:t>
            </w:r>
          </w:p>
        </w:tc>
        <w:tc>
          <w:tcPr>
            <w:tcW w:w="10671" w:type="dxa"/>
            <w:shd w:val="clear" w:color="auto" w:fill="auto"/>
          </w:tcPr>
          <w:p w14:paraId="34DF4BE9" w14:textId="77777777" w:rsidR="0035637C" w:rsidRPr="001E599B" w:rsidRDefault="0035637C" w:rsidP="008357DE">
            <w:pPr>
              <w:spacing w:after="0"/>
              <w:rPr>
                <w:rFonts w:ascii="Calibri Light" w:hAnsi="Calibri Light" w:cs="Calibri Light"/>
                <w:color w:val="000000"/>
              </w:rPr>
            </w:pPr>
            <w:r w:rsidRPr="001E599B">
              <w:rPr>
                <w:rFonts w:ascii="Calibri Light" w:hAnsi="Calibri Light" w:cs="Calibri Light"/>
                <w:color w:val="000000"/>
              </w:rPr>
              <w:t>The proposal falls short of the expected standard and reflects limited understanding missing some aspects. Significant weakness or risks associated with the answer.</w:t>
            </w:r>
          </w:p>
        </w:tc>
      </w:tr>
      <w:tr w:rsidR="0035637C" w:rsidRPr="00754859" w14:paraId="4F33522D" w14:textId="77777777" w:rsidTr="008357DE">
        <w:trPr>
          <w:trHeight w:val="1023"/>
        </w:trPr>
        <w:tc>
          <w:tcPr>
            <w:tcW w:w="2547" w:type="dxa"/>
            <w:shd w:val="clear" w:color="auto" w:fill="auto"/>
          </w:tcPr>
          <w:p w14:paraId="6137B7C7" w14:textId="77777777" w:rsidR="0035637C" w:rsidRPr="001E599B" w:rsidRDefault="0035637C" w:rsidP="008357DE">
            <w:pPr>
              <w:spacing w:after="0"/>
              <w:rPr>
                <w:rFonts w:ascii="Calibri Light" w:hAnsi="Calibri Light" w:cs="Calibri Light"/>
                <w:color w:val="000000"/>
              </w:rPr>
            </w:pPr>
            <w:r w:rsidRPr="001E599B">
              <w:rPr>
                <w:rFonts w:ascii="Calibri Light" w:hAnsi="Calibri Light" w:cs="Calibri Light"/>
                <w:color w:val="000000"/>
              </w:rPr>
              <w:t xml:space="preserve">5 -6 </w:t>
            </w:r>
          </w:p>
        </w:tc>
        <w:tc>
          <w:tcPr>
            <w:tcW w:w="10671" w:type="dxa"/>
            <w:shd w:val="clear" w:color="auto" w:fill="auto"/>
          </w:tcPr>
          <w:p w14:paraId="319228C8" w14:textId="77777777" w:rsidR="0035637C" w:rsidRPr="001E599B" w:rsidRDefault="0035637C" w:rsidP="008357DE">
            <w:pPr>
              <w:spacing w:after="0"/>
              <w:rPr>
                <w:rFonts w:ascii="Calibri Light" w:hAnsi="Calibri Light" w:cs="Calibri Light"/>
                <w:color w:val="000000"/>
              </w:rPr>
            </w:pPr>
            <w:r w:rsidRPr="001E599B">
              <w:rPr>
                <w:rFonts w:ascii="Calibri Light" w:hAnsi="Calibri Light" w:cs="Calibri Light"/>
                <w:color w:val="000000"/>
              </w:rPr>
              <w:t>The proposal meets the required standard in most material respects but is lacking or inconsistent in others.</w:t>
            </w:r>
          </w:p>
        </w:tc>
      </w:tr>
      <w:tr w:rsidR="0035637C" w:rsidRPr="00754859" w14:paraId="1D7771BA" w14:textId="77777777" w:rsidTr="008357DE">
        <w:trPr>
          <w:trHeight w:val="697"/>
        </w:trPr>
        <w:tc>
          <w:tcPr>
            <w:tcW w:w="2547" w:type="dxa"/>
            <w:shd w:val="clear" w:color="auto" w:fill="auto"/>
          </w:tcPr>
          <w:p w14:paraId="7EE47A29" w14:textId="77777777" w:rsidR="0035637C" w:rsidRPr="001E599B" w:rsidRDefault="0035637C" w:rsidP="008357DE">
            <w:pPr>
              <w:spacing w:after="0"/>
              <w:rPr>
                <w:rFonts w:ascii="Calibri Light" w:hAnsi="Calibri Light" w:cs="Calibri Light"/>
                <w:color w:val="000000"/>
              </w:rPr>
            </w:pPr>
            <w:r w:rsidRPr="001E599B">
              <w:rPr>
                <w:rFonts w:ascii="Calibri Light" w:hAnsi="Calibri Light" w:cs="Calibri Light"/>
                <w:color w:val="000000"/>
              </w:rPr>
              <w:t xml:space="preserve">7 – 8 </w:t>
            </w:r>
          </w:p>
        </w:tc>
        <w:tc>
          <w:tcPr>
            <w:tcW w:w="10671" w:type="dxa"/>
            <w:shd w:val="clear" w:color="auto" w:fill="auto"/>
          </w:tcPr>
          <w:p w14:paraId="1E2F73BA" w14:textId="77777777" w:rsidR="0035637C" w:rsidRPr="001E599B" w:rsidRDefault="0035637C" w:rsidP="008357DE">
            <w:pPr>
              <w:spacing w:after="0"/>
              <w:rPr>
                <w:rFonts w:ascii="Calibri Light" w:hAnsi="Calibri Light" w:cs="Calibri Light"/>
                <w:color w:val="000000"/>
              </w:rPr>
            </w:pPr>
            <w:r w:rsidRPr="001E599B">
              <w:rPr>
                <w:rFonts w:ascii="Calibri Light" w:hAnsi="Calibri Light" w:cs="Calibri Light"/>
                <w:color w:val="000000"/>
              </w:rPr>
              <w:t>Good understanding and interpretation of requirements.</w:t>
            </w:r>
          </w:p>
        </w:tc>
      </w:tr>
      <w:tr w:rsidR="0035637C" w:rsidRPr="00754859" w14:paraId="01F25DEA" w14:textId="77777777" w:rsidTr="008357DE">
        <w:trPr>
          <w:trHeight w:val="1023"/>
        </w:trPr>
        <w:tc>
          <w:tcPr>
            <w:tcW w:w="2547" w:type="dxa"/>
            <w:shd w:val="clear" w:color="auto" w:fill="auto"/>
          </w:tcPr>
          <w:p w14:paraId="0A52A72B" w14:textId="77777777" w:rsidR="0035637C" w:rsidRPr="001E599B" w:rsidRDefault="0035637C" w:rsidP="008357DE">
            <w:pPr>
              <w:spacing w:after="0"/>
              <w:rPr>
                <w:rFonts w:ascii="Calibri Light" w:hAnsi="Calibri Light" w:cs="Calibri Light"/>
                <w:color w:val="000000"/>
              </w:rPr>
            </w:pPr>
            <w:r w:rsidRPr="001E599B">
              <w:rPr>
                <w:rFonts w:ascii="Calibri Light" w:hAnsi="Calibri Light" w:cs="Calibri Light"/>
                <w:color w:val="000000"/>
              </w:rPr>
              <w:t xml:space="preserve">9 – 10 </w:t>
            </w:r>
          </w:p>
        </w:tc>
        <w:tc>
          <w:tcPr>
            <w:tcW w:w="10671" w:type="dxa"/>
            <w:shd w:val="clear" w:color="auto" w:fill="auto"/>
          </w:tcPr>
          <w:p w14:paraId="1FE3D1BF" w14:textId="77777777" w:rsidR="0035637C" w:rsidRPr="001E599B" w:rsidRDefault="0035637C" w:rsidP="008357DE">
            <w:pPr>
              <w:spacing w:after="0"/>
              <w:rPr>
                <w:rFonts w:ascii="Calibri Light" w:hAnsi="Calibri Light" w:cs="Calibri Light"/>
                <w:color w:val="000000"/>
              </w:rPr>
            </w:pPr>
            <w:r w:rsidRPr="001E599B">
              <w:rPr>
                <w:rFonts w:ascii="Calibri Light" w:hAnsi="Calibri Light" w:cs="Calibri Light"/>
                <w:color w:val="000000"/>
              </w:rPr>
              <w:t>Excellent understanding and interpretation. Innovative and proactive with a sound strategy.</w:t>
            </w:r>
          </w:p>
        </w:tc>
      </w:tr>
    </w:tbl>
    <w:p w14:paraId="0AFA5859" w14:textId="77777777" w:rsidR="00745C01" w:rsidRDefault="00745C01" w:rsidP="0035637C">
      <w:pPr>
        <w:rPr>
          <w:rFonts w:ascii="Calibri Light" w:hAnsi="Calibri Light" w:cs="Calibri Light"/>
          <w:b/>
          <w:sz w:val="28"/>
        </w:rPr>
      </w:pPr>
    </w:p>
    <w:p w14:paraId="411C0674" w14:textId="77777777" w:rsidR="00745C01" w:rsidRDefault="00745C01" w:rsidP="0035637C">
      <w:pPr>
        <w:rPr>
          <w:rFonts w:ascii="Calibri Light" w:hAnsi="Calibri Light" w:cs="Calibri Light"/>
          <w:b/>
          <w:sz w:val="28"/>
        </w:rPr>
      </w:pPr>
    </w:p>
    <w:p w14:paraId="225CE621" w14:textId="77777777" w:rsidR="0035637C" w:rsidRDefault="0035637C" w:rsidP="0035637C"/>
    <w:p w14:paraId="42FFE742" w14:textId="77777777" w:rsidR="00504D7C" w:rsidRDefault="00504D7C" w:rsidP="0035637C"/>
    <w:p w14:paraId="6E57B46D" w14:textId="77777777" w:rsidR="00504D7C" w:rsidRDefault="00504D7C" w:rsidP="0035637C"/>
    <w:p w14:paraId="35B1B78E" w14:textId="77777777" w:rsidR="00504D7C" w:rsidRDefault="00504D7C" w:rsidP="0035637C"/>
    <w:p w14:paraId="7DDB8319" w14:textId="77777777" w:rsidR="00504D7C" w:rsidRDefault="00504D7C" w:rsidP="0035637C"/>
    <w:p w14:paraId="0CC18D33" w14:textId="109D7B8B" w:rsidR="00504D7C" w:rsidRPr="0035637C" w:rsidRDefault="00504D7C" w:rsidP="0035637C"/>
    <w:p w14:paraId="7BFC597A" w14:textId="289788E8" w:rsidR="00504D7C" w:rsidRDefault="00504D7C" w:rsidP="00504D7C">
      <w:pPr>
        <w:spacing w:after="0" w:line="240" w:lineRule="auto"/>
        <w:rPr>
          <w:rFonts w:cstheme="minorHAnsi"/>
          <w:b/>
          <w:sz w:val="28"/>
          <w:szCs w:val="28"/>
        </w:rPr>
      </w:pPr>
      <w:r w:rsidRPr="00133428">
        <w:rPr>
          <w:rFonts w:cstheme="minorHAnsi"/>
          <w:b/>
          <w:sz w:val="28"/>
          <w:szCs w:val="28"/>
        </w:rPr>
        <w:t>A</w:t>
      </w:r>
      <w:r>
        <w:rPr>
          <w:rFonts w:cstheme="minorHAnsi"/>
          <w:b/>
          <w:sz w:val="28"/>
          <w:szCs w:val="28"/>
        </w:rPr>
        <w:t>ppendix 5:</w:t>
      </w:r>
    </w:p>
    <w:p w14:paraId="7E757535" w14:textId="77777777" w:rsidR="00504D7C" w:rsidRDefault="00504D7C" w:rsidP="00E46052">
      <w:pPr>
        <w:spacing w:after="0" w:line="240" w:lineRule="auto"/>
        <w:rPr>
          <w:rFonts w:cstheme="minorHAnsi"/>
          <w:b/>
        </w:rPr>
      </w:pPr>
    </w:p>
    <w:p w14:paraId="632C6034" w14:textId="77777777" w:rsidR="00E46052" w:rsidRPr="004709A6" w:rsidRDefault="00E46052" w:rsidP="00E46052">
      <w:pPr>
        <w:spacing w:after="0" w:line="240" w:lineRule="auto"/>
        <w:rPr>
          <w:rFonts w:cstheme="minorHAnsi"/>
          <w:b/>
          <w:sz w:val="24"/>
          <w:szCs w:val="24"/>
        </w:rPr>
      </w:pPr>
      <w:r w:rsidRPr="004709A6">
        <w:rPr>
          <w:rFonts w:cstheme="minorHAnsi"/>
          <w:b/>
          <w:sz w:val="24"/>
          <w:szCs w:val="24"/>
        </w:rPr>
        <w:t xml:space="preserve">Award Criteria </w:t>
      </w:r>
    </w:p>
    <w:p w14:paraId="38739A4F" w14:textId="77777777" w:rsidR="00E46052" w:rsidRDefault="00E46052" w:rsidP="00E46052">
      <w:pPr>
        <w:spacing w:after="0" w:line="240" w:lineRule="auto"/>
        <w:rPr>
          <w:rFonts w:cstheme="minorHAnsi"/>
          <w:b/>
          <w:sz w:val="28"/>
          <w:szCs w:val="28"/>
        </w:rPr>
      </w:pPr>
    </w:p>
    <w:tbl>
      <w:tblPr>
        <w:tblStyle w:val="TableGrid"/>
        <w:tblW w:w="0" w:type="auto"/>
        <w:tblLook w:val="04A0" w:firstRow="1" w:lastRow="0" w:firstColumn="1" w:lastColumn="0" w:noHBand="0" w:noVBand="1"/>
      </w:tblPr>
      <w:tblGrid>
        <w:gridCol w:w="2254"/>
        <w:gridCol w:w="1285"/>
        <w:gridCol w:w="1418"/>
        <w:gridCol w:w="4059"/>
      </w:tblGrid>
      <w:tr w:rsidR="00E46052" w14:paraId="1AEC6F2F" w14:textId="77777777" w:rsidTr="001C1A5B">
        <w:tc>
          <w:tcPr>
            <w:tcW w:w="2254" w:type="dxa"/>
            <w:shd w:val="clear" w:color="auto" w:fill="C3D42E"/>
          </w:tcPr>
          <w:p w14:paraId="45F3A65C" w14:textId="77777777" w:rsidR="00E46052" w:rsidRPr="00E46052" w:rsidRDefault="00E46052" w:rsidP="001C1A5B">
            <w:pPr>
              <w:rPr>
                <w:rFonts w:cstheme="minorHAnsi"/>
                <w:b/>
              </w:rPr>
            </w:pPr>
            <w:r w:rsidRPr="00E46052">
              <w:rPr>
                <w:rFonts w:cstheme="minorHAnsi"/>
                <w:b/>
              </w:rPr>
              <w:t>Criteria</w:t>
            </w:r>
          </w:p>
        </w:tc>
        <w:tc>
          <w:tcPr>
            <w:tcW w:w="1285" w:type="dxa"/>
            <w:shd w:val="clear" w:color="auto" w:fill="C3D42E"/>
          </w:tcPr>
          <w:p w14:paraId="2F41F336" w14:textId="77777777" w:rsidR="00E46052" w:rsidRPr="00E46052" w:rsidRDefault="00E46052" w:rsidP="001C1A5B">
            <w:pPr>
              <w:rPr>
                <w:rFonts w:cstheme="minorHAnsi"/>
                <w:b/>
              </w:rPr>
            </w:pPr>
            <w:r w:rsidRPr="00E46052">
              <w:rPr>
                <w:rFonts w:cstheme="minorHAnsi"/>
                <w:b/>
              </w:rPr>
              <w:t>Weighting</w:t>
            </w:r>
          </w:p>
        </w:tc>
        <w:tc>
          <w:tcPr>
            <w:tcW w:w="1418" w:type="dxa"/>
            <w:shd w:val="clear" w:color="auto" w:fill="C3D42E"/>
          </w:tcPr>
          <w:p w14:paraId="101C25A7" w14:textId="77777777" w:rsidR="00E46052" w:rsidRPr="00E46052" w:rsidRDefault="00E46052" w:rsidP="001C1A5B">
            <w:pPr>
              <w:rPr>
                <w:rFonts w:cstheme="minorHAnsi"/>
                <w:b/>
              </w:rPr>
            </w:pPr>
            <w:r w:rsidRPr="00E46052">
              <w:rPr>
                <w:rFonts w:cstheme="minorHAnsi"/>
                <w:b/>
              </w:rPr>
              <w:t>Assessment Method</w:t>
            </w:r>
          </w:p>
        </w:tc>
        <w:tc>
          <w:tcPr>
            <w:tcW w:w="4059" w:type="dxa"/>
            <w:shd w:val="clear" w:color="auto" w:fill="C3D42E"/>
          </w:tcPr>
          <w:p w14:paraId="22DD32A3" w14:textId="77777777" w:rsidR="00E46052" w:rsidRPr="00E46052" w:rsidRDefault="00E46052" w:rsidP="001C1A5B">
            <w:pPr>
              <w:rPr>
                <w:rFonts w:cstheme="minorHAnsi"/>
                <w:b/>
              </w:rPr>
            </w:pPr>
            <w:r>
              <w:rPr>
                <w:rFonts w:cstheme="minorHAnsi"/>
                <w:b/>
              </w:rPr>
              <w:t xml:space="preserve">Description </w:t>
            </w:r>
          </w:p>
        </w:tc>
      </w:tr>
      <w:tr w:rsidR="00E46052" w14:paraId="7AED3D48" w14:textId="77777777" w:rsidTr="001C1A5B">
        <w:tc>
          <w:tcPr>
            <w:tcW w:w="2254" w:type="dxa"/>
          </w:tcPr>
          <w:p w14:paraId="7B721AFD" w14:textId="77777777" w:rsidR="00E46052" w:rsidRPr="004709A6" w:rsidRDefault="00E46052" w:rsidP="001C1A5B">
            <w:pPr>
              <w:rPr>
                <w:rFonts w:cstheme="minorHAnsi"/>
              </w:rPr>
            </w:pPr>
          </w:p>
          <w:p w14:paraId="63824F99" w14:textId="1775E4FE" w:rsidR="00E46052" w:rsidRPr="004709A6" w:rsidRDefault="00E46052" w:rsidP="001C1A5B">
            <w:pPr>
              <w:rPr>
                <w:rFonts w:cstheme="minorHAnsi"/>
              </w:rPr>
            </w:pPr>
            <w:r w:rsidRPr="004709A6">
              <w:rPr>
                <w:rFonts w:cstheme="minorHAnsi"/>
              </w:rPr>
              <w:t>Quality and Competenc</w:t>
            </w:r>
            <w:r w:rsidR="00C96C0D" w:rsidRPr="004709A6">
              <w:rPr>
                <w:rFonts w:cstheme="minorHAnsi"/>
              </w:rPr>
              <w:t>y</w:t>
            </w:r>
            <w:r w:rsidRPr="004709A6">
              <w:rPr>
                <w:rFonts w:cstheme="minorHAnsi"/>
              </w:rPr>
              <w:t xml:space="preserve"> </w:t>
            </w:r>
          </w:p>
          <w:p w14:paraId="19348BCF" w14:textId="77777777" w:rsidR="00E46052" w:rsidRPr="004709A6" w:rsidRDefault="00E46052" w:rsidP="001C1A5B">
            <w:pPr>
              <w:pStyle w:val="ListParagraph"/>
              <w:rPr>
                <w:rFonts w:cstheme="minorHAnsi"/>
              </w:rPr>
            </w:pPr>
          </w:p>
        </w:tc>
        <w:tc>
          <w:tcPr>
            <w:tcW w:w="1285" w:type="dxa"/>
          </w:tcPr>
          <w:p w14:paraId="20DEA025" w14:textId="77777777" w:rsidR="00E46052" w:rsidRPr="004709A6" w:rsidRDefault="00E46052" w:rsidP="001C1A5B">
            <w:pPr>
              <w:rPr>
                <w:rFonts w:cstheme="minorHAnsi"/>
              </w:rPr>
            </w:pPr>
          </w:p>
          <w:p w14:paraId="0FE434E8" w14:textId="7CD4D57F" w:rsidR="00C96C0D" w:rsidRPr="004709A6" w:rsidRDefault="003B7595" w:rsidP="001C1A5B">
            <w:pPr>
              <w:rPr>
                <w:rFonts w:cstheme="minorHAnsi"/>
              </w:rPr>
            </w:pPr>
            <w:r w:rsidRPr="004709A6">
              <w:rPr>
                <w:rFonts w:cstheme="minorHAnsi"/>
              </w:rPr>
              <w:t>60%</w:t>
            </w:r>
          </w:p>
        </w:tc>
        <w:tc>
          <w:tcPr>
            <w:tcW w:w="1418" w:type="dxa"/>
          </w:tcPr>
          <w:p w14:paraId="40CE5E4E" w14:textId="77777777" w:rsidR="00E46052" w:rsidRPr="004709A6" w:rsidRDefault="00E46052" w:rsidP="001C1A5B">
            <w:pPr>
              <w:rPr>
                <w:rFonts w:cstheme="minorHAnsi"/>
              </w:rPr>
            </w:pPr>
          </w:p>
          <w:p w14:paraId="4804AEC0" w14:textId="77777777" w:rsidR="00E46052" w:rsidRPr="004709A6" w:rsidRDefault="00E46052" w:rsidP="001C1A5B">
            <w:pPr>
              <w:rPr>
                <w:rFonts w:cstheme="minorHAnsi"/>
              </w:rPr>
            </w:pPr>
            <w:r w:rsidRPr="004709A6">
              <w:rPr>
                <w:rFonts w:cstheme="minorHAnsi"/>
              </w:rPr>
              <w:t xml:space="preserve">Submission </w:t>
            </w:r>
          </w:p>
        </w:tc>
        <w:tc>
          <w:tcPr>
            <w:tcW w:w="4059" w:type="dxa"/>
          </w:tcPr>
          <w:p w14:paraId="76B0E279" w14:textId="64E1E5CE" w:rsidR="00E46052" w:rsidRPr="004709A6" w:rsidRDefault="00E46052" w:rsidP="00B20851">
            <w:pPr>
              <w:rPr>
                <w:rFonts w:cstheme="minorHAnsi"/>
              </w:rPr>
            </w:pPr>
            <w:r w:rsidRPr="004709A6">
              <w:rPr>
                <w:rFonts w:eastAsia="Times New Roman" w:cstheme="minorHAnsi"/>
                <w:szCs w:val="24"/>
                <w:lang w:eastAsia="en-GB"/>
              </w:rPr>
              <w:t>1.1 Expertise, experience and qualifications of Project Team/Consultant (</w:t>
            </w:r>
            <w:r w:rsidR="003B7595" w:rsidRPr="004709A6">
              <w:rPr>
                <w:rFonts w:eastAsia="Times New Roman" w:cstheme="minorHAnsi"/>
                <w:szCs w:val="24"/>
                <w:lang w:eastAsia="en-GB"/>
              </w:rPr>
              <w:t>40</w:t>
            </w:r>
            <w:r w:rsidRPr="004709A6">
              <w:rPr>
                <w:rFonts w:eastAsia="Times New Roman" w:cstheme="minorHAnsi"/>
                <w:szCs w:val="24"/>
                <w:lang w:eastAsia="en-GB"/>
              </w:rPr>
              <w:t xml:space="preserve">%) </w:t>
            </w:r>
            <w:r w:rsidRPr="004709A6">
              <w:rPr>
                <w:rFonts w:eastAsia="Times New Roman" w:cstheme="minorHAnsi"/>
                <w:szCs w:val="24"/>
                <w:lang w:eastAsia="en-GB"/>
              </w:rPr>
              <w:br/>
              <w:t xml:space="preserve">1.2 </w:t>
            </w:r>
            <w:r w:rsidR="00C96C0D" w:rsidRPr="004709A6">
              <w:rPr>
                <w:rFonts w:eastAsia="Times New Roman" w:cstheme="minorHAnsi"/>
                <w:szCs w:val="24"/>
                <w:lang w:eastAsia="en-GB"/>
              </w:rPr>
              <w:t xml:space="preserve">Content specific to opportunity </w:t>
            </w:r>
            <w:r w:rsidRPr="004709A6">
              <w:rPr>
                <w:rFonts w:eastAsia="Times New Roman" w:cstheme="minorHAnsi"/>
                <w:szCs w:val="24"/>
                <w:lang w:eastAsia="en-GB"/>
              </w:rPr>
              <w:t>(</w:t>
            </w:r>
            <w:r w:rsidR="003B7595" w:rsidRPr="004709A6">
              <w:rPr>
                <w:rFonts w:eastAsia="Times New Roman" w:cstheme="minorHAnsi"/>
                <w:szCs w:val="24"/>
                <w:lang w:eastAsia="en-GB"/>
              </w:rPr>
              <w:t>40</w:t>
            </w:r>
            <w:r w:rsidRPr="004709A6">
              <w:rPr>
                <w:rFonts w:eastAsia="Times New Roman" w:cstheme="minorHAnsi"/>
                <w:szCs w:val="24"/>
                <w:lang w:eastAsia="en-GB"/>
              </w:rPr>
              <w:t xml:space="preserve">%) </w:t>
            </w:r>
            <w:r w:rsidRPr="004709A6">
              <w:rPr>
                <w:rFonts w:eastAsia="Times New Roman" w:cstheme="minorHAnsi"/>
                <w:szCs w:val="24"/>
                <w:lang w:eastAsia="en-GB"/>
              </w:rPr>
              <w:br/>
              <w:t xml:space="preserve">1.3 </w:t>
            </w:r>
            <w:r w:rsidR="00B20851" w:rsidRPr="004709A6">
              <w:rPr>
                <w:rFonts w:eastAsia="Times New Roman" w:cstheme="minorHAnsi"/>
                <w:szCs w:val="24"/>
                <w:lang w:eastAsia="en-GB"/>
              </w:rPr>
              <w:t>Reporting outcomes, added value</w:t>
            </w:r>
            <w:r w:rsidR="00C96C0D" w:rsidRPr="004709A6">
              <w:rPr>
                <w:rFonts w:eastAsia="Times New Roman" w:cstheme="minorHAnsi"/>
                <w:szCs w:val="24"/>
                <w:lang w:eastAsia="en-GB"/>
              </w:rPr>
              <w:t xml:space="preserve"> </w:t>
            </w:r>
            <w:r w:rsidRPr="004709A6">
              <w:rPr>
                <w:rFonts w:eastAsia="Times New Roman" w:cstheme="minorHAnsi"/>
                <w:szCs w:val="24"/>
                <w:lang w:eastAsia="en-GB"/>
              </w:rPr>
              <w:t>(</w:t>
            </w:r>
            <w:r w:rsidR="003B7595" w:rsidRPr="004709A6">
              <w:rPr>
                <w:rFonts w:eastAsia="Times New Roman" w:cstheme="minorHAnsi"/>
                <w:szCs w:val="24"/>
                <w:lang w:eastAsia="en-GB"/>
              </w:rPr>
              <w:t>20</w:t>
            </w:r>
            <w:r w:rsidRPr="004709A6">
              <w:rPr>
                <w:rFonts w:eastAsia="Times New Roman" w:cstheme="minorHAnsi"/>
                <w:szCs w:val="24"/>
                <w:lang w:eastAsia="en-GB"/>
              </w:rPr>
              <w:t>%)</w:t>
            </w:r>
          </w:p>
        </w:tc>
      </w:tr>
      <w:tr w:rsidR="00E46052" w14:paraId="104D0616" w14:textId="77777777" w:rsidTr="001C1A5B">
        <w:tc>
          <w:tcPr>
            <w:tcW w:w="2254" w:type="dxa"/>
          </w:tcPr>
          <w:p w14:paraId="7A54E0C6" w14:textId="77777777" w:rsidR="00E46052" w:rsidRPr="004709A6" w:rsidRDefault="00E46052" w:rsidP="001C1A5B">
            <w:pPr>
              <w:rPr>
                <w:rFonts w:cstheme="minorHAnsi"/>
              </w:rPr>
            </w:pPr>
          </w:p>
          <w:p w14:paraId="2540023E" w14:textId="77777777" w:rsidR="00E46052" w:rsidRPr="004709A6" w:rsidRDefault="00E46052" w:rsidP="001C1A5B">
            <w:pPr>
              <w:rPr>
                <w:rFonts w:cstheme="minorHAnsi"/>
              </w:rPr>
            </w:pPr>
            <w:r w:rsidRPr="004709A6">
              <w:rPr>
                <w:rFonts w:cstheme="minorHAnsi"/>
              </w:rPr>
              <w:t xml:space="preserve">Project Management </w:t>
            </w:r>
          </w:p>
          <w:p w14:paraId="23A2D72C" w14:textId="77777777" w:rsidR="00E46052" w:rsidRPr="004709A6" w:rsidRDefault="00E46052" w:rsidP="001C1A5B">
            <w:pPr>
              <w:rPr>
                <w:rFonts w:cstheme="minorHAnsi"/>
              </w:rPr>
            </w:pPr>
          </w:p>
        </w:tc>
        <w:tc>
          <w:tcPr>
            <w:tcW w:w="1285" w:type="dxa"/>
          </w:tcPr>
          <w:p w14:paraId="0C0F5F14" w14:textId="77777777" w:rsidR="00E46052" w:rsidRPr="004709A6" w:rsidRDefault="00E46052" w:rsidP="001C1A5B">
            <w:pPr>
              <w:rPr>
                <w:rFonts w:cstheme="minorHAnsi"/>
              </w:rPr>
            </w:pPr>
          </w:p>
          <w:p w14:paraId="392573DF" w14:textId="1C312A4E" w:rsidR="003B7595" w:rsidRPr="004709A6" w:rsidRDefault="003B7595" w:rsidP="001C1A5B">
            <w:pPr>
              <w:rPr>
                <w:rFonts w:cstheme="minorHAnsi"/>
              </w:rPr>
            </w:pPr>
            <w:r w:rsidRPr="004709A6">
              <w:rPr>
                <w:rFonts w:cstheme="minorHAnsi"/>
              </w:rPr>
              <w:t xml:space="preserve">15% </w:t>
            </w:r>
          </w:p>
        </w:tc>
        <w:tc>
          <w:tcPr>
            <w:tcW w:w="1418" w:type="dxa"/>
          </w:tcPr>
          <w:p w14:paraId="6CDB1763" w14:textId="77777777" w:rsidR="00E46052" w:rsidRPr="004709A6" w:rsidRDefault="00E46052" w:rsidP="001C1A5B">
            <w:pPr>
              <w:rPr>
                <w:rFonts w:cstheme="minorHAnsi"/>
              </w:rPr>
            </w:pPr>
          </w:p>
          <w:p w14:paraId="2C1D27F4" w14:textId="77777777" w:rsidR="00E46052" w:rsidRPr="004709A6" w:rsidRDefault="00E46052" w:rsidP="001C1A5B">
            <w:pPr>
              <w:rPr>
                <w:rFonts w:cstheme="minorHAnsi"/>
              </w:rPr>
            </w:pPr>
            <w:r w:rsidRPr="004709A6">
              <w:rPr>
                <w:rFonts w:cstheme="minorHAnsi"/>
              </w:rPr>
              <w:t>Submission</w:t>
            </w:r>
          </w:p>
        </w:tc>
        <w:tc>
          <w:tcPr>
            <w:tcW w:w="4059" w:type="dxa"/>
          </w:tcPr>
          <w:p w14:paraId="75928032" w14:textId="55C1C1BA" w:rsidR="00E46052" w:rsidRPr="004709A6" w:rsidRDefault="00C96C0D" w:rsidP="00C96C0D">
            <w:pPr>
              <w:rPr>
                <w:rFonts w:cstheme="minorHAnsi"/>
              </w:rPr>
            </w:pPr>
            <w:r w:rsidRPr="004709A6">
              <w:rPr>
                <w:rFonts w:cstheme="minorHAnsi"/>
              </w:rPr>
              <w:t>Approach and methodology to be taken including indication of Project Team / Consultant time, timetable for delivery</w:t>
            </w:r>
            <w:r w:rsidR="003B7595" w:rsidRPr="004709A6">
              <w:rPr>
                <w:rFonts w:cstheme="minorHAnsi"/>
              </w:rPr>
              <w:t xml:space="preserve"> (100%) </w:t>
            </w:r>
          </w:p>
        </w:tc>
      </w:tr>
      <w:tr w:rsidR="00E46052" w14:paraId="5A012C5A" w14:textId="77777777" w:rsidTr="001C1A5B">
        <w:tc>
          <w:tcPr>
            <w:tcW w:w="2254" w:type="dxa"/>
          </w:tcPr>
          <w:p w14:paraId="75EF40A6" w14:textId="77777777" w:rsidR="00E46052" w:rsidRPr="004709A6" w:rsidRDefault="00E46052" w:rsidP="001C1A5B">
            <w:pPr>
              <w:rPr>
                <w:rFonts w:cstheme="minorHAnsi"/>
              </w:rPr>
            </w:pPr>
          </w:p>
          <w:p w14:paraId="5B4DFC26" w14:textId="77777777" w:rsidR="00E46052" w:rsidRPr="004709A6" w:rsidRDefault="00C96C0D" w:rsidP="00C96C0D">
            <w:pPr>
              <w:rPr>
                <w:rFonts w:cstheme="minorHAnsi"/>
              </w:rPr>
            </w:pPr>
            <w:r w:rsidRPr="004709A6">
              <w:rPr>
                <w:rFonts w:cstheme="minorHAnsi"/>
              </w:rPr>
              <w:t xml:space="preserve">Evidence </w:t>
            </w:r>
          </w:p>
          <w:p w14:paraId="0E22BC41" w14:textId="5EBCCE74" w:rsidR="003B7595" w:rsidRPr="004709A6" w:rsidRDefault="003B7595" w:rsidP="00C96C0D">
            <w:pPr>
              <w:rPr>
                <w:rFonts w:cstheme="minorHAnsi"/>
              </w:rPr>
            </w:pPr>
          </w:p>
        </w:tc>
        <w:tc>
          <w:tcPr>
            <w:tcW w:w="1285" w:type="dxa"/>
          </w:tcPr>
          <w:p w14:paraId="2530AEA8" w14:textId="77777777" w:rsidR="003B7595" w:rsidRPr="004709A6" w:rsidRDefault="003B7595" w:rsidP="001C1A5B">
            <w:pPr>
              <w:rPr>
                <w:rFonts w:cstheme="minorHAnsi"/>
              </w:rPr>
            </w:pPr>
          </w:p>
          <w:p w14:paraId="659CD2AB" w14:textId="3696AAF1" w:rsidR="00E46052" w:rsidRPr="004709A6" w:rsidRDefault="00471419" w:rsidP="001C1A5B">
            <w:pPr>
              <w:rPr>
                <w:rFonts w:cstheme="minorHAnsi"/>
              </w:rPr>
            </w:pPr>
            <w:r>
              <w:rPr>
                <w:rFonts w:cstheme="minorHAnsi"/>
              </w:rPr>
              <w:t>10</w:t>
            </w:r>
            <w:r w:rsidR="003B7595" w:rsidRPr="004709A6">
              <w:rPr>
                <w:rFonts w:cstheme="minorHAnsi"/>
              </w:rPr>
              <w:t>%</w:t>
            </w:r>
          </w:p>
        </w:tc>
        <w:tc>
          <w:tcPr>
            <w:tcW w:w="1418" w:type="dxa"/>
          </w:tcPr>
          <w:p w14:paraId="4C4AC7C8" w14:textId="77777777" w:rsidR="00E46052" w:rsidRPr="004709A6" w:rsidRDefault="00E46052" w:rsidP="001C1A5B">
            <w:pPr>
              <w:rPr>
                <w:rFonts w:cstheme="minorHAnsi"/>
              </w:rPr>
            </w:pPr>
          </w:p>
          <w:p w14:paraId="6BDF1F71" w14:textId="77777777" w:rsidR="00E46052" w:rsidRPr="004709A6" w:rsidRDefault="00E46052" w:rsidP="001C1A5B">
            <w:pPr>
              <w:rPr>
                <w:rFonts w:cstheme="minorHAnsi"/>
              </w:rPr>
            </w:pPr>
            <w:r w:rsidRPr="004709A6">
              <w:rPr>
                <w:rFonts w:cstheme="minorHAnsi"/>
              </w:rPr>
              <w:t>Submission</w:t>
            </w:r>
          </w:p>
        </w:tc>
        <w:tc>
          <w:tcPr>
            <w:tcW w:w="4059" w:type="dxa"/>
          </w:tcPr>
          <w:p w14:paraId="70B139BE" w14:textId="77777777" w:rsidR="00E46052" w:rsidRPr="004709A6" w:rsidRDefault="00E46052" w:rsidP="001C1A5B">
            <w:pPr>
              <w:rPr>
                <w:rFonts w:cstheme="minorHAnsi"/>
              </w:rPr>
            </w:pPr>
            <w:r w:rsidRPr="004709A6">
              <w:rPr>
                <w:rFonts w:eastAsia="Times New Roman" w:cstheme="minorHAnsi"/>
                <w:szCs w:val="24"/>
                <w:lang w:eastAsia="en-GB"/>
              </w:rPr>
              <w:t>Quality of evidence to support submission (100%)</w:t>
            </w:r>
          </w:p>
        </w:tc>
      </w:tr>
      <w:tr w:rsidR="00E46052" w14:paraId="65CD359D" w14:textId="77777777" w:rsidTr="001C1A5B">
        <w:tc>
          <w:tcPr>
            <w:tcW w:w="2254" w:type="dxa"/>
          </w:tcPr>
          <w:p w14:paraId="7A0F5C1F" w14:textId="77777777" w:rsidR="00E46052" w:rsidRPr="004709A6" w:rsidRDefault="00E46052" w:rsidP="001C1A5B">
            <w:pPr>
              <w:rPr>
                <w:rFonts w:cstheme="minorHAnsi"/>
              </w:rPr>
            </w:pPr>
          </w:p>
          <w:p w14:paraId="3A4E12E3" w14:textId="77777777" w:rsidR="00E46052" w:rsidRPr="004709A6" w:rsidRDefault="00E46052" w:rsidP="001C1A5B">
            <w:pPr>
              <w:rPr>
                <w:rFonts w:cstheme="minorHAnsi"/>
              </w:rPr>
            </w:pPr>
            <w:r w:rsidRPr="004709A6">
              <w:rPr>
                <w:rFonts w:cstheme="minorHAnsi"/>
              </w:rPr>
              <w:t xml:space="preserve">Price </w:t>
            </w:r>
          </w:p>
          <w:p w14:paraId="60377198" w14:textId="77777777" w:rsidR="00E46052" w:rsidRPr="004709A6" w:rsidRDefault="00E46052" w:rsidP="001C1A5B">
            <w:pPr>
              <w:rPr>
                <w:rFonts w:cstheme="minorHAnsi"/>
              </w:rPr>
            </w:pPr>
          </w:p>
        </w:tc>
        <w:tc>
          <w:tcPr>
            <w:tcW w:w="1285" w:type="dxa"/>
          </w:tcPr>
          <w:p w14:paraId="74256AE9" w14:textId="77777777" w:rsidR="00E46052" w:rsidRPr="004709A6" w:rsidRDefault="00E46052" w:rsidP="001C1A5B">
            <w:pPr>
              <w:rPr>
                <w:rFonts w:cstheme="minorHAnsi"/>
              </w:rPr>
            </w:pPr>
          </w:p>
          <w:p w14:paraId="4A0DB9F9" w14:textId="14CD8747" w:rsidR="009F4934" w:rsidRPr="004709A6" w:rsidRDefault="00471419" w:rsidP="001C1A5B">
            <w:pPr>
              <w:rPr>
                <w:rFonts w:cstheme="minorHAnsi"/>
              </w:rPr>
            </w:pPr>
            <w:r>
              <w:rPr>
                <w:rFonts w:cstheme="minorHAnsi"/>
              </w:rPr>
              <w:t>15</w:t>
            </w:r>
            <w:r w:rsidR="003B7595" w:rsidRPr="004709A6">
              <w:rPr>
                <w:rFonts w:cstheme="minorHAnsi"/>
              </w:rPr>
              <w:t>%</w:t>
            </w:r>
          </w:p>
        </w:tc>
        <w:tc>
          <w:tcPr>
            <w:tcW w:w="1418" w:type="dxa"/>
          </w:tcPr>
          <w:p w14:paraId="0BA45290" w14:textId="77777777" w:rsidR="00E46052" w:rsidRPr="004709A6" w:rsidRDefault="00E46052" w:rsidP="001C1A5B">
            <w:pPr>
              <w:rPr>
                <w:rFonts w:cstheme="minorHAnsi"/>
              </w:rPr>
            </w:pPr>
          </w:p>
          <w:p w14:paraId="3A000E44" w14:textId="77777777" w:rsidR="00E46052" w:rsidRPr="004709A6" w:rsidRDefault="00E46052" w:rsidP="001C1A5B">
            <w:pPr>
              <w:rPr>
                <w:rFonts w:cstheme="minorHAnsi"/>
              </w:rPr>
            </w:pPr>
            <w:r w:rsidRPr="004709A6">
              <w:rPr>
                <w:rFonts w:cstheme="minorHAnsi"/>
              </w:rPr>
              <w:t xml:space="preserve">Submission </w:t>
            </w:r>
          </w:p>
        </w:tc>
        <w:tc>
          <w:tcPr>
            <w:tcW w:w="4059" w:type="dxa"/>
          </w:tcPr>
          <w:p w14:paraId="2F302A22" w14:textId="650011B8" w:rsidR="00E46052" w:rsidRPr="004709A6" w:rsidRDefault="00E46052" w:rsidP="00471419">
            <w:pPr>
              <w:rPr>
                <w:rFonts w:cstheme="minorHAnsi"/>
              </w:rPr>
            </w:pPr>
            <w:r w:rsidRPr="004709A6">
              <w:rPr>
                <w:rFonts w:eastAsia="Times New Roman" w:cstheme="minorHAnsi"/>
                <w:szCs w:val="24"/>
                <w:lang w:eastAsia="en-GB"/>
              </w:rPr>
              <w:t xml:space="preserve">The lowest overall bid will receive full marks. All other offers will be scored a comparative mark, by calculating the percentage difference between them and the offer which achieved the highest mark, and deducting this from the highest available mark. </w:t>
            </w:r>
            <w:r w:rsidR="00471419">
              <w:rPr>
                <w:rFonts w:eastAsia="Times New Roman" w:cstheme="minorHAnsi"/>
                <w:szCs w:val="24"/>
                <w:lang w:eastAsia="en-GB"/>
              </w:rPr>
              <w:br/>
              <w:t>e.g. Company A price = £1000 (1</w:t>
            </w:r>
            <w:r w:rsidRPr="004709A6">
              <w:rPr>
                <w:rFonts w:eastAsia="Times New Roman" w:cstheme="minorHAnsi"/>
                <w:szCs w:val="24"/>
                <w:lang w:eastAsia="en-GB"/>
              </w:rPr>
              <w:t xml:space="preserve">0 points)  </w:t>
            </w:r>
            <w:r w:rsidRPr="004709A6">
              <w:rPr>
                <w:rFonts w:eastAsia="Times New Roman" w:cstheme="minorHAnsi"/>
                <w:szCs w:val="24"/>
                <w:lang w:eastAsia="en-GB"/>
              </w:rPr>
              <w:br/>
              <w:t xml:space="preserve">Company B price = £1250  </w:t>
            </w:r>
            <w:r w:rsidRPr="004709A6">
              <w:rPr>
                <w:rFonts w:eastAsia="Times New Roman" w:cstheme="minorHAnsi"/>
                <w:szCs w:val="24"/>
                <w:lang w:eastAsia="en-GB"/>
              </w:rPr>
              <w:br/>
              <w:t xml:space="preserve">Score for company B will be calculated as: </w:t>
            </w:r>
            <w:r w:rsidR="00471419">
              <w:rPr>
                <w:rFonts w:eastAsia="Times New Roman" w:cstheme="minorHAnsi"/>
                <w:szCs w:val="24"/>
                <w:lang w:eastAsia="en-GB"/>
              </w:rPr>
              <w:t xml:space="preserve"> </w:t>
            </w:r>
            <w:r w:rsidR="00471419">
              <w:rPr>
                <w:rFonts w:eastAsia="Times New Roman" w:cstheme="minorHAnsi"/>
                <w:szCs w:val="24"/>
                <w:lang w:eastAsia="en-GB"/>
              </w:rPr>
              <w:br/>
              <w:t>10 – (((1250 – 1000) / 1000)*10) = 7.5</w:t>
            </w:r>
            <w:r w:rsidRPr="004709A6">
              <w:rPr>
                <w:rFonts w:eastAsia="Times New Roman" w:cstheme="minorHAnsi"/>
                <w:szCs w:val="24"/>
                <w:lang w:eastAsia="en-GB"/>
              </w:rPr>
              <w:t xml:space="preserve"> points</w:t>
            </w:r>
          </w:p>
        </w:tc>
      </w:tr>
    </w:tbl>
    <w:p w14:paraId="0E7BBC80" w14:textId="523BE517" w:rsidR="0035637C" w:rsidRDefault="0035637C" w:rsidP="0035637C"/>
    <w:p w14:paraId="3E367AB1" w14:textId="4B0D9D02" w:rsidR="0035637C" w:rsidRDefault="0035637C" w:rsidP="0035637C">
      <w:pPr>
        <w:tabs>
          <w:tab w:val="left" w:pos="1457"/>
        </w:tabs>
      </w:pPr>
      <w:r>
        <w:tab/>
      </w:r>
    </w:p>
    <w:p w14:paraId="59A7807F" w14:textId="77777777" w:rsidR="004709A6" w:rsidRDefault="004709A6" w:rsidP="0035637C">
      <w:pPr>
        <w:tabs>
          <w:tab w:val="left" w:pos="1457"/>
        </w:tabs>
      </w:pPr>
    </w:p>
    <w:p w14:paraId="09F96174" w14:textId="77777777" w:rsidR="004709A6" w:rsidRDefault="004709A6" w:rsidP="0035637C">
      <w:pPr>
        <w:tabs>
          <w:tab w:val="left" w:pos="1457"/>
        </w:tabs>
      </w:pPr>
    </w:p>
    <w:p w14:paraId="3F1C6666" w14:textId="77777777" w:rsidR="004709A6" w:rsidRDefault="004709A6" w:rsidP="0035637C">
      <w:pPr>
        <w:tabs>
          <w:tab w:val="left" w:pos="1457"/>
        </w:tabs>
      </w:pPr>
    </w:p>
    <w:p w14:paraId="3F9126EE" w14:textId="77777777" w:rsidR="004709A6" w:rsidRDefault="004709A6" w:rsidP="0035637C">
      <w:pPr>
        <w:tabs>
          <w:tab w:val="left" w:pos="1457"/>
        </w:tabs>
      </w:pPr>
    </w:p>
    <w:p w14:paraId="49EC0A11" w14:textId="48FA8CC9" w:rsidR="004709A6" w:rsidRPr="004709A6" w:rsidRDefault="004709A6" w:rsidP="0035637C">
      <w:pPr>
        <w:tabs>
          <w:tab w:val="left" w:pos="1457"/>
        </w:tabs>
        <w:rPr>
          <w:sz w:val="28"/>
          <w:szCs w:val="28"/>
        </w:rPr>
      </w:pPr>
    </w:p>
    <w:sectPr w:rsidR="004709A6" w:rsidRPr="004709A6">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5992F0" w14:textId="77777777" w:rsidR="00746D95" w:rsidRDefault="00746D95" w:rsidP="00FC4B22">
      <w:pPr>
        <w:spacing w:after="0" w:line="240" w:lineRule="auto"/>
      </w:pPr>
      <w:r>
        <w:separator/>
      </w:r>
    </w:p>
  </w:endnote>
  <w:endnote w:type="continuationSeparator" w:id="0">
    <w:p w14:paraId="5D54662D" w14:textId="77777777" w:rsidR="00746D95" w:rsidRDefault="00746D95" w:rsidP="00FC4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3571050"/>
      <w:docPartObj>
        <w:docPartGallery w:val="Page Numbers (Bottom of Page)"/>
        <w:docPartUnique/>
      </w:docPartObj>
    </w:sdtPr>
    <w:sdtEndPr>
      <w:rPr>
        <w:noProof/>
      </w:rPr>
    </w:sdtEndPr>
    <w:sdtContent>
      <w:p w14:paraId="5948B180" w14:textId="1D4CC281" w:rsidR="00265495" w:rsidRDefault="00FC4513">
        <w:pPr>
          <w:pStyle w:val="Footer"/>
          <w:jc w:val="center"/>
        </w:pPr>
        <w:r>
          <w:rPr>
            <w:noProof/>
            <w:lang w:eastAsia="en-GB"/>
          </w:rPr>
          <w:drawing>
            <wp:anchor distT="0" distB="0" distL="114300" distR="114300" simplePos="0" relativeHeight="251661312" behindDoc="0" locked="0" layoutInCell="1" allowOverlap="1" wp14:anchorId="54E741EE" wp14:editId="681A80F0">
              <wp:simplePos x="0" y="0"/>
              <wp:positionH relativeFrom="margin">
                <wp:posOffset>0</wp:posOffset>
              </wp:positionH>
              <wp:positionV relativeFrom="page">
                <wp:posOffset>10101580</wp:posOffset>
              </wp:positionV>
              <wp:extent cx="1554480" cy="506095"/>
              <wp:effectExtent l="0" t="0" r="7620" b="8255"/>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4480" cy="50609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288" behindDoc="0" locked="0" layoutInCell="1" allowOverlap="1" wp14:anchorId="085147D0" wp14:editId="48295958">
              <wp:simplePos x="0" y="0"/>
              <wp:positionH relativeFrom="column">
                <wp:posOffset>1743075</wp:posOffset>
              </wp:positionH>
              <wp:positionV relativeFrom="page">
                <wp:posOffset>10115550</wp:posOffset>
              </wp:positionV>
              <wp:extent cx="3883660" cy="506095"/>
              <wp:effectExtent l="0" t="0" r="2540" b="825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83660" cy="506095"/>
                      </a:xfrm>
                      <a:prstGeom prst="rect">
                        <a:avLst/>
                      </a:prstGeom>
                      <a:noFill/>
                    </pic:spPr>
                  </pic:pic>
                </a:graphicData>
              </a:graphic>
              <wp14:sizeRelH relativeFrom="page">
                <wp14:pctWidth>0</wp14:pctWidth>
              </wp14:sizeRelH>
              <wp14:sizeRelV relativeFrom="page">
                <wp14:pctHeight>0</wp14:pctHeight>
              </wp14:sizeRelV>
            </wp:anchor>
          </w:drawing>
        </w:r>
        <w:r w:rsidR="00CA62AC">
          <w:rPr>
            <w:noProof/>
          </w:rPr>
          <w:fldChar w:fldCharType="begin"/>
        </w:r>
        <w:r w:rsidR="00CA62AC">
          <w:rPr>
            <w:noProof/>
          </w:rPr>
          <w:instrText xml:space="preserve"> FILENAME \* MERGEFORMAT </w:instrText>
        </w:r>
        <w:r w:rsidR="00CA62AC">
          <w:rPr>
            <w:noProof/>
          </w:rPr>
          <w:fldChar w:fldCharType="separate"/>
        </w:r>
        <w:r w:rsidR="00ED215B">
          <w:rPr>
            <w:noProof/>
          </w:rPr>
          <w:t>Briefing Paper - Yorkshire</w:t>
        </w:r>
        <w:r w:rsidR="00493190">
          <w:rPr>
            <w:noProof/>
          </w:rPr>
          <w:t xml:space="preserve"> Hemp Supply Chain Project (</w:t>
        </w:r>
        <w:r w:rsidR="00051FEE">
          <w:rPr>
            <w:noProof/>
          </w:rPr>
          <w:t xml:space="preserve">Version 1.0) </w:t>
        </w:r>
        <w:r w:rsidR="00CA62AC">
          <w:rPr>
            <w:noProof/>
          </w:rPr>
          <w:fldChar w:fldCharType="end"/>
        </w:r>
        <w:r w:rsidR="00ED215B">
          <w:tab/>
        </w:r>
        <w:r w:rsidR="00265495">
          <w:fldChar w:fldCharType="begin"/>
        </w:r>
        <w:r w:rsidR="00265495">
          <w:instrText xml:space="preserve"> PAGE   \* MERGEFORMAT </w:instrText>
        </w:r>
        <w:r w:rsidR="00265495">
          <w:fldChar w:fldCharType="separate"/>
        </w:r>
        <w:r w:rsidR="004B2DBB">
          <w:rPr>
            <w:noProof/>
          </w:rPr>
          <w:t>12</w:t>
        </w:r>
        <w:r w:rsidR="00265495">
          <w:rPr>
            <w:noProof/>
          </w:rPr>
          <w:fldChar w:fldCharType="end"/>
        </w:r>
      </w:p>
    </w:sdtContent>
  </w:sdt>
  <w:p w14:paraId="54CE5710" w14:textId="0205E8A8" w:rsidR="00FC4B22" w:rsidRDefault="00FC4B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B2ED60" w14:textId="77777777" w:rsidR="00746D95" w:rsidRDefault="00746D95" w:rsidP="00FC4B22">
      <w:pPr>
        <w:spacing w:after="0" w:line="240" w:lineRule="auto"/>
      </w:pPr>
      <w:r>
        <w:separator/>
      </w:r>
    </w:p>
  </w:footnote>
  <w:footnote w:type="continuationSeparator" w:id="0">
    <w:p w14:paraId="00B2276F" w14:textId="77777777" w:rsidR="00746D95" w:rsidRDefault="00746D95" w:rsidP="00FC4B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EC9BC8" w14:textId="0AC0021D" w:rsidR="00FC4B22" w:rsidRDefault="004709A6">
    <w:pPr>
      <w:pStyle w:val="Header"/>
    </w:pPr>
    <w:r>
      <w:rPr>
        <w:noProof/>
        <w:lang w:eastAsia="en-GB"/>
      </w:rPr>
      <w:drawing>
        <wp:anchor distT="0" distB="0" distL="114300" distR="114300" simplePos="0" relativeHeight="251658240" behindDoc="1" locked="0" layoutInCell="1" allowOverlap="1" wp14:anchorId="677112F6" wp14:editId="3CA3DDFA">
          <wp:simplePos x="0" y="0"/>
          <wp:positionH relativeFrom="column">
            <wp:posOffset>-390525</wp:posOffset>
          </wp:positionH>
          <wp:positionV relativeFrom="paragraph">
            <wp:posOffset>-192405</wp:posOffset>
          </wp:positionV>
          <wp:extent cx="2288540" cy="469900"/>
          <wp:effectExtent l="0" t="0" r="0" b="6350"/>
          <wp:wrapTight wrapText="bothSides">
            <wp:wrapPolygon edited="0">
              <wp:start x="0" y="0"/>
              <wp:lineTo x="0" y="21016"/>
              <wp:lineTo x="21396" y="21016"/>
              <wp:lineTo x="2139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8540" cy="46990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1" locked="0" layoutInCell="1" allowOverlap="1" wp14:anchorId="005EDD66" wp14:editId="031DC770">
          <wp:simplePos x="0" y="0"/>
          <wp:positionH relativeFrom="column">
            <wp:posOffset>4991100</wp:posOffset>
          </wp:positionH>
          <wp:positionV relativeFrom="paragraph">
            <wp:posOffset>-325755</wp:posOffset>
          </wp:positionV>
          <wp:extent cx="1100455" cy="676275"/>
          <wp:effectExtent l="0" t="0" r="4445" b="9525"/>
          <wp:wrapTight wrapText="bothSides">
            <wp:wrapPolygon edited="0">
              <wp:start x="0" y="0"/>
              <wp:lineTo x="0" y="21296"/>
              <wp:lineTo x="21313" y="21296"/>
              <wp:lineTo x="213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00455" cy="676275"/>
                  </a:xfrm>
                  <a:prstGeom prst="rect">
                    <a:avLst/>
                  </a:prstGeom>
                  <a:noFill/>
                </pic:spPr>
              </pic:pic>
            </a:graphicData>
          </a:graphic>
          <wp14:sizeRelH relativeFrom="page">
            <wp14:pctWidth>0</wp14:pctWidth>
          </wp14:sizeRelH>
          <wp14:sizeRelV relativeFrom="page">
            <wp14:pctHeight>0</wp14:pctHeight>
          </wp14:sizeRelV>
        </wp:anchor>
      </w:drawing>
    </w:r>
  </w:p>
  <w:p w14:paraId="41212BD6" w14:textId="77777777" w:rsidR="00FC4B22" w:rsidRDefault="00FC4B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8874F7"/>
    <w:multiLevelType w:val="multilevel"/>
    <w:tmpl w:val="0F26A82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8994E9D"/>
    <w:multiLevelType w:val="hybridMultilevel"/>
    <w:tmpl w:val="294CB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E5FD9"/>
    <w:multiLevelType w:val="hybridMultilevel"/>
    <w:tmpl w:val="845EA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B7A1076"/>
    <w:multiLevelType w:val="hybridMultilevel"/>
    <w:tmpl w:val="89585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0D7737"/>
    <w:multiLevelType w:val="hybridMultilevel"/>
    <w:tmpl w:val="840E8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157D0E"/>
    <w:multiLevelType w:val="hybridMultilevel"/>
    <w:tmpl w:val="A41C7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6912DE"/>
    <w:multiLevelType w:val="hybridMultilevel"/>
    <w:tmpl w:val="FF32E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300BE5"/>
    <w:multiLevelType w:val="hybridMultilevel"/>
    <w:tmpl w:val="E6CCB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E833A4"/>
    <w:multiLevelType w:val="hybridMultilevel"/>
    <w:tmpl w:val="B538AA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CB83DFE"/>
    <w:multiLevelType w:val="hybridMultilevel"/>
    <w:tmpl w:val="E7DC7BC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00903C8"/>
    <w:multiLevelType w:val="hybridMultilevel"/>
    <w:tmpl w:val="6216414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41249E9"/>
    <w:multiLevelType w:val="hybridMultilevel"/>
    <w:tmpl w:val="6ABE5E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55686F"/>
    <w:multiLevelType w:val="hybridMultilevel"/>
    <w:tmpl w:val="0E24FB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444038"/>
    <w:multiLevelType w:val="hybridMultilevel"/>
    <w:tmpl w:val="BEDC8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631716"/>
    <w:multiLevelType w:val="hybridMultilevel"/>
    <w:tmpl w:val="D1CE6B8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6F578B1"/>
    <w:multiLevelType w:val="hybridMultilevel"/>
    <w:tmpl w:val="02D60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A24560"/>
    <w:multiLevelType w:val="hybridMultilevel"/>
    <w:tmpl w:val="76B200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8227934"/>
    <w:multiLevelType w:val="hybridMultilevel"/>
    <w:tmpl w:val="3A402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116E1D"/>
    <w:multiLevelType w:val="hybridMultilevel"/>
    <w:tmpl w:val="4B5EA4B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6"/>
  </w:num>
  <w:num w:numId="3">
    <w:abstractNumId w:val="11"/>
  </w:num>
  <w:num w:numId="4">
    <w:abstractNumId w:val="5"/>
  </w:num>
  <w:num w:numId="5">
    <w:abstractNumId w:val="17"/>
  </w:num>
  <w:num w:numId="6">
    <w:abstractNumId w:val="16"/>
  </w:num>
  <w:num w:numId="7">
    <w:abstractNumId w:val="0"/>
  </w:num>
  <w:num w:numId="8">
    <w:abstractNumId w:val="14"/>
  </w:num>
  <w:num w:numId="9">
    <w:abstractNumId w:val="7"/>
  </w:num>
  <w:num w:numId="10">
    <w:abstractNumId w:val="2"/>
  </w:num>
  <w:num w:numId="11">
    <w:abstractNumId w:val="4"/>
  </w:num>
  <w:num w:numId="12">
    <w:abstractNumId w:val="13"/>
  </w:num>
  <w:num w:numId="13">
    <w:abstractNumId w:val="3"/>
  </w:num>
  <w:num w:numId="14">
    <w:abstractNumId w:val="8"/>
  </w:num>
  <w:num w:numId="15">
    <w:abstractNumId w:val="9"/>
  </w:num>
  <w:num w:numId="16">
    <w:abstractNumId w:val="18"/>
  </w:num>
  <w:num w:numId="17">
    <w:abstractNumId w:val="10"/>
  </w:num>
  <w:num w:numId="18">
    <w:abstractNumId w:val="12"/>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069"/>
    <w:rsid w:val="0000263C"/>
    <w:rsid w:val="00033A21"/>
    <w:rsid w:val="00035F72"/>
    <w:rsid w:val="00051FEE"/>
    <w:rsid w:val="00061554"/>
    <w:rsid w:val="00062E42"/>
    <w:rsid w:val="0009271B"/>
    <w:rsid w:val="000D2BEF"/>
    <w:rsid w:val="000D463A"/>
    <w:rsid w:val="00133428"/>
    <w:rsid w:val="001D6662"/>
    <w:rsid w:val="001F60B8"/>
    <w:rsid w:val="00217D3B"/>
    <w:rsid w:val="00244196"/>
    <w:rsid w:val="00265495"/>
    <w:rsid w:val="00275669"/>
    <w:rsid w:val="002A6B1C"/>
    <w:rsid w:val="002C22C2"/>
    <w:rsid w:val="002C7A47"/>
    <w:rsid w:val="002D6960"/>
    <w:rsid w:val="002F0750"/>
    <w:rsid w:val="00313B49"/>
    <w:rsid w:val="00326787"/>
    <w:rsid w:val="00326A3D"/>
    <w:rsid w:val="00331D74"/>
    <w:rsid w:val="0035637C"/>
    <w:rsid w:val="00371C49"/>
    <w:rsid w:val="00375188"/>
    <w:rsid w:val="003B1694"/>
    <w:rsid w:val="003B7595"/>
    <w:rsid w:val="004350CB"/>
    <w:rsid w:val="00443048"/>
    <w:rsid w:val="004709A6"/>
    <w:rsid w:val="00471419"/>
    <w:rsid w:val="00493190"/>
    <w:rsid w:val="004A3AA6"/>
    <w:rsid w:val="004B2DBB"/>
    <w:rsid w:val="004B3565"/>
    <w:rsid w:val="004F45B7"/>
    <w:rsid w:val="00504D7C"/>
    <w:rsid w:val="00512DE8"/>
    <w:rsid w:val="005146A5"/>
    <w:rsid w:val="00523453"/>
    <w:rsid w:val="0055668E"/>
    <w:rsid w:val="00591237"/>
    <w:rsid w:val="005A22C7"/>
    <w:rsid w:val="005A7072"/>
    <w:rsid w:val="005E7088"/>
    <w:rsid w:val="00640F04"/>
    <w:rsid w:val="006547F3"/>
    <w:rsid w:val="006937C2"/>
    <w:rsid w:val="00695BE8"/>
    <w:rsid w:val="006C15C7"/>
    <w:rsid w:val="006E1222"/>
    <w:rsid w:val="006E4C46"/>
    <w:rsid w:val="00700A01"/>
    <w:rsid w:val="007018E5"/>
    <w:rsid w:val="00703D33"/>
    <w:rsid w:val="00716737"/>
    <w:rsid w:val="00745C01"/>
    <w:rsid w:val="00746D95"/>
    <w:rsid w:val="00770E49"/>
    <w:rsid w:val="00772FD7"/>
    <w:rsid w:val="007844C8"/>
    <w:rsid w:val="007D1518"/>
    <w:rsid w:val="007F4D53"/>
    <w:rsid w:val="00841AC9"/>
    <w:rsid w:val="00921F03"/>
    <w:rsid w:val="00973154"/>
    <w:rsid w:val="009776FF"/>
    <w:rsid w:val="009C4988"/>
    <w:rsid w:val="009C63EE"/>
    <w:rsid w:val="009D5FDA"/>
    <w:rsid w:val="009F4934"/>
    <w:rsid w:val="00A0295A"/>
    <w:rsid w:val="00A31E36"/>
    <w:rsid w:val="00A96F65"/>
    <w:rsid w:val="00B145A4"/>
    <w:rsid w:val="00B20851"/>
    <w:rsid w:val="00B219D8"/>
    <w:rsid w:val="00BB2067"/>
    <w:rsid w:val="00BC4AB4"/>
    <w:rsid w:val="00BC6069"/>
    <w:rsid w:val="00BD44CF"/>
    <w:rsid w:val="00BF5280"/>
    <w:rsid w:val="00C356F7"/>
    <w:rsid w:val="00C40D26"/>
    <w:rsid w:val="00C76691"/>
    <w:rsid w:val="00C96C0D"/>
    <w:rsid w:val="00CA1E42"/>
    <w:rsid w:val="00CA62AC"/>
    <w:rsid w:val="00D336BD"/>
    <w:rsid w:val="00DA6A7A"/>
    <w:rsid w:val="00DC1767"/>
    <w:rsid w:val="00DC3E2D"/>
    <w:rsid w:val="00DC7D65"/>
    <w:rsid w:val="00E03366"/>
    <w:rsid w:val="00E270E3"/>
    <w:rsid w:val="00E46052"/>
    <w:rsid w:val="00E461CC"/>
    <w:rsid w:val="00E471ED"/>
    <w:rsid w:val="00E47FD8"/>
    <w:rsid w:val="00E651EA"/>
    <w:rsid w:val="00E83308"/>
    <w:rsid w:val="00E852B3"/>
    <w:rsid w:val="00E93E06"/>
    <w:rsid w:val="00ED215B"/>
    <w:rsid w:val="00F21CCC"/>
    <w:rsid w:val="00F454D4"/>
    <w:rsid w:val="00F7078F"/>
    <w:rsid w:val="00F95FA7"/>
    <w:rsid w:val="00FA35BB"/>
    <w:rsid w:val="00FB2E8F"/>
    <w:rsid w:val="00FC4513"/>
    <w:rsid w:val="00FC4B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EADF5C4"/>
  <w15:chartTrackingRefBased/>
  <w15:docId w15:val="{EAFDBEC2-2AC5-4775-A6F2-4E4ED90E6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56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4B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4B22"/>
  </w:style>
  <w:style w:type="paragraph" w:styleId="Footer">
    <w:name w:val="footer"/>
    <w:basedOn w:val="Normal"/>
    <w:link w:val="FooterChar"/>
    <w:uiPriority w:val="99"/>
    <w:unhideWhenUsed/>
    <w:rsid w:val="00FC4B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4B22"/>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A0295A"/>
    <w:pPr>
      <w:ind w:left="720"/>
      <w:contextualSpacing/>
    </w:pPr>
  </w:style>
  <w:style w:type="table" w:styleId="TableGrid">
    <w:name w:val="Table Grid"/>
    <w:basedOn w:val="TableNormal"/>
    <w:uiPriority w:val="39"/>
    <w:rsid w:val="006E1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locked/>
    <w:rsid w:val="005A22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12</Pages>
  <Words>2660</Words>
  <Characters>15164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NYCC</Company>
  <LinksUpToDate>false</LinksUpToDate>
  <CharactersWithSpaces>17789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Blakeston</dc:creator>
  <cp:keywords/>
  <dc:description/>
  <cp:lastModifiedBy>PC Installer2</cp:lastModifiedBy>
  <cp:revision>4</cp:revision>
  <dcterms:created xsi:type="dcterms:W3CDTF">2020-11-26T11:26:00Z</dcterms:created>
  <dcterms:modified xsi:type="dcterms:W3CDTF">2020-11-26T15:21:00Z</dcterms:modified>
</cp:coreProperties>
</file>