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51B" w:rsidRDefault="000C4AE7">
      <w:pPr>
        <w:keepNext/>
        <w:keepLines/>
        <w:widowControl w:val="0"/>
        <w:pBdr>
          <w:top w:val="nil"/>
          <w:left w:val="nil"/>
          <w:bottom w:val="nil"/>
          <w:right w:val="nil"/>
          <w:between w:val="nil"/>
        </w:pBdr>
        <w:spacing w:before="20" w:after="20" w:line="240" w:lineRule="auto"/>
        <w:rPr>
          <w:rFonts w:ascii="Arial" w:eastAsia="Arial" w:hAnsi="Arial" w:cs="Arial"/>
          <w:b/>
          <w:color w:val="000000"/>
          <w:sz w:val="36"/>
          <w:szCs w:val="36"/>
        </w:rPr>
      </w:pPr>
      <w:r>
        <w:rPr>
          <w:rFonts w:ascii="Arial" w:eastAsia="Arial" w:hAnsi="Arial" w:cs="Arial"/>
          <w:b/>
          <w:color w:val="000000"/>
          <w:sz w:val="36"/>
          <w:szCs w:val="36"/>
        </w:rPr>
        <w:t>Order Schedule 8 (Business Continuity and Disaster Recovery)</w:t>
      </w:r>
    </w:p>
    <w:p w:rsidR="00D0051B" w:rsidRDefault="00D0051B">
      <w:pPr>
        <w:keepNext/>
        <w:keepLines/>
        <w:widowControl w:val="0"/>
        <w:pBdr>
          <w:top w:val="nil"/>
          <w:left w:val="nil"/>
          <w:bottom w:val="nil"/>
          <w:right w:val="nil"/>
          <w:between w:val="nil"/>
        </w:pBdr>
        <w:spacing w:before="20" w:after="20" w:line="240" w:lineRule="auto"/>
        <w:rPr>
          <w:rFonts w:ascii="Arial" w:eastAsia="Arial" w:hAnsi="Arial" w:cs="Arial"/>
          <w:b/>
          <w:sz w:val="36"/>
          <w:szCs w:val="36"/>
        </w:rPr>
      </w:pPr>
    </w:p>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w:eastAsia="Arial" w:hAnsi="Arial" w:cs="Arial"/>
          <w:b/>
          <w:color w:val="000000"/>
          <w:sz w:val="24"/>
          <w:szCs w:val="24"/>
        </w:rPr>
        <w:t>efinitions</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"BCDR Plan"</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2.2 of this Schedule;</w:t>
            </w:r>
          </w:p>
        </w:tc>
      </w:tr>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"Business Continuity Plan"</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2.3.2 of this Schedule;</w:t>
            </w:r>
          </w:p>
        </w:tc>
      </w:tr>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"Disaster"</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bookmarkStart w:id="0" w:name="_heading=h.ihv636" w:colFirst="0" w:colLast="0"/>
            <w:bookmarkEnd w:id="0"/>
            <w:r>
              <w:rPr>
                <w:rFonts w:ascii="Arial" w:eastAsia="Arial" w:hAnsi="Arial" w:cs="Arial"/>
                <w:color w:val="000000"/>
                <w:sz w:val="24"/>
                <w:szCs w:val="24"/>
              </w:rPr>
              <w:t>the occurrence of one or more events which, either separately or cumulatively, mean that the Goods or Services, or a material part thereof will be unavailable (or could reasonably be anticipated to be unavailable);</w:t>
            </w:r>
          </w:p>
        </w:tc>
      </w:tr>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"Disaster Recovery Goods or Services"</w:t>
            </w:r>
          </w:p>
        </w:tc>
        <w:tc>
          <w:tcPr>
            <w:tcW w:w="5075" w:type="dxa"/>
          </w:tcPr>
          <w:p w:rsidR="00D0051B" w:rsidRDefault="000C4AE7">
            <w:pPr>
              <w:rPr>
                <w:rFonts w:ascii="Arial" w:eastAsia="Arial" w:hAnsi="Arial" w:cs="Arial"/>
                <w:color w:val="000000"/>
                <w:sz w:val="24"/>
                <w:szCs w:val="24"/>
              </w:rPr>
            </w:pPr>
            <w:r>
              <w:rPr>
                <w:rFonts w:ascii="Arial" w:eastAsia="Arial" w:hAnsi="Arial" w:cs="Arial"/>
                <w:color w:val="000000"/>
                <w:sz w:val="24"/>
                <w:szCs w:val="24"/>
              </w:rPr>
              <w:t>the Goods or Services embodied in the processes and procedures for restoring the provision of Goods or Services following the occurrence of a Disaster;</w:t>
            </w:r>
          </w:p>
          <w:p w:rsidR="00D0051B" w:rsidRDefault="00D0051B">
            <w:pPr>
              <w:rPr>
                <w:rFonts w:ascii="Arial" w:eastAsia="Arial" w:hAnsi="Arial" w:cs="Arial"/>
              </w:rPr>
            </w:pPr>
          </w:p>
        </w:tc>
      </w:tr>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2.3.3 of this Schedule;</w:t>
            </w:r>
          </w:p>
        </w:tc>
      </w:tr>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system embodied in the processes and procedures for restoring the provision of Goods or Services following the occurrence of a Disaster;</w:t>
            </w:r>
          </w:p>
        </w:tc>
      </w:tr>
      <w:tr w:rsidR="00D0051B">
        <w:trPr>
          <w:trHeight w:val="567"/>
        </w:trPr>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"Related Agency"</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person who provides Goods or Services to the Client which are related to the Goods or Services from time to time;</w:t>
            </w:r>
          </w:p>
        </w:tc>
      </w:tr>
      <w:tr w:rsidR="00D0051B">
        <w:trPr>
          <w:trHeight w:val="567"/>
        </w:trPr>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 and</w:t>
            </w:r>
          </w:p>
        </w:tc>
      </w:tr>
      <w:tr w:rsidR="00D0051B">
        <w:tc>
          <w:tcPr>
            <w:tcW w:w="3097" w:type="dxa"/>
          </w:tcPr>
          <w:p w:rsidR="00D0051B" w:rsidRDefault="000C4AE7">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"Agency's Proposals"</w:t>
            </w:r>
          </w:p>
        </w:tc>
        <w:tc>
          <w:tcPr>
            <w:tcW w:w="5075" w:type="dxa"/>
          </w:tcPr>
          <w:p w:rsidR="00D0051B" w:rsidRDefault="000C4AE7">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w:t>
            </w:r>
          </w:p>
        </w:tc>
      </w:tr>
    </w:tbl>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BCDR Plan</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32hioqz" w:colFirst="0" w:colLast="0"/>
      <w:bookmarkEnd w:id="1"/>
      <w:r>
        <w:rPr>
          <w:rFonts w:ascii="Arial" w:eastAsia="Arial" w:hAnsi="Arial" w:cs="Arial"/>
          <w:color w:val="000000"/>
          <w:sz w:val="24"/>
          <w:szCs w:val="24"/>
        </w:rPr>
        <w:t>The Client and the Agency recognise that, where specified in Schedule 4 (DPS Management), CCS shall have the right to enforce the Client's rights under this Schedule.</w:t>
      </w:r>
    </w:p>
    <w:p w:rsidR="00D0051B" w:rsidRDefault="000C4AE7">
      <w:pPr>
        <w:numPr>
          <w:ilvl w:val="1"/>
          <w:numId w:val="1"/>
        </w:numPr>
        <w:pBdr>
          <w:top w:val="nil"/>
          <w:left w:val="nil"/>
          <w:bottom w:val="nil"/>
          <w:right w:val="nil"/>
          <w:between w:val="nil"/>
        </w:pBdr>
        <w:spacing w:before="120" w:after="120" w:line="240" w:lineRule="auto"/>
        <w:rPr>
          <w:color w:val="000000"/>
          <w:sz w:val="24"/>
          <w:szCs w:val="24"/>
        </w:rPr>
      </w:pPr>
      <w:bookmarkStart w:id="2" w:name="_heading=h.gjdgxs" w:colFirst="0" w:colLast="0"/>
      <w:bookmarkEnd w:id="2"/>
      <w:r>
        <w:rPr>
          <w:rFonts w:ascii="Arial" w:eastAsia="Arial" w:hAnsi="Arial" w:cs="Arial"/>
        </w:rPr>
        <w:t xml:space="preserve">     </w:t>
      </w:r>
      <w:r>
        <w:rPr>
          <w:rFonts w:ascii="Arial" w:eastAsia="Arial" w:hAnsi="Arial" w:cs="Arial"/>
          <w:color w:val="000000"/>
          <w:sz w:val="24"/>
          <w:szCs w:val="24"/>
        </w:rPr>
        <w:t xml:space="preserve">Within 10 Working Days of the Start Date the Agency shall prepare and deliver to the Client for the Client’s written approval a plan (a </w:t>
      </w:r>
      <w:r>
        <w:rPr>
          <w:rFonts w:ascii="Arial" w:eastAsia="Arial" w:hAnsi="Arial" w:cs="Arial"/>
          <w:b/>
          <w:color w:val="000000"/>
          <w:sz w:val="24"/>
          <w:szCs w:val="24"/>
        </w:rPr>
        <w:t>“BCDR Plan”</w:t>
      </w:r>
      <w:r>
        <w:rPr>
          <w:rFonts w:ascii="Arial" w:eastAsia="Arial" w:hAnsi="Arial" w:cs="Arial"/>
          <w:color w:val="000000"/>
          <w:sz w:val="24"/>
          <w:szCs w:val="24"/>
        </w:rPr>
        <w:t xml:space="preserve">), </w:t>
      </w:r>
      <w:r>
        <w:rPr>
          <w:rFonts w:ascii="Arial" w:eastAsia="Arial" w:hAnsi="Arial" w:cs="Arial"/>
          <w:color w:val="000000"/>
          <w:sz w:val="24"/>
          <w:szCs w:val="24"/>
        </w:rPr>
        <w:lastRenderedPageBreak/>
        <w:t>which shall detail the processes and arrangements that the Agency shall follow to:</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continuity of the business processes and operations supported by the Services following any failure or disruption of any element of the Goods or Services;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recovery of the Goods or Services in the event of a Disaster </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BCDR Plan shall be divided into three sections: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Section 1 which shall set out general principles applicable to the BCDR Plan; </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color w:val="000000"/>
          <w:sz w:val="24"/>
          <w:szCs w:val="24"/>
        </w:rPr>
      </w:pPr>
      <w:r>
        <w:rPr>
          <w:rFonts w:ascii="Arial" w:eastAsia="Arial" w:hAnsi="Arial" w:cs="Arial"/>
          <w:color w:val="000000"/>
          <w:sz w:val="24"/>
          <w:szCs w:val="24"/>
        </w:rPr>
        <w:t xml:space="preserve">Section 2 which shall relate to business continuity (the </w:t>
      </w:r>
      <w:r>
        <w:rPr>
          <w:rFonts w:ascii="Arial" w:eastAsia="Arial" w:hAnsi="Arial" w:cs="Arial"/>
          <w:b/>
          <w:color w:val="000000"/>
          <w:sz w:val="24"/>
          <w:szCs w:val="24"/>
        </w:rPr>
        <w:t>"Business Continuity Plan"</w:t>
      </w:r>
      <w:r>
        <w:rPr>
          <w:rFonts w:ascii="Arial" w:eastAsia="Arial" w:hAnsi="Arial" w:cs="Arial"/>
          <w:color w:val="000000"/>
          <w:sz w:val="24"/>
          <w:szCs w:val="24"/>
        </w:rPr>
        <w:t>);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color w:val="000000"/>
          <w:sz w:val="24"/>
          <w:szCs w:val="24"/>
        </w:rPr>
      </w:pPr>
      <w:bookmarkStart w:id="4" w:name="_heading=h.tyjcwt" w:colFirst="0" w:colLast="0"/>
      <w:bookmarkEnd w:id="4"/>
      <w:r>
        <w:rPr>
          <w:rFonts w:ascii="Arial" w:eastAsia="Arial" w:hAnsi="Arial" w:cs="Arial"/>
          <w:color w:val="000000"/>
          <w:sz w:val="24"/>
          <w:szCs w:val="24"/>
        </w:rPr>
        <w:t xml:space="preserve">Section 3 which shall relate to disaster recovery (the </w:t>
      </w:r>
      <w:r>
        <w:rPr>
          <w:rFonts w:ascii="Arial" w:eastAsia="Arial" w:hAnsi="Arial" w:cs="Arial"/>
          <w:b/>
          <w:color w:val="000000"/>
          <w:sz w:val="24"/>
          <w:szCs w:val="24"/>
        </w:rPr>
        <w:t>"Disaster Recovery Plan"</w:t>
      </w:r>
      <w:r>
        <w:rPr>
          <w:rFonts w:ascii="Arial" w:eastAsia="Arial" w:hAnsi="Arial" w:cs="Arial"/>
          <w:color w:val="000000"/>
          <w:sz w:val="24"/>
          <w:szCs w:val="24"/>
        </w:rPr>
        <w:t>).</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 w:name="_heading=h.3dy6vkm" w:colFirst="0" w:colLast="0"/>
      <w:bookmarkEnd w:id="5"/>
      <w:r>
        <w:rPr>
          <w:rFonts w:ascii="Arial" w:eastAsia="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bookmarkStart w:id="6" w:name="_heading=h.1t3h5sf" w:colFirst="0" w:colLast="0"/>
      <w:bookmarkEnd w:id="6"/>
      <w:r>
        <w:rPr>
          <w:rFonts w:ascii="Arial" w:eastAsia="Arial" w:hAnsi="Arial" w:cs="Arial"/>
          <w:b/>
          <w:color w:val="000000"/>
          <w:sz w:val="24"/>
          <w:szCs w:val="24"/>
        </w:rPr>
        <w:t>General Principles of the BCDR Plan (Section 1)</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Section 1 of the BCDR Plan shall:</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how the business continuity and disaster recovery elements of the BCDR Plan link to each other;</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details of how the invocation of any element of the BCDR Plan may impact upon the provision of the Goods or Services and any goods and/or services provided to the Client by a Related Agency;</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contain an obligation upon the Agency to liaise with the Client and any Related Agencies with respect to business continuity and disaster recovery;</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rsidR="00D0051B" w:rsidRDefault="000C4AE7">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contain a risk analysis, including:</w:t>
      </w:r>
    </w:p>
    <w:p w:rsidR="00D0051B" w:rsidRDefault="000C4AE7">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or disruption scenarios and assessments of likely frequency of occurrence;</w:t>
      </w:r>
    </w:p>
    <w:p w:rsidR="00D0051B" w:rsidRDefault="000C4AE7">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identification of any single poi</w:t>
      </w:r>
      <w:bookmarkStart w:id="7" w:name="_GoBack"/>
      <w:bookmarkEnd w:id="7"/>
      <w:r>
        <w:rPr>
          <w:rFonts w:ascii="Arial" w:eastAsia="Arial" w:hAnsi="Arial" w:cs="Arial"/>
          <w:color w:val="000000"/>
          <w:sz w:val="24"/>
          <w:szCs w:val="24"/>
        </w:rPr>
        <w:t>nts of failure within the provision of Goods or Services and processes for managing those risks;</w:t>
      </w:r>
    </w:p>
    <w:p w:rsidR="00D0051B" w:rsidRDefault="000C4AE7">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identification of risks arising from the interaction of the provision of Goods or Services with the goods and/or services provided by a Related Agency; and</w:t>
      </w:r>
    </w:p>
    <w:p w:rsidR="00D0051B" w:rsidRDefault="000C4AE7">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business impact analysis of different anticipated failures or disruptions;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for documentation of processes, including business processes, and procedures;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key contact details for the Agency (and any Subcontractors) and for the Client;</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 the procedures for reverting to "normal service";</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method(s) of recovering or updating data collected (or which ought to have been collected) during a failure or disruption to minimise data loss;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 the responsibilities (if any) that the Client has agreed it will assume in the event of the invocation of the BCDR Plan;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for the provision of technical assistance to key contacts at the Client as required by the Client to inform decisions in support of the Client’s business continuity plans.</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BCDR Plan shall be designed so as to ensure that:</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Goods or Services are provided in accordance with this Contract at all times during and after the invocation of the BCDR Plan;</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adverse impact of any Disaster is minimised as far as reasonably possible; </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it complies with the relevant provisions of ISO/IEC 27002; ISO22301/ISO22313   and all other industry standards from time to time in force;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it details a process for the management of disaster recovery testing.</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BCDR Plan shall be upgradeable and sufficiently flexible to support any changes to the Goods or Services and the business operations supported by the provision of Goods or Services.</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not be entitled to any relief from its obligations under the</w:t>
      </w:r>
      <w:r>
        <w:rPr>
          <w:rFonts w:ascii="Arial" w:eastAsia="Arial" w:hAnsi="Arial" w:cs="Arial"/>
        </w:rPr>
        <w:t xml:space="preserve">     </w:t>
      </w:r>
      <w:r>
        <w:rPr>
          <w:rFonts w:ascii="Arial" w:eastAsia="Arial" w:hAnsi="Arial" w:cs="Arial"/>
          <w:color w:val="000000"/>
          <w:sz w:val="24"/>
          <w:szCs w:val="24"/>
        </w:rPr>
        <w:t xml:space="preserve"> Performance Indicators </w:t>
      </w:r>
      <w:proofErr w:type="gramStart"/>
      <w:r>
        <w:rPr>
          <w:rFonts w:ascii="Arial" w:eastAsia="Arial" w:hAnsi="Arial" w:cs="Arial"/>
          <w:color w:val="000000"/>
          <w:sz w:val="24"/>
          <w:szCs w:val="24"/>
        </w:rPr>
        <w:t>(</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color w:val="000000"/>
          <w:sz w:val="24"/>
          <w:szCs w:val="24"/>
        </w:rPr>
        <w:t>PI’s) or Service levels, or to any increase in the Charges to the extent that a Disaster occurs as a consequence of any breach by the Agency of this Contract.</w:t>
      </w:r>
    </w:p>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Business Continuity (Section 2)</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The Business Continuity Plan shall set out the arrangements that are to be invoked to ensure that the business processes facilitated by the provision of Goods or Services remain supported and to ensure continuity of the business operations supported by the Services including:</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alternative processes, options and responsibilities that may be adopted in the event of a failure in or disruption to the provision of Goods or Services;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steps to be taken by the Agency upon resumption of the provision of Goods or Services in order to address the effect of the failure or disruption.</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Business Continuity Plan shall:</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address the various possible levels of failures of or disruptions to the provision of Goods or Services;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set out the goods and/or services to be provided and the steps to be taken to remedy the different levels of failures of and disruption to the Goods or Services;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Goods or Services during any period of invocation of the Business Continuity Plan;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set out the circumstances in which the Business Continuity Plan is invoked.</w:t>
      </w:r>
    </w:p>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Disaster Recovery (Section 3)</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Agency's BCDR Plan shall include an approach to business continuity and disaster recovery that addresses the following:</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access to the Client Premises;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utilities to the Client Premises;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the Agency's helpdesk or CAFM system;</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loss of a Subcontractor;</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notification and escalation process;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contact lists;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staff training and awareness;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BCDR Plan testing; </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post implementation review process; </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applicable Performance Indicators (PI’s) with respect to the provision of the disaster recovery services and details of any agreed relaxation to the Performance Indicators (PI’s) or Service Levels in </w:t>
      </w:r>
      <w:r>
        <w:rPr>
          <w:rFonts w:ascii="Arial" w:eastAsia="Arial" w:hAnsi="Arial" w:cs="Arial"/>
          <w:color w:val="000000"/>
          <w:sz w:val="24"/>
          <w:szCs w:val="24"/>
        </w:rPr>
        <w:lastRenderedPageBreak/>
        <w:t>respect of the provision of other Goods or Services during any period of invocation of the Disaster Recovery Plan;</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how the Agency shall ensure compliance with security standards ensuring that compliance is maintained for any period during which the Disaster Recovery Plan is invoked;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access controls to any disaster recovery sites used by the Agency in relation to its obligations pursuant to this Schedule;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testing and management arrangements.</w:t>
      </w:r>
    </w:p>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mallCaps/>
          <w:color w:val="000000"/>
          <w:sz w:val="24"/>
          <w:szCs w:val="24"/>
        </w:rPr>
      </w:pPr>
      <w:r>
        <w:rPr>
          <w:rFonts w:ascii="Arial" w:eastAsia="Arial" w:hAnsi="Arial" w:cs="Arial"/>
          <w:b/>
          <w:color w:val="000000"/>
          <w:sz w:val="24"/>
          <w:szCs w:val="24"/>
        </w:rPr>
        <w:t>Review and changing the BCDR Plan</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1hmsyys" w:colFirst="0" w:colLast="0"/>
      <w:bookmarkEnd w:id="11"/>
      <w:r>
        <w:rPr>
          <w:rFonts w:ascii="Arial" w:eastAsia="Arial" w:hAnsi="Arial" w:cs="Arial"/>
          <w:color w:val="000000"/>
          <w:sz w:val="24"/>
          <w:szCs w:val="24"/>
        </w:rPr>
        <w:t>The Agency shall review the BCDR Plan:</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a regular basis and as a minimum once every six (6) Months;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2" w:name="_heading=h.41mghml" w:colFirst="0" w:colLast="0"/>
      <w:bookmarkEnd w:id="12"/>
      <w:r>
        <w:rPr>
          <w:rFonts w:ascii="Arial" w:eastAsia="Arial" w:hAnsi="Arial" w:cs="Arial"/>
          <w:color w:val="000000"/>
          <w:sz w:val="24"/>
          <w:szCs w:val="24"/>
        </w:rPr>
        <w:t>within three (3) calendar Months of the BCDR Plan (or any part) having been invoked pursuant to Paragraph 7;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35nkun2" w:colFirst="0" w:colLast="0"/>
      <w:bookmarkEnd w:id="13"/>
      <w:r>
        <w:rPr>
          <w:rFonts w:ascii="Arial" w:eastAsia="Arial" w:hAnsi="Arial" w:cs="Arial"/>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rFonts w:ascii="Arial" w:eastAsia="Arial" w:hAnsi="Arial" w:cs="Arial"/>
          <w:color w:val="000000"/>
          <w:sz w:val="24"/>
          <w:szCs w:val="24"/>
        </w:rPr>
        <w:t>costs</w:t>
      </w:r>
      <w:proofErr w:type="gramEnd"/>
      <w:r>
        <w:rPr>
          <w:rFonts w:ascii="Arial" w:eastAsia="Arial" w:hAnsi="Arial" w:cs="Arial"/>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 </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1ksv4uv" w:colFirst="0" w:colLast="0"/>
      <w:bookmarkEnd w:id="14"/>
      <w:r>
        <w:rPr>
          <w:rFonts w:ascii="Arial" w:eastAsia="Arial" w:hAnsi="Arial" w:cs="Arial"/>
          <w:color w:val="000000"/>
          <w:sz w:val="24"/>
          <w:szCs w:val="24"/>
        </w:rPr>
        <w:t xml:space="preserve">Each review of the BCDR Plan pursuant to Paragraph 6.1 shall assess its suitability having regard to any change to the Goods 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rsidR="00D0051B" w:rsidRDefault="000C4AE7">
      <w:pPr>
        <w:numPr>
          <w:ilvl w:val="1"/>
          <w:numId w:val="1"/>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 xml:space="preserve">The Agency shall, within twenty (20) Working Days of the conclusion of each such review of the BCDR Plan, provide to the Client a report (a </w:t>
      </w:r>
      <w:r>
        <w:rPr>
          <w:rFonts w:ascii="Arial" w:eastAsia="Arial" w:hAnsi="Arial" w:cs="Arial"/>
          <w:b/>
          <w:color w:val="000000"/>
          <w:sz w:val="24"/>
          <w:szCs w:val="24"/>
        </w:rPr>
        <w:t>"Review Report"</w:t>
      </w:r>
      <w:r>
        <w:rPr>
          <w:rFonts w:ascii="Arial" w:eastAsia="Arial" w:hAnsi="Arial" w:cs="Arial"/>
          <w:color w:val="000000"/>
          <w:sz w:val="24"/>
          <w:szCs w:val="24"/>
        </w:rPr>
        <w:t xml:space="preserve">) setting out the Agency's proposals (the </w:t>
      </w:r>
      <w:r>
        <w:rPr>
          <w:rFonts w:ascii="Arial" w:eastAsia="Arial" w:hAnsi="Arial" w:cs="Arial"/>
          <w:b/>
          <w:color w:val="000000"/>
          <w:sz w:val="24"/>
          <w:szCs w:val="24"/>
        </w:rPr>
        <w:t>"Agency's Proposals"</w:t>
      </w:r>
      <w:r>
        <w:rPr>
          <w:rFonts w:ascii="Arial" w:eastAsia="Arial" w:hAnsi="Arial" w:cs="Arial"/>
          <w:color w:val="000000"/>
          <w:sz w:val="24"/>
          <w:szCs w:val="24"/>
        </w:rPr>
        <w:t>) for addressing any changes in the risk profile and its proposals for amendments to the BCDR Plan.</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2jxsxqh" w:colFirst="0" w:colLast="0"/>
      <w:bookmarkEnd w:id="15"/>
      <w:r>
        <w:rPr>
          <w:rFonts w:ascii="Arial" w:eastAsia="Arial" w:hAnsi="Arial" w:cs="Arial"/>
          <w:color w:val="000000"/>
          <w:sz w:val="24"/>
          <w:szCs w:val="24"/>
        </w:rPr>
        <w:t xml:space="preserve">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w:t>
      </w:r>
      <w:r>
        <w:rPr>
          <w:rFonts w:ascii="Arial" w:eastAsia="Arial" w:hAnsi="Arial" w:cs="Arial"/>
          <w:color w:val="000000"/>
          <w:sz w:val="24"/>
          <w:szCs w:val="24"/>
        </w:rPr>
        <w:lastRenderedPageBreak/>
        <w:t xml:space="preserve">such Dispute shall be resolved in accordance with the Dispute Resolution Procedure. </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Agency shall as soon as </w:t>
      </w: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Goods or Services.</w:t>
      </w:r>
    </w:p>
    <w:p w:rsidR="00D0051B" w:rsidRDefault="000C4AE7">
      <w:pPr>
        <w:keepNext/>
        <w:numPr>
          <w:ilvl w:val="0"/>
          <w:numId w:val="1"/>
        </w:numPr>
        <w:pBdr>
          <w:top w:val="nil"/>
          <w:left w:val="nil"/>
          <w:bottom w:val="nil"/>
          <w:right w:val="nil"/>
          <w:between w:val="nil"/>
        </w:pBdr>
        <w:tabs>
          <w:tab w:val="left" w:pos="0"/>
        </w:tabs>
        <w:spacing w:before="240" w:after="240" w:line="240" w:lineRule="auto"/>
        <w:ind w:left="504"/>
        <w:rPr>
          <w:rFonts w:ascii="Arial" w:eastAsia="Arial" w:hAnsi="Arial" w:cs="Arial"/>
          <w:b/>
          <w:color w:val="000000"/>
          <w:sz w:val="24"/>
          <w:szCs w:val="24"/>
        </w:rPr>
      </w:pPr>
      <w:bookmarkStart w:id="16" w:name="_heading=h.2grqrue" w:colFirst="0" w:colLast="0"/>
      <w:bookmarkEnd w:id="16"/>
      <w:r>
        <w:rPr>
          <w:rFonts w:ascii="Arial" w:eastAsia="Arial" w:hAnsi="Arial" w:cs="Arial"/>
          <w:b/>
          <w:color w:val="000000"/>
          <w:sz w:val="24"/>
          <w:szCs w:val="24"/>
        </w:rPr>
        <w:t>Testing the BCDR Plan</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7" w:name="_heading=h.vx1227" w:colFirst="0" w:colLast="0"/>
      <w:bookmarkEnd w:id="17"/>
      <w:r>
        <w:rPr>
          <w:rFonts w:ascii="Arial" w:eastAsia="Arial" w:hAnsi="Arial" w:cs="Arial"/>
          <w:color w:val="000000"/>
          <w:sz w:val="24"/>
          <w:szCs w:val="24"/>
        </w:rPr>
        <w:t xml:space="preserve">The Agency shall test the BCDR Plan: </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regularly and in any event not less than once in every Contract Year;</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of any major reconfiguration of the Goods or Services</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at any time where the Client considers it necessary (acting in its sole discretion).  </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8" w:name="_heading=h.3fwokq0" w:colFirst="0" w:colLast="0"/>
      <w:bookmarkEnd w:id="18"/>
      <w:r>
        <w:rPr>
          <w:rFonts w:ascii="Arial" w:eastAsia="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 </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rsidR="00D0051B" w:rsidRDefault="000C4AE7">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 shall, within twenty (20) Working Days of the conclusion of each test, provide to the Client a report setting out:</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outcome of the test;</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failures in the BCDR Plan (including the BCDR Plan's procedures) revealed by the test; and</w:t>
      </w:r>
    </w:p>
    <w:p w:rsidR="00D0051B" w:rsidRDefault="000C4AE7">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Agency's proposals for remedying any such failures.</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9" w:name="_heading=h.1v1yuxt" w:colFirst="0" w:colLast="0"/>
      <w:bookmarkEnd w:id="19"/>
      <w:r>
        <w:rPr>
          <w:rFonts w:ascii="Arial" w:eastAsia="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rsidR="00D0051B" w:rsidRDefault="000C4AE7">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color w:val="000000"/>
          <w:sz w:val="24"/>
          <w:szCs w:val="24"/>
        </w:rPr>
      </w:pPr>
      <w:bookmarkStart w:id="20" w:name="_heading=h.4f1mdlm" w:colFirst="0" w:colLast="0"/>
      <w:bookmarkEnd w:id="20"/>
      <w:r>
        <w:rPr>
          <w:rFonts w:ascii="Arial" w:eastAsia="Arial" w:hAnsi="Arial" w:cs="Arial"/>
          <w:b/>
          <w:color w:val="000000"/>
          <w:sz w:val="24"/>
          <w:szCs w:val="24"/>
        </w:rPr>
        <w:lastRenderedPageBreak/>
        <w:t>Invoking the BCDR Plan</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rsidR="00D0051B" w:rsidRDefault="000C4AE7">
      <w:pPr>
        <w:keepNext/>
        <w:numPr>
          <w:ilvl w:val="0"/>
          <w:numId w:val="1"/>
        </w:numPr>
        <w:pBdr>
          <w:top w:val="nil"/>
          <w:left w:val="nil"/>
          <w:bottom w:val="nil"/>
          <w:right w:val="nil"/>
          <w:between w:val="nil"/>
        </w:pBdr>
        <w:tabs>
          <w:tab w:val="left" w:pos="0"/>
        </w:tabs>
        <w:spacing w:before="240" w:after="240" w:line="240" w:lineRule="auto"/>
        <w:ind w:left="504"/>
        <w:rPr>
          <w:rFonts w:ascii="Arial" w:eastAsia="Arial" w:hAnsi="Arial" w:cs="Arial"/>
          <w:b/>
          <w:smallCaps/>
          <w:color w:val="000000"/>
          <w:sz w:val="24"/>
          <w:szCs w:val="24"/>
        </w:rPr>
      </w:pPr>
      <w:r>
        <w:rPr>
          <w:rFonts w:ascii="Arial" w:eastAsia="Arial" w:hAnsi="Arial" w:cs="Arial"/>
          <w:b/>
          <w:smallCaps/>
          <w:color w:val="000000"/>
          <w:sz w:val="24"/>
          <w:szCs w:val="24"/>
        </w:rPr>
        <w:t>C</w:t>
      </w:r>
      <w:r>
        <w:rPr>
          <w:rFonts w:ascii="Arial" w:eastAsia="Arial" w:hAnsi="Arial" w:cs="Arial"/>
          <w:b/>
          <w:color w:val="000000"/>
          <w:sz w:val="24"/>
          <w:szCs w:val="24"/>
        </w:rPr>
        <w:t>ircumstances beyond your control</w:t>
      </w:r>
    </w:p>
    <w:p w:rsidR="00D0051B" w:rsidRDefault="000C4AE7">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Agency shall not be entitled to relief under Clause 20 (Circumstances beyond your control) if it would not have been impacted by the Force Majeure Event had it not failed to comply with its obligations under this Schedule. </w:t>
      </w:r>
    </w:p>
    <w:sectPr w:rsidR="00D0051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435" w:rsidRDefault="00C96435">
      <w:pPr>
        <w:spacing w:after="0" w:line="240" w:lineRule="auto"/>
      </w:pPr>
      <w:r>
        <w:separator/>
      </w:r>
    </w:p>
  </w:endnote>
  <w:endnote w:type="continuationSeparator" w:id="0">
    <w:p w:rsidR="00C96435" w:rsidRDefault="00C9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51B" w:rsidRDefault="00D0051B">
    <w:pPr>
      <w:tabs>
        <w:tab w:val="center" w:pos="4513"/>
        <w:tab w:val="right" w:pos="9026"/>
      </w:tabs>
      <w:spacing w:after="0" w:line="276" w:lineRule="auto"/>
      <w:jc w:val="both"/>
      <w:rPr>
        <w:color w:val="BFBFBF"/>
      </w:rPr>
    </w:pPr>
  </w:p>
  <w:p w:rsidR="006C5A4F" w:rsidRDefault="000C4AE7">
    <w:pPr>
      <w:tabs>
        <w:tab w:val="center" w:pos="4513"/>
        <w:tab w:val="right" w:pos="9026"/>
      </w:tabs>
      <w:spacing w:after="0" w:line="276" w:lineRule="auto"/>
      <w:rPr>
        <w:rFonts w:ascii="Arial" w:eastAsia="Arial" w:hAnsi="Arial" w:cs="Arial"/>
        <w:sz w:val="20"/>
        <w:szCs w:val="20"/>
        <w:highlight w:val="white"/>
      </w:rPr>
    </w:pPr>
    <w:r>
      <w:rPr>
        <w:rFonts w:ascii="Arial" w:eastAsia="Arial" w:hAnsi="Arial" w:cs="Arial"/>
        <w:sz w:val="20"/>
        <w:szCs w:val="20"/>
        <w:highlight w:val="white"/>
      </w:rPr>
      <w:t xml:space="preserve">RM6124 – Communications Marketplace DPS </w:t>
    </w:r>
  </w:p>
  <w:p w:rsidR="00D0051B" w:rsidRDefault="006C5A4F">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0C4AE7">
      <w:rPr>
        <w:rFonts w:ascii="Arial" w:eastAsia="Arial" w:hAnsi="Arial" w:cs="Arial"/>
        <w:sz w:val="20"/>
        <w:szCs w:val="20"/>
      </w:rPr>
      <w:t xml:space="preserve">                                          </w:t>
    </w:r>
  </w:p>
  <w:p w:rsidR="00D0051B" w:rsidRDefault="000C4AE7">
    <w:pPr>
      <w:tabs>
        <w:tab w:val="center" w:pos="4513"/>
        <w:tab w:val="right" w:pos="9026"/>
      </w:tabs>
      <w:spacing w:after="0" w:line="240" w:lineRule="auto"/>
    </w:pPr>
    <w:r>
      <w:rPr>
        <w:rFonts w:ascii="Arial" w:eastAsia="Arial" w:hAnsi="Arial" w:cs="Arial"/>
        <w:sz w:val="20"/>
        <w:szCs w:val="20"/>
      </w:rPr>
      <w:t>Project Version: v1.</w:t>
    </w:r>
    <w:r w:rsidR="00A00868">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435" w:rsidRDefault="00C96435">
      <w:pPr>
        <w:spacing w:after="0" w:line="240" w:lineRule="auto"/>
      </w:pPr>
      <w:r>
        <w:separator/>
      </w:r>
    </w:p>
  </w:footnote>
  <w:footnote w:type="continuationSeparator" w:id="0">
    <w:p w:rsidR="00C96435" w:rsidRDefault="00C9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51B" w:rsidRDefault="000C4AE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8 (Business Continuity and Disaster Recovery)</w:t>
    </w:r>
  </w:p>
  <w:p w:rsidR="00D0051B" w:rsidRDefault="000C4AE7" w:rsidP="006C5A4F">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Order Ref:</w:t>
    </w:r>
    <w:r w:rsidR="006C5A4F">
      <w:rPr>
        <w:rFonts w:ascii="Arial" w:eastAsia="Arial" w:hAnsi="Arial" w:cs="Arial"/>
        <w:sz w:val="20"/>
        <w:szCs w:val="20"/>
      </w:rPr>
      <w:t xml:space="preserve"> CCCO22A07 – UK Covid-19 Inquiry Strategic Communications                                       </w:t>
    </w:r>
  </w:p>
  <w:p w:rsidR="00D0051B" w:rsidRDefault="000C4AE7">
    <w:pPr>
      <w:tabs>
        <w:tab w:val="center" w:pos="4513"/>
        <w:tab w:val="right" w:pos="9026"/>
      </w:tabs>
      <w:spacing w:after="0" w:line="240" w:lineRule="auto"/>
    </w:pPr>
    <w:r>
      <w:rPr>
        <w:rFonts w:ascii="Arial" w:eastAsia="Arial" w:hAnsi="Arial" w:cs="Arial"/>
        <w:sz w:val="20"/>
        <w:szCs w:val="20"/>
      </w:rPr>
      <w:t>Crown Copyright 202</w:t>
    </w:r>
    <w:r w:rsidR="006C5A4F">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D56E2"/>
    <w:multiLevelType w:val="multilevel"/>
    <w:tmpl w:val="C1DA3ED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Calibri" w:eastAsia="Calibri" w:hAnsi="Calibri" w:cs="Calibri"/>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1B"/>
    <w:rsid w:val="000C4AE7"/>
    <w:rsid w:val="006C5A4F"/>
    <w:rsid w:val="00A00868"/>
    <w:rsid w:val="00C96435"/>
    <w:rsid w:val="00D00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39B1"/>
  <w15:docId w15:val="{5FABF2E2-288A-478D-9A60-8BF0279A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FF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17">
    <w:name w:val="17"/>
    <w:basedOn w:val="TableNormal"/>
    <w:rsid w:val="003B6FF0"/>
    <w:pPr>
      <w:spacing w:after="0" w:line="240" w:lineRule="auto"/>
      <w:ind w:left="360" w:hanging="360"/>
    </w:pPr>
    <w:rPr>
      <w:sz w:val="20"/>
      <w:szCs w:val="20"/>
    </w:r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360" w:hanging="360"/>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C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A4F"/>
  </w:style>
  <w:style w:type="paragraph" w:styleId="Footer">
    <w:name w:val="footer"/>
    <w:basedOn w:val="Normal"/>
    <w:link w:val="FooterChar"/>
    <w:uiPriority w:val="99"/>
    <w:unhideWhenUsed/>
    <w:rsid w:val="006C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3165">
      <w:bodyDiv w:val="1"/>
      <w:marLeft w:val="0"/>
      <w:marRight w:val="0"/>
      <w:marTop w:val="0"/>
      <w:marBottom w:val="0"/>
      <w:divBdr>
        <w:top w:val="none" w:sz="0" w:space="0" w:color="auto"/>
        <w:left w:val="none" w:sz="0" w:space="0" w:color="auto"/>
        <w:bottom w:val="none" w:sz="0" w:space="0" w:color="auto"/>
        <w:right w:val="none" w:sz="0" w:space="0" w:color="auto"/>
      </w:divBdr>
    </w:div>
    <w:div w:id="159174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Tp++ygXnx9FcWopBXrgJRsaeg==">AMUW2mXiYZeDEYGTQIxoknORLPNaqzsKc87MgFv7RZ+jmIcLd97EdQmzrq4VGwHMCRj30ne7eBWZzQADiRJLbGZiyIRMMQVl9DGQu6WB+thg1/JY9sU9gG/zFO8lYCShUyxli40DSSbHT4dkKGH71eEog6wzJg7aCg2oqk350vOhFzt9IHb/WRPrR5zD/B6Gz801zzITVaZwbhRZtfxzirTsTOdAj8Ahp7wUX7mZSRzjPEr13kteiq8BXUm3c5vOyIwgBOIfkxJsaTopYom9M1C5I8wXADcUvS3cHYKFCHQ/5ZwO3i8/8s8RiqkcSZZcI1SsNdEWINoCvTXuh0qTbzpaIRm4as/HloBZ9Q9dq1q1YjFWA8Ztzu+OHSNxhtOdd3p8rS3U//ErVjIMFUMVT1yutc2j1dxa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2038</Words>
  <Characters>11622</Characters>
  <Application>Microsoft Office Word</Application>
  <DocSecurity>0</DocSecurity>
  <Lines>96</Lines>
  <Paragraphs>27</Paragraphs>
  <ScaleCrop>false</ScaleCrop>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5</cp:revision>
  <dcterms:created xsi:type="dcterms:W3CDTF">2021-07-22T14:20:00Z</dcterms:created>
  <dcterms:modified xsi:type="dcterms:W3CDTF">2022-03-15T10:00:00Z</dcterms:modified>
</cp:coreProperties>
</file>