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DA1D5" w14:textId="77777777" w:rsidR="00116F21" w:rsidRDefault="001F0AC8">
      <w:r>
        <w:t xml:space="preserve">STATEMENT OF REQUIREMENT (SOR) </w:t>
      </w:r>
      <w:r>
        <w:rPr>
          <w:b w:val="0"/>
        </w:rPr>
        <w:t xml:space="preserve"> </w:t>
      </w:r>
    </w:p>
    <w:p w14:paraId="52063661" w14:textId="77777777" w:rsidR="00116F21" w:rsidRDefault="001F0AC8">
      <w:pPr>
        <w:jc w:val="left"/>
      </w:pPr>
      <w:r>
        <w:rPr>
          <w:b w:val="0"/>
        </w:rPr>
        <w:t xml:space="preserve"> </w:t>
      </w:r>
    </w:p>
    <w:tbl>
      <w:tblPr>
        <w:tblStyle w:val="TableGrid"/>
        <w:tblW w:w="8524" w:type="dxa"/>
        <w:tblInd w:w="5" w:type="dxa"/>
        <w:tblCellMar>
          <w:top w:w="11" w:type="dxa"/>
          <w:left w:w="108" w:type="dxa"/>
          <w:right w:w="78" w:type="dxa"/>
        </w:tblCellMar>
        <w:tblLook w:val="04A0" w:firstRow="1" w:lastRow="0" w:firstColumn="1" w:lastColumn="0" w:noHBand="0" w:noVBand="1"/>
      </w:tblPr>
      <w:tblGrid>
        <w:gridCol w:w="8524"/>
      </w:tblGrid>
      <w:tr w:rsidR="00116F21" w14:paraId="134825CB" w14:textId="77777777">
        <w:trPr>
          <w:trHeight w:val="1781"/>
        </w:trPr>
        <w:tc>
          <w:tcPr>
            <w:tcW w:w="8524" w:type="dxa"/>
            <w:tcBorders>
              <w:top w:val="single" w:sz="4" w:space="0" w:color="000000"/>
              <w:left w:val="single" w:sz="4" w:space="0" w:color="000000"/>
              <w:bottom w:val="single" w:sz="4" w:space="0" w:color="000000"/>
              <w:right w:val="single" w:sz="4" w:space="0" w:color="000000"/>
            </w:tcBorders>
          </w:tcPr>
          <w:p w14:paraId="53610473" w14:textId="77777777" w:rsidR="00116F21" w:rsidRDefault="001F0AC8">
            <w:pPr>
              <w:jc w:val="left"/>
            </w:pPr>
            <w:r>
              <w:rPr>
                <w:u w:val="single" w:color="000000"/>
              </w:rPr>
              <w:t>Introduction</w:t>
            </w:r>
            <w:r>
              <w:t xml:space="preserve"> </w:t>
            </w:r>
          </w:p>
          <w:p w14:paraId="4BF4881E" w14:textId="77777777" w:rsidR="00116F21" w:rsidRDefault="001F0AC8">
            <w:pPr>
              <w:jc w:val="left"/>
            </w:pPr>
            <w:r>
              <w:t xml:space="preserve"> </w:t>
            </w:r>
          </w:p>
          <w:p w14:paraId="7F16C6A7" w14:textId="77777777" w:rsidR="00116F21" w:rsidRDefault="001F0AC8">
            <w:pPr>
              <w:jc w:val="left"/>
            </w:pPr>
            <w:r>
              <w:t xml:space="preserve">Purpose </w:t>
            </w:r>
          </w:p>
          <w:p w14:paraId="27CFFA1E" w14:textId="77777777" w:rsidR="00116F21" w:rsidRDefault="001F0AC8">
            <w:pPr>
              <w:jc w:val="left"/>
            </w:pPr>
            <w:r>
              <w:rPr>
                <w:b w:val="0"/>
              </w:rPr>
              <w:t xml:space="preserve"> </w:t>
            </w:r>
          </w:p>
          <w:p w14:paraId="70BB17B4" w14:textId="77777777" w:rsidR="00116F21" w:rsidRDefault="001F0AC8">
            <w:pPr>
              <w:jc w:val="left"/>
            </w:pPr>
            <w:r>
              <w:rPr>
                <w:b w:val="0"/>
              </w:rPr>
              <w:t xml:space="preserve">Benchmarking tool as part of Business as Usual (BAU) data analysis for </w:t>
            </w:r>
          </w:p>
          <w:p w14:paraId="5489472E" w14:textId="77777777" w:rsidR="00116F21" w:rsidRDefault="001F0AC8">
            <w:pPr>
              <w:jc w:val="left"/>
            </w:pPr>
            <w:r>
              <w:rPr>
                <w:b w:val="0"/>
              </w:rPr>
              <w:t xml:space="preserve">TEAMWORK. </w:t>
            </w:r>
          </w:p>
          <w:p w14:paraId="317C940B" w14:textId="77777777" w:rsidR="00116F21" w:rsidRDefault="001F0AC8">
            <w:pPr>
              <w:jc w:val="left"/>
            </w:pPr>
            <w:r>
              <w:rPr>
                <w:b w:val="0"/>
              </w:rPr>
              <w:t xml:space="preserve"> </w:t>
            </w:r>
          </w:p>
        </w:tc>
      </w:tr>
      <w:tr w:rsidR="00116F21" w14:paraId="5356E844" w14:textId="77777777">
        <w:trPr>
          <w:trHeight w:val="11306"/>
        </w:trPr>
        <w:tc>
          <w:tcPr>
            <w:tcW w:w="8524" w:type="dxa"/>
            <w:tcBorders>
              <w:top w:val="single" w:sz="4" w:space="0" w:color="000000"/>
              <w:left w:val="single" w:sz="4" w:space="0" w:color="000000"/>
              <w:bottom w:val="single" w:sz="4" w:space="0" w:color="000000"/>
              <w:right w:val="single" w:sz="4" w:space="0" w:color="000000"/>
            </w:tcBorders>
          </w:tcPr>
          <w:p w14:paraId="51DE8E46" w14:textId="77777777" w:rsidR="00116F21" w:rsidRDefault="001F0AC8">
            <w:pPr>
              <w:spacing w:after="294"/>
              <w:jc w:val="left"/>
            </w:pPr>
            <w:r>
              <w:t xml:space="preserve">Background </w:t>
            </w:r>
          </w:p>
          <w:p w14:paraId="6204EFBD" w14:textId="77777777" w:rsidR="00116F21" w:rsidRDefault="001F0AC8">
            <w:pPr>
              <w:spacing w:after="273" w:line="246" w:lineRule="auto"/>
              <w:jc w:val="left"/>
            </w:pPr>
            <w:r>
              <w:rPr>
                <w:b w:val="0"/>
              </w:rPr>
              <w:t xml:space="preserve">TEAMWORK is the Army’s Cultural Transformation Programme; it is a top-down, bottom-up approach to improving the Army’s single greatest asset: its people. TEAMWORK aims to ensure that the whole force; regular and reserve military personnel, civil servants, and contractors, are unified in their purpose to fight and win wars on land.      </w:t>
            </w:r>
          </w:p>
          <w:p w14:paraId="726E1D78" w14:textId="7A49A33F" w:rsidR="00116F21" w:rsidRDefault="001F0AC8">
            <w:pPr>
              <w:spacing w:after="280" w:line="239" w:lineRule="auto"/>
              <w:jc w:val="left"/>
            </w:pPr>
            <w:r>
              <w:rPr>
                <w:b w:val="0"/>
              </w:rPr>
              <w:t xml:space="preserve">TEAMWORK is aligned to Strategic Objective 4.0 (Transform the way we train and Operate) and ExCo Objective 4.1 (Deliver a Winning Culture). TEAMWORK originated in 2020 to focus largely on inappropriate behaviours and Diversity &amp; Inclusion. In 2022 it developed further into a wider Cultural Transformation Programme delivered by DPers on behalf of CGS and assured by DCGS and the PPO Committee.  </w:t>
            </w:r>
          </w:p>
          <w:p w14:paraId="056D6F72" w14:textId="77777777" w:rsidR="00116F21" w:rsidRDefault="001F0AC8">
            <w:pPr>
              <w:spacing w:after="280" w:line="239" w:lineRule="auto"/>
              <w:jc w:val="left"/>
            </w:pPr>
            <w:r>
              <w:rPr>
                <w:b w:val="0"/>
              </w:rPr>
              <w:t xml:space="preserve">The results of TEAMWORK and the overarching Campaign Plan are directly reported to the Secretary of State, HCDC, MinLords and MinDPV&amp;SF. Because of this, TEAMWORK must be measurable to first show progress; second, to show a willingness to change.  </w:t>
            </w:r>
          </w:p>
          <w:p w14:paraId="52591CCA" w14:textId="77777777" w:rsidR="00116F21" w:rsidRDefault="001F0AC8">
            <w:pPr>
              <w:spacing w:after="8" w:line="243" w:lineRule="auto"/>
              <w:ind w:right="6"/>
              <w:jc w:val="left"/>
            </w:pPr>
            <w:r>
              <w:rPr>
                <w:b w:val="0"/>
              </w:rPr>
              <w:t xml:space="preserve">There is a risk that we could be accused of “marking our own homework” with our current data analysis sets, as they are not benchmarked against wider society. The expectations of the Nation are shaped by societal norms and, in recent years, the Army has appeared unable to keep up. In particular, movements such as Black Lives Matter, Everyone’s Invited, and #MeToo, have all contributed to an acceleration in the requirement to assess and evolve our culture. These, coupled with the Wigston Report (2019), the Gray Review (2020), the Atherton Report (2021), and the Cultural </w:t>
            </w:r>
          </w:p>
          <w:p w14:paraId="3FB249F3" w14:textId="77777777" w:rsidR="00116F21" w:rsidRDefault="001F0AC8">
            <w:pPr>
              <w:spacing w:after="280" w:line="239" w:lineRule="auto"/>
              <w:jc w:val="left"/>
            </w:pPr>
            <w:r>
              <w:rPr>
                <w:b w:val="0"/>
              </w:rPr>
              <w:t xml:space="preserve">Audit (2022), have exposed significant issues in the Army’s organisational culture. Strategically, this has been reputationally damaging, with many commentators relating the Army’s culture to that of the Met Police, the London Fire Brigade, and many other public organisations with seemingly poor cultures. </w:t>
            </w:r>
          </w:p>
          <w:p w14:paraId="35CBBD94" w14:textId="77777777" w:rsidR="00116F21" w:rsidRDefault="001F0AC8">
            <w:pPr>
              <w:spacing w:after="279" w:line="239" w:lineRule="auto"/>
              <w:jc w:val="left"/>
            </w:pPr>
            <w:r>
              <w:rPr>
                <w:b w:val="0"/>
              </w:rPr>
              <w:t xml:space="preserve">However, what these do not necessarily take into account are the aspects of our culture that are both relatable to wider society or better than wider society. Our current data sets do not allow us to benchmark this against our partners in industry across the UK. By benchmarking, we can therefore gather the full picture of current cultural health of our organisation.  </w:t>
            </w:r>
          </w:p>
          <w:p w14:paraId="6434A97C" w14:textId="77777777" w:rsidR="00116F21" w:rsidRDefault="001F0AC8">
            <w:pPr>
              <w:jc w:val="left"/>
            </w:pPr>
            <w:r>
              <w:rPr>
                <w:b w:val="0"/>
              </w:rPr>
              <w:t xml:space="preserve">Strategically this is important. First, it proves to the Nation (through Ministerial assurance) that we take our organisational culture seriously. Second, it highlights to our people that we are willing to take their opinions seriously through external analysis, rather than internal biases. Third, it builds a multi-domain network across industry, in line with the Integrated Review, the Defence Command Paper, and the Defence and Security Industrial Strategy, that allows us to share good practice and </w:t>
            </w:r>
          </w:p>
        </w:tc>
      </w:tr>
    </w:tbl>
    <w:p w14:paraId="481959F6" w14:textId="77777777" w:rsidR="00116F21" w:rsidRDefault="00116F21">
      <w:pPr>
        <w:ind w:left="-1440" w:right="7995"/>
        <w:jc w:val="left"/>
      </w:pPr>
    </w:p>
    <w:tbl>
      <w:tblPr>
        <w:tblStyle w:val="TableGrid"/>
        <w:tblW w:w="8524" w:type="dxa"/>
        <w:tblInd w:w="5" w:type="dxa"/>
        <w:tblCellMar>
          <w:top w:w="11" w:type="dxa"/>
          <w:left w:w="108" w:type="dxa"/>
          <w:right w:w="115" w:type="dxa"/>
        </w:tblCellMar>
        <w:tblLook w:val="04A0" w:firstRow="1" w:lastRow="0" w:firstColumn="1" w:lastColumn="0" w:noHBand="0" w:noVBand="1"/>
      </w:tblPr>
      <w:tblGrid>
        <w:gridCol w:w="8524"/>
      </w:tblGrid>
      <w:tr w:rsidR="00116F21" w14:paraId="5A3C7463" w14:textId="77777777">
        <w:trPr>
          <w:trHeight w:val="1049"/>
        </w:trPr>
        <w:tc>
          <w:tcPr>
            <w:tcW w:w="8524" w:type="dxa"/>
            <w:tcBorders>
              <w:top w:val="single" w:sz="4" w:space="0" w:color="000000"/>
              <w:left w:val="single" w:sz="4" w:space="0" w:color="000000"/>
              <w:bottom w:val="single" w:sz="4" w:space="0" w:color="000000"/>
              <w:right w:val="single" w:sz="4" w:space="0" w:color="000000"/>
            </w:tcBorders>
          </w:tcPr>
          <w:p w14:paraId="0F9D035E" w14:textId="77777777" w:rsidR="00116F21" w:rsidRDefault="001F0AC8">
            <w:pPr>
              <w:spacing w:after="278" w:line="241" w:lineRule="auto"/>
              <w:jc w:val="left"/>
            </w:pPr>
            <w:r>
              <w:rPr>
                <w:b w:val="0"/>
              </w:rPr>
              <w:t xml:space="preserve">identify key strengths and weaknesses. This initiative is also being closely followed by those in 5Eyes community which the TEAMWORK team works closely with. </w:t>
            </w:r>
          </w:p>
          <w:p w14:paraId="1596EE30" w14:textId="77777777" w:rsidR="00116F21" w:rsidRDefault="001F0AC8">
            <w:pPr>
              <w:jc w:val="left"/>
            </w:pPr>
            <w:r>
              <w:rPr>
                <w:b w:val="0"/>
              </w:rPr>
              <w:t xml:space="preserve"> </w:t>
            </w:r>
          </w:p>
        </w:tc>
      </w:tr>
      <w:tr w:rsidR="00116F21" w14:paraId="16DCD3D5" w14:textId="77777777">
        <w:trPr>
          <w:trHeight w:val="1274"/>
        </w:trPr>
        <w:tc>
          <w:tcPr>
            <w:tcW w:w="8524" w:type="dxa"/>
            <w:tcBorders>
              <w:top w:val="single" w:sz="4" w:space="0" w:color="000000"/>
              <w:left w:val="single" w:sz="4" w:space="0" w:color="000000"/>
              <w:bottom w:val="single" w:sz="4" w:space="0" w:color="000000"/>
              <w:right w:val="single" w:sz="4" w:space="0" w:color="000000"/>
            </w:tcBorders>
          </w:tcPr>
          <w:p w14:paraId="5C49E8B5" w14:textId="77777777" w:rsidR="00116F21" w:rsidRDefault="001F0AC8">
            <w:pPr>
              <w:jc w:val="left"/>
            </w:pPr>
            <w:r>
              <w:t xml:space="preserve">Objectives </w:t>
            </w:r>
          </w:p>
          <w:p w14:paraId="1A71536E" w14:textId="77777777" w:rsidR="00116F21" w:rsidRDefault="001F0AC8">
            <w:pPr>
              <w:spacing w:after="9"/>
              <w:jc w:val="left"/>
            </w:pPr>
            <w:r>
              <w:rPr>
                <w:b w:val="0"/>
              </w:rPr>
              <w:t xml:space="preserve"> </w:t>
            </w:r>
          </w:p>
          <w:p w14:paraId="089A571D" w14:textId="77777777" w:rsidR="00116F21" w:rsidRDefault="001F0AC8">
            <w:pPr>
              <w:spacing w:after="2" w:line="238" w:lineRule="auto"/>
              <w:jc w:val="left"/>
            </w:pPr>
            <w:r>
              <w:rPr>
                <w:b w:val="0"/>
              </w:rPr>
              <w:t xml:space="preserve">The delivery of a data analysis tool that can benchmark the Army’s organisational culture against the most progressive workplaces in the UK. </w:t>
            </w:r>
          </w:p>
          <w:p w14:paraId="240CB733" w14:textId="77777777" w:rsidR="00116F21" w:rsidRDefault="001F0AC8">
            <w:pPr>
              <w:jc w:val="left"/>
            </w:pPr>
            <w:r>
              <w:rPr>
                <w:b w:val="0"/>
              </w:rPr>
              <w:t xml:space="preserve"> </w:t>
            </w:r>
          </w:p>
        </w:tc>
      </w:tr>
      <w:tr w:rsidR="00116F21" w14:paraId="31FA5082" w14:textId="77777777">
        <w:trPr>
          <w:trHeight w:val="8682"/>
        </w:trPr>
        <w:tc>
          <w:tcPr>
            <w:tcW w:w="8524" w:type="dxa"/>
            <w:tcBorders>
              <w:top w:val="single" w:sz="4" w:space="0" w:color="000000"/>
              <w:left w:val="single" w:sz="4" w:space="0" w:color="000000"/>
              <w:bottom w:val="single" w:sz="4" w:space="0" w:color="000000"/>
              <w:right w:val="single" w:sz="4" w:space="0" w:color="000000"/>
            </w:tcBorders>
          </w:tcPr>
          <w:p w14:paraId="30B73D9D" w14:textId="77777777" w:rsidR="00116F21" w:rsidRDefault="001F0AC8">
            <w:pPr>
              <w:jc w:val="left"/>
            </w:pPr>
            <w:r>
              <w:t xml:space="preserve">Scope </w:t>
            </w:r>
          </w:p>
          <w:p w14:paraId="00C38276" w14:textId="77777777" w:rsidR="00116F21" w:rsidRDefault="001F0AC8">
            <w:pPr>
              <w:spacing w:after="86"/>
              <w:jc w:val="left"/>
            </w:pPr>
            <w:r>
              <w:rPr>
                <w:b w:val="0"/>
              </w:rPr>
              <w:t xml:space="preserve"> </w:t>
            </w:r>
          </w:p>
          <w:p w14:paraId="677094D9" w14:textId="77777777" w:rsidR="00116F21" w:rsidRDefault="001F0AC8">
            <w:pPr>
              <w:jc w:val="left"/>
            </w:pPr>
            <w:r>
              <w:t xml:space="preserve">What is included: </w:t>
            </w:r>
          </w:p>
          <w:p w14:paraId="650B3A93" w14:textId="77777777" w:rsidR="00116F21" w:rsidRDefault="001F0AC8">
            <w:pPr>
              <w:spacing w:after="10"/>
              <w:jc w:val="left"/>
            </w:pPr>
            <w:r>
              <w:rPr>
                <w:b w:val="0"/>
              </w:rPr>
              <w:t xml:space="preserve"> </w:t>
            </w:r>
          </w:p>
          <w:p w14:paraId="7AD2F45D" w14:textId="77777777" w:rsidR="00116F21" w:rsidRDefault="001F0AC8">
            <w:pPr>
              <w:spacing w:after="1" w:line="238" w:lineRule="auto"/>
              <w:jc w:val="left"/>
            </w:pPr>
            <w:r>
              <w:rPr>
                <w:b w:val="0"/>
              </w:rPr>
              <w:t xml:space="preserve">A single survey that measures the “culture” of the British Army and benchmarks it against the most progressive workplaces in the UK. </w:t>
            </w:r>
          </w:p>
          <w:p w14:paraId="09F58142" w14:textId="77777777" w:rsidR="00116F21" w:rsidRDefault="001F0AC8">
            <w:pPr>
              <w:jc w:val="left"/>
            </w:pPr>
            <w:r>
              <w:rPr>
                <w:b w:val="0"/>
              </w:rPr>
              <w:t xml:space="preserve"> </w:t>
            </w:r>
          </w:p>
          <w:p w14:paraId="2A6C82FD" w14:textId="77777777" w:rsidR="00116F21" w:rsidRDefault="001F0AC8">
            <w:pPr>
              <w:jc w:val="left"/>
            </w:pPr>
            <w:r>
              <w:rPr>
                <w:b w:val="0"/>
              </w:rPr>
              <w:t xml:space="preserve">Rapid analysis (24-48hrs) of 100,000 responses. </w:t>
            </w:r>
          </w:p>
          <w:p w14:paraId="1FE9FEBA" w14:textId="77777777" w:rsidR="00116F21" w:rsidRDefault="001F0AC8">
            <w:pPr>
              <w:jc w:val="left"/>
            </w:pPr>
            <w:r>
              <w:rPr>
                <w:b w:val="0"/>
              </w:rPr>
              <w:t xml:space="preserve"> </w:t>
            </w:r>
          </w:p>
          <w:p w14:paraId="6EDDDEBD" w14:textId="77777777" w:rsidR="00116F21" w:rsidRDefault="001F0AC8">
            <w:pPr>
              <w:jc w:val="left"/>
            </w:pPr>
            <w:r>
              <w:rPr>
                <w:b w:val="0"/>
              </w:rPr>
              <w:t xml:space="preserve">Flexible survey window. </w:t>
            </w:r>
          </w:p>
          <w:p w14:paraId="50B6E934" w14:textId="77777777" w:rsidR="00116F21" w:rsidRDefault="001F0AC8">
            <w:pPr>
              <w:jc w:val="left"/>
            </w:pPr>
            <w:r>
              <w:rPr>
                <w:b w:val="0"/>
              </w:rPr>
              <w:t xml:space="preserve"> </w:t>
            </w:r>
          </w:p>
          <w:p w14:paraId="141D4324" w14:textId="77777777" w:rsidR="00116F21" w:rsidRDefault="001F0AC8">
            <w:pPr>
              <w:jc w:val="left"/>
            </w:pPr>
            <w:r>
              <w:rPr>
                <w:b w:val="0"/>
              </w:rPr>
              <w:t xml:space="preserve">Adjustable aspects of survey. </w:t>
            </w:r>
          </w:p>
          <w:p w14:paraId="41A567FD" w14:textId="77777777" w:rsidR="00116F21" w:rsidRDefault="001F0AC8">
            <w:pPr>
              <w:jc w:val="left"/>
            </w:pPr>
            <w:r>
              <w:rPr>
                <w:b w:val="0"/>
              </w:rPr>
              <w:t xml:space="preserve"> </w:t>
            </w:r>
          </w:p>
          <w:p w14:paraId="01931953" w14:textId="77777777" w:rsidR="00116F21" w:rsidRDefault="001F0AC8">
            <w:pPr>
              <w:jc w:val="left"/>
            </w:pPr>
            <w:r>
              <w:rPr>
                <w:b w:val="0"/>
              </w:rPr>
              <w:t xml:space="preserve">Unlimited pulse surveys for areas or micro-organisations of concern. </w:t>
            </w:r>
          </w:p>
          <w:p w14:paraId="033F326A" w14:textId="77777777" w:rsidR="00116F21" w:rsidRDefault="001F0AC8">
            <w:pPr>
              <w:jc w:val="left"/>
            </w:pPr>
            <w:r>
              <w:rPr>
                <w:b w:val="0"/>
              </w:rPr>
              <w:t xml:space="preserve"> </w:t>
            </w:r>
          </w:p>
          <w:p w14:paraId="2A7DB4E6" w14:textId="77777777" w:rsidR="00116F21" w:rsidRDefault="001F0AC8">
            <w:pPr>
              <w:jc w:val="left"/>
            </w:pPr>
            <w:r>
              <w:rPr>
                <w:b w:val="0"/>
              </w:rPr>
              <w:t xml:space="preserve">Unlimited, intuitive access to analysis. </w:t>
            </w:r>
          </w:p>
          <w:p w14:paraId="339196DC" w14:textId="77777777" w:rsidR="00116F21" w:rsidRDefault="001F0AC8">
            <w:pPr>
              <w:jc w:val="left"/>
            </w:pPr>
            <w:r>
              <w:rPr>
                <w:b w:val="0"/>
              </w:rPr>
              <w:t xml:space="preserve"> </w:t>
            </w:r>
          </w:p>
          <w:p w14:paraId="7355430F" w14:textId="77777777" w:rsidR="00116F21" w:rsidRDefault="001F0AC8">
            <w:pPr>
              <w:jc w:val="left"/>
            </w:pPr>
            <w:r>
              <w:rPr>
                <w:b w:val="0"/>
              </w:rPr>
              <w:t xml:space="preserve">Multiple forms of downloadable results. </w:t>
            </w:r>
          </w:p>
          <w:p w14:paraId="28FA836F" w14:textId="77777777" w:rsidR="00116F21" w:rsidRDefault="001F0AC8">
            <w:pPr>
              <w:jc w:val="left"/>
            </w:pPr>
            <w:r>
              <w:rPr>
                <w:b w:val="0"/>
              </w:rPr>
              <w:t xml:space="preserve"> </w:t>
            </w:r>
          </w:p>
          <w:p w14:paraId="2D9107A0" w14:textId="77777777" w:rsidR="00116F21" w:rsidRDefault="001F0AC8">
            <w:pPr>
              <w:spacing w:after="3" w:line="238" w:lineRule="auto"/>
              <w:jc w:val="left"/>
            </w:pPr>
            <w:r>
              <w:rPr>
                <w:b w:val="0"/>
              </w:rPr>
              <w:t xml:space="preserve">Post survey support, including advice and guidance on mechanisms to improve cultural decay. </w:t>
            </w:r>
          </w:p>
          <w:p w14:paraId="2FDE57D9" w14:textId="77777777" w:rsidR="00116F21" w:rsidRDefault="001F0AC8">
            <w:pPr>
              <w:jc w:val="left"/>
            </w:pPr>
            <w:r>
              <w:rPr>
                <w:b w:val="0"/>
              </w:rPr>
              <w:t xml:space="preserve"> </w:t>
            </w:r>
          </w:p>
          <w:p w14:paraId="7FDCE7AF" w14:textId="77777777" w:rsidR="00116F21" w:rsidRDefault="001F0AC8">
            <w:pPr>
              <w:spacing w:after="2" w:line="239" w:lineRule="auto"/>
              <w:jc w:val="left"/>
            </w:pPr>
            <w:r>
              <w:rPr>
                <w:b w:val="0"/>
              </w:rPr>
              <w:t xml:space="preserve">Potential to be accredited as a progressive workplace specifically for culture – accreditation must be widely recognised and publishable in popular media. </w:t>
            </w:r>
          </w:p>
          <w:p w14:paraId="58B12C31" w14:textId="77777777" w:rsidR="00116F21" w:rsidRDefault="001F0AC8">
            <w:pPr>
              <w:jc w:val="left"/>
            </w:pPr>
            <w:r>
              <w:rPr>
                <w:b w:val="0"/>
              </w:rPr>
              <w:t xml:space="preserve"> </w:t>
            </w:r>
          </w:p>
          <w:p w14:paraId="1FF94B50" w14:textId="77777777" w:rsidR="00116F21" w:rsidRDefault="001F0AC8">
            <w:pPr>
              <w:jc w:val="left"/>
            </w:pPr>
            <w:r>
              <w:rPr>
                <w:b w:val="0"/>
              </w:rPr>
              <w:t xml:space="preserve">A provider that has global reach to identify worldwide trends, if required. </w:t>
            </w:r>
          </w:p>
          <w:p w14:paraId="39CB0B0A" w14:textId="77777777" w:rsidR="00116F21" w:rsidRDefault="001F0AC8">
            <w:pPr>
              <w:jc w:val="left"/>
            </w:pPr>
            <w:r>
              <w:rPr>
                <w:b w:val="0"/>
              </w:rPr>
              <w:t xml:space="preserve"> </w:t>
            </w:r>
          </w:p>
          <w:p w14:paraId="3D734358" w14:textId="77777777" w:rsidR="00116F21" w:rsidRDefault="001F0AC8">
            <w:pPr>
              <w:jc w:val="left"/>
            </w:pPr>
            <w:r>
              <w:rPr>
                <w:b w:val="0"/>
              </w:rPr>
              <w:t xml:space="preserve">Security of raw data in line with ISO 27001 and ISO 9001. </w:t>
            </w:r>
          </w:p>
          <w:p w14:paraId="09EB501A" w14:textId="77777777" w:rsidR="00116F21" w:rsidRDefault="001F0AC8">
            <w:pPr>
              <w:spacing w:after="88"/>
              <w:jc w:val="left"/>
            </w:pPr>
            <w:r>
              <w:rPr>
                <w:b w:val="0"/>
              </w:rPr>
              <w:t xml:space="preserve"> </w:t>
            </w:r>
          </w:p>
          <w:p w14:paraId="236CB3B6" w14:textId="77777777" w:rsidR="00116F21" w:rsidRDefault="001F0AC8">
            <w:pPr>
              <w:spacing w:after="86"/>
              <w:jc w:val="left"/>
            </w:pPr>
            <w:r>
              <w:t xml:space="preserve">What is excluded. </w:t>
            </w:r>
          </w:p>
          <w:p w14:paraId="1C3724C9" w14:textId="77777777" w:rsidR="00116F21" w:rsidRDefault="001F0AC8">
            <w:pPr>
              <w:jc w:val="left"/>
            </w:pPr>
            <w:r>
              <w:t xml:space="preserve"> </w:t>
            </w:r>
          </w:p>
          <w:p w14:paraId="0A8AFA6E" w14:textId="77777777" w:rsidR="00116F21" w:rsidRDefault="001F0AC8">
            <w:pPr>
              <w:jc w:val="left"/>
            </w:pPr>
            <w:r>
              <w:rPr>
                <w:b w:val="0"/>
              </w:rPr>
              <w:t xml:space="preserve">Nil </w:t>
            </w:r>
          </w:p>
          <w:p w14:paraId="10B60569" w14:textId="77777777" w:rsidR="00116F21" w:rsidRDefault="001F0AC8">
            <w:pPr>
              <w:jc w:val="left"/>
            </w:pPr>
            <w:r>
              <w:rPr>
                <w:b w:val="0"/>
              </w:rPr>
              <w:t xml:space="preserve"> </w:t>
            </w:r>
          </w:p>
        </w:tc>
      </w:tr>
      <w:tr w:rsidR="00116F21" w14:paraId="3ADEF150" w14:textId="77777777">
        <w:trPr>
          <w:trHeight w:val="2792"/>
        </w:trPr>
        <w:tc>
          <w:tcPr>
            <w:tcW w:w="8524" w:type="dxa"/>
            <w:tcBorders>
              <w:top w:val="single" w:sz="4" w:space="0" w:color="000000"/>
              <w:left w:val="single" w:sz="4" w:space="0" w:color="000000"/>
              <w:bottom w:val="single" w:sz="4" w:space="0" w:color="000000"/>
              <w:right w:val="single" w:sz="4" w:space="0" w:color="000000"/>
            </w:tcBorders>
          </w:tcPr>
          <w:p w14:paraId="6AEF4A04" w14:textId="77777777" w:rsidR="00116F21" w:rsidRDefault="001F0AC8">
            <w:pPr>
              <w:jc w:val="left"/>
            </w:pPr>
            <w:r>
              <w:t xml:space="preserve">Requirements  </w:t>
            </w:r>
          </w:p>
          <w:p w14:paraId="78F75D88" w14:textId="77777777" w:rsidR="00116F21" w:rsidRDefault="001F0AC8">
            <w:pPr>
              <w:jc w:val="left"/>
            </w:pPr>
            <w:r>
              <w:rPr>
                <w:b w:val="0"/>
              </w:rPr>
              <w:t xml:space="preserve"> </w:t>
            </w:r>
          </w:p>
          <w:p w14:paraId="44CC21C4" w14:textId="77777777" w:rsidR="00116F21" w:rsidRDefault="001F0AC8">
            <w:pPr>
              <w:jc w:val="left"/>
            </w:pPr>
            <w:r>
              <w:t xml:space="preserve">Mandatory and minimum requirement </w:t>
            </w:r>
          </w:p>
          <w:p w14:paraId="663843AD" w14:textId="77777777" w:rsidR="00116F21" w:rsidRDefault="001F0AC8">
            <w:pPr>
              <w:spacing w:after="2" w:line="238" w:lineRule="auto"/>
              <w:jc w:val="left"/>
            </w:pPr>
            <w:r>
              <w:rPr>
                <w:b w:val="0"/>
              </w:rPr>
              <w:t xml:space="preserve">Single survey with rapid analysis and feedback that benchmarks the organisation to the most progressive workplaces in the UK. </w:t>
            </w:r>
          </w:p>
          <w:p w14:paraId="17893E22" w14:textId="77777777" w:rsidR="00116F21" w:rsidRDefault="001F0AC8">
            <w:pPr>
              <w:jc w:val="left"/>
            </w:pPr>
            <w:r>
              <w:rPr>
                <w:b w:val="0"/>
              </w:rPr>
              <w:t xml:space="preserve"> </w:t>
            </w:r>
          </w:p>
          <w:p w14:paraId="0721629D" w14:textId="77777777" w:rsidR="00116F21" w:rsidRDefault="001F0AC8">
            <w:pPr>
              <w:jc w:val="left"/>
            </w:pPr>
            <w:r>
              <w:t xml:space="preserve">Essential requirements  </w:t>
            </w:r>
          </w:p>
          <w:p w14:paraId="26D0E6B8" w14:textId="77777777" w:rsidR="00116F21" w:rsidRDefault="001F0AC8">
            <w:pPr>
              <w:jc w:val="left"/>
            </w:pPr>
            <w:r>
              <w:rPr>
                <w:b w:val="0"/>
              </w:rPr>
              <w:t xml:space="preserve">User-friendly for survey participant. </w:t>
            </w:r>
          </w:p>
          <w:p w14:paraId="372FF7D6" w14:textId="77777777" w:rsidR="00116F21" w:rsidRDefault="001F0AC8">
            <w:pPr>
              <w:jc w:val="left"/>
            </w:pPr>
            <w:r>
              <w:rPr>
                <w:b w:val="0"/>
              </w:rPr>
              <w:t xml:space="preserve">User-friendly and intuitive access for administrators and managers. </w:t>
            </w:r>
          </w:p>
          <w:p w14:paraId="4643A229" w14:textId="77777777" w:rsidR="00116F21" w:rsidRDefault="001F0AC8">
            <w:pPr>
              <w:jc w:val="left"/>
            </w:pPr>
            <w:r>
              <w:rPr>
                <w:b w:val="0"/>
              </w:rPr>
              <w:t xml:space="preserve">Security of raw data and analysis. </w:t>
            </w:r>
          </w:p>
          <w:p w14:paraId="2BB0DB6F" w14:textId="77777777" w:rsidR="00116F21" w:rsidRDefault="001F0AC8">
            <w:pPr>
              <w:jc w:val="left"/>
            </w:pPr>
            <w:r>
              <w:rPr>
                <w:b w:val="0"/>
              </w:rPr>
              <w:t xml:space="preserve">Unlimited pulse surveys. </w:t>
            </w:r>
          </w:p>
        </w:tc>
      </w:tr>
    </w:tbl>
    <w:p w14:paraId="15DC688D" w14:textId="77777777" w:rsidR="00116F21" w:rsidRDefault="00116F21">
      <w:pPr>
        <w:ind w:left="-1440" w:right="7995"/>
        <w:jc w:val="left"/>
      </w:pPr>
    </w:p>
    <w:tbl>
      <w:tblPr>
        <w:tblStyle w:val="TableGrid"/>
        <w:tblW w:w="8524" w:type="dxa"/>
        <w:tblInd w:w="5" w:type="dxa"/>
        <w:tblCellMar>
          <w:top w:w="11" w:type="dxa"/>
          <w:left w:w="108" w:type="dxa"/>
          <w:right w:w="115" w:type="dxa"/>
        </w:tblCellMar>
        <w:tblLook w:val="04A0" w:firstRow="1" w:lastRow="0" w:firstColumn="1" w:lastColumn="0" w:noHBand="0" w:noVBand="1"/>
      </w:tblPr>
      <w:tblGrid>
        <w:gridCol w:w="8524"/>
      </w:tblGrid>
      <w:tr w:rsidR="00116F21" w14:paraId="1560E6B4" w14:textId="77777777">
        <w:trPr>
          <w:trHeight w:val="7599"/>
        </w:trPr>
        <w:tc>
          <w:tcPr>
            <w:tcW w:w="8524" w:type="dxa"/>
            <w:tcBorders>
              <w:top w:val="single" w:sz="4" w:space="0" w:color="000000"/>
              <w:left w:val="single" w:sz="4" w:space="0" w:color="000000"/>
              <w:bottom w:val="single" w:sz="4" w:space="0" w:color="000000"/>
              <w:right w:val="single" w:sz="4" w:space="0" w:color="000000"/>
            </w:tcBorders>
          </w:tcPr>
          <w:p w14:paraId="43A39E92" w14:textId="77777777" w:rsidR="00116F21" w:rsidRDefault="001F0AC8">
            <w:pPr>
              <w:jc w:val="left"/>
            </w:pPr>
            <w:r>
              <w:rPr>
                <w:b w:val="0"/>
              </w:rPr>
              <w:t xml:space="preserve">Analysis of data and advice post-results. </w:t>
            </w:r>
          </w:p>
          <w:p w14:paraId="77072D77" w14:textId="77777777" w:rsidR="00116F21" w:rsidRDefault="001F0AC8">
            <w:pPr>
              <w:jc w:val="left"/>
            </w:pPr>
            <w:r>
              <w:rPr>
                <w:b w:val="0"/>
              </w:rPr>
              <w:t xml:space="preserve"> </w:t>
            </w:r>
          </w:p>
          <w:p w14:paraId="696813AE" w14:textId="77777777" w:rsidR="00116F21" w:rsidRDefault="001F0AC8">
            <w:pPr>
              <w:jc w:val="left"/>
            </w:pPr>
            <w:r>
              <w:t xml:space="preserve">Must haves </w:t>
            </w:r>
          </w:p>
          <w:p w14:paraId="58C7F850" w14:textId="77777777" w:rsidR="00116F21" w:rsidRDefault="001F0AC8">
            <w:pPr>
              <w:jc w:val="left"/>
            </w:pPr>
            <w:r>
              <w:rPr>
                <w:b w:val="0"/>
              </w:rPr>
              <w:t xml:space="preserve">Global reach to identify worldwide trends. </w:t>
            </w:r>
          </w:p>
          <w:p w14:paraId="0A8E09CE" w14:textId="77777777" w:rsidR="00116F21" w:rsidRDefault="001F0AC8">
            <w:pPr>
              <w:jc w:val="left"/>
            </w:pPr>
            <w:r>
              <w:rPr>
                <w:b w:val="0"/>
              </w:rPr>
              <w:t xml:space="preserve">Accreditation, if achieved. </w:t>
            </w:r>
          </w:p>
          <w:p w14:paraId="061AD72A" w14:textId="77777777" w:rsidR="00116F21" w:rsidRDefault="001F0AC8">
            <w:pPr>
              <w:jc w:val="left"/>
            </w:pPr>
            <w:r>
              <w:rPr>
                <w:b w:val="0"/>
              </w:rPr>
              <w:t xml:space="preserve"> </w:t>
            </w:r>
          </w:p>
          <w:p w14:paraId="4EBD29FE" w14:textId="77777777" w:rsidR="00116F21" w:rsidRDefault="001F0AC8">
            <w:pPr>
              <w:jc w:val="left"/>
            </w:pPr>
            <w:r>
              <w:t xml:space="preserve">Could haves </w:t>
            </w:r>
          </w:p>
          <w:p w14:paraId="4A00D6E8" w14:textId="77777777" w:rsidR="00116F21" w:rsidRDefault="001F0AC8">
            <w:pPr>
              <w:jc w:val="left"/>
            </w:pPr>
            <w:r>
              <w:rPr>
                <w:b w:val="0"/>
              </w:rPr>
              <w:t xml:space="preserve">Access to raw data, if required. </w:t>
            </w:r>
          </w:p>
          <w:p w14:paraId="1D414FC2" w14:textId="77777777" w:rsidR="00116F21" w:rsidRDefault="001F0AC8">
            <w:pPr>
              <w:jc w:val="left"/>
            </w:pPr>
            <w:r>
              <w:t xml:space="preserve"> </w:t>
            </w:r>
          </w:p>
          <w:p w14:paraId="6D9D9845" w14:textId="77777777" w:rsidR="00116F21" w:rsidRDefault="001F0AC8">
            <w:pPr>
              <w:jc w:val="left"/>
            </w:pPr>
            <w:r>
              <w:t xml:space="preserve">Start and completion dates  </w:t>
            </w:r>
          </w:p>
          <w:p w14:paraId="51E78441" w14:textId="71853B1D" w:rsidR="00116F21" w:rsidRDefault="001F0AC8">
            <w:pPr>
              <w:jc w:val="left"/>
            </w:pPr>
            <w:r>
              <w:rPr>
                <w:b w:val="0"/>
              </w:rPr>
              <w:t xml:space="preserve">4 </w:t>
            </w:r>
            <w:r w:rsidR="00772794">
              <w:rPr>
                <w:b w:val="0"/>
              </w:rPr>
              <w:t>May 24</w:t>
            </w:r>
            <w:r>
              <w:rPr>
                <w:b w:val="0"/>
              </w:rPr>
              <w:t xml:space="preserve"> – 29</w:t>
            </w:r>
            <w:r w:rsidR="00000832">
              <w:rPr>
                <w:b w:val="0"/>
              </w:rPr>
              <w:t xml:space="preserve"> </w:t>
            </w:r>
            <w:r>
              <w:rPr>
                <w:b w:val="0"/>
              </w:rPr>
              <w:t xml:space="preserve">Sept 24 </w:t>
            </w:r>
          </w:p>
          <w:p w14:paraId="39C98EC0" w14:textId="77777777" w:rsidR="00116F21" w:rsidRDefault="001F0AC8">
            <w:pPr>
              <w:jc w:val="left"/>
            </w:pPr>
            <w:r>
              <w:rPr>
                <w:b w:val="0"/>
              </w:rPr>
              <w:t xml:space="preserve"> </w:t>
            </w:r>
          </w:p>
          <w:p w14:paraId="04762D20" w14:textId="77777777" w:rsidR="00116F21" w:rsidRDefault="001F0AC8">
            <w:pPr>
              <w:jc w:val="left"/>
            </w:pPr>
            <w:r>
              <w:t xml:space="preserve">Timescales  </w:t>
            </w:r>
          </w:p>
          <w:p w14:paraId="44ADE224" w14:textId="77777777" w:rsidR="00116F21" w:rsidRDefault="001F0AC8">
            <w:pPr>
              <w:jc w:val="left"/>
            </w:pPr>
            <w:r>
              <w:rPr>
                <w:b w:val="0"/>
              </w:rPr>
              <w:t xml:space="preserve">Survey completed within 3 months. </w:t>
            </w:r>
          </w:p>
          <w:p w14:paraId="5DC95DC9" w14:textId="77777777" w:rsidR="00116F21" w:rsidRDefault="001F0AC8">
            <w:pPr>
              <w:jc w:val="left"/>
            </w:pPr>
            <w:r>
              <w:rPr>
                <w:b w:val="0"/>
              </w:rPr>
              <w:t xml:space="preserve"> </w:t>
            </w:r>
          </w:p>
          <w:p w14:paraId="111FD8A4" w14:textId="77777777" w:rsidR="00116F21" w:rsidRDefault="001F0AC8">
            <w:pPr>
              <w:jc w:val="left"/>
            </w:pPr>
            <w:r>
              <w:t xml:space="preserve">Key decision points </w:t>
            </w:r>
          </w:p>
          <w:p w14:paraId="0DC6BF48" w14:textId="06608332" w:rsidR="00116F21" w:rsidRDefault="00241C25">
            <w:pPr>
              <w:jc w:val="left"/>
            </w:pPr>
            <w:r>
              <w:rPr>
                <w:b w:val="0"/>
              </w:rPr>
              <w:t>01</w:t>
            </w:r>
            <w:r w:rsidR="001F0AC8">
              <w:rPr>
                <w:b w:val="0"/>
              </w:rPr>
              <w:t xml:space="preserve"> </w:t>
            </w:r>
            <w:r>
              <w:rPr>
                <w:b w:val="0"/>
              </w:rPr>
              <w:t>May</w:t>
            </w:r>
            <w:r w:rsidR="001F0AC8">
              <w:rPr>
                <w:b w:val="0"/>
              </w:rPr>
              <w:t xml:space="preserve"> 2</w:t>
            </w:r>
            <w:r w:rsidR="005213B4">
              <w:rPr>
                <w:b w:val="0"/>
              </w:rPr>
              <w:t>4</w:t>
            </w:r>
            <w:r w:rsidR="001F0AC8">
              <w:rPr>
                <w:b w:val="0"/>
              </w:rPr>
              <w:t xml:space="preserve"> – date of delivery. </w:t>
            </w:r>
          </w:p>
          <w:p w14:paraId="1CA4ED5F" w14:textId="0EA8D472" w:rsidR="00116F21" w:rsidRDefault="00241C25">
            <w:pPr>
              <w:jc w:val="left"/>
            </w:pPr>
            <w:r>
              <w:rPr>
                <w:b w:val="0"/>
              </w:rPr>
              <w:t>31 July</w:t>
            </w:r>
            <w:r w:rsidR="001F0AC8">
              <w:rPr>
                <w:b w:val="0"/>
              </w:rPr>
              <w:t xml:space="preserve"> 24 – date of closure.  </w:t>
            </w:r>
          </w:p>
          <w:p w14:paraId="7E332289" w14:textId="77777777" w:rsidR="00116F21" w:rsidRDefault="001F0AC8">
            <w:pPr>
              <w:jc w:val="left"/>
            </w:pPr>
            <w:r>
              <w:rPr>
                <w:b w:val="0"/>
              </w:rPr>
              <w:t xml:space="preserve"> </w:t>
            </w:r>
          </w:p>
          <w:p w14:paraId="0AC0D77C" w14:textId="77777777" w:rsidR="00116F21" w:rsidRDefault="001F0AC8">
            <w:pPr>
              <w:jc w:val="left"/>
            </w:pPr>
            <w:r>
              <w:t xml:space="preserve">Acceptance process </w:t>
            </w:r>
          </w:p>
          <w:p w14:paraId="23177150" w14:textId="77777777" w:rsidR="00116F21" w:rsidRDefault="001F0AC8">
            <w:pPr>
              <w:jc w:val="both"/>
            </w:pPr>
            <w:r>
              <w:rPr>
                <w:b w:val="0"/>
              </w:rPr>
              <w:t xml:space="preserve">Any issues with delivery and direction of the survey will be highlighted prior to survey window.  </w:t>
            </w:r>
          </w:p>
          <w:p w14:paraId="5562C58E" w14:textId="77777777" w:rsidR="00116F21" w:rsidRDefault="001F0AC8">
            <w:pPr>
              <w:jc w:val="left"/>
            </w:pPr>
            <w:r>
              <w:rPr>
                <w:b w:val="0"/>
                <w:i/>
              </w:rPr>
              <w:t xml:space="preserve"> </w:t>
            </w:r>
          </w:p>
          <w:p w14:paraId="4941BAF7" w14:textId="77777777" w:rsidR="00116F21" w:rsidRDefault="001F0AC8">
            <w:pPr>
              <w:jc w:val="left"/>
            </w:pPr>
            <w:r>
              <w:t xml:space="preserve">SHEF considerations  </w:t>
            </w:r>
          </w:p>
          <w:p w14:paraId="79AE8286" w14:textId="77777777" w:rsidR="00116F21" w:rsidRDefault="001F0AC8">
            <w:pPr>
              <w:spacing w:after="2" w:line="238" w:lineRule="auto"/>
              <w:jc w:val="left"/>
            </w:pPr>
            <w:r>
              <w:rPr>
                <w:b w:val="0"/>
              </w:rPr>
              <w:t xml:space="preserve">No physical access to MOD property unless invited to do so. If invited, all attendees will be escorted. </w:t>
            </w:r>
          </w:p>
          <w:p w14:paraId="36D244FE" w14:textId="77777777" w:rsidR="00116F21" w:rsidRDefault="001F0AC8">
            <w:pPr>
              <w:ind w:left="283"/>
              <w:jc w:val="left"/>
            </w:pPr>
            <w:r>
              <w:rPr>
                <w:b w:val="0"/>
              </w:rPr>
              <w:t xml:space="preserve"> </w:t>
            </w:r>
          </w:p>
          <w:p w14:paraId="3BAD96EC" w14:textId="77777777" w:rsidR="00116F21" w:rsidRDefault="001F0AC8">
            <w:pPr>
              <w:jc w:val="left"/>
            </w:pPr>
            <w:r>
              <w:t xml:space="preserve">Classification </w:t>
            </w:r>
          </w:p>
          <w:p w14:paraId="0D839CA0" w14:textId="77777777" w:rsidR="00116F21" w:rsidRDefault="001F0AC8">
            <w:pPr>
              <w:jc w:val="left"/>
            </w:pPr>
            <w:r>
              <w:rPr>
                <w:b w:val="0"/>
              </w:rPr>
              <w:t xml:space="preserve">Official Sensitive Personal </w:t>
            </w:r>
          </w:p>
          <w:p w14:paraId="0D1C6525" w14:textId="77777777" w:rsidR="00116F21" w:rsidRDefault="001F0AC8">
            <w:pPr>
              <w:jc w:val="left"/>
            </w:pPr>
            <w:r>
              <w:t xml:space="preserve"> </w:t>
            </w:r>
          </w:p>
        </w:tc>
      </w:tr>
      <w:tr w:rsidR="00116F21" w14:paraId="304FF2D2" w14:textId="77777777">
        <w:trPr>
          <w:trHeight w:val="6337"/>
        </w:trPr>
        <w:tc>
          <w:tcPr>
            <w:tcW w:w="8524" w:type="dxa"/>
            <w:tcBorders>
              <w:top w:val="single" w:sz="4" w:space="0" w:color="000000"/>
              <w:left w:val="single" w:sz="4" w:space="0" w:color="000000"/>
              <w:bottom w:val="single" w:sz="4" w:space="0" w:color="000000"/>
              <w:right w:val="single" w:sz="4" w:space="0" w:color="000000"/>
            </w:tcBorders>
          </w:tcPr>
          <w:p w14:paraId="417F4BF3" w14:textId="77777777" w:rsidR="00116F21" w:rsidRDefault="001F0AC8">
            <w:pPr>
              <w:jc w:val="left"/>
            </w:pPr>
            <w:r>
              <w:t xml:space="preserve">Outputs/deliverables/milestones </w:t>
            </w:r>
          </w:p>
          <w:p w14:paraId="4B918AD5" w14:textId="77777777" w:rsidR="00116F21" w:rsidRDefault="001F0AC8">
            <w:pPr>
              <w:jc w:val="left"/>
            </w:pPr>
            <w:r>
              <w:rPr>
                <w:b w:val="0"/>
              </w:rPr>
              <w:t xml:space="preserve"> </w:t>
            </w:r>
          </w:p>
          <w:p w14:paraId="2987FA40" w14:textId="77777777" w:rsidR="00116F21" w:rsidRDefault="001F0AC8">
            <w:pPr>
              <w:jc w:val="left"/>
            </w:pPr>
            <w:r>
              <w:t xml:space="preserve">Location of the work </w:t>
            </w:r>
          </w:p>
          <w:p w14:paraId="6098402A" w14:textId="77777777" w:rsidR="00116F21" w:rsidRDefault="001F0AC8">
            <w:pPr>
              <w:jc w:val="left"/>
            </w:pPr>
            <w:r>
              <w:rPr>
                <w:b w:val="0"/>
              </w:rPr>
              <w:t xml:space="preserve">Online. Follow-up sessions may be in person, but location is TBC. </w:t>
            </w:r>
          </w:p>
          <w:p w14:paraId="4BE28012" w14:textId="77777777" w:rsidR="00116F21" w:rsidRDefault="001F0AC8">
            <w:pPr>
              <w:ind w:left="720"/>
              <w:jc w:val="left"/>
            </w:pPr>
            <w:r>
              <w:rPr>
                <w:b w:val="0"/>
              </w:rPr>
              <w:t xml:space="preserve"> </w:t>
            </w:r>
          </w:p>
          <w:p w14:paraId="4B581332" w14:textId="77777777" w:rsidR="00116F21" w:rsidRDefault="001F0AC8">
            <w:pPr>
              <w:jc w:val="left"/>
            </w:pPr>
            <w:r>
              <w:t xml:space="preserve">Who will own the output (IP detailed below),  </w:t>
            </w:r>
          </w:p>
          <w:p w14:paraId="0CE54B25" w14:textId="77777777" w:rsidR="00116F21" w:rsidRDefault="001F0AC8">
            <w:pPr>
              <w:spacing w:line="239" w:lineRule="auto"/>
              <w:jc w:val="left"/>
            </w:pPr>
            <w:r>
              <w:rPr>
                <w:b w:val="0"/>
              </w:rPr>
              <w:t xml:space="preserve">Supplier will own the raw data. MOD will own the analysis. No personal data will be taken with the exception of non-attributable demographic data such as age and gender, but these are self-selecting by the individual. </w:t>
            </w:r>
          </w:p>
          <w:p w14:paraId="53808615" w14:textId="77777777" w:rsidR="00116F21" w:rsidRDefault="001F0AC8">
            <w:pPr>
              <w:jc w:val="left"/>
            </w:pPr>
            <w:r>
              <w:rPr>
                <w:b w:val="0"/>
              </w:rPr>
              <w:t xml:space="preserve"> </w:t>
            </w:r>
          </w:p>
          <w:p w14:paraId="04A4C3F3" w14:textId="77777777" w:rsidR="00116F21" w:rsidRDefault="001F0AC8">
            <w:pPr>
              <w:spacing w:line="238" w:lineRule="auto"/>
              <w:ind w:right="3705"/>
              <w:jc w:val="left"/>
            </w:pPr>
            <w:r>
              <w:t xml:space="preserve">Who is responsible for transport/costs  </w:t>
            </w:r>
            <w:r>
              <w:rPr>
                <w:b w:val="0"/>
              </w:rPr>
              <w:t xml:space="preserve">N/A. </w:t>
            </w:r>
          </w:p>
          <w:p w14:paraId="3FFDFF78" w14:textId="77777777" w:rsidR="00116F21" w:rsidRDefault="001F0AC8">
            <w:pPr>
              <w:ind w:left="720"/>
              <w:jc w:val="left"/>
            </w:pPr>
            <w:r>
              <w:rPr>
                <w:b w:val="0"/>
              </w:rPr>
              <w:t xml:space="preserve"> </w:t>
            </w:r>
          </w:p>
          <w:p w14:paraId="0E3E6F4B" w14:textId="77777777" w:rsidR="00116F21" w:rsidRDefault="001F0AC8">
            <w:pPr>
              <w:spacing w:after="2" w:line="238" w:lineRule="auto"/>
              <w:ind w:right="797"/>
              <w:jc w:val="left"/>
            </w:pPr>
            <w:r>
              <w:t xml:space="preserve">Technical support, maintenance, training packages, packaging  </w:t>
            </w:r>
            <w:r>
              <w:rPr>
                <w:b w:val="0"/>
              </w:rPr>
              <w:t xml:space="preserve">Supplier provides any technical support. </w:t>
            </w:r>
          </w:p>
          <w:p w14:paraId="0C405BC7" w14:textId="77777777" w:rsidR="00116F21" w:rsidRDefault="001F0AC8">
            <w:pPr>
              <w:jc w:val="left"/>
            </w:pPr>
            <w:r>
              <w:rPr>
                <w:b w:val="0"/>
              </w:rPr>
              <w:t xml:space="preserve"> </w:t>
            </w:r>
          </w:p>
          <w:p w14:paraId="1C0D985E" w14:textId="77777777" w:rsidR="00116F21" w:rsidRDefault="001F0AC8">
            <w:pPr>
              <w:jc w:val="left"/>
            </w:pPr>
            <w:r>
              <w:t xml:space="preserve">The specific format of the deliverable </w:t>
            </w:r>
          </w:p>
          <w:p w14:paraId="509B1508" w14:textId="77777777" w:rsidR="00116F21" w:rsidRDefault="001F0AC8">
            <w:pPr>
              <w:jc w:val="left"/>
            </w:pPr>
            <w:r>
              <w:rPr>
                <w:b w:val="0"/>
              </w:rPr>
              <w:t xml:space="preserve">Downloadable analysis in multiple forms (excel, pdf, etc). </w:t>
            </w:r>
          </w:p>
          <w:p w14:paraId="6882A74D" w14:textId="77777777" w:rsidR="00116F21" w:rsidRDefault="001F0AC8">
            <w:pPr>
              <w:jc w:val="left"/>
            </w:pPr>
            <w:r>
              <w:rPr>
                <w:b w:val="0"/>
              </w:rPr>
              <w:t xml:space="preserve"> </w:t>
            </w:r>
          </w:p>
          <w:p w14:paraId="7759152D" w14:textId="77777777" w:rsidR="00116F21" w:rsidRDefault="001F0AC8">
            <w:pPr>
              <w:jc w:val="left"/>
            </w:pPr>
            <w:r>
              <w:t xml:space="preserve">Acceptance  </w:t>
            </w:r>
          </w:p>
          <w:p w14:paraId="2F8E683E" w14:textId="77777777" w:rsidR="00116F21" w:rsidRDefault="001F0AC8">
            <w:pPr>
              <w:spacing w:after="2" w:line="238" w:lineRule="auto"/>
              <w:jc w:val="left"/>
            </w:pPr>
            <w:r>
              <w:rPr>
                <w:b w:val="0"/>
              </w:rPr>
              <w:t xml:space="preserve">Any issues with delivery and direction of the survey will be highlighted prior to survey window.  </w:t>
            </w:r>
          </w:p>
          <w:p w14:paraId="0541E6F9" w14:textId="77777777" w:rsidR="00116F21" w:rsidRDefault="001F0AC8">
            <w:pPr>
              <w:jc w:val="left"/>
            </w:pPr>
            <w:r>
              <w:rPr>
                <w:b w:val="0"/>
              </w:rPr>
              <w:t xml:space="preserve"> </w:t>
            </w:r>
          </w:p>
          <w:p w14:paraId="4C4686C5" w14:textId="77777777" w:rsidR="00116F21" w:rsidRDefault="001F0AC8">
            <w:pPr>
              <w:jc w:val="left"/>
            </w:pPr>
            <w:r>
              <w:rPr>
                <w:b w:val="0"/>
              </w:rPr>
              <w:t xml:space="preserve"> </w:t>
            </w:r>
          </w:p>
          <w:p w14:paraId="48AD02C4" w14:textId="77777777" w:rsidR="00116F21" w:rsidRDefault="001F0AC8">
            <w:pPr>
              <w:jc w:val="left"/>
            </w:pPr>
            <w:r>
              <w:rPr>
                <w:b w:val="0"/>
              </w:rPr>
              <w:t xml:space="preserve"> </w:t>
            </w:r>
          </w:p>
        </w:tc>
      </w:tr>
      <w:tr w:rsidR="00116F21" w14:paraId="0C6B41D8" w14:textId="77777777">
        <w:trPr>
          <w:trHeight w:val="264"/>
        </w:trPr>
        <w:tc>
          <w:tcPr>
            <w:tcW w:w="8524" w:type="dxa"/>
            <w:tcBorders>
              <w:top w:val="single" w:sz="4" w:space="0" w:color="000000"/>
              <w:left w:val="single" w:sz="4" w:space="0" w:color="000000"/>
              <w:bottom w:val="single" w:sz="4" w:space="0" w:color="000000"/>
              <w:right w:val="single" w:sz="4" w:space="0" w:color="000000"/>
            </w:tcBorders>
          </w:tcPr>
          <w:p w14:paraId="06231F0F" w14:textId="77777777" w:rsidR="00116F21" w:rsidRDefault="001F0AC8">
            <w:pPr>
              <w:jc w:val="left"/>
            </w:pPr>
            <w:r>
              <w:rPr>
                <w:b w:val="0"/>
              </w:rPr>
              <w:t xml:space="preserve"> </w:t>
            </w:r>
          </w:p>
        </w:tc>
      </w:tr>
      <w:tr w:rsidR="00116F21" w14:paraId="5B2BD745" w14:textId="77777777">
        <w:trPr>
          <w:trHeight w:val="1781"/>
        </w:trPr>
        <w:tc>
          <w:tcPr>
            <w:tcW w:w="8524" w:type="dxa"/>
            <w:tcBorders>
              <w:top w:val="single" w:sz="4" w:space="0" w:color="000000"/>
              <w:left w:val="single" w:sz="4" w:space="0" w:color="000000"/>
              <w:bottom w:val="single" w:sz="4" w:space="0" w:color="000000"/>
              <w:right w:val="single" w:sz="4" w:space="0" w:color="000000"/>
            </w:tcBorders>
          </w:tcPr>
          <w:p w14:paraId="09C9A236" w14:textId="77777777" w:rsidR="00116F21" w:rsidRDefault="001F0AC8">
            <w:pPr>
              <w:jc w:val="left"/>
            </w:pPr>
            <w:r>
              <w:t xml:space="preserve">Intellectual Property (IP) Rights  </w:t>
            </w:r>
          </w:p>
          <w:p w14:paraId="1760A193" w14:textId="77777777" w:rsidR="00116F21" w:rsidRDefault="001F0AC8">
            <w:pPr>
              <w:jc w:val="left"/>
            </w:pPr>
            <w:r>
              <w:t xml:space="preserve"> </w:t>
            </w:r>
          </w:p>
          <w:p w14:paraId="71234177" w14:textId="77777777" w:rsidR="00116F21" w:rsidRDefault="001F0AC8">
            <w:pPr>
              <w:jc w:val="left"/>
            </w:pPr>
            <w:r>
              <w:rPr>
                <w:b w:val="0"/>
              </w:rPr>
              <w:t xml:space="preserve">British Army will own the IPR of the analysis. </w:t>
            </w:r>
          </w:p>
          <w:p w14:paraId="709373DB" w14:textId="77777777" w:rsidR="00116F21" w:rsidRDefault="001F0AC8">
            <w:pPr>
              <w:jc w:val="left"/>
            </w:pPr>
            <w:r>
              <w:rPr>
                <w:b w:val="0"/>
              </w:rPr>
              <w:t xml:space="preserve"> </w:t>
            </w:r>
          </w:p>
          <w:p w14:paraId="63D07BB0" w14:textId="77777777" w:rsidR="00116F21" w:rsidRDefault="001F0AC8">
            <w:pPr>
              <w:jc w:val="left"/>
            </w:pPr>
            <w:r>
              <w:rPr>
                <w:b w:val="0"/>
              </w:rPr>
              <w:t xml:space="preserve">To protect anonymity of survey respondents, supplier will own the IPR of the raw data. Request for access may be considered. </w:t>
            </w:r>
          </w:p>
          <w:p w14:paraId="5025F4C4" w14:textId="77777777" w:rsidR="00116F21" w:rsidRDefault="001F0AC8">
            <w:pPr>
              <w:jc w:val="left"/>
            </w:pPr>
            <w:r>
              <w:rPr>
                <w:b w:val="0"/>
              </w:rPr>
              <w:t xml:space="preserve"> </w:t>
            </w:r>
          </w:p>
        </w:tc>
      </w:tr>
      <w:tr w:rsidR="00116F21" w14:paraId="18D60534" w14:textId="77777777">
        <w:trPr>
          <w:trHeight w:val="768"/>
        </w:trPr>
        <w:tc>
          <w:tcPr>
            <w:tcW w:w="8524" w:type="dxa"/>
            <w:tcBorders>
              <w:top w:val="single" w:sz="4" w:space="0" w:color="000000"/>
              <w:left w:val="single" w:sz="4" w:space="0" w:color="000000"/>
              <w:bottom w:val="single" w:sz="4" w:space="0" w:color="000000"/>
              <w:right w:val="single" w:sz="4" w:space="0" w:color="000000"/>
            </w:tcBorders>
          </w:tcPr>
          <w:p w14:paraId="3BEE6AA0" w14:textId="77777777" w:rsidR="00116F21" w:rsidRDefault="001F0AC8">
            <w:pPr>
              <w:spacing w:after="2" w:line="238" w:lineRule="auto"/>
              <w:ind w:right="3250"/>
              <w:jc w:val="left"/>
            </w:pPr>
            <w:r>
              <w:t xml:space="preserve">Government Furnished Supplies  </w:t>
            </w:r>
            <w:r>
              <w:rPr>
                <w:b w:val="0"/>
              </w:rPr>
              <w:t xml:space="preserve">Non-applicable.  </w:t>
            </w:r>
          </w:p>
          <w:p w14:paraId="447D5FEE" w14:textId="77777777" w:rsidR="00116F21" w:rsidRDefault="001F0AC8">
            <w:pPr>
              <w:jc w:val="left"/>
            </w:pPr>
            <w:r>
              <w:rPr>
                <w:b w:val="0"/>
              </w:rPr>
              <w:t xml:space="preserve"> </w:t>
            </w:r>
          </w:p>
        </w:tc>
      </w:tr>
      <w:tr w:rsidR="00116F21" w14:paraId="4C2DC26D" w14:textId="77777777">
        <w:trPr>
          <w:trHeight w:val="768"/>
        </w:trPr>
        <w:tc>
          <w:tcPr>
            <w:tcW w:w="8524" w:type="dxa"/>
            <w:tcBorders>
              <w:top w:val="single" w:sz="4" w:space="0" w:color="000000"/>
              <w:left w:val="single" w:sz="4" w:space="0" w:color="000000"/>
              <w:bottom w:val="single" w:sz="4" w:space="0" w:color="000000"/>
              <w:right w:val="single" w:sz="4" w:space="0" w:color="000000"/>
            </w:tcBorders>
          </w:tcPr>
          <w:p w14:paraId="65926A43" w14:textId="77777777" w:rsidR="00116F21" w:rsidRDefault="001F0AC8">
            <w:pPr>
              <w:ind w:right="523"/>
              <w:jc w:val="left"/>
            </w:pPr>
            <w:r>
              <w:t xml:space="preserve">Approach (optional and only in exceptional circumstances) </w:t>
            </w:r>
            <w:r>
              <w:rPr>
                <w:b w:val="0"/>
              </w:rPr>
              <w:t xml:space="preserve">Non-applicable.  </w:t>
            </w:r>
          </w:p>
          <w:p w14:paraId="3D038C65" w14:textId="77777777" w:rsidR="00116F21" w:rsidRDefault="001F0AC8">
            <w:pPr>
              <w:jc w:val="left"/>
            </w:pPr>
            <w:r>
              <w:rPr>
                <w:b w:val="0"/>
              </w:rPr>
              <w:t xml:space="preserve"> </w:t>
            </w:r>
          </w:p>
        </w:tc>
      </w:tr>
      <w:tr w:rsidR="00116F21" w14:paraId="65FA3FF6" w14:textId="77777777">
        <w:trPr>
          <w:trHeight w:val="1277"/>
        </w:trPr>
        <w:tc>
          <w:tcPr>
            <w:tcW w:w="8524" w:type="dxa"/>
            <w:tcBorders>
              <w:top w:val="single" w:sz="4" w:space="0" w:color="000000"/>
              <w:left w:val="single" w:sz="4" w:space="0" w:color="000000"/>
              <w:bottom w:val="single" w:sz="4" w:space="0" w:color="000000"/>
              <w:right w:val="single" w:sz="4" w:space="0" w:color="000000"/>
            </w:tcBorders>
          </w:tcPr>
          <w:p w14:paraId="1288B13B" w14:textId="77777777" w:rsidR="00116F21" w:rsidRDefault="001F0AC8">
            <w:pPr>
              <w:jc w:val="left"/>
            </w:pPr>
            <w:r>
              <w:t xml:space="preserve"> </w:t>
            </w:r>
          </w:p>
          <w:p w14:paraId="2103F1E9" w14:textId="77777777" w:rsidR="00116F21" w:rsidRDefault="001F0AC8">
            <w:pPr>
              <w:jc w:val="left"/>
            </w:pPr>
            <w:r>
              <w:t xml:space="preserve">Payment </w:t>
            </w:r>
          </w:p>
          <w:p w14:paraId="2F644A71" w14:textId="77777777" w:rsidR="00116F21" w:rsidRDefault="001F0AC8">
            <w:pPr>
              <w:jc w:val="left"/>
            </w:pPr>
            <w:r>
              <w:rPr>
                <w:b w:val="0"/>
              </w:rPr>
              <w:t xml:space="preserve"> </w:t>
            </w:r>
          </w:p>
          <w:p w14:paraId="35889FE0" w14:textId="77777777" w:rsidR="00116F21" w:rsidRDefault="001F0AC8">
            <w:pPr>
              <w:jc w:val="left"/>
            </w:pPr>
            <w:r>
              <w:rPr>
                <w:b w:val="0"/>
              </w:rPr>
              <w:t xml:space="preserve">Payment will be made monthly in arrears through CP&amp;F.  </w:t>
            </w:r>
          </w:p>
          <w:p w14:paraId="556A3183" w14:textId="77777777" w:rsidR="00116F21" w:rsidRDefault="001F0AC8">
            <w:pPr>
              <w:jc w:val="left"/>
            </w:pPr>
            <w:r>
              <w:rPr>
                <w:b w:val="0"/>
              </w:rPr>
              <w:t xml:space="preserve">  </w:t>
            </w:r>
          </w:p>
        </w:tc>
      </w:tr>
      <w:tr w:rsidR="00116F21" w14:paraId="46E2426A" w14:textId="77777777">
        <w:trPr>
          <w:trHeight w:val="1020"/>
        </w:trPr>
        <w:tc>
          <w:tcPr>
            <w:tcW w:w="8524" w:type="dxa"/>
            <w:tcBorders>
              <w:top w:val="single" w:sz="4" w:space="0" w:color="000000"/>
              <w:left w:val="single" w:sz="4" w:space="0" w:color="000000"/>
              <w:bottom w:val="single" w:sz="4" w:space="0" w:color="000000"/>
              <w:right w:val="single" w:sz="4" w:space="0" w:color="000000"/>
            </w:tcBorders>
          </w:tcPr>
          <w:p w14:paraId="4C74A43F" w14:textId="77777777" w:rsidR="00116F21" w:rsidRDefault="001F0AC8">
            <w:pPr>
              <w:jc w:val="left"/>
            </w:pPr>
            <w:r>
              <w:t xml:space="preserve">Contract management arrangements </w:t>
            </w:r>
          </w:p>
          <w:p w14:paraId="31CDE399" w14:textId="77777777" w:rsidR="00116F21" w:rsidRDefault="001F0AC8">
            <w:pPr>
              <w:jc w:val="left"/>
            </w:pPr>
            <w:r>
              <w:rPr>
                <w:b w:val="0"/>
              </w:rPr>
              <w:t xml:space="preserve"> </w:t>
            </w:r>
          </w:p>
          <w:p w14:paraId="42A12ED6" w14:textId="77777777" w:rsidR="00116F21" w:rsidRDefault="001F0AC8">
            <w:pPr>
              <w:jc w:val="left"/>
            </w:pPr>
            <w:r>
              <w:rPr>
                <w:b w:val="0"/>
              </w:rPr>
              <w:t xml:space="preserve">Project sponsor will manage this procurement.  </w:t>
            </w:r>
          </w:p>
          <w:p w14:paraId="3C8EA1CE" w14:textId="77777777" w:rsidR="00116F21" w:rsidRDefault="001F0AC8">
            <w:pPr>
              <w:jc w:val="left"/>
            </w:pPr>
            <w:r>
              <w:rPr>
                <w:b w:val="0"/>
              </w:rPr>
              <w:t xml:space="preserve"> </w:t>
            </w:r>
          </w:p>
        </w:tc>
      </w:tr>
      <w:tr w:rsidR="00116F21" w14:paraId="402577AD" w14:textId="77777777">
        <w:trPr>
          <w:trHeight w:val="1529"/>
        </w:trPr>
        <w:tc>
          <w:tcPr>
            <w:tcW w:w="8524" w:type="dxa"/>
            <w:tcBorders>
              <w:top w:val="single" w:sz="4" w:space="0" w:color="000000"/>
              <w:left w:val="single" w:sz="4" w:space="0" w:color="000000"/>
              <w:bottom w:val="single" w:sz="4" w:space="0" w:color="000000"/>
              <w:right w:val="single" w:sz="4" w:space="0" w:color="000000"/>
            </w:tcBorders>
          </w:tcPr>
          <w:p w14:paraId="711AA988" w14:textId="77777777" w:rsidR="00116F21" w:rsidRDefault="001F0AC8">
            <w:pPr>
              <w:jc w:val="left"/>
            </w:pPr>
            <w:r>
              <w:t xml:space="preserve">End of contract/Exit strategy  </w:t>
            </w:r>
          </w:p>
          <w:p w14:paraId="26E6BC1F" w14:textId="77777777" w:rsidR="00116F21" w:rsidRDefault="001F0AC8">
            <w:pPr>
              <w:jc w:val="left"/>
            </w:pPr>
            <w:r>
              <w:t xml:space="preserve"> </w:t>
            </w:r>
          </w:p>
          <w:p w14:paraId="7CCBB285" w14:textId="77777777" w:rsidR="00116F21" w:rsidRDefault="001F0AC8">
            <w:pPr>
              <w:jc w:val="left"/>
            </w:pPr>
            <w:r>
              <w:rPr>
                <w:b w:val="0"/>
              </w:rPr>
              <w:t xml:space="preserve">Utility of contract will be assessed on an annual basis.  </w:t>
            </w:r>
          </w:p>
          <w:p w14:paraId="2D8CA08A" w14:textId="77777777" w:rsidR="00116F21" w:rsidRDefault="001F0AC8">
            <w:pPr>
              <w:jc w:val="left"/>
            </w:pPr>
            <w:r>
              <w:rPr>
                <w:b w:val="0"/>
              </w:rPr>
              <w:t xml:space="preserve"> </w:t>
            </w:r>
          </w:p>
          <w:p w14:paraId="06F78A4E" w14:textId="77777777" w:rsidR="00116F21" w:rsidRDefault="001F0AC8">
            <w:pPr>
              <w:jc w:val="left"/>
            </w:pPr>
            <w:r>
              <w:rPr>
                <w:b w:val="0"/>
              </w:rPr>
              <w:t xml:space="preserve">Following assessment, re-contracting will be considered but not compulsory. </w:t>
            </w:r>
          </w:p>
          <w:p w14:paraId="61818057" w14:textId="77777777" w:rsidR="00116F21" w:rsidRDefault="001F0AC8">
            <w:pPr>
              <w:jc w:val="left"/>
            </w:pPr>
            <w:r>
              <w:rPr>
                <w:b w:val="0"/>
              </w:rPr>
              <w:t xml:space="preserve"> </w:t>
            </w:r>
          </w:p>
        </w:tc>
      </w:tr>
    </w:tbl>
    <w:p w14:paraId="786CFB2A" w14:textId="77777777" w:rsidR="00116F21" w:rsidRDefault="001F0AC8">
      <w:pPr>
        <w:jc w:val="both"/>
      </w:pPr>
      <w:r>
        <w:rPr>
          <w:rFonts w:ascii="Times New Roman" w:eastAsia="Times New Roman" w:hAnsi="Times New Roman" w:cs="Times New Roman"/>
          <w:b w:val="0"/>
          <w:sz w:val="24"/>
        </w:rPr>
        <w:t xml:space="preserve"> </w:t>
      </w:r>
    </w:p>
    <w:sectPr w:rsidR="00116F21">
      <w:headerReference w:type="even" r:id="rId9"/>
      <w:headerReference w:type="default" r:id="rId10"/>
      <w:footerReference w:type="even" r:id="rId11"/>
      <w:footerReference w:type="default" r:id="rId12"/>
      <w:headerReference w:type="first" r:id="rId13"/>
      <w:footerReference w:type="first" r:id="rId14"/>
      <w:pgSz w:w="11906" w:h="16838"/>
      <w:pgMar w:top="1445" w:right="3911" w:bottom="1457" w:left="1440" w:header="777"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68F75" w14:textId="77777777" w:rsidR="00DD39CC" w:rsidRDefault="00DD39CC">
      <w:pPr>
        <w:spacing w:line="240" w:lineRule="auto"/>
      </w:pPr>
      <w:r>
        <w:separator/>
      </w:r>
    </w:p>
  </w:endnote>
  <w:endnote w:type="continuationSeparator" w:id="0">
    <w:p w14:paraId="777FDD5A" w14:textId="77777777" w:rsidR="00DD39CC" w:rsidRDefault="00DD39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6791B" w14:textId="17996449" w:rsidR="00116F21" w:rsidRDefault="0003079C">
    <w:pPr>
      <w:ind w:right="-2471"/>
    </w:pPr>
    <w:r>
      <w:rPr>
        <w:rFonts w:ascii="Times New Roman" w:eastAsia="Times New Roman" w:hAnsi="Times New Roman" w:cs="Times New Roman"/>
        <w:b w:val="0"/>
        <w:noProof/>
        <w:sz w:val="24"/>
      </w:rPr>
      <mc:AlternateContent>
        <mc:Choice Requires="wps">
          <w:drawing>
            <wp:anchor distT="0" distB="0" distL="0" distR="0" simplePos="0" relativeHeight="251662336" behindDoc="0" locked="0" layoutInCell="1" allowOverlap="1" wp14:anchorId="72A8F153" wp14:editId="4745E38C">
              <wp:simplePos x="635" y="635"/>
              <wp:positionH relativeFrom="page">
                <wp:align>center</wp:align>
              </wp:positionH>
              <wp:positionV relativeFrom="page">
                <wp:align>bottom</wp:align>
              </wp:positionV>
              <wp:extent cx="443865" cy="443865"/>
              <wp:effectExtent l="0" t="0" r="8255" b="0"/>
              <wp:wrapNone/>
              <wp:docPr id="5" name="Text Box 5"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E14968" w14:textId="3FC9E8EF" w:rsidR="0003079C" w:rsidRPr="0003079C" w:rsidRDefault="0003079C" w:rsidP="0003079C">
                          <w:pPr>
                            <w:rPr>
                              <w:noProof/>
                            </w:rPr>
                          </w:pPr>
                          <w:r w:rsidRPr="0003079C">
                            <w:rPr>
                              <w:noProof/>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A8F153" id="_x0000_t202" coordsize="21600,21600" o:spt="202" path="m,l,21600r21600,l21600,xe">
              <v:stroke joinstyle="miter"/>
              <v:path gradientshapeok="t" o:connecttype="rect"/>
            </v:shapetype>
            <v:shape id="Text Box 5" o:spid="_x0000_s1028" type="#_x0000_t202" alt="OFFICIAL-SENSITIVE"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4AE14968" w14:textId="3FC9E8EF" w:rsidR="0003079C" w:rsidRPr="0003079C" w:rsidRDefault="0003079C" w:rsidP="0003079C">
                    <w:pPr>
                      <w:rPr>
                        <w:noProof/>
                      </w:rPr>
                    </w:pPr>
                    <w:r w:rsidRPr="0003079C">
                      <w:rPr>
                        <w:noProof/>
                      </w:rPr>
                      <w:t>OFFICIAL-SENSITIVE</w:t>
                    </w:r>
                  </w:p>
                </w:txbxContent>
              </v:textbox>
              <w10:wrap anchorx="page" anchory="page"/>
            </v:shape>
          </w:pict>
        </mc:Fallback>
      </mc:AlternateContent>
    </w:r>
    <w:r>
      <w:rPr>
        <w:rFonts w:ascii="Times New Roman" w:eastAsia="Times New Roman" w:hAnsi="Times New Roman" w:cs="Times New Roman"/>
        <w:b w:val="0"/>
        <w:sz w:val="24"/>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b w:val="0"/>
        <w:sz w:val="24"/>
      </w:rPr>
      <w:t xml:space="preserve"> of </w:t>
    </w:r>
    <w:fldSimple w:instr=" NUMPAGES   \* MERGEFORMAT ">
      <w:r>
        <w:rPr>
          <w:rFonts w:ascii="Times New Roman" w:eastAsia="Times New Roman" w:hAnsi="Times New Roman" w:cs="Times New Roman"/>
          <w:sz w:val="24"/>
        </w:rPr>
        <w:t>4</w:t>
      </w:r>
    </w:fldSimple>
    <w:r>
      <w:rPr>
        <w:rFonts w:ascii="Times New Roman" w:eastAsia="Times New Roman" w:hAnsi="Times New Roman" w:cs="Times New Roman"/>
        <w:b w:val="0"/>
        <w:sz w:val="24"/>
      </w:rPr>
      <w:t xml:space="preserve"> </w:t>
    </w:r>
  </w:p>
  <w:p w14:paraId="3690D075" w14:textId="77777777" w:rsidR="00116F21" w:rsidRDefault="001F0AC8">
    <w:pPr>
      <w:jc w:val="left"/>
    </w:pPr>
    <w:r>
      <w:rPr>
        <w:rFonts w:ascii="Times New Roman" w:eastAsia="Times New Roman" w:hAnsi="Times New Roman" w:cs="Times New Roman"/>
        <w:b w:val="0"/>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E8614" w14:textId="696B0C29" w:rsidR="00116F21" w:rsidRDefault="0003079C">
    <w:pPr>
      <w:ind w:right="-2471"/>
    </w:pPr>
    <w:r>
      <w:rPr>
        <w:rFonts w:ascii="Times New Roman" w:eastAsia="Times New Roman" w:hAnsi="Times New Roman" w:cs="Times New Roman"/>
        <w:b w:val="0"/>
        <w:noProof/>
        <w:sz w:val="24"/>
      </w:rPr>
      <mc:AlternateContent>
        <mc:Choice Requires="wps">
          <w:drawing>
            <wp:anchor distT="0" distB="0" distL="0" distR="0" simplePos="0" relativeHeight="251663360" behindDoc="0" locked="0" layoutInCell="1" allowOverlap="1" wp14:anchorId="4ABE6B84" wp14:editId="0DCB1A3B">
              <wp:simplePos x="914400" y="9880600"/>
              <wp:positionH relativeFrom="page">
                <wp:align>center</wp:align>
              </wp:positionH>
              <wp:positionV relativeFrom="page">
                <wp:align>bottom</wp:align>
              </wp:positionV>
              <wp:extent cx="443865" cy="443865"/>
              <wp:effectExtent l="0" t="0" r="8255" b="0"/>
              <wp:wrapNone/>
              <wp:docPr id="6" name="Text Box 6"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820EB0" w14:textId="5E7A78D6" w:rsidR="0003079C" w:rsidRPr="0003079C" w:rsidRDefault="0003079C" w:rsidP="0003079C">
                          <w:pPr>
                            <w:rPr>
                              <w:noProof/>
                            </w:rPr>
                          </w:pPr>
                          <w:r w:rsidRPr="0003079C">
                            <w:rPr>
                              <w:noProof/>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BE6B84" id="_x0000_t202" coordsize="21600,21600" o:spt="202" path="m,l,21600r21600,l21600,xe">
              <v:stroke joinstyle="miter"/>
              <v:path gradientshapeok="t" o:connecttype="rect"/>
            </v:shapetype>
            <v:shape id="Text Box 6" o:spid="_x0000_s1029" type="#_x0000_t202" alt="OFFICIAL-SENSITIVE"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7E820EB0" w14:textId="5E7A78D6" w:rsidR="0003079C" w:rsidRPr="0003079C" w:rsidRDefault="0003079C" w:rsidP="0003079C">
                    <w:pPr>
                      <w:rPr>
                        <w:noProof/>
                      </w:rPr>
                    </w:pPr>
                    <w:r w:rsidRPr="0003079C">
                      <w:rPr>
                        <w:noProof/>
                      </w:rPr>
                      <w:t>OFFICIAL-SENSITIVE</w:t>
                    </w:r>
                  </w:p>
                </w:txbxContent>
              </v:textbox>
              <w10:wrap anchorx="page" anchory="page"/>
            </v:shape>
          </w:pict>
        </mc:Fallback>
      </mc:AlternateContent>
    </w:r>
    <w:r>
      <w:rPr>
        <w:rFonts w:ascii="Times New Roman" w:eastAsia="Times New Roman" w:hAnsi="Times New Roman" w:cs="Times New Roman"/>
        <w:b w:val="0"/>
        <w:sz w:val="24"/>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b w:val="0"/>
        <w:sz w:val="24"/>
      </w:rPr>
      <w:t xml:space="preserve"> of </w:t>
    </w:r>
    <w:fldSimple w:instr=" NUMPAGES   \* MERGEFORMAT ">
      <w:r>
        <w:rPr>
          <w:rFonts w:ascii="Times New Roman" w:eastAsia="Times New Roman" w:hAnsi="Times New Roman" w:cs="Times New Roman"/>
          <w:sz w:val="24"/>
        </w:rPr>
        <w:t>4</w:t>
      </w:r>
    </w:fldSimple>
    <w:r>
      <w:rPr>
        <w:rFonts w:ascii="Times New Roman" w:eastAsia="Times New Roman" w:hAnsi="Times New Roman" w:cs="Times New Roman"/>
        <w:b w:val="0"/>
        <w:sz w:val="24"/>
      </w:rPr>
      <w:t xml:space="preserve"> </w:t>
    </w:r>
  </w:p>
  <w:p w14:paraId="501A9557" w14:textId="77777777" w:rsidR="00116F21" w:rsidRDefault="001F0AC8">
    <w:pPr>
      <w:jc w:val="left"/>
    </w:pPr>
    <w:r>
      <w:rPr>
        <w:rFonts w:ascii="Times New Roman" w:eastAsia="Times New Roman" w:hAnsi="Times New Roman" w:cs="Times New Roman"/>
        <w:b w:val="0"/>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85101" w14:textId="10FC98AA" w:rsidR="00116F21" w:rsidRDefault="0003079C">
    <w:pPr>
      <w:ind w:right="-2471"/>
    </w:pPr>
    <w:r>
      <w:rPr>
        <w:rFonts w:ascii="Times New Roman" w:eastAsia="Times New Roman" w:hAnsi="Times New Roman" w:cs="Times New Roman"/>
        <w:b w:val="0"/>
        <w:noProof/>
        <w:sz w:val="24"/>
      </w:rPr>
      <mc:AlternateContent>
        <mc:Choice Requires="wps">
          <w:drawing>
            <wp:anchor distT="0" distB="0" distL="0" distR="0" simplePos="0" relativeHeight="251661312" behindDoc="0" locked="0" layoutInCell="1" allowOverlap="1" wp14:anchorId="45796B4E" wp14:editId="6BAE37B4">
              <wp:simplePos x="635" y="635"/>
              <wp:positionH relativeFrom="page">
                <wp:align>center</wp:align>
              </wp:positionH>
              <wp:positionV relativeFrom="page">
                <wp:align>bottom</wp:align>
              </wp:positionV>
              <wp:extent cx="443865" cy="443865"/>
              <wp:effectExtent l="0" t="0" r="8255" b="0"/>
              <wp:wrapNone/>
              <wp:docPr id="4" name="Text Box 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3C7632" w14:textId="2E8F3D92" w:rsidR="0003079C" w:rsidRPr="0003079C" w:rsidRDefault="0003079C" w:rsidP="0003079C">
                          <w:pPr>
                            <w:rPr>
                              <w:noProof/>
                            </w:rPr>
                          </w:pPr>
                          <w:r w:rsidRPr="0003079C">
                            <w:rPr>
                              <w:noProof/>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796B4E" id="_x0000_t202" coordsize="21600,21600" o:spt="202" path="m,l,21600r21600,l21600,xe">
              <v:stroke joinstyle="miter"/>
              <v:path gradientshapeok="t" o:connecttype="rect"/>
            </v:shapetype>
            <v:shape id="Text Box 4" o:spid="_x0000_s1031" type="#_x0000_t202" alt="OFFICIAL-SENSITIVE"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543C7632" w14:textId="2E8F3D92" w:rsidR="0003079C" w:rsidRPr="0003079C" w:rsidRDefault="0003079C" w:rsidP="0003079C">
                    <w:pPr>
                      <w:rPr>
                        <w:noProof/>
                      </w:rPr>
                    </w:pPr>
                    <w:r w:rsidRPr="0003079C">
                      <w:rPr>
                        <w:noProof/>
                      </w:rPr>
                      <w:t>OFFICIAL-SENSITIVE</w:t>
                    </w:r>
                  </w:p>
                </w:txbxContent>
              </v:textbox>
              <w10:wrap anchorx="page" anchory="page"/>
            </v:shape>
          </w:pict>
        </mc:Fallback>
      </mc:AlternateContent>
    </w:r>
    <w:r>
      <w:rPr>
        <w:rFonts w:ascii="Times New Roman" w:eastAsia="Times New Roman" w:hAnsi="Times New Roman" w:cs="Times New Roman"/>
        <w:b w:val="0"/>
        <w:sz w:val="24"/>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b w:val="0"/>
        <w:sz w:val="24"/>
      </w:rPr>
      <w:t xml:space="preserve"> of </w:t>
    </w:r>
    <w:fldSimple w:instr=" NUMPAGES   \* MERGEFORMAT ">
      <w:r>
        <w:rPr>
          <w:rFonts w:ascii="Times New Roman" w:eastAsia="Times New Roman" w:hAnsi="Times New Roman" w:cs="Times New Roman"/>
          <w:sz w:val="24"/>
        </w:rPr>
        <w:t>4</w:t>
      </w:r>
    </w:fldSimple>
    <w:r>
      <w:rPr>
        <w:rFonts w:ascii="Times New Roman" w:eastAsia="Times New Roman" w:hAnsi="Times New Roman" w:cs="Times New Roman"/>
        <w:b w:val="0"/>
        <w:sz w:val="24"/>
      </w:rPr>
      <w:t xml:space="preserve"> </w:t>
    </w:r>
  </w:p>
  <w:p w14:paraId="6C6844F7" w14:textId="77777777" w:rsidR="00116F21" w:rsidRDefault="001F0AC8">
    <w:pPr>
      <w:jc w:val="left"/>
    </w:pPr>
    <w:r>
      <w:rPr>
        <w:rFonts w:ascii="Times New Roman" w:eastAsia="Times New Roman" w:hAnsi="Times New Roman" w:cs="Times New Roman"/>
        <w:b w:val="0"/>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988FA" w14:textId="77777777" w:rsidR="00DD39CC" w:rsidRDefault="00DD39CC">
      <w:pPr>
        <w:spacing w:line="240" w:lineRule="auto"/>
      </w:pPr>
      <w:r>
        <w:separator/>
      </w:r>
    </w:p>
  </w:footnote>
  <w:footnote w:type="continuationSeparator" w:id="0">
    <w:p w14:paraId="26105B55" w14:textId="77777777" w:rsidR="00DD39CC" w:rsidRDefault="00DD39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5D72D" w14:textId="44D1B183" w:rsidR="00116F21" w:rsidRDefault="0003079C">
    <w:pPr>
      <w:jc w:val="left"/>
    </w:pPr>
    <w:r>
      <w:rPr>
        <w:b w:val="0"/>
        <w:noProof/>
        <w:sz w:val="20"/>
      </w:rPr>
      <mc:AlternateContent>
        <mc:Choice Requires="wps">
          <w:drawing>
            <wp:anchor distT="0" distB="0" distL="0" distR="0" simplePos="0" relativeHeight="251659264" behindDoc="0" locked="0" layoutInCell="1" allowOverlap="1" wp14:anchorId="3B93CAAD" wp14:editId="4ED83815">
              <wp:simplePos x="635" y="635"/>
              <wp:positionH relativeFrom="page">
                <wp:align>center</wp:align>
              </wp:positionH>
              <wp:positionV relativeFrom="page">
                <wp:align>top</wp:align>
              </wp:positionV>
              <wp:extent cx="443865" cy="443865"/>
              <wp:effectExtent l="0" t="0" r="8255" b="17145"/>
              <wp:wrapNone/>
              <wp:docPr id="2"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417BD5" w14:textId="15386F93" w:rsidR="0003079C" w:rsidRPr="0003079C" w:rsidRDefault="0003079C" w:rsidP="0003079C">
                          <w:pPr>
                            <w:rPr>
                              <w:noProof/>
                            </w:rPr>
                          </w:pPr>
                          <w:r w:rsidRPr="0003079C">
                            <w:rPr>
                              <w:noProof/>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93CAAD" id="_x0000_t202" coordsize="21600,21600" o:spt="202" path="m,l,21600r21600,l21600,xe">
              <v:stroke joinstyle="miter"/>
              <v:path gradientshapeok="t" o:connecttype="rect"/>
            </v:shapetype>
            <v:shape id="Text Box 2" o:spid="_x0000_s1026" type="#_x0000_t202" alt="OFFICIAL-SENSITIV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32417BD5" w14:textId="15386F93" w:rsidR="0003079C" w:rsidRPr="0003079C" w:rsidRDefault="0003079C" w:rsidP="0003079C">
                    <w:pPr>
                      <w:rPr>
                        <w:noProof/>
                      </w:rPr>
                    </w:pPr>
                    <w:r w:rsidRPr="0003079C">
                      <w:rPr>
                        <w:noProof/>
                      </w:rPr>
                      <w:t>OFFICIAL-SENSITIVE</w:t>
                    </w:r>
                  </w:p>
                </w:txbxContent>
              </v:textbox>
              <w10:wrap anchorx="page" anchory="page"/>
            </v:shape>
          </w:pict>
        </mc:Fallback>
      </mc:AlternateContent>
    </w:r>
    <w:r>
      <w:rPr>
        <w:b w:val="0"/>
        <w:sz w:val="20"/>
      </w:rPr>
      <w:t xml:space="preserve">707523450 - External Benchmarking Tool for Data Analysis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08BAA" w14:textId="23262E46" w:rsidR="00116F21" w:rsidRDefault="0003079C">
    <w:pPr>
      <w:jc w:val="left"/>
    </w:pPr>
    <w:r>
      <w:rPr>
        <w:b w:val="0"/>
        <w:noProof/>
        <w:sz w:val="20"/>
      </w:rPr>
      <mc:AlternateContent>
        <mc:Choice Requires="wps">
          <w:drawing>
            <wp:anchor distT="0" distB="0" distL="0" distR="0" simplePos="0" relativeHeight="251660288" behindDoc="0" locked="0" layoutInCell="1" allowOverlap="1" wp14:anchorId="0AC9F61F" wp14:editId="4DFB4700">
              <wp:simplePos x="914400" y="495300"/>
              <wp:positionH relativeFrom="page">
                <wp:align>center</wp:align>
              </wp:positionH>
              <wp:positionV relativeFrom="page">
                <wp:align>top</wp:align>
              </wp:positionV>
              <wp:extent cx="443865" cy="443865"/>
              <wp:effectExtent l="0" t="0" r="8255" b="17145"/>
              <wp:wrapNone/>
              <wp:docPr id="3" name="Text Box 3"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3F974C" w14:textId="7D9BFD82" w:rsidR="0003079C" w:rsidRPr="0003079C" w:rsidRDefault="0003079C" w:rsidP="0003079C">
                          <w:pPr>
                            <w:rPr>
                              <w:noProof/>
                            </w:rPr>
                          </w:pPr>
                          <w:r w:rsidRPr="0003079C">
                            <w:rPr>
                              <w:noProof/>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C9F61F" id="_x0000_t202" coordsize="21600,21600" o:spt="202" path="m,l,21600r21600,l21600,xe">
              <v:stroke joinstyle="miter"/>
              <v:path gradientshapeok="t" o:connecttype="rect"/>
            </v:shapetype>
            <v:shape id="Text Box 3" o:spid="_x0000_s1027" type="#_x0000_t202" alt="OFFICIAL-SENSITIV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173F974C" w14:textId="7D9BFD82" w:rsidR="0003079C" w:rsidRPr="0003079C" w:rsidRDefault="0003079C" w:rsidP="0003079C">
                    <w:pPr>
                      <w:rPr>
                        <w:noProof/>
                      </w:rPr>
                    </w:pPr>
                    <w:r w:rsidRPr="0003079C">
                      <w:rPr>
                        <w:noProof/>
                      </w:rPr>
                      <w:t>OFFICIAL-SENSITIVE</w:t>
                    </w:r>
                  </w:p>
                </w:txbxContent>
              </v:textbox>
              <w10:wrap anchorx="page" anchory="page"/>
            </v:shape>
          </w:pict>
        </mc:Fallback>
      </mc:AlternateContent>
    </w:r>
    <w:r>
      <w:rPr>
        <w:b w:val="0"/>
        <w:sz w:val="20"/>
      </w:rPr>
      <w:t xml:space="preserve">707523450 - External Benchmarking Tool for Data Analysis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274C" w14:textId="0E63B1FA" w:rsidR="00116F21" w:rsidRDefault="0003079C">
    <w:pPr>
      <w:jc w:val="left"/>
    </w:pPr>
    <w:r>
      <w:rPr>
        <w:b w:val="0"/>
        <w:noProof/>
        <w:sz w:val="20"/>
      </w:rPr>
      <mc:AlternateContent>
        <mc:Choice Requires="wps">
          <w:drawing>
            <wp:anchor distT="0" distB="0" distL="0" distR="0" simplePos="0" relativeHeight="251658240" behindDoc="0" locked="0" layoutInCell="1" allowOverlap="1" wp14:anchorId="21AF70EE" wp14:editId="60EBCF7C">
              <wp:simplePos x="635" y="635"/>
              <wp:positionH relativeFrom="page">
                <wp:align>center</wp:align>
              </wp:positionH>
              <wp:positionV relativeFrom="page">
                <wp:align>top</wp:align>
              </wp:positionV>
              <wp:extent cx="443865" cy="443865"/>
              <wp:effectExtent l="0" t="0" r="8255" b="17145"/>
              <wp:wrapNone/>
              <wp:docPr id="1"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1B4ED9" w14:textId="35ACC562" w:rsidR="0003079C" w:rsidRPr="0003079C" w:rsidRDefault="0003079C" w:rsidP="0003079C">
                          <w:pPr>
                            <w:rPr>
                              <w:noProof/>
                            </w:rPr>
                          </w:pPr>
                          <w:r w:rsidRPr="0003079C">
                            <w:rPr>
                              <w:noProof/>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AF70EE" id="_x0000_t202" coordsize="21600,21600" o:spt="202" path="m,l,21600r21600,l21600,xe">
              <v:stroke joinstyle="miter"/>
              <v:path gradientshapeok="t" o:connecttype="rect"/>
            </v:shapetype>
            <v:shape id="Text Box 1" o:spid="_x0000_s1030" type="#_x0000_t202" alt="OFFICIAL-SENSITIV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5F1B4ED9" w14:textId="35ACC562" w:rsidR="0003079C" w:rsidRPr="0003079C" w:rsidRDefault="0003079C" w:rsidP="0003079C">
                    <w:pPr>
                      <w:rPr>
                        <w:noProof/>
                      </w:rPr>
                    </w:pPr>
                    <w:r w:rsidRPr="0003079C">
                      <w:rPr>
                        <w:noProof/>
                      </w:rPr>
                      <w:t>OFFICIAL-SENSITIVE</w:t>
                    </w:r>
                  </w:p>
                </w:txbxContent>
              </v:textbox>
              <w10:wrap anchorx="page" anchory="page"/>
            </v:shape>
          </w:pict>
        </mc:Fallback>
      </mc:AlternateContent>
    </w:r>
    <w:r>
      <w:rPr>
        <w:b w:val="0"/>
        <w:sz w:val="20"/>
      </w:rPr>
      <w:t xml:space="preserve">707523450 - External Benchmarking Tool for Data Analysis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F21"/>
    <w:rsid w:val="00000832"/>
    <w:rsid w:val="0003079C"/>
    <w:rsid w:val="00116F21"/>
    <w:rsid w:val="001F0AC8"/>
    <w:rsid w:val="00241C25"/>
    <w:rsid w:val="005213B4"/>
    <w:rsid w:val="00772794"/>
    <w:rsid w:val="00B3189F"/>
    <w:rsid w:val="00B660A0"/>
    <w:rsid w:val="00DC7882"/>
    <w:rsid w:val="00DD39CC"/>
    <w:rsid w:val="00F334BB"/>
    <w:rsid w:val="00FB17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AE6C3"/>
  <w15:docId w15:val="{19EF7A63-8B2D-4023-9921-E70123220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jc w:val="right"/>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A428AFF2FC4E448C06634663DA8AF8" ma:contentTypeVersion="" ma:contentTypeDescription="Create a new document." ma:contentTypeScope="" ma:versionID="c785ea3f5c2fe17e2b995f3d233ed738">
  <xsd:schema xmlns:xsd="http://www.w3.org/2001/XMLSchema" xmlns:xs="http://www.w3.org/2001/XMLSchema" xmlns:p="http://schemas.microsoft.com/office/2006/metadata/properties" xmlns:ns2="12f84c64-991e-480d-ac3b-fb413e5873c7" targetNamespace="http://schemas.microsoft.com/office/2006/metadata/properties" ma:root="true" ma:fieldsID="9491223d592a5bce640f5dfe834b8e46" ns2:_="">
    <xsd:import namespace="12f84c64-991e-480d-ac3b-fb413e5873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84c64-991e-480d-ac3b-fb413e587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37E6E5-F8AF-4ACD-B1ED-F371E5E1F3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C9ABAC-D2A6-449F-80ED-01C4AFC0F6A3}">
  <ds:schemaRefs>
    <ds:schemaRef ds:uri="http://schemas.microsoft.com/sharepoint/v3/contenttype/forms"/>
  </ds:schemaRefs>
</ds:datastoreItem>
</file>

<file path=customXml/itemProps3.xml><?xml version="1.0" encoding="utf-8"?>
<ds:datastoreItem xmlns:ds="http://schemas.openxmlformats.org/officeDocument/2006/customXml" ds:itemID="{24062538-966A-4E01-AD56-BF8081DB5504}"/>
</file>

<file path=docProps/app.xml><?xml version="1.0" encoding="utf-8"?>
<Properties xmlns="http://schemas.openxmlformats.org/officeDocument/2006/extended-properties" xmlns:vt="http://schemas.openxmlformats.org/officeDocument/2006/docPropsVTypes">
  <Template>Normal</Template>
  <TotalTime>7</TotalTime>
  <Pages>5</Pages>
  <Words>983</Words>
  <Characters>5608</Characters>
  <Application>Microsoft Office Word</Application>
  <DocSecurity>0</DocSecurity>
  <Lines>46</Lines>
  <Paragraphs>13</Paragraphs>
  <ScaleCrop>false</ScaleCrop>
  <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 Miss (Army StratCen-Cmrcl-Proc-AHQ-T2b)</dc:creator>
  <cp:keywords/>
  <cp:lastModifiedBy>Ahmed, Nadia Miss (Army StratCen-Cmrcl-Proc-AHQ-T2b)</cp:lastModifiedBy>
  <cp:revision>10</cp:revision>
  <cp:lastPrinted>2024-04-12T10:02:00Z</cp:lastPrinted>
  <dcterms:created xsi:type="dcterms:W3CDTF">2024-02-05T11:41:00Z</dcterms:created>
  <dcterms:modified xsi:type="dcterms:W3CDTF">2024-04-12T10:02:00Z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#000000,11,Arial</vt:lpwstr>
  </property>
  <property fmtid="{D5CDD505-2E9C-101B-9397-08002B2CF9AE}" pid="4" name="ClassificationContentMarkingHeaderText">
    <vt:lpwstr>OFFICIAL-SENSITIVE</vt:lpwstr>
  </property>
  <property fmtid="{D5CDD505-2E9C-101B-9397-08002B2CF9AE}" pid="5" name="ClassificationContentMarkingFooterShapeIds">
    <vt:lpwstr>4,5,6</vt:lpwstr>
  </property>
  <property fmtid="{D5CDD505-2E9C-101B-9397-08002B2CF9AE}" pid="6" name="ClassificationContentMarkingFooterFontProps">
    <vt:lpwstr>#000000,11,Arial</vt:lpwstr>
  </property>
  <property fmtid="{D5CDD505-2E9C-101B-9397-08002B2CF9AE}" pid="7" name="ClassificationContentMarkingFooterText">
    <vt:lpwstr>OFFICIAL-SENSITIVE</vt:lpwstr>
  </property>
  <property fmtid="{D5CDD505-2E9C-101B-9397-08002B2CF9AE}" pid="8" name="MSIP_Label_acea1cd8-edeb-4763-86bb-3f57f4fa0321_Enabled">
    <vt:lpwstr>true</vt:lpwstr>
  </property>
  <property fmtid="{D5CDD505-2E9C-101B-9397-08002B2CF9AE}" pid="9" name="MSIP_Label_acea1cd8-edeb-4763-86bb-3f57f4fa0321_SetDate">
    <vt:lpwstr>2024-02-05T11:14:34Z</vt:lpwstr>
  </property>
  <property fmtid="{D5CDD505-2E9C-101B-9397-08002B2CF9AE}" pid="10" name="MSIP_Label_acea1cd8-edeb-4763-86bb-3f57f4fa0321_Method">
    <vt:lpwstr>Privileged</vt:lpwstr>
  </property>
  <property fmtid="{D5CDD505-2E9C-101B-9397-08002B2CF9AE}" pid="11" name="MSIP_Label_acea1cd8-edeb-4763-86bb-3f57f4fa0321_Name">
    <vt:lpwstr>MOD-2-OS-OFFICIAL-SENSITIVE</vt:lpwstr>
  </property>
  <property fmtid="{D5CDD505-2E9C-101B-9397-08002B2CF9AE}" pid="12" name="MSIP_Label_acea1cd8-edeb-4763-86bb-3f57f4fa0321_SiteId">
    <vt:lpwstr>be7760ed-5953-484b-ae95-d0a16dfa09e5</vt:lpwstr>
  </property>
  <property fmtid="{D5CDD505-2E9C-101B-9397-08002B2CF9AE}" pid="13" name="MSIP_Label_acea1cd8-edeb-4763-86bb-3f57f4fa0321_ActionId">
    <vt:lpwstr>d149d9e5-68d0-4aeb-8f5f-761f154a4f53</vt:lpwstr>
  </property>
  <property fmtid="{D5CDD505-2E9C-101B-9397-08002B2CF9AE}" pid="14" name="MSIP_Label_acea1cd8-edeb-4763-86bb-3f57f4fa0321_ContentBits">
    <vt:lpwstr>3</vt:lpwstr>
  </property>
  <property fmtid="{D5CDD505-2E9C-101B-9397-08002B2CF9AE}" pid="15" name="ContentTypeId">
    <vt:lpwstr>0x01010063A428AFF2FC4E448C06634663DA8AF8</vt:lpwstr>
  </property>
</Properties>
</file>