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52BEE62B" w14:textId="77777777" w:rsidR="00E91B23"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44518866" w:history="1">
        <w:r w:rsidR="00E91B23" w:rsidRPr="00F24C86">
          <w:rPr>
            <w:rStyle w:val="Hyperlink"/>
            <w:noProof/>
          </w:rPr>
          <w:t>1.</w:t>
        </w:r>
        <w:r w:rsidR="00E91B23">
          <w:rPr>
            <w:rFonts w:asciiTheme="minorHAnsi" w:eastAsiaTheme="minorEastAsia" w:hAnsiTheme="minorHAnsi" w:cstheme="minorBidi"/>
            <w:caps w:val="0"/>
            <w:noProof/>
            <w:szCs w:val="22"/>
            <w:lang w:eastAsia="en-GB"/>
          </w:rPr>
          <w:tab/>
        </w:r>
        <w:r w:rsidR="00E91B23" w:rsidRPr="00F24C86">
          <w:rPr>
            <w:rStyle w:val="Hyperlink"/>
            <w:noProof/>
          </w:rPr>
          <w:t>PURPOSE</w:t>
        </w:r>
        <w:r w:rsidR="00E91B23">
          <w:rPr>
            <w:noProof/>
            <w:webHidden/>
          </w:rPr>
          <w:tab/>
        </w:r>
        <w:r w:rsidR="00E91B23">
          <w:rPr>
            <w:noProof/>
            <w:webHidden/>
          </w:rPr>
          <w:fldChar w:fldCharType="begin"/>
        </w:r>
        <w:r w:rsidR="00E91B23">
          <w:rPr>
            <w:noProof/>
            <w:webHidden/>
          </w:rPr>
          <w:instrText xml:space="preserve"> PAGEREF _Toc444518866 \h </w:instrText>
        </w:r>
        <w:r w:rsidR="00E91B23">
          <w:rPr>
            <w:noProof/>
            <w:webHidden/>
          </w:rPr>
        </w:r>
        <w:r w:rsidR="00E91B23">
          <w:rPr>
            <w:noProof/>
            <w:webHidden/>
          </w:rPr>
          <w:fldChar w:fldCharType="separate"/>
        </w:r>
        <w:r w:rsidR="00AC6FD2">
          <w:rPr>
            <w:noProof/>
            <w:webHidden/>
          </w:rPr>
          <w:t>2</w:t>
        </w:r>
        <w:r w:rsidR="00E91B23">
          <w:rPr>
            <w:noProof/>
            <w:webHidden/>
          </w:rPr>
          <w:fldChar w:fldCharType="end"/>
        </w:r>
      </w:hyperlink>
    </w:p>
    <w:p w14:paraId="0090E30E" w14:textId="77777777" w:rsidR="00E91B23" w:rsidRDefault="00846699">
      <w:pPr>
        <w:pStyle w:val="TOC1"/>
        <w:rPr>
          <w:rFonts w:asciiTheme="minorHAnsi" w:eastAsiaTheme="minorEastAsia" w:hAnsiTheme="minorHAnsi" w:cstheme="minorBidi"/>
          <w:caps w:val="0"/>
          <w:noProof/>
          <w:szCs w:val="22"/>
          <w:lang w:eastAsia="en-GB"/>
        </w:rPr>
      </w:pPr>
      <w:hyperlink w:anchor="_Toc444518867" w:history="1">
        <w:r w:rsidR="00E91B23" w:rsidRPr="00F24C86">
          <w:rPr>
            <w:rStyle w:val="Hyperlink"/>
            <w:noProof/>
          </w:rPr>
          <w:t>2.</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THE CONTRACTING aUTHORITY</w:t>
        </w:r>
        <w:r w:rsidR="00E91B23">
          <w:rPr>
            <w:noProof/>
            <w:webHidden/>
          </w:rPr>
          <w:tab/>
        </w:r>
        <w:r w:rsidR="00E91B23">
          <w:rPr>
            <w:noProof/>
            <w:webHidden/>
          </w:rPr>
          <w:fldChar w:fldCharType="begin"/>
        </w:r>
        <w:r w:rsidR="00E91B23">
          <w:rPr>
            <w:noProof/>
            <w:webHidden/>
          </w:rPr>
          <w:instrText xml:space="preserve"> PAGEREF _Toc444518867 \h </w:instrText>
        </w:r>
        <w:r w:rsidR="00E91B23">
          <w:rPr>
            <w:noProof/>
            <w:webHidden/>
          </w:rPr>
        </w:r>
        <w:r w:rsidR="00E91B23">
          <w:rPr>
            <w:noProof/>
            <w:webHidden/>
          </w:rPr>
          <w:fldChar w:fldCharType="separate"/>
        </w:r>
        <w:r w:rsidR="00AC6FD2">
          <w:rPr>
            <w:noProof/>
            <w:webHidden/>
          </w:rPr>
          <w:t>2</w:t>
        </w:r>
        <w:r w:rsidR="00E91B23">
          <w:rPr>
            <w:noProof/>
            <w:webHidden/>
          </w:rPr>
          <w:fldChar w:fldCharType="end"/>
        </w:r>
      </w:hyperlink>
    </w:p>
    <w:p w14:paraId="516344FC" w14:textId="77777777" w:rsidR="00E91B23" w:rsidRDefault="00846699">
      <w:pPr>
        <w:pStyle w:val="TOC1"/>
        <w:rPr>
          <w:rFonts w:asciiTheme="minorHAnsi" w:eastAsiaTheme="minorEastAsia" w:hAnsiTheme="minorHAnsi" w:cstheme="minorBidi"/>
          <w:caps w:val="0"/>
          <w:noProof/>
          <w:szCs w:val="22"/>
          <w:lang w:eastAsia="en-GB"/>
        </w:rPr>
      </w:pPr>
      <w:hyperlink w:anchor="_Toc444518868" w:history="1">
        <w:r w:rsidR="00E91B23" w:rsidRPr="00F24C86">
          <w:rPr>
            <w:rStyle w:val="Hyperlink"/>
            <w:noProof/>
          </w:rPr>
          <w:t>3.</w:t>
        </w:r>
        <w:r w:rsidR="00E91B23">
          <w:rPr>
            <w:rFonts w:asciiTheme="minorHAnsi" w:eastAsiaTheme="minorEastAsia" w:hAnsiTheme="minorHAnsi" w:cstheme="minorBidi"/>
            <w:caps w:val="0"/>
            <w:noProof/>
            <w:szCs w:val="22"/>
            <w:lang w:eastAsia="en-GB"/>
          </w:rPr>
          <w:tab/>
        </w:r>
        <w:r w:rsidR="00E91B23" w:rsidRPr="00F24C86">
          <w:rPr>
            <w:rStyle w:val="Hyperlink"/>
            <w:noProof/>
          </w:rPr>
          <w:t>Background to requirement/OVERVIEW of requirement</w:t>
        </w:r>
        <w:r w:rsidR="00E91B23">
          <w:rPr>
            <w:noProof/>
            <w:webHidden/>
          </w:rPr>
          <w:tab/>
        </w:r>
        <w:r w:rsidR="00E91B23">
          <w:rPr>
            <w:noProof/>
            <w:webHidden/>
          </w:rPr>
          <w:fldChar w:fldCharType="begin"/>
        </w:r>
        <w:r w:rsidR="00E91B23">
          <w:rPr>
            <w:noProof/>
            <w:webHidden/>
          </w:rPr>
          <w:instrText xml:space="preserve"> PAGEREF _Toc444518868 \h </w:instrText>
        </w:r>
        <w:r w:rsidR="00E91B23">
          <w:rPr>
            <w:noProof/>
            <w:webHidden/>
          </w:rPr>
        </w:r>
        <w:r w:rsidR="00E91B23">
          <w:rPr>
            <w:noProof/>
            <w:webHidden/>
          </w:rPr>
          <w:fldChar w:fldCharType="separate"/>
        </w:r>
        <w:r w:rsidR="00AC6FD2">
          <w:rPr>
            <w:noProof/>
            <w:webHidden/>
          </w:rPr>
          <w:t>2</w:t>
        </w:r>
        <w:r w:rsidR="00E91B23">
          <w:rPr>
            <w:noProof/>
            <w:webHidden/>
          </w:rPr>
          <w:fldChar w:fldCharType="end"/>
        </w:r>
      </w:hyperlink>
    </w:p>
    <w:p w14:paraId="685A5A87" w14:textId="77777777" w:rsidR="00E91B23" w:rsidRDefault="00846699">
      <w:pPr>
        <w:pStyle w:val="TOC1"/>
        <w:rPr>
          <w:rFonts w:asciiTheme="minorHAnsi" w:eastAsiaTheme="minorEastAsia" w:hAnsiTheme="minorHAnsi" w:cstheme="minorBidi"/>
          <w:caps w:val="0"/>
          <w:noProof/>
          <w:szCs w:val="22"/>
          <w:lang w:eastAsia="en-GB"/>
        </w:rPr>
      </w:pPr>
      <w:hyperlink w:anchor="_Toc444518869" w:history="1">
        <w:r w:rsidR="00E91B23" w:rsidRPr="00F24C86">
          <w:rPr>
            <w:rStyle w:val="Hyperlink"/>
            <w:noProof/>
          </w:rPr>
          <w:t>4.</w:t>
        </w:r>
        <w:r w:rsidR="00E91B23">
          <w:rPr>
            <w:rFonts w:asciiTheme="minorHAnsi" w:eastAsiaTheme="minorEastAsia" w:hAnsiTheme="minorHAnsi" w:cstheme="minorBidi"/>
            <w:caps w:val="0"/>
            <w:noProof/>
            <w:szCs w:val="22"/>
            <w:lang w:eastAsia="en-GB"/>
          </w:rPr>
          <w:tab/>
        </w:r>
        <w:r w:rsidR="00E91B23" w:rsidRPr="00F24C86">
          <w:rPr>
            <w:rStyle w:val="Hyperlink"/>
            <w:noProof/>
          </w:rPr>
          <w:t>definitions</w:t>
        </w:r>
        <w:r w:rsidR="00E91B23">
          <w:rPr>
            <w:noProof/>
            <w:webHidden/>
          </w:rPr>
          <w:tab/>
        </w:r>
        <w:r w:rsidR="00E91B23">
          <w:rPr>
            <w:noProof/>
            <w:webHidden/>
          </w:rPr>
          <w:fldChar w:fldCharType="begin"/>
        </w:r>
        <w:r w:rsidR="00E91B23">
          <w:rPr>
            <w:noProof/>
            <w:webHidden/>
          </w:rPr>
          <w:instrText xml:space="preserve"> PAGEREF _Toc444518869 \h </w:instrText>
        </w:r>
        <w:r w:rsidR="00E91B23">
          <w:rPr>
            <w:noProof/>
            <w:webHidden/>
          </w:rPr>
        </w:r>
        <w:r w:rsidR="00E91B23">
          <w:rPr>
            <w:noProof/>
            <w:webHidden/>
          </w:rPr>
          <w:fldChar w:fldCharType="separate"/>
        </w:r>
        <w:r w:rsidR="00AC6FD2">
          <w:rPr>
            <w:noProof/>
            <w:webHidden/>
          </w:rPr>
          <w:t>3</w:t>
        </w:r>
        <w:r w:rsidR="00E91B23">
          <w:rPr>
            <w:noProof/>
            <w:webHidden/>
          </w:rPr>
          <w:fldChar w:fldCharType="end"/>
        </w:r>
      </w:hyperlink>
    </w:p>
    <w:p w14:paraId="6D4FD052" w14:textId="77777777" w:rsidR="00E91B23" w:rsidRDefault="00846699">
      <w:pPr>
        <w:pStyle w:val="TOC1"/>
        <w:rPr>
          <w:rFonts w:asciiTheme="minorHAnsi" w:eastAsiaTheme="minorEastAsia" w:hAnsiTheme="minorHAnsi" w:cstheme="minorBidi"/>
          <w:caps w:val="0"/>
          <w:noProof/>
          <w:szCs w:val="22"/>
          <w:lang w:eastAsia="en-GB"/>
        </w:rPr>
      </w:pPr>
      <w:hyperlink w:anchor="_Toc444518870" w:history="1">
        <w:r w:rsidR="00E91B23" w:rsidRPr="00F24C86">
          <w:rPr>
            <w:rStyle w:val="Hyperlink"/>
            <w:noProof/>
          </w:rPr>
          <w:t>5.</w:t>
        </w:r>
        <w:r w:rsidR="00E91B23">
          <w:rPr>
            <w:rFonts w:asciiTheme="minorHAnsi" w:eastAsiaTheme="minorEastAsia" w:hAnsiTheme="minorHAnsi" w:cstheme="minorBidi"/>
            <w:caps w:val="0"/>
            <w:noProof/>
            <w:szCs w:val="22"/>
            <w:lang w:eastAsia="en-GB"/>
          </w:rPr>
          <w:tab/>
        </w:r>
        <w:r w:rsidR="00E91B23" w:rsidRPr="00F24C86">
          <w:rPr>
            <w:rStyle w:val="Hyperlink"/>
            <w:noProof/>
          </w:rPr>
          <w:t>scope of requirement</w:t>
        </w:r>
        <w:r w:rsidR="00E91B23">
          <w:rPr>
            <w:noProof/>
            <w:webHidden/>
          </w:rPr>
          <w:tab/>
        </w:r>
        <w:r w:rsidR="00E91B23">
          <w:rPr>
            <w:noProof/>
            <w:webHidden/>
          </w:rPr>
          <w:fldChar w:fldCharType="begin"/>
        </w:r>
        <w:r w:rsidR="00E91B23">
          <w:rPr>
            <w:noProof/>
            <w:webHidden/>
          </w:rPr>
          <w:instrText xml:space="preserve"> PAGEREF _Toc444518870 \h </w:instrText>
        </w:r>
        <w:r w:rsidR="00E91B23">
          <w:rPr>
            <w:noProof/>
            <w:webHidden/>
          </w:rPr>
        </w:r>
        <w:r w:rsidR="00E91B23">
          <w:rPr>
            <w:noProof/>
            <w:webHidden/>
          </w:rPr>
          <w:fldChar w:fldCharType="separate"/>
        </w:r>
        <w:r w:rsidR="00AC6FD2">
          <w:rPr>
            <w:noProof/>
            <w:webHidden/>
          </w:rPr>
          <w:t>3</w:t>
        </w:r>
        <w:r w:rsidR="00E91B23">
          <w:rPr>
            <w:noProof/>
            <w:webHidden/>
          </w:rPr>
          <w:fldChar w:fldCharType="end"/>
        </w:r>
      </w:hyperlink>
    </w:p>
    <w:p w14:paraId="29F7CD7B" w14:textId="77777777" w:rsidR="00E91B23" w:rsidRDefault="00846699">
      <w:pPr>
        <w:pStyle w:val="TOC1"/>
        <w:rPr>
          <w:rFonts w:asciiTheme="minorHAnsi" w:eastAsiaTheme="minorEastAsia" w:hAnsiTheme="minorHAnsi" w:cstheme="minorBidi"/>
          <w:caps w:val="0"/>
          <w:noProof/>
          <w:szCs w:val="22"/>
          <w:lang w:eastAsia="en-GB"/>
        </w:rPr>
      </w:pPr>
      <w:hyperlink w:anchor="_Toc444518871" w:history="1">
        <w:r w:rsidR="00E91B23" w:rsidRPr="00F24C86">
          <w:rPr>
            <w:rStyle w:val="Hyperlink"/>
            <w:noProof/>
          </w:rPr>
          <w:t>6.</w:t>
        </w:r>
        <w:r w:rsidR="00E91B23">
          <w:rPr>
            <w:rFonts w:asciiTheme="minorHAnsi" w:eastAsiaTheme="minorEastAsia" w:hAnsiTheme="minorHAnsi" w:cstheme="minorBidi"/>
            <w:caps w:val="0"/>
            <w:noProof/>
            <w:szCs w:val="22"/>
            <w:lang w:eastAsia="en-GB"/>
          </w:rPr>
          <w:tab/>
        </w:r>
        <w:r w:rsidR="00E91B23" w:rsidRPr="00F24C86">
          <w:rPr>
            <w:rStyle w:val="Hyperlink"/>
            <w:noProof/>
          </w:rPr>
          <w:t>The requirement</w:t>
        </w:r>
        <w:r w:rsidR="00E91B23">
          <w:rPr>
            <w:noProof/>
            <w:webHidden/>
          </w:rPr>
          <w:tab/>
        </w:r>
        <w:r w:rsidR="00E91B23">
          <w:rPr>
            <w:noProof/>
            <w:webHidden/>
          </w:rPr>
          <w:fldChar w:fldCharType="begin"/>
        </w:r>
        <w:r w:rsidR="00E91B23">
          <w:rPr>
            <w:noProof/>
            <w:webHidden/>
          </w:rPr>
          <w:instrText xml:space="preserve"> PAGEREF _Toc444518871 \h </w:instrText>
        </w:r>
        <w:r w:rsidR="00E91B23">
          <w:rPr>
            <w:noProof/>
            <w:webHidden/>
          </w:rPr>
        </w:r>
        <w:r w:rsidR="00E91B23">
          <w:rPr>
            <w:noProof/>
            <w:webHidden/>
          </w:rPr>
          <w:fldChar w:fldCharType="separate"/>
        </w:r>
        <w:r w:rsidR="00AC6FD2">
          <w:rPr>
            <w:noProof/>
            <w:webHidden/>
          </w:rPr>
          <w:t>3</w:t>
        </w:r>
        <w:r w:rsidR="00E91B23">
          <w:rPr>
            <w:noProof/>
            <w:webHidden/>
          </w:rPr>
          <w:fldChar w:fldCharType="end"/>
        </w:r>
      </w:hyperlink>
    </w:p>
    <w:p w14:paraId="2292AC8B" w14:textId="77777777" w:rsidR="00E91B23" w:rsidRDefault="00846699">
      <w:pPr>
        <w:pStyle w:val="TOC1"/>
        <w:rPr>
          <w:rFonts w:asciiTheme="minorHAnsi" w:eastAsiaTheme="minorEastAsia" w:hAnsiTheme="minorHAnsi" w:cstheme="minorBidi"/>
          <w:caps w:val="0"/>
          <w:noProof/>
          <w:szCs w:val="22"/>
          <w:lang w:eastAsia="en-GB"/>
        </w:rPr>
      </w:pPr>
      <w:hyperlink w:anchor="_Toc444518872" w:history="1">
        <w:r w:rsidR="00E91B23" w:rsidRPr="00F24C86">
          <w:rPr>
            <w:rStyle w:val="Hyperlink"/>
            <w:noProof/>
          </w:rPr>
          <w:t>7.</w:t>
        </w:r>
        <w:r w:rsidR="00E91B23">
          <w:rPr>
            <w:rFonts w:asciiTheme="minorHAnsi" w:eastAsiaTheme="minorEastAsia" w:hAnsiTheme="minorHAnsi" w:cstheme="minorBidi"/>
            <w:caps w:val="0"/>
            <w:noProof/>
            <w:szCs w:val="22"/>
            <w:lang w:eastAsia="en-GB"/>
          </w:rPr>
          <w:tab/>
        </w:r>
        <w:r w:rsidR="00E91B23" w:rsidRPr="00F24C86">
          <w:rPr>
            <w:rStyle w:val="Hyperlink"/>
            <w:noProof/>
          </w:rPr>
          <w:t>key milestones</w:t>
        </w:r>
        <w:r w:rsidR="00E91B23">
          <w:rPr>
            <w:noProof/>
            <w:webHidden/>
          </w:rPr>
          <w:tab/>
        </w:r>
        <w:r w:rsidR="00E91B23">
          <w:rPr>
            <w:noProof/>
            <w:webHidden/>
          </w:rPr>
          <w:fldChar w:fldCharType="begin"/>
        </w:r>
        <w:r w:rsidR="00E91B23">
          <w:rPr>
            <w:noProof/>
            <w:webHidden/>
          </w:rPr>
          <w:instrText xml:space="preserve"> PAGEREF _Toc444518872 \h </w:instrText>
        </w:r>
        <w:r w:rsidR="00E91B23">
          <w:rPr>
            <w:noProof/>
            <w:webHidden/>
          </w:rPr>
        </w:r>
        <w:r w:rsidR="00E91B23">
          <w:rPr>
            <w:noProof/>
            <w:webHidden/>
          </w:rPr>
          <w:fldChar w:fldCharType="separate"/>
        </w:r>
        <w:r w:rsidR="00AC6FD2">
          <w:rPr>
            <w:noProof/>
            <w:webHidden/>
          </w:rPr>
          <w:t>4</w:t>
        </w:r>
        <w:r w:rsidR="00E91B23">
          <w:rPr>
            <w:noProof/>
            <w:webHidden/>
          </w:rPr>
          <w:fldChar w:fldCharType="end"/>
        </w:r>
      </w:hyperlink>
    </w:p>
    <w:p w14:paraId="6FF2278F" w14:textId="77777777" w:rsidR="00E91B23" w:rsidRDefault="00846699">
      <w:pPr>
        <w:pStyle w:val="TOC1"/>
        <w:rPr>
          <w:rFonts w:asciiTheme="minorHAnsi" w:eastAsiaTheme="minorEastAsia" w:hAnsiTheme="minorHAnsi" w:cstheme="minorBidi"/>
          <w:caps w:val="0"/>
          <w:noProof/>
          <w:szCs w:val="22"/>
          <w:lang w:eastAsia="en-GB"/>
        </w:rPr>
      </w:pPr>
      <w:hyperlink w:anchor="_Toc444518873" w:history="1">
        <w:r w:rsidR="00E91B23" w:rsidRPr="00F24C86">
          <w:rPr>
            <w:rStyle w:val="Hyperlink"/>
            <w:rFonts w:cs="Arial"/>
            <w:noProof/>
          </w:rPr>
          <w:t>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authority’s responsibilities</w:t>
        </w:r>
        <w:r w:rsidR="00E91B23">
          <w:rPr>
            <w:noProof/>
            <w:webHidden/>
          </w:rPr>
          <w:tab/>
        </w:r>
        <w:r w:rsidR="00E91B23">
          <w:rPr>
            <w:noProof/>
            <w:webHidden/>
          </w:rPr>
          <w:fldChar w:fldCharType="begin"/>
        </w:r>
        <w:r w:rsidR="00E91B23">
          <w:rPr>
            <w:noProof/>
            <w:webHidden/>
          </w:rPr>
          <w:instrText xml:space="preserve"> PAGEREF _Toc444518873 \h </w:instrText>
        </w:r>
        <w:r w:rsidR="00E91B23">
          <w:rPr>
            <w:noProof/>
            <w:webHidden/>
          </w:rPr>
        </w:r>
        <w:r w:rsidR="00E91B23">
          <w:rPr>
            <w:noProof/>
            <w:webHidden/>
          </w:rPr>
          <w:fldChar w:fldCharType="separate"/>
        </w:r>
        <w:r w:rsidR="00AC6FD2">
          <w:rPr>
            <w:noProof/>
            <w:webHidden/>
          </w:rPr>
          <w:t>5</w:t>
        </w:r>
        <w:r w:rsidR="00E91B23">
          <w:rPr>
            <w:noProof/>
            <w:webHidden/>
          </w:rPr>
          <w:fldChar w:fldCharType="end"/>
        </w:r>
      </w:hyperlink>
    </w:p>
    <w:p w14:paraId="37E49BB3" w14:textId="77777777" w:rsidR="00E91B23" w:rsidRDefault="00846699">
      <w:pPr>
        <w:pStyle w:val="TOC1"/>
        <w:rPr>
          <w:rFonts w:asciiTheme="minorHAnsi" w:eastAsiaTheme="minorEastAsia" w:hAnsiTheme="minorHAnsi" w:cstheme="minorBidi"/>
          <w:caps w:val="0"/>
          <w:noProof/>
          <w:szCs w:val="22"/>
          <w:lang w:eastAsia="en-GB"/>
        </w:rPr>
      </w:pPr>
      <w:hyperlink w:anchor="_Toc444518874" w:history="1">
        <w:r w:rsidR="00E91B23" w:rsidRPr="00F24C86">
          <w:rPr>
            <w:rStyle w:val="Hyperlink"/>
            <w:rFonts w:cs="Arial"/>
            <w:noProof/>
          </w:rPr>
          <w:t>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reporting</w:t>
        </w:r>
        <w:r w:rsidR="00E91B23">
          <w:rPr>
            <w:noProof/>
            <w:webHidden/>
          </w:rPr>
          <w:tab/>
        </w:r>
        <w:r w:rsidR="00E91B23">
          <w:rPr>
            <w:noProof/>
            <w:webHidden/>
          </w:rPr>
          <w:fldChar w:fldCharType="begin"/>
        </w:r>
        <w:r w:rsidR="00E91B23">
          <w:rPr>
            <w:noProof/>
            <w:webHidden/>
          </w:rPr>
          <w:instrText xml:space="preserve"> PAGEREF _Toc444518874 \h </w:instrText>
        </w:r>
        <w:r w:rsidR="00E91B23">
          <w:rPr>
            <w:noProof/>
            <w:webHidden/>
          </w:rPr>
        </w:r>
        <w:r w:rsidR="00E91B23">
          <w:rPr>
            <w:noProof/>
            <w:webHidden/>
          </w:rPr>
          <w:fldChar w:fldCharType="separate"/>
        </w:r>
        <w:r w:rsidR="00AC6FD2">
          <w:rPr>
            <w:noProof/>
            <w:webHidden/>
          </w:rPr>
          <w:t>5</w:t>
        </w:r>
        <w:r w:rsidR="00E91B23">
          <w:rPr>
            <w:noProof/>
            <w:webHidden/>
          </w:rPr>
          <w:fldChar w:fldCharType="end"/>
        </w:r>
      </w:hyperlink>
    </w:p>
    <w:p w14:paraId="5835FA84" w14:textId="77777777" w:rsidR="00E91B23" w:rsidRDefault="00846699">
      <w:pPr>
        <w:pStyle w:val="TOC1"/>
        <w:rPr>
          <w:rFonts w:asciiTheme="minorHAnsi" w:eastAsiaTheme="minorEastAsia" w:hAnsiTheme="minorHAnsi" w:cstheme="minorBidi"/>
          <w:caps w:val="0"/>
          <w:noProof/>
          <w:szCs w:val="22"/>
          <w:lang w:eastAsia="en-GB"/>
        </w:rPr>
      </w:pPr>
      <w:hyperlink w:anchor="_Toc444518875" w:history="1">
        <w:r w:rsidR="00E91B23" w:rsidRPr="00F24C86">
          <w:rPr>
            <w:rStyle w:val="Hyperlink"/>
            <w:rFonts w:cs="Arial"/>
            <w:noProof/>
          </w:rPr>
          <w:t>10.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volumes</w:t>
        </w:r>
        <w:r w:rsidR="00E91B23">
          <w:rPr>
            <w:noProof/>
            <w:webHidden/>
          </w:rPr>
          <w:tab/>
        </w:r>
        <w:r w:rsidR="00E91B23">
          <w:rPr>
            <w:noProof/>
            <w:webHidden/>
          </w:rPr>
          <w:fldChar w:fldCharType="begin"/>
        </w:r>
        <w:r w:rsidR="00E91B23">
          <w:rPr>
            <w:noProof/>
            <w:webHidden/>
          </w:rPr>
          <w:instrText xml:space="preserve"> PAGEREF _Toc444518875 \h </w:instrText>
        </w:r>
        <w:r w:rsidR="00E91B23">
          <w:rPr>
            <w:noProof/>
            <w:webHidden/>
          </w:rPr>
        </w:r>
        <w:r w:rsidR="00E91B23">
          <w:rPr>
            <w:noProof/>
            <w:webHidden/>
          </w:rPr>
          <w:fldChar w:fldCharType="separate"/>
        </w:r>
        <w:r w:rsidR="00AC6FD2">
          <w:rPr>
            <w:noProof/>
            <w:webHidden/>
          </w:rPr>
          <w:t>5</w:t>
        </w:r>
        <w:r w:rsidR="00E91B23">
          <w:rPr>
            <w:noProof/>
            <w:webHidden/>
          </w:rPr>
          <w:fldChar w:fldCharType="end"/>
        </w:r>
      </w:hyperlink>
    </w:p>
    <w:p w14:paraId="29D887A6" w14:textId="77777777" w:rsidR="00E91B23" w:rsidRDefault="00846699">
      <w:pPr>
        <w:pStyle w:val="TOC1"/>
        <w:rPr>
          <w:rFonts w:asciiTheme="minorHAnsi" w:eastAsiaTheme="minorEastAsia" w:hAnsiTheme="minorHAnsi" w:cstheme="minorBidi"/>
          <w:caps w:val="0"/>
          <w:noProof/>
          <w:szCs w:val="22"/>
          <w:lang w:eastAsia="en-GB"/>
        </w:rPr>
      </w:pPr>
      <w:hyperlink w:anchor="_Toc444518876" w:history="1">
        <w:r w:rsidR="00E91B23" w:rsidRPr="00F24C86">
          <w:rPr>
            <w:rStyle w:val="Hyperlink"/>
            <w:rFonts w:cs="Arial"/>
            <w:noProof/>
          </w:rPr>
          <w:t>11.</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continuous improvement</w:t>
        </w:r>
        <w:r w:rsidR="00E91B23">
          <w:rPr>
            <w:noProof/>
            <w:webHidden/>
          </w:rPr>
          <w:tab/>
        </w:r>
        <w:r w:rsidR="00E91B23">
          <w:rPr>
            <w:noProof/>
            <w:webHidden/>
          </w:rPr>
          <w:fldChar w:fldCharType="begin"/>
        </w:r>
        <w:r w:rsidR="00E91B23">
          <w:rPr>
            <w:noProof/>
            <w:webHidden/>
          </w:rPr>
          <w:instrText xml:space="preserve"> PAGEREF _Toc444518876 \h </w:instrText>
        </w:r>
        <w:r w:rsidR="00E91B23">
          <w:rPr>
            <w:noProof/>
            <w:webHidden/>
          </w:rPr>
        </w:r>
        <w:r w:rsidR="00E91B23">
          <w:rPr>
            <w:noProof/>
            <w:webHidden/>
          </w:rPr>
          <w:fldChar w:fldCharType="separate"/>
        </w:r>
        <w:r w:rsidR="00AC6FD2">
          <w:rPr>
            <w:noProof/>
            <w:webHidden/>
          </w:rPr>
          <w:t>5</w:t>
        </w:r>
        <w:r w:rsidR="00E91B23">
          <w:rPr>
            <w:noProof/>
            <w:webHidden/>
          </w:rPr>
          <w:fldChar w:fldCharType="end"/>
        </w:r>
      </w:hyperlink>
    </w:p>
    <w:p w14:paraId="72D8C225" w14:textId="77777777" w:rsidR="00E91B23" w:rsidRDefault="00846699">
      <w:pPr>
        <w:pStyle w:val="TOC1"/>
        <w:rPr>
          <w:rFonts w:asciiTheme="minorHAnsi" w:eastAsiaTheme="minorEastAsia" w:hAnsiTheme="minorHAnsi" w:cstheme="minorBidi"/>
          <w:caps w:val="0"/>
          <w:noProof/>
          <w:szCs w:val="22"/>
          <w:lang w:eastAsia="en-GB"/>
        </w:rPr>
      </w:pPr>
      <w:hyperlink w:anchor="_Toc444518877" w:history="1">
        <w:r w:rsidR="00E91B23" w:rsidRPr="00F24C86">
          <w:rPr>
            <w:rStyle w:val="Hyperlink"/>
            <w:noProof/>
          </w:rPr>
          <w:t>12.</w:t>
        </w:r>
        <w:r w:rsidR="00E91B23">
          <w:rPr>
            <w:rFonts w:asciiTheme="minorHAnsi" w:eastAsiaTheme="minorEastAsia" w:hAnsiTheme="minorHAnsi" w:cstheme="minorBidi"/>
            <w:caps w:val="0"/>
            <w:noProof/>
            <w:szCs w:val="22"/>
            <w:lang w:eastAsia="en-GB"/>
          </w:rPr>
          <w:tab/>
        </w:r>
        <w:r w:rsidR="00E91B23" w:rsidRPr="00F24C86">
          <w:rPr>
            <w:rStyle w:val="Hyperlink"/>
            <w:noProof/>
          </w:rPr>
          <w:t>Sustainability</w:t>
        </w:r>
        <w:r w:rsidR="00E91B23">
          <w:rPr>
            <w:noProof/>
            <w:webHidden/>
          </w:rPr>
          <w:tab/>
        </w:r>
        <w:r w:rsidR="00E91B23">
          <w:rPr>
            <w:noProof/>
            <w:webHidden/>
          </w:rPr>
          <w:fldChar w:fldCharType="begin"/>
        </w:r>
        <w:r w:rsidR="00E91B23">
          <w:rPr>
            <w:noProof/>
            <w:webHidden/>
          </w:rPr>
          <w:instrText xml:space="preserve"> PAGEREF _Toc444518877 \h </w:instrText>
        </w:r>
        <w:r w:rsidR="00E91B23">
          <w:rPr>
            <w:noProof/>
            <w:webHidden/>
          </w:rPr>
        </w:r>
        <w:r w:rsidR="00E91B23">
          <w:rPr>
            <w:noProof/>
            <w:webHidden/>
          </w:rPr>
          <w:fldChar w:fldCharType="separate"/>
        </w:r>
        <w:r w:rsidR="00AC6FD2">
          <w:rPr>
            <w:noProof/>
            <w:webHidden/>
          </w:rPr>
          <w:t>5</w:t>
        </w:r>
        <w:r w:rsidR="00E91B23">
          <w:rPr>
            <w:noProof/>
            <w:webHidden/>
          </w:rPr>
          <w:fldChar w:fldCharType="end"/>
        </w:r>
      </w:hyperlink>
    </w:p>
    <w:p w14:paraId="009CF34A" w14:textId="77777777" w:rsidR="00E91B23" w:rsidRDefault="00846699">
      <w:pPr>
        <w:pStyle w:val="TOC1"/>
        <w:rPr>
          <w:rFonts w:asciiTheme="minorHAnsi" w:eastAsiaTheme="minorEastAsia" w:hAnsiTheme="minorHAnsi" w:cstheme="minorBidi"/>
          <w:caps w:val="0"/>
          <w:noProof/>
          <w:szCs w:val="22"/>
          <w:lang w:eastAsia="en-GB"/>
        </w:rPr>
      </w:pPr>
      <w:hyperlink w:anchor="_Toc444518878" w:history="1">
        <w:r w:rsidR="00E91B23" w:rsidRPr="00F24C86">
          <w:rPr>
            <w:rStyle w:val="Hyperlink"/>
            <w:rFonts w:cs="Arial"/>
            <w:noProof/>
          </w:rPr>
          <w:t>13.</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quality</w:t>
        </w:r>
        <w:r w:rsidR="00E91B23">
          <w:rPr>
            <w:noProof/>
            <w:webHidden/>
          </w:rPr>
          <w:tab/>
        </w:r>
        <w:r w:rsidR="00E91B23">
          <w:rPr>
            <w:noProof/>
            <w:webHidden/>
          </w:rPr>
          <w:fldChar w:fldCharType="begin"/>
        </w:r>
        <w:r w:rsidR="00E91B23">
          <w:rPr>
            <w:noProof/>
            <w:webHidden/>
          </w:rPr>
          <w:instrText xml:space="preserve"> PAGEREF _Toc444518878 \h </w:instrText>
        </w:r>
        <w:r w:rsidR="00E91B23">
          <w:rPr>
            <w:noProof/>
            <w:webHidden/>
          </w:rPr>
        </w:r>
        <w:r w:rsidR="00E91B23">
          <w:rPr>
            <w:noProof/>
            <w:webHidden/>
          </w:rPr>
          <w:fldChar w:fldCharType="separate"/>
        </w:r>
        <w:r w:rsidR="00AC6FD2">
          <w:rPr>
            <w:noProof/>
            <w:webHidden/>
          </w:rPr>
          <w:t>5</w:t>
        </w:r>
        <w:r w:rsidR="00E91B23">
          <w:rPr>
            <w:noProof/>
            <w:webHidden/>
          </w:rPr>
          <w:fldChar w:fldCharType="end"/>
        </w:r>
      </w:hyperlink>
    </w:p>
    <w:p w14:paraId="202E1C73" w14:textId="77777777" w:rsidR="00E91B23" w:rsidRDefault="00846699">
      <w:pPr>
        <w:pStyle w:val="TOC1"/>
        <w:rPr>
          <w:rFonts w:asciiTheme="minorHAnsi" w:eastAsiaTheme="minorEastAsia" w:hAnsiTheme="minorHAnsi" w:cstheme="minorBidi"/>
          <w:caps w:val="0"/>
          <w:noProof/>
          <w:szCs w:val="22"/>
          <w:lang w:eastAsia="en-GB"/>
        </w:rPr>
      </w:pPr>
      <w:hyperlink w:anchor="_Toc444518879" w:history="1">
        <w:r w:rsidR="00E91B23" w:rsidRPr="00F24C86">
          <w:rPr>
            <w:rStyle w:val="Hyperlink"/>
            <w:rFonts w:cs="Arial"/>
            <w:noProof/>
          </w:rPr>
          <w:t>14.</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PRICE</w:t>
        </w:r>
        <w:r w:rsidR="00E91B23">
          <w:rPr>
            <w:noProof/>
            <w:webHidden/>
          </w:rPr>
          <w:tab/>
        </w:r>
        <w:r w:rsidR="00E91B23">
          <w:rPr>
            <w:noProof/>
            <w:webHidden/>
          </w:rPr>
          <w:fldChar w:fldCharType="begin"/>
        </w:r>
        <w:r w:rsidR="00E91B23">
          <w:rPr>
            <w:noProof/>
            <w:webHidden/>
          </w:rPr>
          <w:instrText xml:space="preserve"> PAGEREF _Toc444518879 \h </w:instrText>
        </w:r>
        <w:r w:rsidR="00E91B23">
          <w:rPr>
            <w:noProof/>
            <w:webHidden/>
          </w:rPr>
        </w:r>
        <w:r w:rsidR="00E91B23">
          <w:rPr>
            <w:noProof/>
            <w:webHidden/>
          </w:rPr>
          <w:fldChar w:fldCharType="separate"/>
        </w:r>
        <w:r w:rsidR="00AC6FD2">
          <w:rPr>
            <w:noProof/>
            <w:webHidden/>
          </w:rPr>
          <w:t>6</w:t>
        </w:r>
        <w:r w:rsidR="00E91B23">
          <w:rPr>
            <w:noProof/>
            <w:webHidden/>
          </w:rPr>
          <w:fldChar w:fldCharType="end"/>
        </w:r>
      </w:hyperlink>
    </w:p>
    <w:p w14:paraId="240634F5" w14:textId="77777777" w:rsidR="00E91B23" w:rsidRDefault="00846699">
      <w:pPr>
        <w:pStyle w:val="TOC1"/>
        <w:rPr>
          <w:rFonts w:asciiTheme="minorHAnsi" w:eastAsiaTheme="minorEastAsia" w:hAnsiTheme="minorHAnsi" w:cstheme="minorBidi"/>
          <w:caps w:val="0"/>
          <w:noProof/>
          <w:szCs w:val="22"/>
          <w:lang w:eastAsia="en-GB"/>
        </w:rPr>
      </w:pPr>
      <w:hyperlink w:anchor="_Toc444518880" w:history="1">
        <w:r w:rsidR="00E91B23" w:rsidRPr="00F24C86">
          <w:rPr>
            <w:rStyle w:val="Hyperlink"/>
            <w:rFonts w:cs="Arial"/>
            <w:noProof/>
          </w:rPr>
          <w:t>15.</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STAFF AND CUSTOMER SERVICE</w:t>
        </w:r>
        <w:r w:rsidR="00E91B23">
          <w:rPr>
            <w:noProof/>
            <w:webHidden/>
          </w:rPr>
          <w:tab/>
        </w:r>
        <w:r w:rsidR="00E91B23">
          <w:rPr>
            <w:noProof/>
            <w:webHidden/>
          </w:rPr>
          <w:fldChar w:fldCharType="begin"/>
        </w:r>
        <w:r w:rsidR="00E91B23">
          <w:rPr>
            <w:noProof/>
            <w:webHidden/>
          </w:rPr>
          <w:instrText xml:space="preserve"> PAGEREF _Toc444518880 \h </w:instrText>
        </w:r>
        <w:r w:rsidR="00E91B23">
          <w:rPr>
            <w:noProof/>
            <w:webHidden/>
          </w:rPr>
        </w:r>
        <w:r w:rsidR="00E91B23">
          <w:rPr>
            <w:noProof/>
            <w:webHidden/>
          </w:rPr>
          <w:fldChar w:fldCharType="separate"/>
        </w:r>
        <w:r w:rsidR="00AC6FD2">
          <w:rPr>
            <w:noProof/>
            <w:webHidden/>
          </w:rPr>
          <w:t>6</w:t>
        </w:r>
        <w:r w:rsidR="00E91B23">
          <w:rPr>
            <w:noProof/>
            <w:webHidden/>
          </w:rPr>
          <w:fldChar w:fldCharType="end"/>
        </w:r>
      </w:hyperlink>
    </w:p>
    <w:p w14:paraId="1D2A5D6E" w14:textId="77777777" w:rsidR="00E91B23" w:rsidRDefault="00846699">
      <w:pPr>
        <w:pStyle w:val="TOC1"/>
        <w:rPr>
          <w:rFonts w:asciiTheme="minorHAnsi" w:eastAsiaTheme="minorEastAsia" w:hAnsiTheme="minorHAnsi" w:cstheme="minorBidi"/>
          <w:caps w:val="0"/>
          <w:noProof/>
          <w:szCs w:val="22"/>
          <w:lang w:eastAsia="en-GB"/>
        </w:rPr>
      </w:pPr>
      <w:hyperlink w:anchor="_Toc444518881" w:history="1">
        <w:r w:rsidR="00E91B23" w:rsidRPr="00F24C86">
          <w:rPr>
            <w:rStyle w:val="Hyperlink"/>
            <w:rFonts w:cs="Arial"/>
            <w:noProof/>
          </w:rPr>
          <w:t>16.</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service levels and performance</w:t>
        </w:r>
        <w:r w:rsidR="00E91B23">
          <w:rPr>
            <w:noProof/>
            <w:webHidden/>
          </w:rPr>
          <w:tab/>
        </w:r>
        <w:r w:rsidR="00E91B23">
          <w:rPr>
            <w:noProof/>
            <w:webHidden/>
          </w:rPr>
          <w:fldChar w:fldCharType="begin"/>
        </w:r>
        <w:r w:rsidR="00E91B23">
          <w:rPr>
            <w:noProof/>
            <w:webHidden/>
          </w:rPr>
          <w:instrText xml:space="preserve"> PAGEREF _Toc444518881 \h </w:instrText>
        </w:r>
        <w:r w:rsidR="00E91B23">
          <w:rPr>
            <w:noProof/>
            <w:webHidden/>
          </w:rPr>
        </w:r>
        <w:r w:rsidR="00E91B23">
          <w:rPr>
            <w:noProof/>
            <w:webHidden/>
          </w:rPr>
          <w:fldChar w:fldCharType="separate"/>
        </w:r>
        <w:r w:rsidR="00AC6FD2">
          <w:rPr>
            <w:noProof/>
            <w:webHidden/>
          </w:rPr>
          <w:t>6</w:t>
        </w:r>
        <w:r w:rsidR="00E91B23">
          <w:rPr>
            <w:noProof/>
            <w:webHidden/>
          </w:rPr>
          <w:fldChar w:fldCharType="end"/>
        </w:r>
      </w:hyperlink>
    </w:p>
    <w:p w14:paraId="7D4F0C8D" w14:textId="77777777" w:rsidR="00E91B23" w:rsidRDefault="00846699">
      <w:pPr>
        <w:pStyle w:val="TOC1"/>
        <w:rPr>
          <w:rFonts w:asciiTheme="minorHAnsi" w:eastAsiaTheme="minorEastAsia" w:hAnsiTheme="minorHAnsi" w:cstheme="minorBidi"/>
          <w:caps w:val="0"/>
          <w:noProof/>
          <w:szCs w:val="22"/>
          <w:lang w:eastAsia="en-GB"/>
        </w:rPr>
      </w:pPr>
      <w:hyperlink w:anchor="_Toc444518882" w:history="1">
        <w:r w:rsidR="00E91B23" w:rsidRPr="00F24C86">
          <w:rPr>
            <w:rStyle w:val="Hyperlink"/>
            <w:noProof/>
          </w:rPr>
          <w:t>17.</w:t>
        </w:r>
        <w:r w:rsidR="00E91B23">
          <w:rPr>
            <w:rFonts w:asciiTheme="minorHAnsi" w:eastAsiaTheme="minorEastAsia" w:hAnsiTheme="minorHAnsi" w:cstheme="minorBidi"/>
            <w:caps w:val="0"/>
            <w:noProof/>
            <w:szCs w:val="22"/>
            <w:lang w:eastAsia="en-GB"/>
          </w:rPr>
          <w:tab/>
        </w:r>
        <w:r w:rsidR="00E91B23" w:rsidRPr="00F24C86">
          <w:rPr>
            <w:rStyle w:val="Hyperlink"/>
            <w:noProof/>
          </w:rPr>
          <w:t>Security requirements</w:t>
        </w:r>
        <w:r w:rsidR="00E91B23">
          <w:rPr>
            <w:noProof/>
            <w:webHidden/>
          </w:rPr>
          <w:tab/>
        </w:r>
        <w:r w:rsidR="00E91B23">
          <w:rPr>
            <w:noProof/>
            <w:webHidden/>
          </w:rPr>
          <w:fldChar w:fldCharType="begin"/>
        </w:r>
        <w:r w:rsidR="00E91B23">
          <w:rPr>
            <w:noProof/>
            <w:webHidden/>
          </w:rPr>
          <w:instrText xml:space="preserve"> PAGEREF _Toc444518882 \h </w:instrText>
        </w:r>
        <w:r w:rsidR="00E91B23">
          <w:rPr>
            <w:noProof/>
            <w:webHidden/>
          </w:rPr>
        </w:r>
        <w:r w:rsidR="00E91B23">
          <w:rPr>
            <w:noProof/>
            <w:webHidden/>
          </w:rPr>
          <w:fldChar w:fldCharType="separate"/>
        </w:r>
        <w:r w:rsidR="00AC6FD2">
          <w:rPr>
            <w:noProof/>
            <w:webHidden/>
          </w:rPr>
          <w:t>6</w:t>
        </w:r>
        <w:r w:rsidR="00E91B23">
          <w:rPr>
            <w:noProof/>
            <w:webHidden/>
          </w:rPr>
          <w:fldChar w:fldCharType="end"/>
        </w:r>
      </w:hyperlink>
    </w:p>
    <w:p w14:paraId="5CA17FA2" w14:textId="77777777" w:rsidR="00E91B23" w:rsidRDefault="00846699">
      <w:pPr>
        <w:pStyle w:val="TOC1"/>
        <w:rPr>
          <w:rFonts w:asciiTheme="minorHAnsi" w:eastAsiaTheme="minorEastAsia" w:hAnsiTheme="minorHAnsi" w:cstheme="minorBidi"/>
          <w:caps w:val="0"/>
          <w:noProof/>
          <w:szCs w:val="22"/>
          <w:lang w:eastAsia="en-GB"/>
        </w:rPr>
      </w:pPr>
      <w:hyperlink w:anchor="_Toc444518883" w:history="1">
        <w:r w:rsidR="00E91B23" w:rsidRPr="00F24C86">
          <w:rPr>
            <w:rStyle w:val="Hyperlink"/>
            <w:rFonts w:cs="Arial"/>
            <w:noProof/>
          </w:rPr>
          <w:t>18.</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intellectual property rights (ipr)</w:t>
        </w:r>
        <w:r w:rsidR="00E91B23">
          <w:rPr>
            <w:noProof/>
            <w:webHidden/>
          </w:rPr>
          <w:tab/>
        </w:r>
        <w:r w:rsidR="00E91B23">
          <w:rPr>
            <w:noProof/>
            <w:webHidden/>
          </w:rPr>
          <w:fldChar w:fldCharType="begin"/>
        </w:r>
        <w:r w:rsidR="00E91B23">
          <w:rPr>
            <w:noProof/>
            <w:webHidden/>
          </w:rPr>
          <w:instrText xml:space="preserve"> PAGEREF _Toc444518883 \h </w:instrText>
        </w:r>
        <w:r w:rsidR="00E91B23">
          <w:rPr>
            <w:noProof/>
            <w:webHidden/>
          </w:rPr>
        </w:r>
        <w:r w:rsidR="00E91B23">
          <w:rPr>
            <w:noProof/>
            <w:webHidden/>
          </w:rPr>
          <w:fldChar w:fldCharType="separate"/>
        </w:r>
        <w:r w:rsidR="00AC6FD2">
          <w:rPr>
            <w:noProof/>
            <w:webHidden/>
          </w:rPr>
          <w:t>6</w:t>
        </w:r>
        <w:r w:rsidR="00E91B23">
          <w:rPr>
            <w:noProof/>
            <w:webHidden/>
          </w:rPr>
          <w:fldChar w:fldCharType="end"/>
        </w:r>
      </w:hyperlink>
    </w:p>
    <w:p w14:paraId="3AAA5C91" w14:textId="77777777" w:rsidR="00E91B23" w:rsidRDefault="00846699">
      <w:pPr>
        <w:pStyle w:val="TOC1"/>
        <w:rPr>
          <w:rFonts w:asciiTheme="minorHAnsi" w:eastAsiaTheme="minorEastAsia" w:hAnsiTheme="minorHAnsi" w:cstheme="minorBidi"/>
          <w:caps w:val="0"/>
          <w:noProof/>
          <w:szCs w:val="22"/>
          <w:lang w:eastAsia="en-GB"/>
        </w:rPr>
      </w:pPr>
      <w:hyperlink w:anchor="_Toc444518884" w:history="1">
        <w:r w:rsidR="00E91B23" w:rsidRPr="00F24C86">
          <w:rPr>
            <w:rStyle w:val="Hyperlink"/>
            <w:rFonts w:cs="Arial"/>
            <w:noProof/>
          </w:rPr>
          <w:t>19.</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payment</w:t>
        </w:r>
        <w:r w:rsidR="00E91B23">
          <w:rPr>
            <w:noProof/>
            <w:webHidden/>
          </w:rPr>
          <w:tab/>
        </w:r>
        <w:r w:rsidR="00E91B23">
          <w:rPr>
            <w:noProof/>
            <w:webHidden/>
          </w:rPr>
          <w:fldChar w:fldCharType="begin"/>
        </w:r>
        <w:r w:rsidR="00E91B23">
          <w:rPr>
            <w:noProof/>
            <w:webHidden/>
          </w:rPr>
          <w:instrText xml:space="preserve"> PAGEREF _Toc444518884 \h </w:instrText>
        </w:r>
        <w:r w:rsidR="00E91B23">
          <w:rPr>
            <w:noProof/>
            <w:webHidden/>
          </w:rPr>
        </w:r>
        <w:r w:rsidR="00E91B23">
          <w:rPr>
            <w:noProof/>
            <w:webHidden/>
          </w:rPr>
          <w:fldChar w:fldCharType="separate"/>
        </w:r>
        <w:r w:rsidR="00AC6FD2">
          <w:rPr>
            <w:noProof/>
            <w:webHidden/>
          </w:rPr>
          <w:t>6</w:t>
        </w:r>
        <w:r w:rsidR="00E91B23">
          <w:rPr>
            <w:noProof/>
            <w:webHidden/>
          </w:rPr>
          <w:fldChar w:fldCharType="end"/>
        </w:r>
      </w:hyperlink>
    </w:p>
    <w:p w14:paraId="34AE040A" w14:textId="77777777" w:rsidR="00E91B23" w:rsidRDefault="00846699">
      <w:pPr>
        <w:pStyle w:val="TOC1"/>
        <w:rPr>
          <w:rFonts w:asciiTheme="minorHAnsi" w:eastAsiaTheme="minorEastAsia" w:hAnsiTheme="minorHAnsi" w:cstheme="minorBidi"/>
          <w:caps w:val="0"/>
          <w:noProof/>
          <w:szCs w:val="22"/>
          <w:lang w:eastAsia="en-GB"/>
        </w:rPr>
      </w:pPr>
      <w:hyperlink w:anchor="_Toc444518885" w:history="1">
        <w:r w:rsidR="00E91B23" w:rsidRPr="00F24C86">
          <w:rPr>
            <w:rStyle w:val="Hyperlink"/>
            <w:rFonts w:cs="Arial"/>
            <w:noProof/>
          </w:rPr>
          <w:t>20.</w:t>
        </w:r>
        <w:r w:rsidR="00E91B23">
          <w:rPr>
            <w:rFonts w:asciiTheme="minorHAnsi" w:eastAsiaTheme="minorEastAsia" w:hAnsiTheme="minorHAnsi" w:cstheme="minorBidi"/>
            <w:caps w:val="0"/>
            <w:noProof/>
            <w:szCs w:val="22"/>
            <w:lang w:eastAsia="en-GB"/>
          </w:rPr>
          <w:tab/>
        </w:r>
        <w:r w:rsidR="00E91B23" w:rsidRPr="00F24C86">
          <w:rPr>
            <w:rStyle w:val="Hyperlink"/>
            <w:rFonts w:cs="Arial"/>
            <w:noProof/>
          </w:rPr>
          <w:t>additional information</w:t>
        </w:r>
        <w:r w:rsidR="00E91B23">
          <w:rPr>
            <w:noProof/>
            <w:webHidden/>
          </w:rPr>
          <w:tab/>
        </w:r>
        <w:r w:rsidR="00E91B23">
          <w:rPr>
            <w:noProof/>
            <w:webHidden/>
          </w:rPr>
          <w:fldChar w:fldCharType="begin"/>
        </w:r>
        <w:r w:rsidR="00E91B23">
          <w:rPr>
            <w:noProof/>
            <w:webHidden/>
          </w:rPr>
          <w:instrText xml:space="preserve"> PAGEREF _Toc444518885 \h </w:instrText>
        </w:r>
        <w:r w:rsidR="00E91B23">
          <w:rPr>
            <w:noProof/>
            <w:webHidden/>
          </w:rPr>
        </w:r>
        <w:r w:rsidR="00E91B23">
          <w:rPr>
            <w:noProof/>
            <w:webHidden/>
          </w:rPr>
          <w:fldChar w:fldCharType="separate"/>
        </w:r>
        <w:r w:rsidR="00AC6FD2">
          <w:rPr>
            <w:noProof/>
            <w:webHidden/>
          </w:rPr>
          <w:t>7</w:t>
        </w:r>
        <w:r w:rsidR="00E91B23">
          <w:rPr>
            <w:noProof/>
            <w:webHidden/>
          </w:rPr>
          <w:fldChar w:fldCharType="end"/>
        </w:r>
      </w:hyperlink>
    </w:p>
    <w:p w14:paraId="12DDB38D" w14:textId="77777777" w:rsidR="00E91B23" w:rsidRDefault="00846699">
      <w:pPr>
        <w:pStyle w:val="TOC1"/>
        <w:rPr>
          <w:rFonts w:asciiTheme="minorHAnsi" w:eastAsiaTheme="minorEastAsia" w:hAnsiTheme="minorHAnsi" w:cstheme="minorBidi"/>
          <w:caps w:val="0"/>
          <w:noProof/>
          <w:szCs w:val="22"/>
          <w:lang w:eastAsia="en-GB"/>
        </w:rPr>
      </w:pPr>
      <w:hyperlink w:anchor="_Toc444518886" w:history="1">
        <w:r w:rsidR="00E91B23" w:rsidRPr="00F24C86">
          <w:rPr>
            <w:rStyle w:val="Hyperlink"/>
            <w:noProof/>
          </w:rPr>
          <w:t>21.</w:t>
        </w:r>
        <w:r w:rsidR="00E91B23">
          <w:rPr>
            <w:rFonts w:asciiTheme="minorHAnsi" w:eastAsiaTheme="minorEastAsia" w:hAnsiTheme="minorHAnsi" w:cstheme="minorBidi"/>
            <w:caps w:val="0"/>
            <w:noProof/>
            <w:szCs w:val="22"/>
            <w:lang w:eastAsia="en-GB"/>
          </w:rPr>
          <w:tab/>
        </w:r>
        <w:r w:rsidR="00E91B23" w:rsidRPr="00F24C86">
          <w:rPr>
            <w:rStyle w:val="Hyperlink"/>
            <w:noProof/>
          </w:rPr>
          <w:t>Location</w:t>
        </w:r>
        <w:r w:rsidR="00E91B23">
          <w:rPr>
            <w:noProof/>
            <w:webHidden/>
          </w:rPr>
          <w:tab/>
        </w:r>
        <w:r w:rsidR="00E91B23">
          <w:rPr>
            <w:noProof/>
            <w:webHidden/>
          </w:rPr>
          <w:fldChar w:fldCharType="begin"/>
        </w:r>
        <w:r w:rsidR="00E91B23">
          <w:rPr>
            <w:noProof/>
            <w:webHidden/>
          </w:rPr>
          <w:instrText xml:space="preserve"> PAGEREF _Toc444518886 \h </w:instrText>
        </w:r>
        <w:r w:rsidR="00E91B23">
          <w:rPr>
            <w:noProof/>
            <w:webHidden/>
          </w:rPr>
        </w:r>
        <w:r w:rsidR="00E91B23">
          <w:rPr>
            <w:noProof/>
            <w:webHidden/>
          </w:rPr>
          <w:fldChar w:fldCharType="separate"/>
        </w:r>
        <w:r w:rsidR="00AC6FD2">
          <w:rPr>
            <w:noProof/>
            <w:webHidden/>
          </w:rPr>
          <w:t>7</w:t>
        </w:r>
        <w:r w:rsidR="00E91B23">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 w:name="_GoBack"/>
      <w:bookmarkEnd w:id="1"/>
    </w:p>
    <w:p w14:paraId="089BA052" w14:textId="45B89B1B" w:rsidR="00934B2A" w:rsidRPr="00934B2A" w:rsidRDefault="00FE18AC" w:rsidP="00934B2A">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44518866"/>
      <w:r w:rsidRPr="00934B2A">
        <w:rPr>
          <w:caps w:val="0"/>
          <w:szCs w:val="22"/>
        </w:rPr>
        <w:lastRenderedPageBreak/>
        <w:t>PURPOSE</w:t>
      </w:r>
      <w:bookmarkStart w:id="4" w:name="_Toc296415791"/>
      <w:bookmarkEnd w:id="0"/>
      <w:bookmarkEnd w:id="2"/>
      <w:bookmarkEnd w:id="3"/>
    </w:p>
    <w:p w14:paraId="3BDB92AC" w14:textId="1BC4A694" w:rsidR="00FE18AC" w:rsidRPr="00934B2A" w:rsidRDefault="00A117ED" w:rsidP="00934B2A">
      <w:pPr>
        <w:pStyle w:val="Heading2"/>
        <w:tabs>
          <w:tab w:val="clear" w:pos="1430"/>
          <w:tab w:val="num" w:pos="720"/>
        </w:tabs>
        <w:ind w:left="720"/>
        <w:rPr>
          <w:szCs w:val="22"/>
        </w:rPr>
      </w:pPr>
      <w:r w:rsidRPr="00934B2A">
        <w:rPr>
          <w:rFonts w:cs="Arial"/>
          <w:szCs w:val="22"/>
        </w:rPr>
        <w:t xml:space="preserve">The College of Policing seeks to procure the expertise of a potential provider with experience of strategy, prioritisation, performance management and the policing landscape. The requirement is </w:t>
      </w:r>
      <w:r w:rsidR="007F28DD">
        <w:rPr>
          <w:rFonts w:cs="Arial"/>
          <w:szCs w:val="22"/>
        </w:rPr>
        <w:t xml:space="preserve">to </w:t>
      </w:r>
      <w:r w:rsidRPr="00934B2A">
        <w:rPr>
          <w:rFonts w:cs="Arial"/>
          <w:szCs w:val="22"/>
        </w:rPr>
        <w:t>employ a strategy mapping methodology that identifies what the College and its key stakeholders perceive as priorities and key challenges for the organisation. A clear articulation of the findings of the methodology is also required</w:t>
      </w:r>
      <w:r w:rsidR="00934B2A" w:rsidRPr="00934B2A">
        <w:rPr>
          <w:rFonts w:cs="Arial"/>
          <w:szCs w:val="22"/>
        </w:rPr>
        <w:t>.</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5" w:name="_Toc368573028"/>
      <w:bookmarkStart w:id="6" w:name="_Toc444518867"/>
      <w:bookmarkStart w:id="7" w:name="_Toc297554773"/>
      <w:bookmarkStart w:id="8" w:name="_Toc296415805"/>
      <w:bookmarkStart w:id="9" w:name="_Toc296415793"/>
      <w:bookmarkEnd w:id="4"/>
      <w:r w:rsidRPr="004E78BC">
        <w:rPr>
          <w:szCs w:val="22"/>
        </w:rPr>
        <w:t>BACKGROUND TO THE CONTRACTING aUTHORITY</w:t>
      </w:r>
      <w:bookmarkEnd w:id="5"/>
      <w:bookmarkEnd w:id="6"/>
    </w:p>
    <w:p w14:paraId="3D1977ED" w14:textId="5E66C115" w:rsidR="00671798" w:rsidRPr="00A117ED" w:rsidRDefault="00A117ED" w:rsidP="00934B2A">
      <w:pPr>
        <w:pStyle w:val="Heading2"/>
        <w:spacing w:after="120"/>
        <w:ind w:left="709" w:hanging="709"/>
      </w:pPr>
      <w:r w:rsidRPr="002C3AAB">
        <w:t>The College of Policing is the profess</w:t>
      </w:r>
      <w:r>
        <w:t>ional body for policing. It has</w:t>
      </w:r>
      <w:r w:rsidRPr="002C3AAB">
        <w:t xml:space="preserve"> a mandate to set standards in professional development, including codes of practice and regulations, to ensure consistency across the 43 forces in England and Wales. We also have a remit to set standards for the police service on training, develop</w:t>
      </w:r>
      <w:r>
        <w:t>ment, skills and qualifications</w:t>
      </w:r>
      <w:r w:rsidRPr="002C3AAB">
        <w:t xml:space="preserve"> and we provide support to help the service implement these standards. Further information is available on the College website: </w:t>
      </w:r>
      <w:hyperlink r:id="rId8" w:history="1">
        <w:r w:rsidRPr="00E6749C">
          <w:rPr>
            <w:rStyle w:val="Hyperlink"/>
          </w:rPr>
          <w:t>www.college.police.uk</w:t>
        </w:r>
      </w:hyperlink>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44518868"/>
      <w:r>
        <w:rPr>
          <w:szCs w:val="22"/>
        </w:rPr>
        <w:t>Background to requirement/</w:t>
      </w:r>
      <w:r w:rsidRPr="002C546C">
        <w:rPr>
          <w:szCs w:val="22"/>
        </w:rPr>
        <w:t>OVERVIEW</w:t>
      </w:r>
      <w:bookmarkEnd w:id="7"/>
      <w:r>
        <w:rPr>
          <w:szCs w:val="22"/>
        </w:rPr>
        <w:t xml:space="preserve"> of requirement</w:t>
      </w:r>
      <w:bookmarkEnd w:id="10"/>
      <w:bookmarkEnd w:id="11"/>
    </w:p>
    <w:p w14:paraId="6E29F81E" w14:textId="5EE0CA41" w:rsidR="00A117ED" w:rsidRPr="00A117ED" w:rsidRDefault="00A117ED" w:rsidP="00A117ED">
      <w:pPr>
        <w:pStyle w:val="Heading2"/>
        <w:spacing w:after="120"/>
        <w:ind w:left="709" w:hanging="709"/>
        <w:rPr>
          <w:rFonts w:cs="Arial"/>
          <w:szCs w:val="22"/>
        </w:rPr>
      </w:pPr>
      <w:bookmarkStart w:id="12" w:name="_Toc297554774"/>
      <w:bookmarkEnd w:id="8"/>
      <w:r>
        <w:rPr>
          <w:rFonts w:cs="Arial"/>
          <w:szCs w:val="22"/>
        </w:rPr>
        <w:t xml:space="preserve"> </w:t>
      </w:r>
      <w:r w:rsidRPr="00A117ED">
        <w:rPr>
          <w:rFonts w:cs="Arial"/>
          <w:szCs w:val="22"/>
        </w:rPr>
        <w:t>The College of Policing is a relatively new body which has now established itself in the policing landscape (in the judgement of the Home Affairs Select Committee). However the College operates in a complex stakeholder environment where it must respond and address challenges and priorities created by a range of actors including the Home Office, Police and Crime Commissioners, Chief Constables and the College’s wider membership (i.e. the policing workforce). In its initial phase, the College’s approach has been to define its work broadly under headings of knowledge, education and standards, accepting that the breadth of this vision will create competing priorities between standards/guidance creation, training delivery and bui</w:t>
      </w:r>
      <w:r>
        <w:rPr>
          <w:rFonts w:cs="Arial"/>
          <w:szCs w:val="22"/>
        </w:rPr>
        <w:t>lding a policing evidence base.</w:t>
      </w:r>
    </w:p>
    <w:p w14:paraId="0832A195" w14:textId="3F6607F9" w:rsidR="00A117ED" w:rsidRPr="00A117ED" w:rsidRDefault="00A117ED" w:rsidP="00A117ED">
      <w:pPr>
        <w:pStyle w:val="Heading2"/>
        <w:spacing w:after="120"/>
        <w:ind w:left="709" w:hanging="709"/>
        <w:rPr>
          <w:rFonts w:cs="Arial"/>
          <w:szCs w:val="22"/>
        </w:rPr>
      </w:pPr>
      <w:r w:rsidRPr="00A117ED">
        <w:rPr>
          <w:rFonts w:cs="Arial"/>
          <w:szCs w:val="22"/>
        </w:rPr>
        <w:t xml:space="preserve">A new Chair of the College Board and Chief Executive Officer have both been appointed in the last three months and are of the strong view that in the next phase of its development the College must further reform its purpose, vision, structure and ways of working in order to build agility, capability and therefore ability to achieve its objectives in a timely and efficient manner.  </w:t>
      </w:r>
    </w:p>
    <w:p w14:paraId="1BE384B2" w14:textId="7AB8F909" w:rsidR="00A117ED" w:rsidRPr="00A117ED" w:rsidRDefault="00A117ED" w:rsidP="00A117ED">
      <w:pPr>
        <w:pStyle w:val="Heading2"/>
        <w:spacing w:after="120"/>
        <w:ind w:left="709" w:hanging="709"/>
        <w:rPr>
          <w:rFonts w:cs="Arial"/>
          <w:szCs w:val="22"/>
        </w:rPr>
      </w:pPr>
      <w:r w:rsidRPr="00A117ED">
        <w:rPr>
          <w:rFonts w:cs="Arial"/>
          <w:szCs w:val="22"/>
        </w:rPr>
        <w:t xml:space="preserve">The stakeholder environment across policing creates an imperative for a collaborative approach to successful change management. For the College to fulfil its role as an engine of police reform it must achieve internal clarity on its direction, role and priorities and before successfully communicating that vision to partner organisations and front line policing. In order to achieve these goals, the College must employ a strategy mapping methodology that identifies what the College and its key stakeholders perceive as priorities and key challenges for the organisation. A clear articulation of the findings of the methodology is also required. The consultancy will deliver a strategic map which will describe the College’s vision, its delivery and how it will achieve value for money. In order to ensure clarity in the communication of the plan the methodology will distil various pieces of internal and external information into a schematic on a page. The consultancy will also deliver a transfer of knowledge to the College to ensure the process for embedding this strategic plan throughout the organisation is understood. This will include the identification of key performance indicators that will drive effective performance management and enable more efficient resource alignment against the strategic priorities. </w:t>
      </w:r>
    </w:p>
    <w:p w14:paraId="2C91056A" w14:textId="0B904F37" w:rsidR="00A117ED" w:rsidRPr="00A117ED" w:rsidRDefault="00A117ED" w:rsidP="00A117ED">
      <w:pPr>
        <w:pStyle w:val="Heading2"/>
        <w:spacing w:after="120"/>
        <w:ind w:left="709" w:hanging="709"/>
        <w:rPr>
          <w:rFonts w:cs="Arial"/>
          <w:szCs w:val="22"/>
        </w:rPr>
      </w:pPr>
      <w:r w:rsidRPr="00A117ED">
        <w:rPr>
          <w:rFonts w:cs="Arial"/>
          <w:szCs w:val="22"/>
        </w:rPr>
        <w:lastRenderedPageBreak/>
        <w:t>The delivery of this project will enable a clearer understanding and articulation of the College’s priorities, more effective performance management and efficient use of College resource. In turn, this will lead to more successful and sustainable sector led improvement in policing linked to a more collaborative approach to change management.</w:t>
      </w:r>
    </w:p>
    <w:p w14:paraId="7DC4C8C2" w14:textId="7FFADC08" w:rsidR="00A117ED" w:rsidRPr="00A117ED" w:rsidRDefault="00A117ED" w:rsidP="00A117ED">
      <w:pPr>
        <w:pStyle w:val="Heading2"/>
        <w:spacing w:after="120"/>
        <w:ind w:left="709" w:hanging="709"/>
        <w:rPr>
          <w:rFonts w:cs="Arial"/>
          <w:szCs w:val="22"/>
        </w:rPr>
      </w:pPr>
      <w:r w:rsidRPr="00A117ED">
        <w:rPr>
          <w:rFonts w:cs="Arial"/>
          <w:szCs w:val="22"/>
        </w:rPr>
        <w:t>Since its inception in 2013, the College’s areas of focus have been building the internal infrastructure of organisation, establishing itself within the policing landscape, and delivering essential work to support the policing profession. During its first year the College utilised consultancy services to deliver a specific change management programme centred around the transfer of responsibilities from predecessor organisations and the establishment of baseline functions for a new organisation, including its pay and reward framework (subject to a submission in 2014). This change management programme and the use of associated consultancy was completed by 2015.</w:t>
      </w:r>
    </w:p>
    <w:p w14:paraId="0156C446" w14:textId="77777777" w:rsidR="00A117ED" w:rsidRPr="00A117ED" w:rsidRDefault="00A117ED" w:rsidP="00A117ED">
      <w:pPr>
        <w:pStyle w:val="Heading2"/>
        <w:spacing w:after="120"/>
        <w:ind w:left="709" w:hanging="709"/>
        <w:rPr>
          <w:rFonts w:cs="Arial"/>
          <w:szCs w:val="22"/>
        </w:rPr>
      </w:pPr>
      <w:r w:rsidRPr="00A117ED">
        <w:rPr>
          <w:rFonts w:cs="Arial"/>
          <w:szCs w:val="22"/>
        </w:rPr>
        <w:t>Following the establishment of the College, further work on developing the organisational strategy and vision has been delivered internally without consultancy support. A clearer articulation of strategic purpose and functions was undertaken in 2016. A core narrative was produced to describe the multiple priorities the organisation has pursued since its establishment. While providing a helpful starting point for additional consideration, the core narrative work did not seek to prioritise the organisation’s work but to assimilate all of the delivery into clearer description. This work has now outlived its usefulness and there is an urgent need to achieve shared clarity with stakeholders on a set of priorities which can inform resourcing decisions and performance management across the College.</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3" w:name="_Toc444518869"/>
      <w:bookmarkStart w:id="14" w:name="_Toc368573030"/>
      <w:r>
        <w:rPr>
          <w:szCs w:val="22"/>
        </w:rPr>
        <w:t>definitions</w:t>
      </w:r>
      <w:bookmarkEnd w:id="13"/>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A117ED">
        <w:tc>
          <w:tcPr>
            <w:tcW w:w="1841" w:type="dxa"/>
            <w:shd w:val="clear" w:color="auto" w:fill="C6D9F1" w:themeFill="text2" w:themeFillTint="33"/>
          </w:tcPr>
          <w:p w14:paraId="2E04E555" w14:textId="1E410DA5" w:rsidR="00106F24" w:rsidRPr="00D3674E" w:rsidRDefault="00106F24" w:rsidP="0081061A">
            <w:pPr>
              <w:pStyle w:val="Heading2"/>
              <w:numPr>
                <w:ilvl w:val="0"/>
                <w:numId w:val="0"/>
              </w:numPr>
              <w:spacing w:after="120"/>
              <w:ind w:left="18" w:hanging="18"/>
              <w:jc w:val="left"/>
              <w:outlineLvl w:val="1"/>
            </w:pPr>
            <w:r w:rsidRPr="00D3674E">
              <w:t>Expression</w:t>
            </w:r>
            <w:r w:rsidR="0081061A" w:rsidRPr="00D3674E">
              <w:t xml:space="preserve"> or </w:t>
            </w:r>
            <w:r w:rsidRPr="00D3674E">
              <w:t>Acronym</w:t>
            </w:r>
          </w:p>
        </w:tc>
        <w:tc>
          <w:tcPr>
            <w:tcW w:w="6458" w:type="dxa"/>
            <w:shd w:val="clear" w:color="auto" w:fill="C6D9F1" w:themeFill="text2" w:themeFillTint="33"/>
          </w:tcPr>
          <w:p w14:paraId="0CDEAA6D" w14:textId="00739683" w:rsidR="00106F24" w:rsidRPr="00D3674E" w:rsidRDefault="00106F24" w:rsidP="0081061A">
            <w:pPr>
              <w:pStyle w:val="Heading2"/>
              <w:numPr>
                <w:ilvl w:val="0"/>
                <w:numId w:val="0"/>
              </w:numPr>
              <w:spacing w:after="120"/>
              <w:ind w:left="720" w:hanging="720"/>
              <w:outlineLvl w:val="1"/>
            </w:pPr>
            <w:r w:rsidRPr="00D3674E">
              <w:t>Definition</w:t>
            </w:r>
          </w:p>
        </w:tc>
      </w:tr>
      <w:tr w:rsidR="00106F24" w14:paraId="722819D3" w14:textId="77777777" w:rsidTr="00A117ED">
        <w:tc>
          <w:tcPr>
            <w:tcW w:w="1841" w:type="dxa"/>
          </w:tcPr>
          <w:p w14:paraId="18A7B53F" w14:textId="0DE8472E" w:rsidR="00106F24" w:rsidRPr="00D3674E" w:rsidRDefault="00A117ED" w:rsidP="00A117ED">
            <w:pPr>
              <w:pStyle w:val="Heading2"/>
              <w:numPr>
                <w:ilvl w:val="0"/>
                <w:numId w:val="0"/>
              </w:numPr>
              <w:spacing w:after="120"/>
              <w:ind w:left="720" w:hanging="720"/>
              <w:outlineLvl w:val="1"/>
            </w:pPr>
            <w:r w:rsidRPr="00D3674E">
              <w:t>ALB</w:t>
            </w:r>
          </w:p>
        </w:tc>
        <w:tc>
          <w:tcPr>
            <w:tcW w:w="6458" w:type="dxa"/>
          </w:tcPr>
          <w:p w14:paraId="74E0E117" w14:textId="3685D1F8" w:rsidR="00106F24" w:rsidRPr="00D3674E" w:rsidRDefault="00A117ED" w:rsidP="0081061A">
            <w:pPr>
              <w:pStyle w:val="Heading2"/>
              <w:numPr>
                <w:ilvl w:val="0"/>
                <w:numId w:val="0"/>
              </w:numPr>
              <w:spacing w:after="120"/>
              <w:outlineLvl w:val="1"/>
            </w:pPr>
            <w:r w:rsidRPr="00D3674E">
              <w:t>Arm’s Length Body</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444518870"/>
      <w:r w:rsidRPr="00B9425F">
        <w:rPr>
          <w:szCs w:val="22"/>
        </w:rPr>
        <w:t>scope of requirement</w:t>
      </w:r>
      <w:bookmarkEnd w:id="12"/>
      <w:bookmarkEnd w:id="14"/>
      <w:bookmarkEnd w:id="15"/>
      <w:r w:rsidRPr="00B9425F">
        <w:rPr>
          <w:szCs w:val="22"/>
        </w:rPr>
        <w:t xml:space="preserve"> </w:t>
      </w:r>
    </w:p>
    <w:p w14:paraId="1271478A" w14:textId="63D0ED5D" w:rsidR="00D3674E" w:rsidRDefault="00AD3099" w:rsidP="007F28DD">
      <w:pPr>
        <w:pStyle w:val="Heading2"/>
      </w:pPr>
      <w:bookmarkStart w:id="16" w:name="_Toc368573031"/>
      <w:bookmarkStart w:id="17" w:name="_Toc444518871"/>
      <w:bookmarkEnd w:id="9"/>
      <w:r w:rsidRPr="007F28DD">
        <w:rPr>
          <w:b/>
        </w:rPr>
        <w:t xml:space="preserve">Review of </w:t>
      </w:r>
      <w:r w:rsidR="00D3674E" w:rsidRPr="007F28DD">
        <w:rPr>
          <w:b/>
        </w:rPr>
        <w:t>Documents:</w:t>
      </w:r>
      <w:r w:rsidR="00D3674E">
        <w:t xml:space="preserve"> high-level review of internal College and external documents relevant to the organisation’s strategy, purpose and prioritisation.</w:t>
      </w:r>
      <w:r w:rsidR="00861336">
        <w:t xml:space="preserve"> These include the College’s Five Year Strategy, core narrative, business plans, the Workforce Transformation Narrative and concordats with other bodies. Many of these documents are available on the College’s website here: </w:t>
      </w:r>
      <w:hyperlink r:id="rId9" w:history="1">
        <w:r w:rsidR="00861336" w:rsidRPr="007F28DD">
          <w:t>http://www.college.police.uk/About/Pages/default.aspx</w:t>
        </w:r>
      </w:hyperlink>
      <w:r w:rsidR="00861336">
        <w:t>. Other external documentation will include the Policing Vision 2025, the NPCC/IOPC/HMIC delivery plans and the Strategic Policing Requirement.</w:t>
      </w:r>
    </w:p>
    <w:p w14:paraId="7F009A1C" w14:textId="45F942B2" w:rsidR="00D3674E" w:rsidRDefault="00D3674E" w:rsidP="007F28DD">
      <w:pPr>
        <w:pStyle w:val="Heading2"/>
      </w:pPr>
      <w:r w:rsidRPr="007F28DD">
        <w:rPr>
          <w:b/>
        </w:rPr>
        <w:t>Stakeholder environment</w:t>
      </w:r>
      <w:r w:rsidRPr="007F28DD">
        <w:t>:</w:t>
      </w:r>
      <w:r>
        <w:t xml:space="preserve"> assessment of the College’s stakeholders and their requirements and expectations of the College. </w:t>
      </w:r>
    </w:p>
    <w:p w14:paraId="0036AF39" w14:textId="06DD45F3" w:rsidR="00D3674E" w:rsidRPr="00F42B1C" w:rsidRDefault="00D3674E" w:rsidP="007F28DD">
      <w:pPr>
        <w:pStyle w:val="Heading2"/>
      </w:pPr>
      <w:r w:rsidRPr="007F28DD">
        <w:rPr>
          <w:b/>
        </w:rPr>
        <w:t>Prioritisation:</w:t>
      </w:r>
      <w:r w:rsidRPr="007F28DD">
        <w:t xml:space="preserve"> Review of current prioritisation of College activity and future requirements.</w:t>
      </w:r>
    </w:p>
    <w:p w14:paraId="4CECDCB9" w14:textId="7E1AE09C" w:rsidR="00D3674E" w:rsidRPr="00AD3099" w:rsidRDefault="00D3674E" w:rsidP="007F28DD">
      <w:pPr>
        <w:pStyle w:val="Heading2"/>
      </w:pPr>
      <w:r w:rsidRPr="007F28DD">
        <w:rPr>
          <w:b/>
        </w:rPr>
        <w:lastRenderedPageBreak/>
        <w:t>Best Practice Guide:</w:t>
      </w:r>
      <w:r w:rsidRPr="007F28DD">
        <w:t xml:space="preserve">  the inclusion of a “Best Practice” type guide that can be shared across </w:t>
      </w:r>
      <w:r w:rsidR="00AD3099" w:rsidRPr="007F28DD">
        <w:t>the College for future development of the work.</w:t>
      </w:r>
    </w:p>
    <w:p w14:paraId="4DA99736" w14:textId="36C2A039" w:rsidR="00AD3099" w:rsidRPr="007F28DD" w:rsidRDefault="00AD3099" w:rsidP="007F28DD">
      <w:pPr>
        <w:pStyle w:val="Heading2"/>
      </w:pPr>
      <w:r w:rsidRPr="007F28DD">
        <w:rPr>
          <w:b/>
        </w:rPr>
        <w:t>Plan on page:</w:t>
      </w:r>
      <w:r w:rsidRPr="007F28DD">
        <w:t xml:space="preserve"> </w:t>
      </w:r>
      <w:r>
        <w:t>Distillation of work into a plan on a p</w:t>
      </w:r>
      <w:r w:rsidR="00861336">
        <w:t xml:space="preserve">age document that can be shared </w:t>
      </w:r>
      <w:r>
        <w:t>internally and externally</w:t>
      </w:r>
      <w:r w:rsidR="00861336">
        <w:t xml:space="preserve"> as part of presentations and through communication channels such as the College of Policing website</w:t>
      </w:r>
      <w:r>
        <w:t>.</w:t>
      </w:r>
    </w:p>
    <w:p w14:paraId="2CB6BBB2" w14:textId="77777777" w:rsidR="00AD3099" w:rsidRDefault="00FE18AC" w:rsidP="00AD3099">
      <w:pPr>
        <w:pStyle w:val="Heading1"/>
        <w:spacing w:after="120"/>
      </w:pPr>
      <w:r w:rsidRPr="00BE6EE0">
        <w:t>The requiremen</w:t>
      </w:r>
      <w:bookmarkStart w:id="18" w:name="_Toc368573032"/>
      <w:bookmarkStart w:id="19" w:name="_Toc444518872"/>
      <w:bookmarkEnd w:id="16"/>
      <w:bookmarkEnd w:id="17"/>
      <w:r w:rsidR="00AD3099">
        <w:t>T</w:t>
      </w:r>
    </w:p>
    <w:p w14:paraId="0EBB5E65" w14:textId="560A8329" w:rsidR="00EF172E" w:rsidRPr="00EF172E" w:rsidRDefault="00AD3099" w:rsidP="00AD3099">
      <w:pPr>
        <w:pStyle w:val="Heading2"/>
        <w:rPr>
          <w:b/>
          <w:caps/>
        </w:rPr>
      </w:pPr>
      <w:r w:rsidRPr="00AD3099">
        <w:t xml:space="preserve">The </w:t>
      </w:r>
      <w:r w:rsidR="00AC6FD2">
        <w:t xml:space="preserve">Potential Provider </w:t>
      </w:r>
      <w:r w:rsidRPr="00AD3099">
        <w:t xml:space="preserve">will deliver a strategic map which will describe the College’s vision, its delivery and how it will achieve value for money. In order to ensure clarity in the communication of the plan the methodology will </w:t>
      </w:r>
      <w:r w:rsidR="00EF172E">
        <w:t xml:space="preserve">review </w:t>
      </w:r>
      <w:r w:rsidRPr="00AD3099">
        <w:t xml:space="preserve">various pieces of internal and external information </w:t>
      </w:r>
      <w:r w:rsidR="00EF172E">
        <w:t>including:</w:t>
      </w:r>
    </w:p>
    <w:p w14:paraId="2095EB58" w14:textId="10D9AE80" w:rsidR="00EF172E" w:rsidRDefault="007F28DD" w:rsidP="006E1120">
      <w:pPr>
        <w:pStyle w:val="Heading3"/>
      </w:pPr>
      <w:r>
        <w:t>H</w:t>
      </w:r>
      <w:r w:rsidR="00EF172E">
        <w:t>igh-level review of internal College and external documents relevant to the organisation’s strategy, purpose and prioritisation</w:t>
      </w:r>
      <w:r>
        <w:t>.</w:t>
      </w:r>
    </w:p>
    <w:p w14:paraId="65B48205" w14:textId="741F3CE5" w:rsidR="00EF172E" w:rsidRDefault="007F28DD" w:rsidP="006E1120">
      <w:pPr>
        <w:pStyle w:val="Heading3"/>
      </w:pPr>
      <w:r>
        <w:t>A</w:t>
      </w:r>
      <w:r w:rsidR="00EF172E">
        <w:t>ssessment of the College’s stakeholders’ requirements and expectations</w:t>
      </w:r>
      <w:r w:rsidR="00587A68">
        <w:t xml:space="preserve"> through stakeholder interviews and review of key stakeholder documentation</w:t>
      </w:r>
      <w:r w:rsidR="00EF172E">
        <w:t>.</w:t>
      </w:r>
    </w:p>
    <w:p w14:paraId="5B258F11" w14:textId="1A62AF62" w:rsidR="00EF172E" w:rsidRPr="00EF172E" w:rsidRDefault="00EF172E" w:rsidP="006E1120">
      <w:pPr>
        <w:pStyle w:val="Heading3"/>
      </w:pPr>
      <w:r w:rsidRPr="006E1120">
        <w:t>Current prioritisation of College activity and future requirements</w:t>
      </w:r>
      <w:r w:rsidR="00587A68" w:rsidRPr="006E1120">
        <w:t xml:space="preserve"> through assessment of business plans and expectations</w:t>
      </w:r>
      <w:r w:rsidRPr="006E1120">
        <w:t>.</w:t>
      </w:r>
    </w:p>
    <w:p w14:paraId="65FF123C" w14:textId="4451673F" w:rsidR="00587A68" w:rsidRPr="00587A68" w:rsidRDefault="00EF172E" w:rsidP="00587A68">
      <w:pPr>
        <w:pStyle w:val="Heading2"/>
        <w:rPr>
          <w:b/>
          <w:caps/>
        </w:rPr>
      </w:pPr>
      <w:r>
        <w:t xml:space="preserve">This information will be distilled </w:t>
      </w:r>
      <w:r w:rsidR="00AD3099" w:rsidRPr="00AD3099">
        <w:t>into a schematic on a page</w:t>
      </w:r>
      <w:r>
        <w:t xml:space="preserve">, which can be shared internally and externally. </w:t>
      </w:r>
    </w:p>
    <w:p w14:paraId="4C64CBD9" w14:textId="682F3D69" w:rsidR="00587A68" w:rsidRPr="00587A68" w:rsidRDefault="00587A68" w:rsidP="00587A68">
      <w:pPr>
        <w:pStyle w:val="Heading2"/>
        <w:rPr>
          <w:b/>
          <w:caps/>
        </w:rPr>
      </w:pPr>
      <w:r>
        <w:t xml:space="preserve">The </w:t>
      </w:r>
      <w:r w:rsidR="00AC6FD2">
        <w:t>Potential Provider</w:t>
      </w:r>
      <w:r>
        <w:t xml:space="preserve"> will deliver a presentation of their findings, the draft report and schematic to the College’s Executive team in week 7 of the contract</w:t>
      </w:r>
      <w:r w:rsidR="00E53D4F">
        <w:t xml:space="preserve">. The presentation will include a synopsis of their methodology, a discussion of key findings and recommendations for the Executive to embed the work within the organisation. </w:t>
      </w:r>
      <w:r w:rsidR="00A57291">
        <w:t>The final report will be completed and produced by week 8 of this requirement.</w:t>
      </w:r>
    </w:p>
    <w:p w14:paraId="1F65A92F" w14:textId="0C4DE97A" w:rsidR="00EF172E" w:rsidRPr="00EF172E" w:rsidRDefault="00AD3099" w:rsidP="00AD3099">
      <w:pPr>
        <w:pStyle w:val="Heading2"/>
        <w:rPr>
          <w:b/>
          <w:caps/>
        </w:rPr>
      </w:pPr>
      <w:r w:rsidRPr="00AD3099">
        <w:t xml:space="preserve">The </w:t>
      </w:r>
      <w:r w:rsidR="00AC6FD2">
        <w:t>Potential Provider</w:t>
      </w:r>
      <w:r w:rsidRPr="00AD3099">
        <w:t xml:space="preserve"> will also deliver a transfer of knowledge to the College to ensure the process for embedding this strategic plan throughout the organisation is understood. This will include the identification of key performance indicators that will drive effective performance management and enable more efficient resource alignment against the strategic priorities. </w:t>
      </w:r>
    </w:p>
    <w:p w14:paraId="35734D9E" w14:textId="1A182A5F" w:rsidR="00671798" w:rsidRPr="00EF172E" w:rsidRDefault="00FE18AC" w:rsidP="00EF172E">
      <w:pPr>
        <w:pStyle w:val="Heading1"/>
        <w:spacing w:after="120"/>
      </w:pPr>
      <w:r w:rsidRPr="00AD3099">
        <w:t>key milestones</w:t>
      </w:r>
      <w:bookmarkEnd w:id="18"/>
      <w:bookmarkEnd w:id="19"/>
      <w:r w:rsidR="00AD3099" w:rsidRPr="00AD3099">
        <w:t>.</w:t>
      </w:r>
    </w:p>
    <w:p w14:paraId="4D0E0CBA" w14:textId="33DF39C6" w:rsidR="00FE18AC" w:rsidRPr="00CA3806" w:rsidRDefault="003438D3" w:rsidP="008F3470">
      <w:pPr>
        <w:pStyle w:val="Heading2"/>
        <w:tabs>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934B2A" w:rsidRDefault="00FE18AC">
            <w:pPr>
              <w:pStyle w:val="Heading3"/>
              <w:numPr>
                <w:ilvl w:val="0"/>
                <w:numId w:val="0"/>
              </w:numPr>
              <w:spacing w:after="120"/>
              <w:jc w:val="center"/>
              <w:outlineLvl w:val="2"/>
              <w:rPr>
                <w:b/>
                <w:szCs w:val="24"/>
              </w:rPr>
            </w:pPr>
            <w:r w:rsidRPr="00934B2A">
              <w:rPr>
                <w:b/>
              </w:rPr>
              <w:t>Milestone</w:t>
            </w:r>
          </w:p>
        </w:tc>
        <w:tc>
          <w:tcPr>
            <w:tcW w:w="2480" w:type="pct"/>
            <w:shd w:val="clear" w:color="auto" w:fill="C6D9F1" w:themeFill="text2" w:themeFillTint="33"/>
            <w:vAlign w:val="center"/>
          </w:tcPr>
          <w:p w14:paraId="55754382" w14:textId="77777777" w:rsidR="00671798" w:rsidRPr="00934B2A" w:rsidRDefault="00FE18AC">
            <w:pPr>
              <w:pStyle w:val="Heading3"/>
              <w:numPr>
                <w:ilvl w:val="0"/>
                <w:numId w:val="0"/>
              </w:numPr>
              <w:spacing w:after="120"/>
              <w:jc w:val="center"/>
              <w:outlineLvl w:val="2"/>
              <w:rPr>
                <w:b/>
                <w:szCs w:val="24"/>
              </w:rPr>
            </w:pPr>
            <w:r w:rsidRPr="00934B2A">
              <w:rPr>
                <w:b/>
              </w:rPr>
              <w:t>Description</w:t>
            </w:r>
          </w:p>
        </w:tc>
        <w:tc>
          <w:tcPr>
            <w:tcW w:w="1622" w:type="pct"/>
            <w:shd w:val="clear" w:color="auto" w:fill="C6D9F1" w:themeFill="text2" w:themeFillTint="33"/>
            <w:vAlign w:val="center"/>
          </w:tcPr>
          <w:p w14:paraId="0EABB2D0" w14:textId="77777777" w:rsidR="00671798" w:rsidRPr="00934B2A" w:rsidRDefault="00FE18AC">
            <w:pPr>
              <w:pStyle w:val="Heading3"/>
              <w:numPr>
                <w:ilvl w:val="0"/>
                <w:numId w:val="0"/>
              </w:numPr>
              <w:spacing w:after="120"/>
              <w:jc w:val="center"/>
              <w:outlineLvl w:val="2"/>
              <w:rPr>
                <w:b/>
                <w:szCs w:val="24"/>
              </w:rPr>
            </w:pPr>
            <w:r w:rsidRPr="00934B2A">
              <w:rPr>
                <w:b/>
              </w:rPr>
              <w:t>Timeframe</w:t>
            </w:r>
          </w:p>
        </w:tc>
      </w:tr>
      <w:tr w:rsidR="00934B2A" w:rsidRPr="00297CF4" w14:paraId="2B6EAC37" w14:textId="77777777" w:rsidTr="00E245A6">
        <w:tc>
          <w:tcPr>
            <w:tcW w:w="898" w:type="pct"/>
            <w:vAlign w:val="center"/>
          </w:tcPr>
          <w:p w14:paraId="13176D62" w14:textId="77777777" w:rsidR="00934B2A" w:rsidRPr="00934B2A" w:rsidRDefault="00934B2A" w:rsidP="00934B2A">
            <w:pPr>
              <w:pStyle w:val="Heading3"/>
              <w:numPr>
                <w:ilvl w:val="0"/>
                <w:numId w:val="0"/>
              </w:numPr>
              <w:spacing w:after="120"/>
              <w:jc w:val="center"/>
              <w:outlineLvl w:val="2"/>
              <w:rPr>
                <w:szCs w:val="24"/>
              </w:rPr>
            </w:pPr>
            <w:r w:rsidRPr="00934B2A">
              <w:t>1</w:t>
            </w:r>
          </w:p>
        </w:tc>
        <w:tc>
          <w:tcPr>
            <w:tcW w:w="2480" w:type="pct"/>
            <w:vAlign w:val="center"/>
          </w:tcPr>
          <w:p w14:paraId="04CC1243" w14:textId="653F3E58" w:rsidR="00934B2A" w:rsidRDefault="00934B2A" w:rsidP="00934B2A">
            <w:pPr>
              <w:pStyle w:val="Heading3"/>
              <w:numPr>
                <w:ilvl w:val="0"/>
                <w:numId w:val="0"/>
              </w:numPr>
              <w:spacing w:after="120"/>
              <w:jc w:val="left"/>
              <w:outlineLvl w:val="2"/>
              <w:rPr>
                <w:szCs w:val="24"/>
                <w:highlight w:val="yellow"/>
              </w:rPr>
            </w:pPr>
            <w:r w:rsidRPr="00EC5CD7">
              <w:t>Provider to attend start up meeting at the College of Policing</w:t>
            </w:r>
          </w:p>
        </w:tc>
        <w:tc>
          <w:tcPr>
            <w:tcW w:w="1622" w:type="pct"/>
            <w:vAlign w:val="center"/>
          </w:tcPr>
          <w:p w14:paraId="23E536A9" w14:textId="4769B010" w:rsidR="00934B2A" w:rsidRDefault="00934B2A" w:rsidP="00934B2A">
            <w:pPr>
              <w:pStyle w:val="Heading3"/>
              <w:numPr>
                <w:ilvl w:val="0"/>
                <w:numId w:val="0"/>
              </w:numPr>
              <w:spacing w:after="120"/>
              <w:jc w:val="center"/>
              <w:outlineLvl w:val="2"/>
              <w:rPr>
                <w:szCs w:val="24"/>
                <w:highlight w:val="yellow"/>
              </w:rPr>
            </w:pPr>
            <w:r w:rsidRPr="00EC5CD7">
              <w:t xml:space="preserve">Within week 1 of Contract Award </w:t>
            </w:r>
          </w:p>
        </w:tc>
      </w:tr>
      <w:tr w:rsidR="00934B2A" w:rsidRPr="00297CF4" w14:paraId="16F113EC" w14:textId="77777777" w:rsidTr="00E245A6">
        <w:tc>
          <w:tcPr>
            <w:tcW w:w="898" w:type="pct"/>
            <w:vAlign w:val="center"/>
          </w:tcPr>
          <w:p w14:paraId="4FD18402" w14:textId="77777777" w:rsidR="00934B2A" w:rsidRPr="00934B2A" w:rsidRDefault="00934B2A" w:rsidP="00934B2A">
            <w:pPr>
              <w:pStyle w:val="Heading3"/>
              <w:numPr>
                <w:ilvl w:val="0"/>
                <w:numId w:val="0"/>
              </w:numPr>
              <w:spacing w:after="120"/>
              <w:jc w:val="center"/>
              <w:outlineLvl w:val="2"/>
              <w:rPr>
                <w:szCs w:val="24"/>
              </w:rPr>
            </w:pPr>
            <w:r w:rsidRPr="00934B2A">
              <w:t>2</w:t>
            </w:r>
          </w:p>
        </w:tc>
        <w:tc>
          <w:tcPr>
            <w:tcW w:w="2480" w:type="pct"/>
            <w:vAlign w:val="center"/>
          </w:tcPr>
          <w:p w14:paraId="33C22C40" w14:textId="1BC9CD48" w:rsidR="00934B2A" w:rsidRDefault="00934B2A" w:rsidP="00934B2A">
            <w:pPr>
              <w:pStyle w:val="Heading3"/>
              <w:numPr>
                <w:ilvl w:val="0"/>
                <w:numId w:val="0"/>
              </w:numPr>
              <w:spacing w:after="120"/>
              <w:jc w:val="left"/>
              <w:outlineLvl w:val="2"/>
              <w:rPr>
                <w:szCs w:val="24"/>
                <w:highlight w:val="yellow"/>
              </w:rPr>
            </w:pPr>
            <w:r>
              <w:t xml:space="preserve">Provider to submit project plan, </w:t>
            </w:r>
            <w:r w:rsidRPr="00EC5CD7">
              <w:t xml:space="preserve">report template </w:t>
            </w:r>
            <w:r>
              <w:t>and clearly identified deliverables</w:t>
            </w:r>
          </w:p>
        </w:tc>
        <w:tc>
          <w:tcPr>
            <w:tcW w:w="1622" w:type="pct"/>
            <w:vAlign w:val="center"/>
          </w:tcPr>
          <w:p w14:paraId="3B285FD4" w14:textId="3378EED2" w:rsidR="00934B2A" w:rsidRDefault="00934B2A" w:rsidP="00934B2A">
            <w:pPr>
              <w:pStyle w:val="Heading3"/>
              <w:numPr>
                <w:ilvl w:val="0"/>
                <w:numId w:val="0"/>
              </w:numPr>
              <w:spacing w:after="120"/>
              <w:jc w:val="center"/>
              <w:outlineLvl w:val="2"/>
              <w:rPr>
                <w:szCs w:val="24"/>
                <w:highlight w:val="yellow"/>
              </w:rPr>
            </w:pPr>
            <w:r w:rsidRPr="00EC5CD7">
              <w:t>Within week 2 of Contract Award</w:t>
            </w:r>
          </w:p>
        </w:tc>
      </w:tr>
      <w:tr w:rsidR="00934B2A" w:rsidRPr="00297CF4" w14:paraId="3FD394DC" w14:textId="77777777" w:rsidTr="00E245A6">
        <w:tc>
          <w:tcPr>
            <w:tcW w:w="898" w:type="pct"/>
            <w:vAlign w:val="center"/>
          </w:tcPr>
          <w:p w14:paraId="3995F849" w14:textId="77777777" w:rsidR="00934B2A" w:rsidRPr="00934B2A" w:rsidRDefault="00934B2A" w:rsidP="00934B2A">
            <w:pPr>
              <w:pStyle w:val="Heading3"/>
              <w:numPr>
                <w:ilvl w:val="0"/>
                <w:numId w:val="0"/>
              </w:numPr>
              <w:spacing w:after="120"/>
              <w:jc w:val="center"/>
              <w:outlineLvl w:val="2"/>
              <w:rPr>
                <w:szCs w:val="24"/>
              </w:rPr>
            </w:pPr>
            <w:r w:rsidRPr="00934B2A">
              <w:lastRenderedPageBreak/>
              <w:t>3</w:t>
            </w:r>
          </w:p>
        </w:tc>
        <w:tc>
          <w:tcPr>
            <w:tcW w:w="2480" w:type="pct"/>
            <w:vAlign w:val="center"/>
          </w:tcPr>
          <w:p w14:paraId="4962E129" w14:textId="520ECB03" w:rsidR="00934B2A" w:rsidRDefault="00934B2A" w:rsidP="00934B2A">
            <w:pPr>
              <w:pStyle w:val="Heading3"/>
              <w:numPr>
                <w:ilvl w:val="0"/>
                <w:numId w:val="0"/>
              </w:numPr>
              <w:spacing w:after="120"/>
              <w:jc w:val="left"/>
              <w:outlineLvl w:val="2"/>
              <w:rPr>
                <w:szCs w:val="24"/>
                <w:highlight w:val="yellow"/>
              </w:rPr>
            </w:pPr>
            <w:r>
              <w:t xml:space="preserve">Provider to report on progress against the deliverables; regularity to be defined by the College of Policing after discussion with the Potential Provider </w:t>
            </w:r>
          </w:p>
        </w:tc>
        <w:tc>
          <w:tcPr>
            <w:tcW w:w="1622" w:type="pct"/>
            <w:vAlign w:val="center"/>
          </w:tcPr>
          <w:p w14:paraId="7164B729" w14:textId="7B553444" w:rsidR="00934B2A" w:rsidRDefault="00934B2A" w:rsidP="00934B2A">
            <w:pPr>
              <w:pStyle w:val="Heading3"/>
              <w:numPr>
                <w:ilvl w:val="0"/>
                <w:numId w:val="0"/>
              </w:numPr>
              <w:spacing w:after="120"/>
              <w:jc w:val="center"/>
              <w:outlineLvl w:val="2"/>
              <w:rPr>
                <w:szCs w:val="24"/>
                <w:highlight w:val="yellow"/>
              </w:rPr>
            </w:pPr>
            <w:r>
              <w:t>Weeks 2-6 of Contract Award</w:t>
            </w:r>
          </w:p>
        </w:tc>
      </w:tr>
      <w:tr w:rsidR="00E53D4F" w:rsidRPr="00297CF4" w14:paraId="755739DE" w14:textId="77777777" w:rsidTr="00E245A6">
        <w:tc>
          <w:tcPr>
            <w:tcW w:w="898" w:type="pct"/>
            <w:vAlign w:val="center"/>
          </w:tcPr>
          <w:p w14:paraId="758E0CA4" w14:textId="2E53FBCD" w:rsidR="00E53D4F" w:rsidRPr="00934B2A" w:rsidRDefault="00E53D4F" w:rsidP="00934B2A">
            <w:pPr>
              <w:pStyle w:val="Heading3"/>
              <w:numPr>
                <w:ilvl w:val="0"/>
                <w:numId w:val="0"/>
              </w:numPr>
              <w:spacing w:after="120"/>
              <w:jc w:val="center"/>
              <w:outlineLvl w:val="2"/>
            </w:pPr>
            <w:r>
              <w:t>4</w:t>
            </w:r>
          </w:p>
        </w:tc>
        <w:tc>
          <w:tcPr>
            <w:tcW w:w="2480" w:type="pct"/>
            <w:vAlign w:val="center"/>
          </w:tcPr>
          <w:p w14:paraId="6587DD1F" w14:textId="75CA505B" w:rsidR="00E53D4F" w:rsidRDefault="00E53D4F" w:rsidP="00E53D4F">
            <w:pPr>
              <w:pStyle w:val="Heading3"/>
              <w:numPr>
                <w:ilvl w:val="0"/>
                <w:numId w:val="0"/>
              </w:numPr>
              <w:spacing w:after="120"/>
              <w:jc w:val="left"/>
              <w:outlineLvl w:val="2"/>
            </w:pPr>
            <w:r>
              <w:t>Provider to present draft report, schematic and key findings to the College Executive.</w:t>
            </w:r>
          </w:p>
        </w:tc>
        <w:tc>
          <w:tcPr>
            <w:tcW w:w="1622" w:type="pct"/>
            <w:vAlign w:val="center"/>
          </w:tcPr>
          <w:p w14:paraId="283ADDAF" w14:textId="2E2548D4" w:rsidR="00E53D4F" w:rsidRDefault="00E53D4F" w:rsidP="00E53D4F">
            <w:pPr>
              <w:pStyle w:val="Heading3"/>
              <w:numPr>
                <w:ilvl w:val="0"/>
                <w:numId w:val="0"/>
              </w:numPr>
              <w:spacing w:after="120"/>
              <w:jc w:val="center"/>
              <w:outlineLvl w:val="2"/>
            </w:pPr>
            <w:r>
              <w:t>Week 7 of Contract Award (w/c 6 August 2018)</w:t>
            </w:r>
          </w:p>
        </w:tc>
      </w:tr>
      <w:tr w:rsidR="00934B2A" w14:paraId="6A3230F6" w14:textId="77777777" w:rsidTr="00E245A6">
        <w:tc>
          <w:tcPr>
            <w:tcW w:w="898" w:type="pct"/>
            <w:vAlign w:val="center"/>
          </w:tcPr>
          <w:p w14:paraId="3302843B" w14:textId="14094C12" w:rsidR="00934B2A" w:rsidRPr="00934B2A" w:rsidRDefault="00E53D4F" w:rsidP="00934B2A">
            <w:pPr>
              <w:pStyle w:val="Heading3"/>
              <w:numPr>
                <w:ilvl w:val="0"/>
                <w:numId w:val="0"/>
              </w:numPr>
              <w:spacing w:after="120"/>
              <w:jc w:val="center"/>
              <w:outlineLvl w:val="2"/>
              <w:rPr>
                <w:szCs w:val="24"/>
              </w:rPr>
            </w:pPr>
            <w:r>
              <w:t>5</w:t>
            </w:r>
          </w:p>
        </w:tc>
        <w:tc>
          <w:tcPr>
            <w:tcW w:w="2480" w:type="pct"/>
            <w:vAlign w:val="center"/>
          </w:tcPr>
          <w:p w14:paraId="029789C7" w14:textId="412BC326" w:rsidR="00934B2A" w:rsidRDefault="00934B2A" w:rsidP="00E53D4F">
            <w:pPr>
              <w:pStyle w:val="Heading3"/>
              <w:numPr>
                <w:ilvl w:val="0"/>
                <w:numId w:val="0"/>
              </w:numPr>
              <w:spacing w:after="120"/>
              <w:jc w:val="left"/>
              <w:outlineLvl w:val="2"/>
              <w:rPr>
                <w:szCs w:val="24"/>
                <w:highlight w:val="yellow"/>
              </w:rPr>
            </w:pPr>
            <w:r w:rsidRPr="00EC5CD7">
              <w:t xml:space="preserve">Provider to submit </w:t>
            </w:r>
            <w:r w:rsidR="00E53D4F">
              <w:t xml:space="preserve">final </w:t>
            </w:r>
            <w:r w:rsidRPr="00EC5CD7">
              <w:t>report</w:t>
            </w:r>
            <w:r w:rsidR="00E53D4F">
              <w:t xml:space="preserve"> and schematic</w:t>
            </w:r>
            <w:r w:rsidRPr="00EC5CD7">
              <w:t xml:space="preserve">.  </w:t>
            </w:r>
          </w:p>
        </w:tc>
        <w:tc>
          <w:tcPr>
            <w:tcW w:w="1622" w:type="pct"/>
            <w:vAlign w:val="center"/>
          </w:tcPr>
          <w:p w14:paraId="0A8D4F91" w14:textId="3FD19B1F" w:rsidR="00934B2A" w:rsidRDefault="00934B2A" w:rsidP="00E53D4F">
            <w:pPr>
              <w:pStyle w:val="Heading3"/>
              <w:numPr>
                <w:ilvl w:val="0"/>
                <w:numId w:val="0"/>
              </w:numPr>
              <w:spacing w:after="120"/>
              <w:jc w:val="center"/>
              <w:outlineLvl w:val="2"/>
              <w:rPr>
                <w:szCs w:val="24"/>
              </w:rPr>
            </w:pPr>
            <w:r>
              <w:t>Within week 8</w:t>
            </w:r>
            <w:r w:rsidRPr="00EC5CD7">
              <w:t xml:space="preserve"> of Contract Award</w:t>
            </w:r>
            <w:r w:rsidR="00E53D4F">
              <w:t xml:space="preserve"> (w/c 13 August 2018)</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03D3DAE2" w14:textId="77777777" w:rsidR="008352BB" w:rsidRPr="008352BB" w:rsidRDefault="00106F24" w:rsidP="001446A0">
      <w:pPr>
        <w:pStyle w:val="Heading1"/>
        <w:tabs>
          <w:tab w:val="clear" w:pos="720"/>
          <w:tab w:val="num" w:pos="0"/>
        </w:tabs>
        <w:overflowPunct w:val="0"/>
        <w:autoSpaceDE w:val="0"/>
        <w:autoSpaceDN w:val="0"/>
        <w:spacing w:after="120"/>
        <w:ind w:left="709" w:hanging="709"/>
        <w:textAlignment w:val="baseline"/>
      </w:pPr>
      <w:bookmarkStart w:id="21" w:name="_Toc444518873"/>
      <w:bookmarkStart w:id="22" w:name="_Toc368573033"/>
      <w:r w:rsidRPr="008352BB">
        <w:rPr>
          <w:rFonts w:cs="Arial"/>
          <w:szCs w:val="22"/>
        </w:rPr>
        <w:t>authority’s responsibilities</w:t>
      </w:r>
      <w:bookmarkEnd w:id="21"/>
      <w:r w:rsidR="008352BB" w:rsidRPr="008352BB">
        <w:rPr>
          <w:rFonts w:cs="Arial"/>
          <w:szCs w:val="22"/>
        </w:rPr>
        <w:t xml:space="preserve"> </w:t>
      </w:r>
    </w:p>
    <w:p w14:paraId="66262BFF" w14:textId="7180CF57" w:rsidR="007F28DD" w:rsidRDefault="00934B2A" w:rsidP="008352BB">
      <w:pPr>
        <w:pStyle w:val="Heading2"/>
        <w:numPr>
          <w:ilvl w:val="1"/>
          <w:numId w:val="37"/>
        </w:numPr>
        <w:spacing w:after="120"/>
      </w:pPr>
      <w:r w:rsidRPr="00934B2A">
        <w:t>The Chief of Staff is leading on this project for the College and will:</w:t>
      </w:r>
      <w:r w:rsidR="007F28DD">
        <w:t xml:space="preserve">  </w:t>
      </w:r>
    </w:p>
    <w:p w14:paraId="618E3DEC" w14:textId="6172C01C" w:rsidR="00934B2A" w:rsidRPr="00934B2A" w:rsidRDefault="00934B2A" w:rsidP="007F28DD">
      <w:pPr>
        <w:pStyle w:val="Heading3"/>
      </w:pPr>
      <w:r w:rsidRPr="00934B2A">
        <w:t>Provide a pack of supporting materials to inform this work.</w:t>
      </w:r>
    </w:p>
    <w:p w14:paraId="28EA7A47" w14:textId="17EB4B4C" w:rsidR="00934B2A" w:rsidRPr="00934B2A" w:rsidRDefault="00934B2A" w:rsidP="007F28DD">
      <w:pPr>
        <w:pStyle w:val="Heading3"/>
      </w:pPr>
      <w:r w:rsidRPr="00934B2A">
        <w:t>Act as a conduit of communication with stakeholders as appropriate.</w:t>
      </w:r>
    </w:p>
    <w:p w14:paraId="4661ACB7" w14:textId="38B4570F" w:rsidR="00934B2A" w:rsidRPr="00934B2A" w:rsidRDefault="00934B2A" w:rsidP="007F28DD">
      <w:pPr>
        <w:pStyle w:val="Heading3"/>
      </w:pPr>
      <w:r w:rsidRPr="00934B2A">
        <w:t>Monitor progress and arrange regular meetings with the Provider.</w:t>
      </w:r>
    </w:p>
    <w:p w14:paraId="2C2BC7CA" w14:textId="0D12BD8E" w:rsidR="00934B2A" w:rsidRPr="00934B2A" w:rsidRDefault="00934B2A" w:rsidP="007F28DD">
      <w:pPr>
        <w:pStyle w:val="Heading3"/>
      </w:pPr>
      <w:r w:rsidRPr="00934B2A">
        <w:t xml:space="preserve">Ensure that the final report is reviewed and quality assured.  </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44518874"/>
      <w:r w:rsidRPr="00BE6EE0">
        <w:rPr>
          <w:rFonts w:cs="Arial"/>
          <w:szCs w:val="22"/>
        </w:rPr>
        <w:t>reporting</w:t>
      </w:r>
      <w:bookmarkEnd w:id="22"/>
      <w:bookmarkEnd w:id="23"/>
    </w:p>
    <w:p w14:paraId="1ADA8712" w14:textId="77777777" w:rsidR="00934B2A" w:rsidRPr="00B92BF9" w:rsidRDefault="00934B2A" w:rsidP="00934B2A">
      <w:pPr>
        <w:pStyle w:val="Heading2"/>
        <w:numPr>
          <w:ilvl w:val="1"/>
          <w:numId w:val="37"/>
        </w:numPr>
        <w:spacing w:after="120"/>
      </w:pPr>
      <w:r w:rsidRPr="00B92BF9">
        <w:t>As outlined in the milestones, the Potential Provider will b</w:t>
      </w:r>
      <w:r>
        <w:t>e required to submi</w:t>
      </w:r>
      <w:r w:rsidRPr="00B92BF9">
        <w:t>t a full project plan including clearly defined deliverables and timescales.</w:t>
      </w:r>
      <w:r>
        <w:t xml:space="preserve">  Throughout the project the Potential Provider will be required to report progress against the deliverables; regular meetings will be discussed and agreed with the Authority.</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444518875"/>
      <w:r w:rsidRPr="00BE6EE0">
        <w:rPr>
          <w:rFonts w:cs="Arial"/>
          <w:szCs w:val="22"/>
        </w:rPr>
        <w:t>volumes</w:t>
      </w:r>
      <w:bookmarkEnd w:id="24"/>
      <w:bookmarkEnd w:id="25"/>
    </w:p>
    <w:p w14:paraId="3AB9FCA7" w14:textId="685F889A" w:rsidR="00671798" w:rsidRPr="00934B2A" w:rsidRDefault="00934B2A">
      <w:pPr>
        <w:pStyle w:val="Heading2"/>
        <w:tabs>
          <w:tab w:val="num" w:pos="709"/>
        </w:tabs>
        <w:spacing w:after="120"/>
        <w:ind w:left="709" w:hanging="709"/>
      </w:pPr>
      <w:r w:rsidRPr="00934B2A">
        <w:t>Not applicable.</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444518876"/>
      <w:r w:rsidRPr="00BE6EE0">
        <w:rPr>
          <w:rFonts w:cs="Arial"/>
          <w:szCs w:val="22"/>
        </w:rPr>
        <w:t>continuous improvement</w:t>
      </w:r>
      <w:bookmarkEnd w:id="26"/>
      <w:bookmarkEnd w:id="27"/>
    </w:p>
    <w:p w14:paraId="0444A98B" w14:textId="3A2D21E3" w:rsidR="00934B2A" w:rsidRDefault="00934B2A" w:rsidP="00934B2A">
      <w:pPr>
        <w:pStyle w:val="Heading2"/>
        <w:numPr>
          <w:ilvl w:val="1"/>
          <w:numId w:val="37"/>
        </w:numPr>
        <w:spacing w:after="120"/>
      </w:pPr>
      <w:r>
        <w:t>A report detailing findings will be produced as part of the consultancy service.  Benefits and lessons learned will then be taken forward by the Chief of Staff in conjunction with the executive team and CEO.</w:t>
      </w:r>
    </w:p>
    <w:p w14:paraId="5928F882" w14:textId="71835EFE" w:rsidR="00934B2A" w:rsidRDefault="00934B2A" w:rsidP="00934B2A">
      <w:pPr>
        <w:pStyle w:val="Heading2"/>
        <w:numPr>
          <w:ilvl w:val="1"/>
          <w:numId w:val="37"/>
        </w:numPr>
        <w:spacing w:after="120"/>
      </w:pPr>
      <w:r w:rsidRPr="008104E0">
        <w:t xml:space="preserve">The </w:t>
      </w:r>
      <w:r w:rsidR="00AC6FD2">
        <w:t xml:space="preserve">Potential Provider </w:t>
      </w:r>
      <w:r w:rsidRPr="008104E0">
        <w:t xml:space="preserve">will be expected to continually improve the way in which the required Services are to be delivered throughout the </w:t>
      </w:r>
      <w:r>
        <w:t xml:space="preserve">Contract </w:t>
      </w:r>
      <w:r w:rsidRPr="008104E0">
        <w:t>duration.</w:t>
      </w:r>
    </w:p>
    <w:p w14:paraId="13D28A37" w14:textId="23B1C606" w:rsidR="00934B2A" w:rsidRDefault="00934B2A" w:rsidP="00934B2A">
      <w:pPr>
        <w:pStyle w:val="Heading2"/>
        <w:numPr>
          <w:ilvl w:val="1"/>
          <w:numId w:val="37"/>
        </w:numPr>
        <w:spacing w:after="120"/>
      </w:pPr>
      <w:r w:rsidRPr="008104E0">
        <w:t xml:space="preserve">The </w:t>
      </w:r>
      <w:r w:rsidR="00AC6FD2">
        <w:t>Potential Provider</w:t>
      </w:r>
      <w:r w:rsidRPr="008104E0">
        <w:t xml:space="preserve"> should present new ways of working to the</w:t>
      </w:r>
      <w:r>
        <w:t xml:space="preserve"> </w:t>
      </w:r>
      <w:r w:rsidRPr="008104E0">
        <w:t>Authority during Contract review meetings.</w:t>
      </w:r>
      <w:r>
        <w:t xml:space="preserve"> </w:t>
      </w:r>
    </w:p>
    <w:p w14:paraId="031D2B5A" w14:textId="48547681" w:rsidR="00671798" w:rsidRDefault="00934B2A" w:rsidP="00934B2A">
      <w:pPr>
        <w:pStyle w:val="Heading2"/>
        <w:numPr>
          <w:ilvl w:val="1"/>
          <w:numId w:val="37"/>
        </w:numPr>
        <w:spacing w:after="120"/>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7CC141C7" w14:textId="3806E783" w:rsidR="004E78BC" w:rsidRDefault="004E78BC" w:rsidP="004E78BC">
      <w:pPr>
        <w:pStyle w:val="Heading1"/>
      </w:pPr>
      <w:bookmarkStart w:id="28" w:name="_Toc444518877"/>
      <w:r>
        <w:t>Sustainability</w:t>
      </w:r>
      <w:bookmarkEnd w:id="28"/>
    </w:p>
    <w:p w14:paraId="6D181BAE" w14:textId="77777777" w:rsidR="00934B2A" w:rsidRPr="00B92BF9" w:rsidRDefault="00934B2A" w:rsidP="00934B2A">
      <w:pPr>
        <w:pStyle w:val="Heading2"/>
        <w:numPr>
          <w:ilvl w:val="1"/>
          <w:numId w:val="37"/>
        </w:numPr>
      </w:pPr>
      <w:bookmarkStart w:id="29" w:name="_Toc368573036"/>
      <w:bookmarkStart w:id="30" w:name="_Toc444518878"/>
      <w:r>
        <w:t xml:space="preserve">There are no sustainability requirements for this work. </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517FEF">
        <w:rPr>
          <w:rFonts w:cs="Arial"/>
          <w:szCs w:val="22"/>
        </w:rPr>
        <w:lastRenderedPageBreak/>
        <w:t>quality</w:t>
      </w:r>
      <w:bookmarkEnd w:id="29"/>
      <w:bookmarkEnd w:id="30"/>
    </w:p>
    <w:p w14:paraId="5B566CC6" w14:textId="77777777" w:rsidR="00934B2A" w:rsidRPr="006C4E6C" w:rsidRDefault="00934B2A" w:rsidP="00934B2A">
      <w:pPr>
        <w:pStyle w:val="Heading2"/>
        <w:numPr>
          <w:ilvl w:val="1"/>
          <w:numId w:val="37"/>
        </w:numPr>
        <w:spacing w:after="120"/>
        <w:rPr>
          <w:rFonts w:cs="Arial"/>
          <w:szCs w:val="22"/>
        </w:rPr>
      </w:pPr>
      <w:bookmarkStart w:id="31" w:name="_Toc368573037"/>
      <w:bookmarkStart w:id="32" w:name="_Toc444518879"/>
      <w:r w:rsidRPr="00BD2626">
        <w:t>No specific quality accreditation is required for this work</w:t>
      </w:r>
      <w:r>
        <w:t>.</w:t>
      </w:r>
      <w:r w:rsidRPr="00BD2626">
        <w:t xml:space="preserve">  </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BE6EE0">
        <w:rPr>
          <w:rFonts w:cs="Arial"/>
          <w:szCs w:val="22"/>
        </w:rPr>
        <w:t>PRICE</w:t>
      </w:r>
      <w:bookmarkEnd w:id="31"/>
      <w:bookmarkEnd w:id="32"/>
    </w:p>
    <w:p w14:paraId="5510630D" w14:textId="77777777" w:rsidR="00934B2A" w:rsidRDefault="00934B2A" w:rsidP="00934B2A">
      <w:pPr>
        <w:pStyle w:val="Heading2"/>
        <w:numPr>
          <w:ilvl w:val="1"/>
          <w:numId w:val="37"/>
        </w:numPr>
        <w:spacing w:after="120"/>
      </w:pPr>
      <w:r>
        <w:t>Price must include all costs associated with project management, provision of expertise writing, production of presentation and material, travel expenses to main base locations.</w:t>
      </w:r>
    </w:p>
    <w:p w14:paraId="70B4CC67" w14:textId="4638B722" w:rsidR="00934B2A" w:rsidRPr="00884E08" w:rsidRDefault="00934B2A" w:rsidP="00934B2A">
      <w:pPr>
        <w:pStyle w:val="Heading2"/>
        <w:numPr>
          <w:ilvl w:val="1"/>
          <w:numId w:val="37"/>
        </w:numPr>
        <w:spacing w:after="120"/>
      </w:pPr>
      <w:r w:rsidRPr="00884E08">
        <w:rPr>
          <w:rFonts w:cs="Arial"/>
          <w:szCs w:val="22"/>
        </w:rPr>
        <w:t xml:space="preserve">The budget available to complete this work is </w:t>
      </w:r>
      <w:r w:rsidR="00D8058D">
        <w:rPr>
          <w:rFonts w:cs="Arial"/>
          <w:szCs w:val="22"/>
        </w:rPr>
        <w:t>a capped cost of</w:t>
      </w:r>
      <w:r>
        <w:rPr>
          <w:rFonts w:cs="Arial"/>
          <w:szCs w:val="22"/>
        </w:rPr>
        <w:t xml:space="preserve"> £80,000 excluding</w:t>
      </w:r>
      <w:r w:rsidRPr="00884E08">
        <w:rPr>
          <w:rFonts w:cs="Arial"/>
          <w:szCs w:val="22"/>
        </w:rPr>
        <w:t xml:space="preserve"> VAT although it’s hoped that the full amount will not be required to complete this piece of work.</w:t>
      </w:r>
      <w:r w:rsidRPr="00884E08">
        <w:t xml:space="preserve"> </w:t>
      </w:r>
    </w:p>
    <w:p w14:paraId="645D51EC" w14:textId="550027D9" w:rsidR="00671798" w:rsidRDefault="00934B2A" w:rsidP="00934B2A">
      <w:pPr>
        <w:pStyle w:val="Heading2"/>
        <w:numPr>
          <w:ilvl w:val="1"/>
          <w:numId w:val="37"/>
        </w:numPr>
        <w:spacing w:after="120"/>
      </w:pPr>
      <w:r>
        <w:t xml:space="preserve">Prices are to be submitted via the </w:t>
      </w:r>
      <w:r w:rsidRPr="00515626">
        <w:t>e-Sourcing Suite</w:t>
      </w:r>
      <w:r>
        <w:t xml:space="preserve"> Appendix E excluding VAT.</w:t>
      </w:r>
    </w:p>
    <w:p w14:paraId="4572269C" w14:textId="655C71C9" w:rsidR="00671798" w:rsidRPr="00934B2A" w:rsidRDefault="00FE18AC" w:rsidP="00934B2A">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444518880"/>
      <w:r w:rsidRPr="00BE6EE0">
        <w:rPr>
          <w:rFonts w:cs="Arial"/>
          <w:szCs w:val="22"/>
        </w:rPr>
        <w:t>STAFF AND CUSTOMER SERVICE</w:t>
      </w:r>
      <w:bookmarkEnd w:id="33"/>
      <w:bookmarkEnd w:id="34"/>
    </w:p>
    <w:p w14:paraId="473FF9D3" w14:textId="29FDD778" w:rsidR="00671798" w:rsidRDefault="00FE18AC">
      <w:pPr>
        <w:pStyle w:val="Heading2"/>
        <w:tabs>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Contract in order to consistently deliver a quality service to all Parties.</w:t>
      </w:r>
    </w:p>
    <w:p w14:paraId="7C5FF49B" w14:textId="0A3FD41E" w:rsidR="00671798" w:rsidRDefault="00FE18AC">
      <w:pPr>
        <w:pStyle w:val="Heading2"/>
        <w:tabs>
          <w:tab w:val="num" w:pos="709"/>
        </w:tabs>
        <w:spacing w:after="120"/>
        <w:ind w:left="709" w:hanging="709"/>
      </w:pPr>
      <w:r>
        <w:t>Potential Provider’s staff assigned to the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444518881"/>
      <w:r w:rsidRPr="004E1D36">
        <w:rPr>
          <w:rFonts w:cs="Arial"/>
          <w:szCs w:val="22"/>
        </w:rPr>
        <w:t>service levels a</w:t>
      </w:r>
      <w:r>
        <w:rPr>
          <w:rFonts w:cs="Arial"/>
          <w:szCs w:val="22"/>
        </w:rPr>
        <w:t>nd performance</w:t>
      </w:r>
      <w:bookmarkEnd w:id="35"/>
      <w:bookmarkEnd w:id="36"/>
    </w:p>
    <w:p w14:paraId="05611F9C" w14:textId="6E307CE6" w:rsidR="009F4233" w:rsidRDefault="00934B2A" w:rsidP="0039786B">
      <w:pPr>
        <w:pStyle w:val="Heading2"/>
        <w:numPr>
          <w:ilvl w:val="1"/>
          <w:numId w:val="37"/>
        </w:numPr>
      </w:pPr>
      <w:bookmarkStart w:id="37" w:name="_Toc368573040"/>
      <w:bookmarkStart w:id="38" w:name="_Toc444518882"/>
      <w:r w:rsidRPr="00515626">
        <w:t xml:space="preserve">The Authority will measure the quality of the </w:t>
      </w:r>
      <w:r>
        <w:t>Potential Provider</w:t>
      </w:r>
      <w:r w:rsidRPr="00515626">
        <w:t>’s delivery by: monitoring progress against the milestone dates</w:t>
      </w:r>
      <w:r w:rsidR="005114C4">
        <w:t>,</w:t>
      </w:r>
      <w:r w:rsidRPr="00515626">
        <w:t xml:space="preserve"> the project plan that will be su</w:t>
      </w:r>
      <w:r>
        <w:t>pplied as set out in Section 7.1</w:t>
      </w:r>
      <w:r w:rsidR="005114C4">
        <w:t xml:space="preserve"> and </w:t>
      </w:r>
      <w:r w:rsidR="0039786B">
        <w:t xml:space="preserve">any associated and agreed </w:t>
      </w:r>
      <w:r w:rsidR="005114C4">
        <w:t>Key Performance Indicators</w:t>
      </w:r>
      <w:r w:rsidR="0039786B">
        <w:t>.</w:t>
      </w:r>
      <w:r w:rsidR="005114C4">
        <w:t xml:space="preserve"> </w:t>
      </w:r>
    </w:p>
    <w:p w14:paraId="6F73AF8D" w14:textId="77777777" w:rsidR="00934B2A" w:rsidRDefault="00934B2A" w:rsidP="00934B2A">
      <w:pPr>
        <w:pStyle w:val="Heading2"/>
        <w:numPr>
          <w:ilvl w:val="1"/>
          <w:numId w:val="37"/>
        </w:numPr>
      </w:pPr>
      <w:r w:rsidRPr="008F1A1A">
        <w:t>Throughou</w:t>
      </w:r>
      <w:r>
        <w:t xml:space="preserve">t the duration of the project, the College </w:t>
      </w:r>
      <w:r w:rsidRPr="008F1A1A">
        <w:t xml:space="preserve">will oversee the project and ensure that it comes in on time or ahead of time and that knowledge is retained within the organisation. </w:t>
      </w:r>
    </w:p>
    <w:p w14:paraId="4422B4BA" w14:textId="77777777" w:rsidR="00934B2A" w:rsidRPr="008F1A1A" w:rsidRDefault="00934B2A" w:rsidP="00934B2A">
      <w:pPr>
        <w:pStyle w:val="Heading2"/>
        <w:numPr>
          <w:ilvl w:val="1"/>
          <w:numId w:val="37"/>
        </w:numPr>
      </w:pPr>
      <w:r w:rsidRPr="008F1A1A">
        <w:t>With regards</w:t>
      </w:r>
      <w:r>
        <w:t xml:space="preserve"> to</w:t>
      </w:r>
      <w:r w:rsidRPr="008F1A1A">
        <w:t xml:space="preserve"> end of project exit</w:t>
      </w:r>
      <w:r>
        <w:t xml:space="preserve"> or early exit</w:t>
      </w:r>
      <w:r w:rsidRPr="008F1A1A">
        <w:t xml:space="preserve">, the </w:t>
      </w:r>
      <w:r>
        <w:t>Potential Provider</w:t>
      </w:r>
      <w:r w:rsidRPr="008F1A1A">
        <w:t xml:space="preserve"> will hand over</w:t>
      </w:r>
      <w:r>
        <w:t xml:space="preserve"> all information gathered </w:t>
      </w:r>
      <w:r w:rsidRPr="008F1A1A">
        <w:t xml:space="preserve">to the College of Policing who will use it to inform the next part of the project.  Robust project management </w:t>
      </w:r>
      <w:r>
        <w:t>must</w:t>
      </w:r>
      <w:r w:rsidRPr="008F1A1A">
        <w:t xml:space="preserve"> be used throughout the project</w:t>
      </w:r>
      <w:r>
        <w:t xml:space="preserve"> by the Potential Provider</w:t>
      </w:r>
      <w:r w:rsidRPr="008F1A1A">
        <w:t xml:space="preserve"> including a risks, issues and lessons learned log</w:t>
      </w:r>
      <w:r>
        <w:t>.</w:t>
      </w:r>
    </w:p>
    <w:p w14:paraId="3F767EF8" w14:textId="77777777" w:rsidR="00671798" w:rsidRDefault="00FE18AC">
      <w:pPr>
        <w:pStyle w:val="Heading1"/>
        <w:spacing w:after="120"/>
      </w:pPr>
      <w:r>
        <w:t>Security requirements</w:t>
      </w:r>
      <w:bookmarkEnd w:id="37"/>
      <w:bookmarkEnd w:id="38"/>
    </w:p>
    <w:p w14:paraId="6BB836E3" w14:textId="1AF75296" w:rsidR="00934B2A" w:rsidRPr="009B2B8D" w:rsidRDefault="00D8058D" w:rsidP="00934B2A">
      <w:pPr>
        <w:pStyle w:val="Heading2"/>
        <w:numPr>
          <w:ilvl w:val="1"/>
          <w:numId w:val="37"/>
        </w:numPr>
        <w:spacing w:after="120"/>
      </w:pPr>
      <w:bookmarkStart w:id="39" w:name="_Toc368573041"/>
      <w:bookmarkStart w:id="40" w:name="_Toc444518883"/>
      <w:r>
        <w:t>Subject to a risk assessment from the College, t</w:t>
      </w:r>
      <w:r w:rsidR="00934B2A">
        <w:t xml:space="preserve">he Potential Provider’s staff who work on this contract </w:t>
      </w:r>
      <w:r>
        <w:t xml:space="preserve">may </w:t>
      </w:r>
      <w:r w:rsidR="00934B2A">
        <w:t>need</w:t>
      </w:r>
      <w:r>
        <w:t xml:space="preserve"> to</w:t>
      </w:r>
      <w:r w:rsidR="00934B2A">
        <w:t xml:space="preserve"> </w:t>
      </w:r>
      <w:r w:rsidR="005114C4">
        <w:t>hold</w:t>
      </w:r>
      <w:r>
        <w:t xml:space="preserve"> </w:t>
      </w:r>
      <w:r w:rsidR="00934B2A">
        <w:t>or be willing to undergo vetting to Non Police Personnel Vetting Level 2</w:t>
      </w:r>
      <w:r>
        <w:t xml:space="preserve"> through the College of Policing’s vetting process</w:t>
      </w:r>
      <w:r w:rsidR="005114C4">
        <w:t xml:space="preserve"> before the contract award</w:t>
      </w:r>
      <w:r>
        <w:t>.</w:t>
      </w:r>
    </w:p>
    <w:p w14:paraId="24C5F5E0" w14:textId="660AF984"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r>
        <w:rPr>
          <w:rFonts w:cs="Arial"/>
          <w:szCs w:val="22"/>
        </w:rPr>
        <w:t>intellectual property rights (ipr)</w:t>
      </w:r>
      <w:bookmarkEnd w:id="39"/>
      <w:bookmarkEnd w:id="40"/>
    </w:p>
    <w:p w14:paraId="51313B5E" w14:textId="77777777" w:rsidR="00934B2A" w:rsidRDefault="00934B2A" w:rsidP="00934B2A">
      <w:pPr>
        <w:pStyle w:val="Heading2"/>
        <w:numPr>
          <w:ilvl w:val="0"/>
          <w:numId w:val="0"/>
        </w:numPr>
        <w:ind w:left="720" w:hanging="720"/>
        <w:rPr>
          <w:rFonts w:cs="Arial"/>
          <w:szCs w:val="22"/>
        </w:rPr>
      </w:pPr>
      <w:bookmarkStart w:id="41" w:name="_Toc444518884"/>
      <w:bookmarkStart w:id="42" w:name="_Toc368573042"/>
      <w:r>
        <w:rPr>
          <w:rFonts w:cs="Arial"/>
          <w:szCs w:val="22"/>
        </w:rPr>
        <w:t>18.1</w:t>
      </w:r>
      <w:r>
        <w:rPr>
          <w:rFonts w:cs="Arial"/>
          <w:szCs w:val="22"/>
        </w:rPr>
        <w:tab/>
      </w:r>
      <w:r>
        <w:rPr>
          <w:rFonts w:cs="Arial"/>
          <w:color w:val="000000"/>
        </w:rPr>
        <w:t>T</w:t>
      </w:r>
      <w:r w:rsidRPr="00F825E1">
        <w:rPr>
          <w:rFonts w:cs="Arial"/>
          <w:color w:val="000000"/>
        </w:rPr>
        <w:t xml:space="preserve">he Intellectual Property Rights on all work undertaken under this contract, including to the project reports and </w:t>
      </w:r>
      <w:r>
        <w:rPr>
          <w:rFonts w:cs="Arial"/>
          <w:color w:val="000000"/>
        </w:rPr>
        <w:t xml:space="preserve">any </w:t>
      </w:r>
      <w:r w:rsidRPr="00F825E1">
        <w:rPr>
          <w:rFonts w:cs="Arial"/>
          <w:color w:val="000000"/>
        </w:rPr>
        <w:t>spreadsheets developed</w:t>
      </w:r>
      <w:r>
        <w:rPr>
          <w:rFonts w:cs="Arial"/>
          <w:color w:val="000000"/>
        </w:rPr>
        <w:t xml:space="preserve"> will be in line with the contracts standard terms and conditions</w:t>
      </w:r>
      <w:r w:rsidRPr="00F825E1">
        <w:rPr>
          <w:rFonts w:cs="Arial"/>
          <w:color w:val="000000"/>
        </w:rPr>
        <w:t xml:space="preserve">. </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874062">
        <w:rPr>
          <w:rFonts w:cs="Arial"/>
          <w:szCs w:val="22"/>
        </w:rPr>
        <w:lastRenderedPageBreak/>
        <w:t>payment</w:t>
      </w:r>
      <w:bookmarkEnd w:id="41"/>
    </w:p>
    <w:p w14:paraId="1C64BF60" w14:textId="77777777" w:rsidR="00934B2A" w:rsidRPr="00515626" w:rsidRDefault="00934B2A" w:rsidP="00934B2A">
      <w:pPr>
        <w:pStyle w:val="Heading2"/>
        <w:numPr>
          <w:ilvl w:val="1"/>
          <w:numId w:val="37"/>
        </w:numPr>
        <w:jc w:val="left"/>
        <w:rPr>
          <w:szCs w:val="22"/>
        </w:rPr>
      </w:pPr>
      <w:bookmarkStart w:id="43" w:name="_Toc444518885"/>
      <w:r w:rsidRPr="00515626">
        <w:rPr>
          <w:rFonts w:cs="Arial"/>
          <w:color w:val="000000"/>
          <w:szCs w:val="22"/>
          <w:shd w:val="clear" w:color="auto" w:fill="FFFFFF"/>
        </w:rPr>
        <w:t>Invoices must be submitted quoting the valid Purchase Order and following instr</w:t>
      </w:r>
      <w:r>
        <w:rPr>
          <w:rFonts w:cs="Arial"/>
          <w:color w:val="000000"/>
          <w:szCs w:val="22"/>
          <w:shd w:val="clear" w:color="auto" w:fill="FFFFFF"/>
        </w:rPr>
        <w:t xml:space="preserve">uctions on the Purchase Order. </w:t>
      </w:r>
      <w:r w:rsidRPr="00515626">
        <w:rPr>
          <w:rFonts w:cs="Arial"/>
          <w:color w:val="000000"/>
          <w:szCs w:val="22"/>
          <w:shd w:val="clear" w:color="auto" w:fill="FFFFFF"/>
        </w:rPr>
        <w:t xml:space="preserve">Invoices can be submitted electronically to: payables@college.pnn.police.uk. </w:t>
      </w:r>
    </w:p>
    <w:p w14:paraId="600E79F3" w14:textId="77777777" w:rsidR="00934B2A" w:rsidRPr="00515626" w:rsidRDefault="00934B2A" w:rsidP="00934B2A">
      <w:pPr>
        <w:pStyle w:val="Heading2"/>
        <w:numPr>
          <w:ilvl w:val="1"/>
          <w:numId w:val="37"/>
        </w:numPr>
        <w:rPr>
          <w:szCs w:val="22"/>
        </w:rPr>
      </w:pPr>
      <w:r w:rsidRPr="00515626">
        <w:rPr>
          <w:szCs w:val="22"/>
        </w:rPr>
        <w:t>Payment can only be made following satisfactory delivery of pre-agreed certi</w:t>
      </w:r>
      <w:r>
        <w:rPr>
          <w:szCs w:val="22"/>
        </w:rPr>
        <w:t>fied products and deliverables as stated in section 7.</w:t>
      </w:r>
    </w:p>
    <w:p w14:paraId="26694256" w14:textId="77777777" w:rsidR="00934B2A" w:rsidRPr="00E328E4" w:rsidRDefault="00934B2A" w:rsidP="00934B2A">
      <w:pPr>
        <w:pStyle w:val="Heading2"/>
        <w:numPr>
          <w:ilvl w:val="1"/>
          <w:numId w:val="37"/>
        </w:numPr>
        <w:rPr>
          <w:szCs w:val="22"/>
        </w:rPr>
      </w:pPr>
      <w:r w:rsidRPr="00515626">
        <w:rPr>
          <w:szCs w:val="22"/>
        </w:rPr>
        <w:t xml:space="preserve">Before </w:t>
      </w:r>
      <w:r>
        <w:rPr>
          <w:szCs w:val="22"/>
        </w:rPr>
        <w:t xml:space="preserve">payment can be considered, </w:t>
      </w:r>
      <w:r w:rsidRPr="00515626">
        <w:rPr>
          <w:szCs w:val="22"/>
        </w:rPr>
        <w:t>invoice</w:t>
      </w:r>
      <w:r>
        <w:rPr>
          <w:szCs w:val="22"/>
        </w:rPr>
        <w:t>s</w:t>
      </w:r>
      <w:r w:rsidRPr="00515626">
        <w:rPr>
          <w:szCs w:val="22"/>
        </w:rPr>
        <w:t xml:space="preserve"> must include a detailed elemental breakdown of work completed and the associated costs. </w:t>
      </w:r>
    </w:p>
    <w:p w14:paraId="5C3F5220" w14:textId="77777777" w:rsidR="00934B2A" w:rsidRDefault="00934B2A" w:rsidP="00934B2A">
      <w:pPr>
        <w:pStyle w:val="Heading1"/>
        <w:numPr>
          <w:ilvl w:val="0"/>
          <w:numId w:val="37"/>
        </w:numPr>
        <w:overflowPunct w:val="0"/>
        <w:autoSpaceDE w:val="0"/>
        <w:autoSpaceDN w:val="0"/>
        <w:spacing w:after="120"/>
        <w:textAlignment w:val="baseline"/>
        <w:rPr>
          <w:rFonts w:cs="Arial"/>
          <w:szCs w:val="22"/>
        </w:rPr>
      </w:pPr>
      <w:bookmarkStart w:id="44" w:name="_Toc495063503"/>
      <w:bookmarkStart w:id="45" w:name="_Toc368573043"/>
      <w:bookmarkStart w:id="46" w:name="_Toc444518886"/>
      <w:bookmarkEnd w:id="20"/>
      <w:bookmarkEnd w:id="42"/>
      <w:bookmarkEnd w:id="43"/>
      <w:r>
        <w:rPr>
          <w:rFonts w:cs="Arial"/>
          <w:szCs w:val="22"/>
        </w:rPr>
        <w:t>additional information</w:t>
      </w:r>
      <w:bookmarkEnd w:id="44"/>
      <w:r>
        <w:rPr>
          <w:rFonts w:cs="Arial"/>
          <w:szCs w:val="22"/>
        </w:rPr>
        <w:t xml:space="preserve"> </w:t>
      </w:r>
    </w:p>
    <w:p w14:paraId="043E7C95" w14:textId="77777777" w:rsidR="00934B2A" w:rsidRPr="00E328E4" w:rsidRDefault="00934B2A" w:rsidP="00934B2A">
      <w:pPr>
        <w:pStyle w:val="Heading2"/>
        <w:numPr>
          <w:ilvl w:val="1"/>
          <w:numId w:val="37"/>
        </w:numPr>
        <w:spacing w:after="120"/>
      </w:pPr>
      <w:r>
        <w:t>There is no additional information for this requirement.</w:t>
      </w:r>
    </w:p>
    <w:p w14:paraId="04BBE808" w14:textId="77777777" w:rsidR="00671798" w:rsidRDefault="00FE18AC">
      <w:pPr>
        <w:pStyle w:val="Heading1"/>
        <w:spacing w:after="120"/>
      </w:pPr>
      <w:r>
        <w:t>Location</w:t>
      </w:r>
      <w:bookmarkEnd w:id="45"/>
      <w:bookmarkEnd w:id="46"/>
      <w:r>
        <w:t xml:space="preserve"> </w:t>
      </w:r>
    </w:p>
    <w:p w14:paraId="386730FB" w14:textId="77777777" w:rsidR="00934B2A" w:rsidRDefault="00934B2A" w:rsidP="00934B2A">
      <w:pPr>
        <w:pStyle w:val="Heading2"/>
        <w:numPr>
          <w:ilvl w:val="1"/>
          <w:numId w:val="37"/>
        </w:numPr>
        <w:spacing w:after="120"/>
      </w:pPr>
      <w:r>
        <w:t xml:space="preserve">The location of the Services will be carried out at the successful Potential Providers premises but with regular travel to College of Policing offices. The main base location will be at the London office </w:t>
      </w:r>
      <w:r w:rsidRPr="009E16F0">
        <w:t>10th floor, River​​side House, 2A Southwark Bridge Road, London SE1 9HA. </w:t>
      </w:r>
      <w:r>
        <w:t>This will be for initial set up meetings and Contract review meetings. We will endeavour to use technology and dial in facilities where appropriate.</w:t>
      </w:r>
    </w:p>
    <w:p w14:paraId="69CECFB8" w14:textId="77777777" w:rsidR="00934B2A" w:rsidRDefault="00934B2A" w:rsidP="00934B2A">
      <w:pPr>
        <w:pStyle w:val="Heading2"/>
        <w:numPr>
          <w:ilvl w:val="1"/>
          <w:numId w:val="37"/>
        </w:numPr>
        <w:spacing w:after="120"/>
      </w:pPr>
      <w:r>
        <w:t xml:space="preserve">The other office locations which the supplier may be required to visit will be: </w:t>
      </w:r>
    </w:p>
    <w:p w14:paraId="3E03AB13" w14:textId="77777777" w:rsidR="00934B2A" w:rsidRDefault="00934B2A" w:rsidP="00934B2A">
      <w:pPr>
        <w:pStyle w:val="Heading2"/>
        <w:numPr>
          <w:ilvl w:val="0"/>
          <w:numId w:val="38"/>
        </w:numPr>
        <w:spacing w:after="120"/>
      </w:pPr>
      <w:r w:rsidRPr="009E16F0">
        <w:t>Leamington Ro​​ad, Ryton-​​​on-Dunsmore, Coventry CV8 3EN</w:t>
      </w:r>
    </w:p>
    <w:p w14:paraId="2DC6BA97" w14:textId="77777777" w:rsidR="00934B2A" w:rsidRDefault="00934B2A" w:rsidP="00934B2A">
      <w:pPr>
        <w:pStyle w:val="Heading2"/>
        <w:numPr>
          <w:ilvl w:val="0"/>
          <w:numId w:val="38"/>
        </w:numPr>
        <w:spacing w:after="120"/>
      </w:pPr>
      <w:r w:rsidRPr="009E16F0">
        <w:t>Central House, Beckwith Knowle, Otley Road, Harrogate HG3 1UF</w:t>
      </w:r>
      <w:r>
        <w:t xml:space="preserve"> </w:t>
      </w:r>
    </w:p>
    <w:p w14:paraId="3BF0FFA8" w14:textId="77777777" w:rsidR="00934B2A" w:rsidRDefault="00934B2A" w:rsidP="00934B2A">
      <w:pPr>
        <w:pStyle w:val="Heading2"/>
        <w:numPr>
          <w:ilvl w:val="0"/>
          <w:numId w:val="38"/>
        </w:numPr>
        <w:spacing w:after="120"/>
      </w:pPr>
      <w:r w:rsidRPr="009E16F0">
        <w:t>Priestley House, Priestley Road, Basingstoke, Hampshire, RG24 9NW</w:t>
      </w:r>
      <w:r>
        <w:t xml:space="preserve">  </w:t>
      </w:r>
    </w:p>
    <w:p w14:paraId="278CB0D7" w14:textId="77777777" w:rsidR="00934B2A" w:rsidRDefault="00934B2A" w:rsidP="00934B2A">
      <w:pPr>
        <w:pStyle w:val="Heading2"/>
        <w:numPr>
          <w:ilvl w:val="0"/>
          <w:numId w:val="38"/>
        </w:numPr>
        <w:spacing w:after="120"/>
      </w:pPr>
      <w:r w:rsidRPr="009E16F0">
        <w:t>Harperley Hall, Fir Tr​​​​​​ee, Crook, County Durham DL15 8DS</w:t>
      </w:r>
      <w:r>
        <w:t xml:space="preserve"> </w:t>
      </w:r>
    </w:p>
    <w:p w14:paraId="5B68F5A8" w14:textId="77777777" w:rsidR="00934B2A" w:rsidRDefault="00934B2A" w:rsidP="00934B2A">
      <w:pPr>
        <w:pStyle w:val="Heading2"/>
        <w:numPr>
          <w:ilvl w:val="0"/>
          <w:numId w:val="0"/>
        </w:numPr>
        <w:spacing w:after="120"/>
        <w:ind w:left="1485"/>
      </w:pPr>
    </w:p>
    <w:p w14:paraId="64A507CB" w14:textId="77777777" w:rsidR="00934B2A" w:rsidRPr="00A74FE3" w:rsidRDefault="00934B2A" w:rsidP="00934B2A">
      <w:pPr>
        <w:pStyle w:val="Heading2"/>
        <w:numPr>
          <w:ilvl w:val="1"/>
          <w:numId w:val="37"/>
        </w:numPr>
        <w:spacing w:after="120"/>
      </w:pPr>
      <w:r>
        <w:t xml:space="preserve">The Potential Provider should include visits to the main base location within their pricing as part of their bid submission. Any visits to other sites listed other than the main base location will be based on Home Office travel and subsistence rates. </w:t>
      </w:r>
    </w:p>
    <w:p w14:paraId="0E531ACC" w14:textId="77777777" w:rsidR="00926958" w:rsidRPr="00A74FE3" w:rsidRDefault="00926958" w:rsidP="00934B2A">
      <w:pPr>
        <w:pStyle w:val="Heading2"/>
        <w:numPr>
          <w:ilvl w:val="0"/>
          <w:numId w:val="0"/>
        </w:numPr>
        <w:spacing w:after="120"/>
      </w:pPr>
    </w:p>
    <w:sectPr w:rsidR="00926958" w:rsidRPr="00A74FE3" w:rsidSect="00985B4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8295E" w14:textId="77777777" w:rsidR="00846699" w:rsidRDefault="00846699">
      <w:pPr>
        <w:spacing w:line="20" w:lineRule="exact"/>
      </w:pPr>
    </w:p>
  </w:endnote>
  <w:endnote w:type="continuationSeparator" w:id="0">
    <w:p w14:paraId="650EFDA8" w14:textId="77777777" w:rsidR="00846699" w:rsidRDefault="00846699">
      <w:pPr>
        <w:spacing w:line="20" w:lineRule="exact"/>
      </w:pPr>
      <w:r>
        <w:t xml:space="preserve"> </w:t>
      </w:r>
    </w:p>
  </w:endnote>
  <w:endnote w:type="continuationNotice" w:id="1">
    <w:p w14:paraId="4C9AAB37" w14:textId="77777777" w:rsidR="00846699" w:rsidRDefault="0084669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605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985B4D" w:rsidRDefault="00362A29">
        <w:pPr>
          <w:pStyle w:val="Footer"/>
          <w:rPr>
            <w:sz w:val="20"/>
            <w:szCs w:val="20"/>
          </w:rPr>
        </w:pPr>
        <w:r w:rsidRPr="00985B4D">
          <w:rPr>
            <w:sz w:val="20"/>
            <w:szCs w:val="20"/>
          </w:rPr>
          <w:t>Appendix B – Statement of Requirements</w:t>
        </w:r>
      </w:p>
      <w:p w14:paraId="5D89FCCB" w14:textId="74129FB0" w:rsidR="00362A29" w:rsidRDefault="006E5233">
        <w:pPr>
          <w:pStyle w:val="Footer"/>
          <w:rPr>
            <w:sz w:val="20"/>
            <w:szCs w:val="20"/>
          </w:rPr>
        </w:pPr>
        <w:r w:rsidRPr="006E5233">
          <w:rPr>
            <w:sz w:val="20"/>
            <w:szCs w:val="20"/>
          </w:rPr>
          <w:t>Robert Card</w:t>
        </w:r>
      </w:p>
      <w:p w14:paraId="1CB7D5DC" w14:textId="191B7152" w:rsidR="00362A29" w:rsidRPr="00985B4D" w:rsidRDefault="00362A29">
        <w:pPr>
          <w:pStyle w:val="Footer"/>
          <w:rPr>
            <w:sz w:val="20"/>
            <w:szCs w:val="20"/>
          </w:rPr>
        </w:pPr>
        <w:r>
          <w:rPr>
            <w:rFonts w:cs="Arial"/>
            <w:color w:val="222222"/>
            <w:sz w:val="19"/>
            <w:szCs w:val="19"/>
            <w:shd w:val="clear" w:color="auto" w:fill="FFFFFF"/>
          </w:rPr>
          <w:t>© Crown copyright 2016</w:t>
        </w:r>
      </w:p>
      <w:p w14:paraId="42D6E6E6" w14:textId="4F0B757C" w:rsidR="00362A29" w:rsidRPr="00985B4D" w:rsidRDefault="00362A29" w:rsidP="00985B4D">
        <w:pPr>
          <w:pStyle w:val="Footer"/>
          <w:jc w:val="right"/>
          <w:rPr>
            <w:sz w:val="20"/>
            <w:szCs w:val="20"/>
          </w:rPr>
        </w:pPr>
        <w:r>
          <w:rPr>
            <w:sz w:val="20"/>
            <w:szCs w:val="20"/>
          </w:rPr>
          <w:t>V</w:t>
        </w:r>
        <w:r w:rsidR="006E5233">
          <w:rPr>
            <w:sz w:val="20"/>
            <w:szCs w:val="20"/>
          </w:rPr>
          <w:t>1</w:t>
        </w:r>
        <w:r>
          <w:rPr>
            <w:sz w:val="20"/>
            <w:szCs w:val="20"/>
          </w:rPr>
          <w:t xml:space="preserve">.0 </w:t>
        </w:r>
        <w:r w:rsidR="007F28DD">
          <w:rPr>
            <w:sz w:val="20"/>
            <w:szCs w:val="20"/>
          </w:rPr>
          <w:t>11</w:t>
        </w:r>
        <w:r w:rsidR="007F28DD" w:rsidRPr="007F28DD">
          <w:rPr>
            <w:sz w:val="20"/>
            <w:szCs w:val="20"/>
            <w:vertAlign w:val="superscript"/>
          </w:rPr>
          <w:t>th</w:t>
        </w:r>
        <w:r w:rsidR="007F28DD">
          <w:rPr>
            <w:sz w:val="20"/>
            <w:szCs w:val="20"/>
          </w:rPr>
          <w:t xml:space="preserve"> May</w:t>
        </w:r>
        <w:r w:rsidR="006E5233">
          <w:rPr>
            <w:sz w:val="20"/>
            <w:szCs w:val="20"/>
          </w:rPr>
          <w:t xml:space="preserve"> 2018</w:t>
        </w:r>
      </w:p>
      <w:p w14:paraId="5214230D" w14:textId="4ECA52C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AC6FD2">
          <w:rPr>
            <w:noProof/>
            <w:sz w:val="20"/>
            <w:szCs w:val="20"/>
          </w:rPr>
          <w:t>2</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77000" w14:textId="77777777" w:rsidR="00846699" w:rsidRDefault="00846699">
      <w:r>
        <w:separator/>
      </w:r>
    </w:p>
  </w:footnote>
  <w:footnote w:type="continuationSeparator" w:id="0">
    <w:p w14:paraId="04588C74" w14:textId="77777777" w:rsidR="00846699" w:rsidRDefault="00846699">
      <w:r>
        <w:continuationSeparator/>
      </w:r>
    </w:p>
  </w:footnote>
  <w:footnote w:type="continuationNotice" w:id="1">
    <w:p w14:paraId="29628873" w14:textId="77777777" w:rsidR="00846699" w:rsidRDefault="008466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362A29" w:rsidRPr="006E5233" w:rsidRDefault="00362A29" w:rsidP="00985B4D">
    <w:pPr>
      <w:tabs>
        <w:tab w:val="center" w:pos="4153"/>
        <w:tab w:val="right" w:pos="8306"/>
      </w:tabs>
      <w:ind w:left="720"/>
      <w:jc w:val="center"/>
      <w:rPr>
        <w:sz w:val="20"/>
        <w:szCs w:val="20"/>
      </w:rPr>
    </w:pPr>
    <w:r w:rsidRPr="006E5233">
      <w:rPr>
        <w:sz w:val="20"/>
        <w:szCs w:val="20"/>
      </w:rPr>
      <w:t>Appendix B – Statement of Requirements</w:t>
    </w:r>
  </w:p>
  <w:p w14:paraId="2FFA1B3E" w14:textId="1AE0930F" w:rsidR="00362A29" w:rsidRPr="006E5233" w:rsidRDefault="006E5233" w:rsidP="005334EA">
    <w:pPr>
      <w:tabs>
        <w:tab w:val="center" w:pos="4153"/>
        <w:tab w:val="right" w:pos="8306"/>
      </w:tabs>
      <w:ind w:left="720"/>
      <w:jc w:val="center"/>
      <w:rPr>
        <w:rFonts w:cs="Arial"/>
        <w:sz w:val="20"/>
        <w:szCs w:val="20"/>
      </w:rPr>
    </w:pPr>
    <w:r w:rsidRPr="006E5233">
      <w:rPr>
        <w:rFonts w:cs="Arial"/>
        <w:sz w:val="20"/>
        <w:szCs w:val="20"/>
      </w:rPr>
      <w:t>Provision of Consultancy for Strategy Mapping Methodology</w:t>
    </w:r>
  </w:p>
  <w:p w14:paraId="3CFCFA88" w14:textId="70BE4508" w:rsidR="00362A29" w:rsidRPr="005334EA" w:rsidRDefault="006E5233" w:rsidP="005334EA">
    <w:pPr>
      <w:tabs>
        <w:tab w:val="center" w:pos="4153"/>
        <w:tab w:val="right" w:pos="8306"/>
      </w:tabs>
      <w:ind w:left="720"/>
      <w:jc w:val="center"/>
      <w:rPr>
        <w:sz w:val="20"/>
        <w:szCs w:val="20"/>
      </w:rPr>
    </w:pPr>
    <w:r>
      <w:rPr>
        <w:rFonts w:cs="Arial"/>
        <w:sz w:val="20"/>
        <w:szCs w:val="20"/>
      </w:rPr>
      <w:t>Contract Reference: CCCC18A36</w:t>
    </w:r>
  </w:p>
  <w:p w14:paraId="605B3446" w14:textId="1C5596A0" w:rsidR="00362A29" w:rsidRPr="009D0EAE" w:rsidRDefault="00362A29" w:rsidP="00F946AC">
    <w:pPr>
      <w:pStyle w:val="Header"/>
      <w:jc w:val="center"/>
      <w:rPr>
        <w:rFonts w:cs="Arial"/>
        <w:sz w:val="20"/>
        <w:szCs w:val="20"/>
        <w:highlight w:val="yellow"/>
      </w:rPr>
    </w:pP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25B9E"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1C321A8"/>
    <w:multiLevelType w:val="hybridMultilevel"/>
    <w:tmpl w:val="E6747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2FE211E"/>
    <w:multiLevelType w:val="hybridMultilevel"/>
    <w:tmpl w:val="72FA3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5C7470B"/>
    <w:multiLevelType w:val="hybridMultilevel"/>
    <w:tmpl w:val="783E4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FA867A6E"/>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430"/>
        </w:tabs>
        <w:ind w:left="143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1" w15:restartNumberingAfterBreak="0">
    <w:nsid w:val="62367B1D"/>
    <w:multiLevelType w:val="hybridMultilevel"/>
    <w:tmpl w:val="D616BE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D6F7E52"/>
    <w:multiLevelType w:val="hybridMultilevel"/>
    <w:tmpl w:val="A1BE958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8" w15:restartNumberingAfterBreak="0">
    <w:nsid w:val="7CDA0441"/>
    <w:multiLevelType w:val="hybridMultilevel"/>
    <w:tmpl w:val="DEA4EB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7"/>
  </w:num>
  <w:num w:numId="3">
    <w:abstractNumId w:val="16"/>
  </w:num>
  <w:num w:numId="4">
    <w:abstractNumId w:val="17"/>
  </w:num>
  <w:num w:numId="5">
    <w:abstractNumId w:val="5"/>
  </w:num>
  <w:num w:numId="6">
    <w:abstractNumId w:val="23"/>
  </w:num>
  <w:num w:numId="7">
    <w:abstractNumId w:val="19"/>
  </w:num>
  <w:num w:numId="8">
    <w:abstractNumId w:val="15"/>
  </w:num>
  <w:num w:numId="9">
    <w:abstractNumId w:val="4"/>
  </w:num>
  <w:num w:numId="10">
    <w:abstractNumId w:val="3"/>
  </w:num>
  <w:num w:numId="11">
    <w:abstractNumId w:val="2"/>
  </w:num>
  <w:num w:numId="12">
    <w:abstractNumId w:val="1"/>
  </w:num>
  <w:num w:numId="13">
    <w:abstractNumId w:val="0"/>
  </w:num>
  <w:num w:numId="14">
    <w:abstractNumId w:val="37"/>
  </w:num>
  <w:num w:numId="15">
    <w:abstractNumId w:val="9"/>
  </w:num>
  <w:num w:numId="16">
    <w:abstractNumId w:val="32"/>
  </w:num>
  <w:num w:numId="17">
    <w:abstractNumId w:val="8"/>
  </w:num>
  <w:num w:numId="18">
    <w:abstractNumId w:val="21"/>
  </w:num>
  <w:num w:numId="19">
    <w:abstractNumId w:val="18"/>
  </w:num>
  <w:num w:numId="20">
    <w:abstractNumId w:val="29"/>
  </w:num>
  <w:num w:numId="21">
    <w:abstractNumId w:val="14"/>
  </w:num>
  <w:num w:numId="22">
    <w:abstractNumId w:val="35"/>
  </w:num>
  <w:num w:numId="23">
    <w:abstractNumId w:val="24"/>
  </w:num>
  <w:num w:numId="24">
    <w:abstractNumId w:val="12"/>
  </w:num>
  <w:num w:numId="25">
    <w:abstractNumId w:val="33"/>
  </w:num>
  <w:num w:numId="26">
    <w:abstractNumId w:val="7"/>
  </w:num>
  <w:num w:numId="27">
    <w:abstractNumId w:val="28"/>
  </w:num>
  <w:num w:numId="28">
    <w:abstractNumId w:val="22"/>
  </w:num>
  <w:num w:numId="29">
    <w:abstractNumId w:val="3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10"/>
  </w:num>
  <w:num w:numId="34">
    <w:abstractNumId w:val="27"/>
  </w:num>
  <w:num w:numId="35">
    <w:abstractNumId w:val="27"/>
  </w:num>
  <w:num w:numId="36">
    <w:abstractNumId w:val="13"/>
  </w:num>
  <w:num w:numId="37">
    <w:abstractNumId w:val="27"/>
    <w:lvlOverride w:ilvl="0">
      <w:lvl w:ilvl="0">
        <w:start w:val="1"/>
        <w:numFmt w:val="decimal"/>
        <w:lvlRestart w:val="0"/>
        <w:pStyle w:val="Heading1"/>
        <w:lvlText w:val="%1."/>
        <w:lvlJc w:val="left"/>
        <w:pPr>
          <w:tabs>
            <w:tab w:val="num" w:pos="720"/>
          </w:tabs>
          <w:ind w:left="720" w:hanging="720"/>
        </w:pPr>
        <w:rPr>
          <w:rFonts w:hint="default"/>
          <w:caps w:val="0"/>
          <w:effect w:val="none"/>
        </w:rPr>
      </w:lvl>
    </w:lvlOverride>
    <w:lvlOverride w:ilvl="1">
      <w:lvl w:ilvl="1">
        <w:start w:val="1"/>
        <w:numFmt w:val="decimal"/>
        <w:pStyle w:val="Heading2"/>
        <w:lvlText w:val="%1.%2"/>
        <w:lvlJc w:val="left"/>
        <w:pPr>
          <w:tabs>
            <w:tab w:val="num" w:pos="720"/>
          </w:tabs>
          <w:ind w:left="720" w:hanging="720"/>
        </w:pPr>
        <w:rPr>
          <w:rFonts w:hint="default"/>
          <w:caps w:val="0"/>
          <w:effect w:val="none"/>
        </w:rPr>
      </w:lvl>
    </w:lvlOverride>
    <w:lvlOverride w:ilvl="2">
      <w:lvl w:ilvl="2">
        <w:start w:val="1"/>
        <w:numFmt w:val="none"/>
        <w:pStyle w:val="Heading3"/>
        <w:lvlText w:val="%36.3.7"/>
        <w:lvlJc w:val="left"/>
        <w:pPr>
          <w:tabs>
            <w:tab w:val="num" w:pos="1931"/>
          </w:tabs>
          <w:ind w:left="1931" w:hanging="1080"/>
        </w:pPr>
        <w:rPr>
          <w:rFonts w:hint="default"/>
          <w:b w:val="0"/>
          <w:caps w:val="0"/>
          <w:effect w:val="none"/>
        </w:rPr>
      </w:lvl>
    </w:lvlOverride>
    <w:lvlOverride w:ilvl="3">
      <w:lvl w:ilvl="3">
        <w:start w:val="1"/>
        <w:numFmt w:val="decimal"/>
        <w:pStyle w:val="Heading4"/>
        <w:lvlText w:val="%1.%2.%3.%4"/>
        <w:lvlJc w:val="left"/>
        <w:pPr>
          <w:tabs>
            <w:tab w:val="num" w:pos="2880"/>
          </w:tabs>
          <w:ind w:left="2880" w:hanging="1080"/>
        </w:pPr>
        <w:rPr>
          <w:rFonts w:hint="default"/>
          <w:caps w:val="0"/>
          <w:effect w:val="none"/>
        </w:rPr>
      </w:lvl>
    </w:lvlOverride>
    <w:lvlOverride w:ilvl="4">
      <w:lvl w:ilvl="4">
        <w:start w:val="1"/>
        <w:numFmt w:val="lowerLetter"/>
        <w:pStyle w:val="Heading5"/>
        <w:lvlText w:val="(%5)"/>
        <w:lvlJc w:val="left"/>
        <w:pPr>
          <w:tabs>
            <w:tab w:val="num" w:pos="3600"/>
          </w:tabs>
          <w:ind w:left="3600" w:hanging="720"/>
        </w:pPr>
        <w:rPr>
          <w:rFonts w:hint="default"/>
          <w:caps w:val="0"/>
          <w:effect w:val="none"/>
        </w:rPr>
      </w:lvl>
    </w:lvlOverride>
    <w:lvlOverride w:ilvl="5">
      <w:lvl w:ilvl="5">
        <w:start w:val="1"/>
        <w:numFmt w:val="lowerRoman"/>
        <w:pStyle w:val="Heading6"/>
        <w:lvlText w:val="(%6)"/>
        <w:lvlJc w:val="left"/>
        <w:pPr>
          <w:tabs>
            <w:tab w:val="num" w:pos="4320"/>
          </w:tabs>
          <w:ind w:left="4320" w:hanging="720"/>
        </w:pPr>
        <w:rPr>
          <w:rFonts w:hint="default"/>
          <w:caps w:val="0"/>
          <w:effect w:val="none"/>
        </w:rPr>
      </w:lvl>
    </w:lvlOverride>
    <w:lvlOverride w:ilvl="6">
      <w:lvl w:ilvl="6">
        <w:start w:val="1"/>
        <w:numFmt w:val="decimal"/>
        <w:pStyle w:val="Heading7"/>
        <w:lvlText w:val="(%7)"/>
        <w:lvlJc w:val="left"/>
        <w:pPr>
          <w:tabs>
            <w:tab w:val="num" w:pos="5040"/>
          </w:tabs>
          <w:ind w:left="5040" w:hanging="720"/>
        </w:pPr>
        <w:rPr>
          <w:rFonts w:hint="default"/>
          <w:caps w:val="0"/>
          <w:effect w:val="none"/>
        </w:rPr>
      </w:lvl>
    </w:lvlOverride>
    <w:lvlOverride w:ilvl="7">
      <w:lvl w:ilvl="7">
        <w:start w:val="1"/>
        <w:numFmt w:val="none"/>
        <w:pStyle w:val="Heading8"/>
        <w:lvlText w:val=""/>
        <w:lvlJc w:val="left"/>
        <w:pPr>
          <w:tabs>
            <w:tab w:val="num" w:pos="5040"/>
          </w:tabs>
          <w:ind w:left="5040" w:hanging="720"/>
        </w:pPr>
        <w:rPr>
          <w:rFonts w:hint="default"/>
          <w:caps w:val="0"/>
          <w:effect w:val="none"/>
        </w:rPr>
      </w:lvl>
    </w:lvlOverride>
    <w:lvlOverride w:ilvl="8">
      <w:lvl w:ilvl="8">
        <w:start w:val="1"/>
        <w:numFmt w:val="none"/>
        <w:pStyle w:val="Heading9"/>
        <w:lvlText w:val=""/>
        <w:lvlJc w:val="left"/>
        <w:pPr>
          <w:tabs>
            <w:tab w:val="num" w:pos="5040"/>
          </w:tabs>
          <w:ind w:left="5040" w:hanging="720"/>
        </w:pPr>
        <w:rPr>
          <w:rFonts w:hint="default"/>
          <w:caps w:val="0"/>
          <w:effect w:val="none"/>
        </w:rPr>
      </w:lvl>
    </w:lvlOverride>
  </w:num>
  <w:num w:numId="38">
    <w:abstractNumId w:val="38"/>
  </w:num>
  <w:num w:numId="39">
    <w:abstractNumId w:val="27"/>
  </w:num>
  <w:num w:numId="40">
    <w:abstractNumId w:val="27"/>
  </w:num>
  <w:num w:numId="41">
    <w:abstractNumId w:val="20"/>
  </w:num>
  <w:num w:numId="42">
    <w:abstractNumId w:val="27"/>
  </w:num>
  <w:num w:numId="43">
    <w:abstractNumId w:val="31"/>
  </w:num>
  <w:num w:numId="44">
    <w:abstractNumId w:val="27"/>
  </w:num>
  <w:num w:numId="45">
    <w:abstractNumId w:val="34"/>
  </w:num>
  <w:num w:numId="46">
    <w:abstractNumId w:val="27"/>
  </w:num>
  <w:num w:numId="47">
    <w:abstractNumId w:val="27"/>
  </w:num>
  <w:num w:numId="48">
    <w:abstractNumId w:val="27"/>
  </w:num>
  <w:num w:numId="49">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76CB6"/>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0D4F"/>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93D"/>
    <w:rsid w:val="00396B62"/>
    <w:rsid w:val="0039786B"/>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02F"/>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250D"/>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14C4"/>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87A68"/>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120"/>
    <w:rsid w:val="006E13AE"/>
    <w:rsid w:val="006E28A2"/>
    <w:rsid w:val="006E5233"/>
    <w:rsid w:val="006E5B51"/>
    <w:rsid w:val="006E5FFB"/>
    <w:rsid w:val="006F098A"/>
    <w:rsid w:val="006F0C06"/>
    <w:rsid w:val="006F299C"/>
    <w:rsid w:val="006F46DC"/>
    <w:rsid w:val="006F490F"/>
    <w:rsid w:val="006F5CE9"/>
    <w:rsid w:val="006F6878"/>
    <w:rsid w:val="006F6F85"/>
    <w:rsid w:val="007003CC"/>
    <w:rsid w:val="00702C1F"/>
    <w:rsid w:val="00703030"/>
    <w:rsid w:val="00704A4D"/>
    <w:rsid w:val="00706FCC"/>
    <w:rsid w:val="00707587"/>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85A09"/>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28DD"/>
    <w:rsid w:val="007F48F8"/>
    <w:rsid w:val="007F521C"/>
    <w:rsid w:val="007F7678"/>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2BB"/>
    <w:rsid w:val="0083566B"/>
    <w:rsid w:val="008367F3"/>
    <w:rsid w:val="00842735"/>
    <w:rsid w:val="00843256"/>
    <w:rsid w:val="008433A5"/>
    <w:rsid w:val="00843CA8"/>
    <w:rsid w:val="00843FCC"/>
    <w:rsid w:val="00845DE9"/>
    <w:rsid w:val="00846256"/>
    <w:rsid w:val="008465F9"/>
    <w:rsid w:val="00846699"/>
    <w:rsid w:val="008519A1"/>
    <w:rsid w:val="0085331D"/>
    <w:rsid w:val="00854513"/>
    <w:rsid w:val="008556F2"/>
    <w:rsid w:val="00861336"/>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4D55"/>
    <w:rsid w:val="008D66D4"/>
    <w:rsid w:val="008D745D"/>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782"/>
    <w:rsid w:val="00926958"/>
    <w:rsid w:val="00926AFD"/>
    <w:rsid w:val="009317B0"/>
    <w:rsid w:val="00932346"/>
    <w:rsid w:val="0093247C"/>
    <w:rsid w:val="00932D6C"/>
    <w:rsid w:val="00934359"/>
    <w:rsid w:val="00934B2A"/>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29E"/>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233"/>
    <w:rsid w:val="009F44CA"/>
    <w:rsid w:val="00A04242"/>
    <w:rsid w:val="00A055F2"/>
    <w:rsid w:val="00A061A4"/>
    <w:rsid w:val="00A06EEA"/>
    <w:rsid w:val="00A07797"/>
    <w:rsid w:val="00A07BA2"/>
    <w:rsid w:val="00A117ED"/>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291"/>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C6FD2"/>
    <w:rsid w:val="00AD047E"/>
    <w:rsid w:val="00AD3099"/>
    <w:rsid w:val="00AD3355"/>
    <w:rsid w:val="00AD376A"/>
    <w:rsid w:val="00AD4469"/>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A08"/>
    <w:rsid w:val="00C92F49"/>
    <w:rsid w:val="00C944BE"/>
    <w:rsid w:val="00C959C7"/>
    <w:rsid w:val="00CA021A"/>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674E"/>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058D"/>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555"/>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D4F"/>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172E"/>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29DF8042-5E9C-4957-B298-5D72CE96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police.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lege.police.uk/About/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6021-B1DC-4A6B-B4E7-27548977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Robert Card</cp:lastModifiedBy>
  <cp:revision>2</cp:revision>
  <dcterms:created xsi:type="dcterms:W3CDTF">2018-05-11T13:49:00Z</dcterms:created>
  <dcterms:modified xsi:type="dcterms:W3CDTF">2018-05-11T13:49:00Z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