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469BC" w14:textId="77777777" w:rsidR="00215840" w:rsidRDefault="00215840" w:rsidP="00215840">
      <w:pPr>
        <w:ind w:right="-815"/>
        <w:jc w:val="center"/>
        <w:rPr>
          <w:rFonts w:ascii="Arial" w:hAnsi="Arial" w:cs="Arial"/>
          <w:b/>
          <w:bCs/>
        </w:rPr>
      </w:pPr>
      <w:r w:rsidRPr="00622BB9">
        <w:rPr>
          <w:rFonts w:ascii="Arial" w:hAnsi="Arial" w:cs="Arial"/>
          <w:b/>
          <w:bCs/>
        </w:rPr>
        <w:t>SCORING SCHEME</w:t>
      </w:r>
      <w:r>
        <w:rPr>
          <w:rFonts w:ascii="Arial" w:hAnsi="Arial" w:cs="Arial"/>
          <w:b/>
          <w:bCs/>
        </w:rPr>
        <w:t xml:space="preserve"> </w:t>
      </w:r>
    </w:p>
    <w:p w14:paraId="64E950BF" w14:textId="77777777" w:rsidR="00215840" w:rsidRPr="00271F96" w:rsidRDefault="00215840" w:rsidP="00215840">
      <w:pPr>
        <w:ind w:right="-815"/>
        <w:jc w:val="center"/>
        <w:rPr>
          <w:rFonts w:ascii="Arial" w:hAnsi="Arial" w:cs="Arial"/>
          <w:b/>
          <w:bCs/>
          <w:sz w:val="22"/>
          <w:szCs w:val="22"/>
        </w:rPr>
      </w:pPr>
      <w:r w:rsidRPr="00271F96">
        <w:rPr>
          <w:rFonts w:ascii="Arial" w:hAnsi="Arial"/>
          <w:sz w:val="22"/>
          <w:szCs w:val="22"/>
        </w:rPr>
        <w:t>Responses to the ‘evaluation criteria’ or ‘factors’ will be assessed individually on a scale of 1 to 5 points</w:t>
      </w:r>
    </w:p>
    <w:p w14:paraId="65CBAE8A" w14:textId="77777777" w:rsidR="00215840" w:rsidRDefault="00215840" w:rsidP="00215840">
      <w:pPr>
        <w:ind w:right="-815"/>
        <w:rPr>
          <w:rFonts w:ascii="Arial" w:hAnsi="Arial" w:cs="Arial"/>
        </w:rPr>
      </w:pPr>
    </w:p>
    <w:tbl>
      <w:tblPr>
        <w:tblStyle w:val="TableGrid"/>
        <w:tblW w:w="10598" w:type="dxa"/>
        <w:tblInd w:w="-176" w:type="dxa"/>
        <w:tblLayout w:type="fixed"/>
        <w:tblLook w:val="04A0" w:firstRow="1" w:lastRow="0" w:firstColumn="1" w:lastColumn="0" w:noHBand="0" w:noVBand="1"/>
      </w:tblPr>
      <w:tblGrid>
        <w:gridCol w:w="4849"/>
        <w:gridCol w:w="1672"/>
        <w:gridCol w:w="4077"/>
      </w:tblGrid>
      <w:tr w:rsidR="00215840" w:rsidRPr="00462AA9" w14:paraId="38D8A2CF" w14:textId="77777777" w:rsidTr="00901901">
        <w:trPr>
          <w:trHeight w:val="276"/>
        </w:trPr>
        <w:tc>
          <w:tcPr>
            <w:tcW w:w="4849" w:type="dxa"/>
            <w:vAlign w:val="center"/>
          </w:tcPr>
          <w:p w14:paraId="51F3C756" w14:textId="77777777" w:rsidR="00215840" w:rsidRPr="00462AA9" w:rsidRDefault="00215840" w:rsidP="00901901">
            <w:pPr>
              <w:tabs>
                <w:tab w:val="left" w:pos="1420"/>
                <w:tab w:val="center" w:pos="2072"/>
              </w:tabs>
              <w:jc w:val="center"/>
              <w:rPr>
                <w:rFonts w:ascii="Arial" w:hAnsi="Arial" w:cs="Arial"/>
                <w:b/>
              </w:rPr>
            </w:pPr>
            <w:r w:rsidRPr="00462AA9">
              <w:rPr>
                <w:rFonts w:ascii="Arial" w:hAnsi="Arial" w:cs="Arial"/>
                <w:b/>
              </w:rPr>
              <w:t>FACTORS</w:t>
            </w:r>
          </w:p>
        </w:tc>
        <w:tc>
          <w:tcPr>
            <w:tcW w:w="1672" w:type="dxa"/>
          </w:tcPr>
          <w:p w14:paraId="10331AF7" w14:textId="77777777" w:rsidR="00215840" w:rsidRPr="00462AA9" w:rsidRDefault="00215840" w:rsidP="00901901">
            <w:pPr>
              <w:jc w:val="center"/>
              <w:rPr>
                <w:rFonts w:ascii="Arial" w:hAnsi="Arial" w:cs="Arial"/>
                <w:b/>
              </w:rPr>
            </w:pPr>
            <w:r w:rsidRPr="00462AA9">
              <w:rPr>
                <w:rFonts w:ascii="Arial" w:hAnsi="Arial" w:cs="Arial"/>
                <w:b/>
              </w:rPr>
              <w:t>POI</w:t>
            </w:r>
            <w:r>
              <w:rPr>
                <w:rFonts w:ascii="Arial" w:hAnsi="Arial" w:cs="Arial"/>
                <w:b/>
              </w:rPr>
              <w:t>NTS AVAILABLE</w:t>
            </w:r>
          </w:p>
        </w:tc>
        <w:tc>
          <w:tcPr>
            <w:tcW w:w="4077" w:type="dxa"/>
            <w:vAlign w:val="center"/>
          </w:tcPr>
          <w:p w14:paraId="139E3EB7" w14:textId="77777777" w:rsidR="00215840" w:rsidRPr="00462AA9" w:rsidRDefault="00215840" w:rsidP="00901901">
            <w:pPr>
              <w:jc w:val="center"/>
              <w:rPr>
                <w:rFonts w:ascii="Arial" w:hAnsi="Arial" w:cs="Arial"/>
                <w:b/>
              </w:rPr>
            </w:pPr>
            <w:r>
              <w:rPr>
                <w:rFonts w:ascii="Arial" w:hAnsi="Arial" w:cs="Arial"/>
                <w:b/>
              </w:rPr>
              <w:t>SCORING METHOD</w:t>
            </w:r>
          </w:p>
        </w:tc>
      </w:tr>
      <w:tr w:rsidR="00215840" w:rsidRPr="00462AA9" w14:paraId="3AB91108" w14:textId="77777777" w:rsidTr="00901901">
        <w:trPr>
          <w:trHeight w:val="276"/>
        </w:trPr>
        <w:tc>
          <w:tcPr>
            <w:tcW w:w="4849" w:type="dxa"/>
            <w:vAlign w:val="center"/>
          </w:tcPr>
          <w:p w14:paraId="69EABF1B" w14:textId="77777777" w:rsidR="00215840" w:rsidRDefault="00215840" w:rsidP="00901901">
            <w:pPr>
              <w:tabs>
                <w:tab w:val="left" w:pos="2940"/>
              </w:tabs>
              <w:rPr>
                <w:rFonts w:ascii="Arial" w:hAnsi="Arial" w:cs="Arial"/>
                <w:b/>
              </w:rPr>
            </w:pPr>
          </w:p>
          <w:p w14:paraId="6DB25BD4" w14:textId="77777777" w:rsidR="00215840" w:rsidRDefault="00215840" w:rsidP="00901901">
            <w:pPr>
              <w:tabs>
                <w:tab w:val="left" w:pos="2940"/>
              </w:tabs>
              <w:rPr>
                <w:rFonts w:ascii="Arial" w:hAnsi="Arial" w:cs="Arial"/>
              </w:rPr>
            </w:pPr>
            <w:r w:rsidRPr="00986237">
              <w:rPr>
                <w:rFonts w:ascii="Arial" w:hAnsi="Arial" w:cs="Arial"/>
                <w:b/>
              </w:rPr>
              <w:t>PLAY VALUE</w:t>
            </w:r>
            <w:r w:rsidRPr="00986237">
              <w:rPr>
                <w:rFonts w:ascii="Arial" w:hAnsi="Arial" w:cs="Arial"/>
              </w:rPr>
              <w:t xml:space="preserve"> </w:t>
            </w:r>
          </w:p>
          <w:p w14:paraId="6E79B8DE" w14:textId="77777777" w:rsidR="00215840" w:rsidRPr="00986237" w:rsidRDefault="00215840" w:rsidP="00901901">
            <w:pPr>
              <w:tabs>
                <w:tab w:val="left" w:pos="2940"/>
              </w:tabs>
              <w:rPr>
                <w:rFonts w:ascii="Arial" w:hAnsi="Arial" w:cs="Arial"/>
              </w:rPr>
            </w:pPr>
            <w:r>
              <w:rPr>
                <w:rFonts w:ascii="Arial" w:hAnsi="Arial" w:cs="Arial"/>
              </w:rPr>
              <w:tab/>
            </w:r>
          </w:p>
        </w:tc>
        <w:tc>
          <w:tcPr>
            <w:tcW w:w="1672" w:type="dxa"/>
          </w:tcPr>
          <w:p w14:paraId="4EB6095E" w14:textId="77777777" w:rsidR="00215840" w:rsidRDefault="00215840" w:rsidP="00901901">
            <w:pPr>
              <w:rPr>
                <w:rFonts w:ascii="Arial" w:hAnsi="Arial" w:cs="Arial"/>
              </w:rPr>
            </w:pPr>
          </w:p>
          <w:p w14:paraId="38924A91" w14:textId="77777777" w:rsidR="00215840" w:rsidRPr="00462AA9" w:rsidRDefault="00215840" w:rsidP="00901901">
            <w:pPr>
              <w:jc w:val="center"/>
              <w:rPr>
                <w:rFonts w:ascii="Arial" w:hAnsi="Arial" w:cs="Arial"/>
              </w:rPr>
            </w:pPr>
            <w:r>
              <w:rPr>
                <w:rFonts w:ascii="Arial" w:hAnsi="Arial" w:cs="Arial"/>
              </w:rPr>
              <w:t>(40)</w:t>
            </w:r>
          </w:p>
        </w:tc>
        <w:tc>
          <w:tcPr>
            <w:tcW w:w="4077" w:type="dxa"/>
          </w:tcPr>
          <w:p w14:paraId="5F437A56" w14:textId="77777777" w:rsidR="00215840" w:rsidRPr="00462AA9" w:rsidRDefault="00215840" w:rsidP="00901901">
            <w:pPr>
              <w:rPr>
                <w:rFonts w:ascii="Arial" w:hAnsi="Arial" w:cs="Arial"/>
              </w:rPr>
            </w:pPr>
          </w:p>
        </w:tc>
      </w:tr>
      <w:tr w:rsidR="00215840" w:rsidRPr="00462AA9" w14:paraId="149A410B" w14:textId="77777777" w:rsidTr="00901901">
        <w:trPr>
          <w:trHeight w:val="276"/>
        </w:trPr>
        <w:tc>
          <w:tcPr>
            <w:tcW w:w="4849" w:type="dxa"/>
          </w:tcPr>
          <w:p w14:paraId="68CF26F0" w14:textId="77777777" w:rsidR="00215840" w:rsidRDefault="00215840" w:rsidP="00901901">
            <w:pPr>
              <w:rPr>
                <w:rFonts w:ascii="Arial" w:hAnsi="Arial" w:cs="Arial"/>
              </w:rPr>
            </w:pPr>
            <w:r>
              <w:rPr>
                <w:rFonts w:ascii="Arial" w:hAnsi="Arial" w:cs="Arial"/>
              </w:rPr>
              <w:t>Physical Play Value (Play Area)</w:t>
            </w:r>
          </w:p>
          <w:p w14:paraId="6E15A684" w14:textId="77777777" w:rsidR="00215840" w:rsidRDefault="00215840" w:rsidP="00215840">
            <w:pPr>
              <w:pStyle w:val="ListParagraph"/>
              <w:widowControl/>
              <w:numPr>
                <w:ilvl w:val="0"/>
                <w:numId w:val="1"/>
              </w:numPr>
              <w:autoSpaceDE/>
              <w:autoSpaceDN/>
              <w:contextualSpacing/>
            </w:pPr>
            <w:r>
              <w:t>Landscaping curves and trees to encourage different types of play</w:t>
            </w:r>
          </w:p>
          <w:p w14:paraId="4FA21448" w14:textId="77777777" w:rsidR="00215840" w:rsidRDefault="00215840" w:rsidP="00215840">
            <w:pPr>
              <w:pStyle w:val="ListParagraph"/>
              <w:widowControl/>
              <w:numPr>
                <w:ilvl w:val="0"/>
                <w:numId w:val="1"/>
              </w:numPr>
              <w:autoSpaceDE/>
              <w:autoSpaceDN/>
              <w:contextualSpacing/>
            </w:pPr>
            <w:r>
              <w:t>Opportunity to challenge the environment</w:t>
            </w:r>
          </w:p>
          <w:p w14:paraId="17F0F197" w14:textId="77777777" w:rsidR="00215840" w:rsidRDefault="00215840" w:rsidP="00215840">
            <w:pPr>
              <w:pStyle w:val="ListParagraph"/>
              <w:widowControl/>
              <w:numPr>
                <w:ilvl w:val="0"/>
                <w:numId w:val="1"/>
              </w:numPr>
              <w:autoSpaceDE/>
              <w:autoSpaceDN/>
              <w:contextualSpacing/>
            </w:pPr>
            <w:r>
              <w:t>Potential for challenging/stimulating play</w:t>
            </w:r>
          </w:p>
          <w:p w14:paraId="1170E2C2" w14:textId="77777777" w:rsidR="00215840" w:rsidRDefault="00215840" w:rsidP="00215840">
            <w:pPr>
              <w:pStyle w:val="ListParagraph"/>
              <w:widowControl/>
              <w:numPr>
                <w:ilvl w:val="0"/>
                <w:numId w:val="1"/>
              </w:numPr>
              <w:autoSpaceDE/>
              <w:autoSpaceDN/>
              <w:contextualSpacing/>
            </w:pPr>
            <w:r>
              <w:t>Potential for creative/exploratory play</w:t>
            </w:r>
          </w:p>
          <w:p w14:paraId="32B7E918" w14:textId="77777777" w:rsidR="00215840" w:rsidRPr="00986237" w:rsidRDefault="00215840" w:rsidP="00215840">
            <w:pPr>
              <w:pStyle w:val="ListParagraph"/>
              <w:widowControl/>
              <w:numPr>
                <w:ilvl w:val="0"/>
                <w:numId w:val="1"/>
              </w:numPr>
              <w:autoSpaceDE/>
              <w:autoSpaceDN/>
              <w:contextualSpacing/>
            </w:pPr>
            <w:r w:rsidRPr="00986237">
              <w:t>Potential for fully inclusive play</w:t>
            </w:r>
          </w:p>
        </w:tc>
        <w:tc>
          <w:tcPr>
            <w:tcW w:w="1672" w:type="dxa"/>
          </w:tcPr>
          <w:p w14:paraId="54761589" w14:textId="77777777" w:rsidR="00215840" w:rsidRDefault="00215840" w:rsidP="00901901">
            <w:pPr>
              <w:rPr>
                <w:rFonts w:ascii="Arial" w:hAnsi="Arial" w:cs="Arial"/>
              </w:rPr>
            </w:pPr>
          </w:p>
          <w:p w14:paraId="5124FE1D" w14:textId="77777777" w:rsidR="00215840" w:rsidRDefault="00215840" w:rsidP="00901901">
            <w:pPr>
              <w:rPr>
                <w:rFonts w:ascii="Arial" w:hAnsi="Arial" w:cs="Arial"/>
              </w:rPr>
            </w:pPr>
          </w:p>
          <w:p w14:paraId="1335741B" w14:textId="77777777" w:rsidR="00215840" w:rsidRDefault="00215840" w:rsidP="00901901">
            <w:pPr>
              <w:rPr>
                <w:rFonts w:ascii="Arial" w:hAnsi="Arial" w:cs="Arial"/>
              </w:rPr>
            </w:pPr>
          </w:p>
          <w:p w14:paraId="04B3F3EC" w14:textId="77777777" w:rsidR="00215840" w:rsidRDefault="00215840" w:rsidP="00901901">
            <w:pPr>
              <w:rPr>
                <w:rFonts w:ascii="Arial" w:hAnsi="Arial" w:cs="Arial"/>
              </w:rPr>
            </w:pPr>
          </w:p>
          <w:p w14:paraId="06A15C7C" w14:textId="77777777" w:rsidR="00215840" w:rsidRPr="00462AA9" w:rsidRDefault="00215840" w:rsidP="00901901">
            <w:pPr>
              <w:jc w:val="center"/>
              <w:rPr>
                <w:rFonts w:ascii="Arial" w:hAnsi="Arial" w:cs="Arial"/>
              </w:rPr>
            </w:pPr>
            <w:r>
              <w:rPr>
                <w:rFonts w:ascii="Arial" w:hAnsi="Arial" w:cs="Arial"/>
              </w:rPr>
              <w:t>10</w:t>
            </w:r>
          </w:p>
        </w:tc>
        <w:tc>
          <w:tcPr>
            <w:tcW w:w="4077" w:type="dxa"/>
            <w:vMerge w:val="restart"/>
          </w:tcPr>
          <w:p w14:paraId="7765B9EA" w14:textId="77777777" w:rsidR="00215840" w:rsidRPr="00462AA9" w:rsidRDefault="00215840" w:rsidP="00901901">
            <w:pPr>
              <w:rPr>
                <w:rFonts w:ascii="Arial" w:hAnsi="Arial" w:cs="Arial"/>
              </w:rPr>
            </w:pPr>
            <w:r>
              <w:rPr>
                <w:rFonts w:ascii="Arial" w:hAnsi="Arial" w:cs="Arial"/>
              </w:rPr>
              <w:t>A score will be given in relation to the offers by all tenderers as to the value of the play experiences or functionality of the offer.  The layout and play value information will be used for the consultation prior to appointing a contractor.</w:t>
            </w:r>
          </w:p>
        </w:tc>
      </w:tr>
      <w:tr w:rsidR="00215840" w:rsidRPr="00462AA9" w14:paraId="18DA3E14" w14:textId="77777777" w:rsidTr="00901901">
        <w:trPr>
          <w:trHeight w:val="276"/>
        </w:trPr>
        <w:tc>
          <w:tcPr>
            <w:tcW w:w="4849" w:type="dxa"/>
          </w:tcPr>
          <w:p w14:paraId="7CBE005C" w14:textId="77777777" w:rsidR="00215840" w:rsidRDefault="00215840" w:rsidP="00901901">
            <w:pPr>
              <w:rPr>
                <w:rFonts w:ascii="Arial" w:hAnsi="Arial" w:cs="Arial"/>
              </w:rPr>
            </w:pPr>
            <w:r>
              <w:rPr>
                <w:rFonts w:ascii="Arial" w:hAnsi="Arial" w:cs="Arial"/>
              </w:rPr>
              <w:t>Social Play Value</w:t>
            </w:r>
          </w:p>
          <w:p w14:paraId="2020C08F" w14:textId="77777777" w:rsidR="00215840" w:rsidRDefault="00215840" w:rsidP="00215840">
            <w:pPr>
              <w:pStyle w:val="ListParagraph"/>
              <w:widowControl/>
              <w:numPr>
                <w:ilvl w:val="0"/>
                <w:numId w:val="2"/>
              </w:numPr>
              <w:autoSpaceDE/>
              <w:autoSpaceDN/>
              <w:contextualSpacing/>
            </w:pPr>
            <w:r>
              <w:t>Potential to socialize throughout layout and design</w:t>
            </w:r>
          </w:p>
          <w:p w14:paraId="23880099" w14:textId="77777777" w:rsidR="00215840" w:rsidRDefault="00215840" w:rsidP="00215840">
            <w:pPr>
              <w:pStyle w:val="ListParagraph"/>
              <w:widowControl/>
              <w:numPr>
                <w:ilvl w:val="0"/>
                <w:numId w:val="2"/>
              </w:numPr>
              <w:autoSpaceDE/>
              <w:autoSpaceDN/>
              <w:contextualSpacing/>
            </w:pPr>
            <w:r>
              <w:t>Opportunity to travel and run around</w:t>
            </w:r>
          </w:p>
          <w:p w14:paraId="338BAE79" w14:textId="77777777" w:rsidR="00215840" w:rsidRDefault="00215840" w:rsidP="00215840">
            <w:pPr>
              <w:pStyle w:val="ListParagraph"/>
              <w:widowControl/>
              <w:numPr>
                <w:ilvl w:val="0"/>
                <w:numId w:val="2"/>
              </w:numPr>
              <w:autoSpaceDE/>
              <w:autoSpaceDN/>
              <w:contextualSpacing/>
            </w:pPr>
            <w:r>
              <w:t>Opportunities for shade</w:t>
            </w:r>
          </w:p>
          <w:p w14:paraId="10B116FA" w14:textId="77777777" w:rsidR="00215840" w:rsidRPr="00986237" w:rsidRDefault="00215840" w:rsidP="00215840">
            <w:pPr>
              <w:pStyle w:val="ListParagraph"/>
              <w:widowControl/>
              <w:numPr>
                <w:ilvl w:val="0"/>
                <w:numId w:val="2"/>
              </w:numPr>
              <w:autoSpaceDE/>
              <w:autoSpaceDN/>
              <w:contextualSpacing/>
            </w:pPr>
            <w:r>
              <w:t>Opportunities to picnic and sit</w:t>
            </w:r>
          </w:p>
        </w:tc>
        <w:tc>
          <w:tcPr>
            <w:tcW w:w="1672" w:type="dxa"/>
          </w:tcPr>
          <w:p w14:paraId="74CB1F14" w14:textId="77777777" w:rsidR="00215840" w:rsidRDefault="00215840" w:rsidP="00901901">
            <w:pPr>
              <w:rPr>
                <w:rFonts w:ascii="Arial" w:hAnsi="Arial" w:cs="Arial"/>
              </w:rPr>
            </w:pPr>
          </w:p>
          <w:p w14:paraId="2F742D31" w14:textId="77777777" w:rsidR="00215840" w:rsidRDefault="00215840" w:rsidP="00901901">
            <w:pPr>
              <w:rPr>
                <w:rFonts w:ascii="Arial" w:hAnsi="Arial" w:cs="Arial"/>
              </w:rPr>
            </w:pPr>
          </w:p>
          <w:p w14:paraId="16F66C12" w14:textId="77777777" w:rsidR="00215840" w:rsidRDefault="00215840" w:rsidP="00901901">
            <w:pPr>
              <w:rPr>
                <w:rFonts w:ascii="Arial" w:hAnsi="Arial" w:cs="Arial"/>
              </w:rPr>
            </w:pPr>
          </w:p>
          <w:p w14:paraId="069CBC05" w14:textId="77777777" w:rsidR="00215840" w:rsidRPr="00462AA9" w:rsidRDefault="00215840" w:rsidP="00901901">
            <w:pPr>
              <w:jc w:val="center"/>
              <w:rPr>
                <w:rFonts w:ascii="Arial" w:hAnsi="Arial" w:cs="Arial"/>
              </w:rPr>
            </w:pPr>
            <w:r>
              <w:rPr>
                <w:rFonts w:ascii="Arial" w:hAnsi="Arial" w:cs="Arial"/>
              </w:rPr>
              <w:t>10</w:t>
            </w:r>
          </w:p>
        </w:tc>
        <w:tc>
          <w:tcPr>
            <w:tcW w:w="4077" w:type="dxa"/>
            <w:vMerge/>
          </w:tcPr>
          <w:p w14:paraId="45E5B840" w14:textId="77777777" w:rsidR="00215840" w:rsidRPr="00462AA9" w:rsidRDefault="00215840" w:rsidP="00901901">
            <w:pPr>
              <w:rPr>
                <w:rFonts w:ascii="Arial" w:hAnsi="Arial" w:cs="Arial"/>
              </w:rPr>
            </w:pPr>
          </w:p>
        </w:tc>
      </w:tr>
      <w:tr w:rsidR="00215840" w:rsidRPr="00462AA9" w14:paraId="45F6903C" w14:textId="77777777" w:rsidTr="00901901">
        <w:trPr>
          <w:trHeight w:val="276"/>
        </w:trPr>
        <w:tc>
          <w:tcPr>
            <w:tcW w:w="4849" w:type="dxa"/>
          </w:tcPr>
          <w:p w14:paraId="078C3C0B" w14:textId="77777777" w:rsidR="00215840" w:rsidRPr="00462AA9" w:rsidRDefault="00215840" w:rsidP="00901901">
            <w:pPr>
              <w:rPr>
                <w:rFonts w:ascii="Arial" w:hAnsi="Arial" w:cs="Arial"/>
              </w:rPr>
            </w:pPr>
            <w:r>
              <w:rPr>
                <w:rFonts w:ascii="Arial" w:hAnsi="Arial" w:cs="Arial"/>
              </w:rPr>
              <w:t xml:space="preserve">Provision for </w:t>
            </w:r>
            <w:proofErr w:type="gramStart"/>
            <w:r>
              <w:rPr>
                <w:rFonts w:ascii="Arial" w:hAnsi="Arial" w:cs="Arial"/>
              </w:rPr>
              <w:t>year round</w:t>
            </w:r>
            <w:proofErr w:type="gramEnd"/>
            <w:r>
              <w:rPr>
                <w:rFonts w:ascii="Arial" w:hAnsi="Arial" w:cs="Arial"/>
              </w:rPr>
              <w:t xml:space="preserve"> access to equipment.</w:t>
            </w:r>
          </w:p>
        </w:tc>
        <w:tc>
          <w:tcPr>
            <w:tcW w:w="1672" w:type="dxa"/>
          </w:tcPr>
          <w:p w14:paraId="29E81D02"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48AD933E" w14:textId="77777777" w:rsidR="00215840" w:rsidRPr="00462AA9" w:rsidRDefault="00215840" w:rsidP="00901901">
            <w:pPr>
              <w:rPr>
                <w:rFonts w:ascii="Arial" w:hAnsi="Arial" w:cs="Arial"/>
              </w:rPr>
            </w:pPr>
          </w:p>
        </w:tc>
      </w:tr>
      <w:tr w:rsidR="00215840" w:rsidRPr="00462AA9" w14:paraId="69204305" w14:textId="77777777" w:rsidTr="00901901">
        <w:trPr>
          <w:trHeight w:val="276"/>
        </w:trPr>
        <w:tc>
          <w:tcPr>
            <w:tcW w:w="4849" w:type="dxa"/>
          </w:tcPr>
          <w:p w14:paraId="1F08180E" w14:textId="77777777" w:rsidR="00215840" w:rsidRPr="00462AA9" w:rsidRDefault="00215840" w:rsidP="00901901">
            <w:pPr>
              <w:rPr>
                <w:rFonts w:ascii="Arial" w:hAnsi="Arial" w:cs="Arial"/>
              </w:rPr>
            </w:pPr>
            <w:r>
              <w:rPr>
                <w:rFonts w:ascii="Arial" w:hAnsi="Arial" w:cs="Arial"/>
              </w:rPr>
              <w:t>Innovative design that is considerate of the setting and allows for future change and evolution.</w:t>
            </w:r>
          </w:p>
        </w:tc>
        <w:tc>
          <w:tcPr>
            <w:tcW w:w="1672" w:type="dxa"/>
          </w:tcPr>
          <w:p w14:paraId="148F84CA" w14:textId="77777777" w:rsidR="00215840" w:rsidRDefault="00215840" w:rsidP="00901901">
            <w:pPr>
              <w:rPr>
                <w:rFonts w:ascii="Arial" w:hAnsi="Arial" w:cs="Arial"/>
              </w:rPr>
            </w:pPr>
          </w:p>
          <w:p w14:paraId="60E5F998"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71A52F9B" w14:textId="77777777" w:rsidR="00215840" w:rsidRPr="00462AA9" w:rsidRDefault="00215840" w:rsidP="00901901">
            <w:pPr>
              <w:rPr>
                <w:rFonts w:ascii="Arial" w:hAnsi="Arial" w:cs="Arial"/>
              </w:rPr>
            </w:pPr>
          </w:p>
        </w:tc>
      </w:tr>
      <w:tr w:rsidR="00215840" w:rsidRPr="00462AA9" w14:paraId="1019D432" w14:textId="77777777" w:rsidTr="00901901">
        <w:trPr>
          <w:trHeight w:val="276"/>
        </w:trPr>
        <w:tc>
          <w:tcPr>
            <w:tcW w:w="4849" w:type="dxa"/>
          </w:tcPr>
          <w:p w14:paraId="15B7FE72" w14:textId="77777777" w:rsidR="00215840" w:rsidRPr="00462AA9" w:rsidRDefault="00215840" w:rsidP="00901901">
            <w:pPr>
              <w:rPr>
                <w:rFonts w:ascii="Arial" w:hAnsi="Arial" w:cs="Arial"/>
              </w:rPr>
            </w:pPr>
            <w:r>
              <w:rPr>
                <w:rFonts w:ascii="Arial" w:hAnsi="Arial" w:cs="Arial"/>
              </w:rPr>
              <w:t>Inclusive provision for children of different ages and abilities to play together.</w:t>
            </w:r>
          </w:p>
        </w:tc>
        <w:tc>
          <w:tcPr>
            <w:tcW w:w="1672" w:type="dxa"/>
          </w:tcPr>
          <w:p w14:paraId="4EA916E8"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47E0A4A9" w14:textId="77777777" w:rsidR="00215840" w:rsidRPr="00462AA9" w:rsidRDefault="00215840" w:rsidP="00901901">
            <w:pPr>
              <w:rPr>
                <w:rFonts w:ascii="Arial" w:hAnsi="Arial" w:cs="Arial"/>
              </w:rPr>
            </w:pPr>
          </w:p>
        </w:tc>
      </w:tr>
      <w:tr w:rsidR="00215840" w:rsidRPr="00462AA9" w14:paraId="148F0D0B" w14:textId="77777777" w:rsidTr="00901901">
        <w:trPr>
          <w:trHeight w:val="276"/>
        </w:trPr>
        <w:tc>
          <w:tcPr>
            <w:tcW w:w="4849" w:type="dxa"/>
          </w:tcPr>
          <w:p w14:paraId="49EE2BC0" w14:textId="77777777" w:rsidR="00215840" w:rsidRPr="00462AA9" w:rsidRDefault="00215840" w:rsidP="00901901">
            <w:pPr>
              <w:rPr>
                <w:rFonts w:ascii="Arial" w:hAnsi="Arial" w:cs="Arial"/>
              </w:rPr>
            </w:pPr>
            <w:r>
              <w:rPr>
                <w:rFonts w:ascii="Arial" w:hAnsi="Arial" w:cs="Arial"/>
              </w:rPr>
              <w:t xml:space="preserve">Non-wooden equipment supporting a sustainable maintenance </w:t>
            </w:r>
            <w:proofErr w:type="spellStart"/>
            <w:r>
              <w:rPr>
                <w:rFonts w:ascii="Arial" w:hAnsi="Arial" w:cs="Arial"/>
              </w:rPr>
              <w:t>programme</w:t>
            </w:r>
            <w:proofErr w:type="spellEnd"/>
          </w:p>
        </w:tc>
        <w:tc>
          <w:tcPr>
            <w:tcW w:w="1672" w:type="dxa"/>
          </w:tcPr>
          <w:p w14:paraId="51113752"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1C842513" w14:textId="77777777" w:rsidR="00215840" w:rsidRPr="00462AA9" w:rsidRDefault="00215840" w:rsidP="00901901">
            <w:pPr>
              <w:rPr>
                <w:rFonts w:ascii="Arial" w:hAnsi="Arial" w:cs="Arial"/>
              </w:rPr>
            </w:pPr>
          </w:p>
        </w:tc>
      </w:tr>
      <w:tr w:rsidR="00215840" w:rsidRPr="00462AA9" w14:paraId="4EF30603" w14:textId="77777777" w:rsidTr="00901901">
        <w:trPr>
          <w:trHeight w:val="276"/>
        </w:trPr>
        <w:tc>
          <w:tcPr>
            <w:tcW w:w="4849" w:type="dxa"/>
            <w:vAlign w:val="center"/>
          </w:tcPr>
          <w:p w14:paraId="4EF408E1" w14:textId="77777777" w:rsidR="00215840" w:rsidRPr="002E7A19" w:rsidRDefault="00215840" w:rsidP="00901901">
            <w:pPr>
              <w:rPr>
                <w:rFonts w:ascii="Arial" w:hAnsi="Arial" w:cs="Arial"/>
                <w:b/>
              </w:rPr>
            </w:pPr>
            <w:r>
              <w:rPr>
                <w:rFonts w:ascii="Arial" w:hAnsi="Arial" w:cs="Arial"/>
                <w:b/>
              </w:rPr>
              <w:t>PRODUCT RANGE</w:t>
            </w:r>
          </w:p>
        </w:tc>
        <w:tc>
          <w:tcPr>
            <w:tcW w:w="1672" w:type="dxa"/>
          </w:tcPr>
          <w:p w14:paraId="03058E30" w14:textId="77777777" w:rsidR="00215840" w:rsidRPr="00462AA9" w:rsidRDefault="00215840" w:rsidP="00901901">
            <w:pPr>
              <w:jc w:val="center"/>
              <w:rPr>
                <w:rFonts w:ascii="Arial" w:hAnsi="Arial" w:cs="Arial"/>
              </w:rPr>
            </w:pPr>
            <w:r>
              <w:rPr>
                <w:rFonts w:ascii="Arial" w:hAnsi="Arial" w:cs="Arial"/>
              </w:rPr>
              <w:t>(10)</w:t>
            </w:r>
          </w:p>
        </w:tc>
        <w:tc>
          <w:tcPr>
            <w:tcW w:w="4077" w:type="dxa"/>
          </w:tcPr>
          <w:p w14:paraId="072C70E0" w14:textId="77777777" w:rsidR="00215840" w:rsidRPr="00462AA9" w:rsidRDefault="00215840" w:rsidP="00901901">
            <w:pPr>
              <w:rPr>
                <w:rFonts w:ascii="Arial" w:hAnsi="Arial" w:cs="Arial"/>
              </w:rPr>
            </w:pPr>
          </w:p>
        </w:tc>
      </w:tr>
      <w:tr w:rsidR="00215840" w:rsidRPr="00462AA9" w14:paraId="18CCB6FE" w14:textId="77777777" w:rsidTr="00901901">
        <w:trPr>
          <w:trHeight w:val="276"/>
        </w:trPr>
        <w:tc>
          <w:tcPr>
            <w:tcW w:w="4849" w:type="dxa"/>
          </w:tcPr>
          <w:p w14:paraId="5C3A7A3E" w14:textId="77777777" w:rsidR="00215840" w:rsidRPr="00462AA9" w:rsidRDefault="00215840" w:rsidP="00901901">
            <w:pPr>
              <w:rPr>
                <w:rFonts w:ascii="Arial" w:hAnsi="Arial" w:cs="Arial"/>
              </w:rPr>
            </w:pPr>
            <w:r>
              <w:rPr>
                <w:rFonts w:ascii="Arial" w:hAnsi="Arial" w:cs="Arial"/>
              </w:rPr>
              <w:t>To provide opportunities for different ages and abilities</w:t>
            </w:r>
          </w:p>
        </w:tc>
        <w:tc>
          <w:tcPr>
            <w:tcW w:w="1672" w:type="dxa"/>
          </w:tcPr>
          <w:p w14:paraId="4A709349" w14:textId="77777777" w:rsidR="00215840" w:rsidRDefault="00215840" w:rsidP="00901901">
            <w:pPr>
              <w:rPr>
                <w:rFonts w:ascii="Arial" w:hAnsi="Arial" w:cs="Arial"/>
              </w:rPr>
            </w:pPr>
          </w:p>
          <w:p w14:paraId="5BCF2D89" w14:textId="77777777" w:rsidR="00215840" w:rsidRDefault="00215840" w:rsidP="00901901">
            <w:pPr>
              <w:jc w:val="center"/>
              <w:rPr>
                <w:rFonts w:ascii="Arial" w:hAnsi="Arial" w:cs="Arial"/>
              </w:rPr>
            </w:pPr>
            <w:r>
              <w:rPr>
                <w:rFonts w:ascii="Arial" w:hAnsi="Arial" w:cs="Arial"/>
              </w:rPr>
              <w:t>5</w:t>
            </w:r>
          </w:p>
          <w:p w14:paraId="3612CEB1" w14:textId="77777777" w:rsidR="00215840" w:rsidRDefault="00215840" w:rsidP="00901901">
            <w:pPr>
              <w:rPr>
                <w:rFonts w:ascii="Arial" w:hAnsi="Arial" w:cs="Arial"/>
              </w:rPr>
            </w:pPr>
          </w:p>
          <w:p w14:paraId="0A9021B0" w14:textId="77777777" w:rsidR="00215840" w:rsidRPr="00462AA9" w:rsidRDefault="00215840" w:rsidP="00901901">
            <w:pPr>
              <w:rPr>
                <w:rFonts w:ascii="Arial" w:hAnsi="Arial" w:cs="Arial"/>
              </w:rPr>
            </w:pPr>
          </w:p>
        </w:tc>
        <w:tc>
          <w:tcPr>
            <w:tcW w:w="4077" w:type="dxa"/>
            <w:vMerge w:val="restart"/>
          </w:tcPr>
          <w:p w14:paraId="5669180E" w14:textId="77777777" w:rsidR="00215840" w:rsidRPr="00462AA9" w:rsidRDefault="00215840" w:rsidP="00901901">
            <w:pPr>
              <w:rPr>
                <w:rFonts w:ascii="Arial" w:hAnsi="Arial" w:cs="Arial"/>
              </w:rPr>
            </w:pPr>
            <w:r>
              <w:rPr>
                <w:rFonts w:ascii="Arial" w:hAnsi="Arial" w:cs="Arial"/>
              </w:rPr>
              <w:t>A score will be given based on the breadth of the tenderer’s range of products in relation to the ranges by all tenderers per lot.  Product range information will be used for the consultation prior to appointing a contractor.</w:t>
            </w:r>
          </w:p>
        </w:tc>
      </w:tr>
      <w:tr w:rsidR="00215840" w:rsidRPr="00462AA9" w14:paraId="6F78B335" w14:textId="77777777" w:rsidTr="00901901">
        <w:trPr>
          <w:trHeight w:val="276"/>
        </w:trPr>
        <w:tc>
          <w:tcPr>
            <w:tcW w:w="4849" w:type="dxa"/>
          </w:tcPr>
          <w:p w14:paraId="0094E2F4" w14:textId="77777777" w:rsidR="00215840" w:rsidRPr="00462AA9" w:rsidRDefault="00215840" w:rsidP="00901901">
            <w:pPr>
              <w:rPr>
                <w:rFonts w:ascii="Arial" w:hAnsi="Arial" w:cs="Arial"/>
              </w:rPr>
            </w:pPr>
            <w:r>
              <w:rPr>
                <w:rFonts w:ascii="Arial" w:hAnsi="Arial" w:cs="Arial"/>
              </w:rPr>
              <w:t>Written submission and accompanying illustrations</w:t>
            </w:r>
          </w:p>
        </w:tc>
        <w:tc>
          <w:tcPr>
            <w:tcW w:w="1672" w:type="dxa"/>
          </w:tcPr>
          <w:p w14:paraId="6AD3525A"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480B2AE0" w14:textId="77777777" w:rsidR="00215840" w:rsidRPr="00462AA9" w:rsidRDefault="00215840" w:rsidP="00901901">
            <w:pPr>
              <w:rPr>
                <w:rFonts w:ascii="Arial" w:hAnsi="Arial" w:cs="Arial"/>
              </w:rPr>
            </w:pPr>
          </w:p>
        </w:tc>
      </w:tr>
      <w:tr w:rsidR="00215840" w:rsidRPr="00462AA9" w14:paraId="08BAFAE8" w14:textId="77777777" w:rsidTr="00901901">
        <w:trPr>
          <w:trHeight w:val="276"/>
        </w:trPr>
        <w:tc>
          <w:tcPr>
            <w:tcW w:w="4849" w:type="dxa"/>
            <w:vAlign w:val="center"/>
          </w:tcPr>
          <w:p w14:paraId="047FDE4F" w14:textId="77777777" w:rsidR="00215840" w:rsidRPr="002E7A19" w:rsidRDefault="00215840" w:rsidP="00901901">
            <w:pPr>
              <w:rPr>
                <w:rFonts w:ascii="Arial" w:hAnsi="Arial" w:cs="Arial"/>
                <w:b/>
              </w:rPr>
            </w:pPr>
            <w:r>
              <w:rPr>
                <w:rFonts w:ascii="Arial" w:hAnsi="Arial" w:cs="Arial"/>
                <w:b/>
              </w:rPr>
              <w:t>WARRANTY/GUARANTEES</w:t>
            </w:r>
          </w:p>
        </w:tc>
        <w:tc>
          <w:tcPr>
            <w:tcW w:w="1672" w:type="dxa"/>
          </w:tcPr>
          <w:p w14:paraId="38803F76" w14:textId="77777777" w:rsidR="00215840" w:rsidRPr="00462AA9" w:rsidRDefault="00215840" w:rsidP="00901901">
            <w:pPr>
              <w:jc w:val="center"/>
              <w:rPr>
                <w:rFonts w:ascii="Arial" w:hAnsi="Arial" w:cs="Arial"/>
              </w:rPr>
            </w:pPr>
            <w:r>
              <w:rPr>
                <w:rFonts w:ascii="Arial" w:hAnsi="Arial" w:cs="Arial"/>
              </w:rPr>
              <w:t>(10)</w:t>
            </w:r>
          </w:p>
        </w:tc>
        <w:tc>
          <w:tcPr>
            <w:tcW w:w="4077" w:type="dxa"/>
          </w:tcPr>
          <w:p w14:paraId="2B0F65A3" w14:textId="77777777" w:rsidR="00215840" w:rsidRPr="00462AA9" w:rsidRDefault="00215840" w:rsidP="00901901">
            <w:pPr>
              <w:rPr>
                <w:rFonts w:ascii="Arial" w:hAnsi="Arial" w:cs="Arial"/>
              </w:rPr>
            </w:pPr>
          </w:p>
        </w:tc>
      </w:tr>
      <w:tr w:rsidR="00215840" w:rsidRPr="00462AA9" w14:paraId="4F666C4C" w14:textId="77777777" w:rsidTr="00901901">
        <w:trPr>
          <w:trHeight w:val="276"/>
        </w:trPr>
        <w:tc>
          <w:tcPr>
            <w:tcW w:w="4849" w:type="dxa"/>
          </w:tcPr>
          <w:p w14:paraId="08383DD9" w14:textId="77777777" w:rsidR="00215840" w:rsidRPr="00462AA9" w:rsidRDefault="00215840" w:rsidP="00901901">
            <w:pPr>
              <w:rPr>
                <w:rFonts w:ascii="Arial" w:hAnsi="Arial" w:cs="Arial"/>
              </w:rPr>
            </w:pPr>
            <w:r>
              <w:rPr>
                <w:rFonts w:ascii="Arial" w:hAnsi="Arial" w:cs="Arial"/>
              </w:rPr>
              <w:t>Installation warranty</w:t>
            </w:r>
          </w:p>
        </w:tc>
        <w:tc>
          <w:tcPr>
            <w:tcW w:w="1672" w:type="dxa"/>
          </w:tcPr>
          <w:p w14:paraId="70A95DB5" w14:textId="77777777" w:rsidR="00215840" w:rsidRPr="00462AA9" w:rsidRDefault="00215840" w:rsidP="00901901">
            <w:pPr>
              <w:jc w:val="center"/>
              <w:rPr>
                <w:rFonts w:ascii="Arial" w:hAnsi="Arial" w:cs="Arial"/>
              </w:rPr>
            </w:pPr>
            <w:r>
              <w:rPr>
                <w:rFonts w:ascii="Arial" w:hAnsi="Arial" w:cs="Arial"/>
              </w:rPr>
              <w:t>5</w:t>
            </w:r>
          </w:p>
        </w:tc>
        <w:tc>
          <w:tcPr>
            <w:tcW w:w="4077" w:type="dxa"/>
            <w:vMerge w:val="restart"/>
          </w:tcPr>
          <w:p w14:paraId="2C7CEB95" w14:textId="77777777" w:rsidR="00215840" w:rsidRPr="00462AA9" w:rsidRDefault="00215840" w:rsidP="00901901">
            <w:pPr>
              <w:rPr>
                <w:rFonts w:ascii="Arial" w:hAnsi="Arial" w:cs="Arial"/>
              </w:rPr>
            </w:pPr>
            <w:r>
              <w:rPr>
                <w:rFonts w:ascii="Arial" w:hAnsi="Arial" w:cs="Arial"/>
              </w:rPr>
              <w:t>A score will be given in relation to the offers by all scored tenders per Lot.</w:t>
            </w:r>
          </w:p>
        </w:tc>
      </w:tr>
      <w:tr w:rsidR="00215840" w:rsidRPr="00462AA9" w14:paraId="46D66049" w14:textId="77777777" w:rsidTr="00901901">
        <w:trPr>
          <w:trHeight w:val="276"/>
        </w:trPr>
        <w:tc>
          <w:tcPr>
            <w:tcW w:w="4849" w:type="dxa"/>
          </w:tcPr>
          <w:p w14:paraId="27559027" w14:textId="77777777" w:rsidR="00215840" w:rsidRPr="00462AA9" w:rsidRDefault="00215840" w:rsidP="00901901">
            <w:pPr>
              <w:rPr>
                <w:rFonts w:ascii="Arial" w:hAnsi="Arial" w:cs="Arial"/>
              </w:rPr>
            </w:pPr>
            <w:r>
              <w:rPr>
                <w:rFonts w:ascii="Arial" w:hAnsi="Arial" w:cs="Arial"/>
              </w:rPr>
              <w:t>Equipment guarantee</w:t>
            </w:r>
          </w:p>
        </w:tc>
        <w:tc>
          <w:tcPr>
            <w:tcW w:w="1672" w:type="dxa"/>
          </w:tcPr>
          <w:p w14:paraId="1887FB44"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33BF240A" w14:textId="77777777" w:rsidR="00215840" w:rsidRPr="00462AA9" w:rsidRDefault="00215840" w:rsidP="00901901">
            <w:pPr>
              <w:rPr>
                <w:rFonts w:ascii="Arial" w:hAnsi="Arial" w:cs="Arial"/>
              </w:rPr>
            </w:pPr>
          </w:p>
        </w:tc>
      </w:tr>
      <w:tr w:rsidR="00215840" w:rsidRPr="00462AA9" w14:paraId="707B4C89" w14:textId="77777777" w:rsidTr="00901901">
        <w:trPr>
          <w:trHeight w:val="276"/>
        </w:trPr>
        <w:tc>
          <w:tcPr>
            <w:tcW w:w="4849" w:type="dxa"/>
          </w:tcPr>
          <w:p w14:paraId="2938A364" w14:textId="77777777" w:rsidR="00215840" w:rsidRPr="002E7A19" w:rsidRDefault="00215840" w:rsidP="00901901">
            <w:pPr>
              <w:rPr>
                <w:rFonts w:ascii="Arial" w:hAnsi="Arial" w:cs="Arial"/>
                <w:b/>
              </w:rPr>
            </w:pPr>
            <w:r>
              <w:rPr>
                <w:rFonts w:ascii="Arial" w:hAnsi="Arial" w:cs="Arial"/>
                <w:b/>
              </w:rPr>
              <w:t>PRESENTATION</w:t>
            </w:r>
          </w:p>
        </w:tc>
        <w:tc>
          <w:tcPr>
            <w:tcW w:w="1672" w:type="dxa"/>
          </w:tcPr>
          <w:p w14:paraId="7CE1091E" w14:textId="77777777" w:rsidR="00215840" w:rsidRPr="00462AA9" w:rsidRDefault="00215840" w:rsidP="00901901">
            <w:pPr>
              <w:jc w:val="center"/>
              <w:rPr>
                <w:rFonts w:ascii="Arial" w:hAnsi="Arial" w:cs="Arial"/>
              </w:rPr>
            </w:pPr>
            <w:r>
              <w:rPr>
                <w:rFonts w:ascii="Arial" w:hAnsi="Arial" w:cs="Arial"/>
              </w:rPr>
              <w:t>(10)</w:t>
            </w:r>
          </w:p>
        </w:tc>
        <w:tc>
          <w:tcPr>
            <w:tcW w:w="4077" w:type="dxa"/>
          </w:tcPr>
          <w:p w14:paraId="6027C346" w14:textId="77777777" w:rsidR="00215840" w:rsidRPr="00462AA9" w:rsidRDefault="00215840" w:rsidP="00901901">
            <w:pPr>
              <w:rPr>
                <w:rFonts w:ascii="Arial" w:hAnsi="Arial" w:cs="Arial"/>
              </w:rPr>
            </w:pPr>
          </w:p>
        </w:tc>
      </w:tr>
      <w:tr w:rsidR="00215840" w:rsidRPr="00462AA9" w14:paraId="3A038D09" w14:textId="77777777" w:rsidTr="00901901">
        <w:trPr>
          <w:trHeight w:val="276"/>
        </w:trPr>
        <w:tc>
          <w:tcPr>
            <w:tcW w:w="4849" w:type="dxa"/>
          </w:tcPr>
          <w:p w14:paraId="45342A7E" w14:textId="77777777" w:rsidR="00215840" w:rsidRPr="00462AA9" w:rsidRDefault="00215840" w:rsidP="00901901">
            <w:pPr>
              <w:rPr>
                <w:rFonts w:ascii="Arial" w:hAnsi="Arial" w:cs="Arial"/>
              </w:rPr>
            </w:pPr>
            <w:r>
              <w:rPr>
                <w:rFonts w:ascii="Arial" w:hAnsi="Arial" w:cs="Arial"/>
              </w:rPr>
              <w:t>Written submission</w:t>
            </w:r>
          </w:p>
        </w:tc>
        <w:tc>
          <w:tcPr>
            <w:tcW w:w="1672" w:type="dxa"/>
          </w:tcPr>
          <w:p w14:paraId="7D4EEE06" w14:textId="77777777" w:rsidR="00215840" w:rsidRPr="00462AA9" w:rsidRDefault="00215840" w:rsidP="00901901">
            <w:pPr>
              <w:jc w:val="center"/>
              <w:rPr>
                <w:rFonts w:ascii="Arial" w:hAnsi="Arial" w:cs="Arial"/>
              </w:rPr>
            </w:pPr>
            <w:r>
              <w:rPr>
                <w:rFonts w:ascii="Arial" w:hAnsi="Arial" w:cs="Arial"/>
              </w:rPr>
              <w:t>5</w:t>
            </w:r>
          </w:p>
        </w:tc>
        <w:tc>
          <w:tcPr>
            <w:tcW w:w="4077" w:type="dxa"/>
            <w:vMerge w:val="restart"/>
          </w:tcPr>
          <w:p w14:paraId="580E5C9B" w14:textId="77777777" w:rsidR="00215840" w:rsidRPr="00462AA9" w:rsidRDefault="00215840" w:rsidP="00901901">
            <w:pPr>
              <w:rPr>
                <w:rFonts w:ascii="Arial" w:hAnsi="Arial" w:cs="Arial"/>
              </w:rPr>
            </w:pPr>
            <w:r>
              <w:rPr>
                <w:rFonts w:ascii="Arial" w:hAnsi="Arial" w:cs="Arial"/>
              </w:rPr>
              <w:t>A score will be given based on presentation and clarity of the written submission and accompanying illustration in terms of how well they portray the offer per Lot.  The presentation and illustrations will be used for the consultation event prior to appointing a contractor.</w:t>
            </w:r>
          </w:p>
        </w:tc>
      </w:tr>
      <w:tr w:rsidR="00215840" w:rsidRPr="00462AA9" w14:paraId="018FEB31" w14:textId="77777777" w:rsidTr="00901901">
        <w:trPr>
          <w:trHeight w:val="276"/>
        </w:trPr>
        <w:tc>
          <w:tcPr>
            <w:tcW w:w="4849" w:type="dxa"/>
          </w:tcPr>
          <w:p w14:paraId="35466D3C" w14:textId="77777777" w:rsidR="00215840" w:rsidRPr="00462AA9" w:rsidRDefault="00215840" w:rsidP="00901901">
            <w:pPr>
              <w:rPr>
                <w:rFonts w:ascii="Arial" w:hAnsi="Arial" w:cs="Arial"/>
              </w:rPr>
            </w:pPr>
            <w:r>
              <w:rPr>
                <w:rFonts w:ascii="Arial" w:hAnsi="Arial" w:cs="Arial"/>
              </w:rPr>
              <w:t>Accompanying illustrations</w:t>
            </w:r>
          </w:p>
        </w:tc>
        <w:tc>
          <w:tcPr>
            <w:tcW w:w="1672" w:type="dxa"/>
          </w:tcPr>
          <w:p w14:paraId="69D95DE7" w14:textId="77777777" w:rsidR="00215840" w:rsidRPr="00462AA9" w:rsidRDefault="00215840" w:rsidP="00901901">
            <w:pPr>
              <w:jc w:val="center"/>
              <w:rPr>
                <w:rFonts w:ascii="Arial" w:hAnsi="Arial" w:cs="Arial"/>
              </w:rPr>
            </w:pPr>
            <w:r>
              <w:rPr>
                <w:rFonts w:ascii="Arial" w:hAnsi="Arial" w:cs="Arial"/>
              </w:rPr>
              <w:t>5</w:t>
            </w:r>
          </w:p>
        </w:tc>
        <w:tc>
          <w:tcPr>
            <w:tcW w:w="4077" w:type="dxa"/>
            <w:vMerge/>
          </w:tcPr>
          <w:p w14:paraId="52F44F38" w14:textId="77777777" w:rsidR="00215840" w:rsidRPr="00462AA9" w:rsidRDefault="00215840" w:rsidP="00901901">
            <w:pPr>
              <w:rPr>
                <w:rFonts w:ascii="Arial" w:hAnsi="Arial" w:cs="Arial"/>
              </w:rPr>
            </w:pPr>
          </w:p>
        </w:tc>
      </w:tr>
    </w:tbl>
    <w:p w14:paraId="093E7419" w14:textId="77777777" w:rsidR="00215840" w:rsidRPr="00462AA9" w:rsidRDefault="00215840" w:rsidP="00215840">
      <w:pPr>
        <w:rPr>
          <w:rFonts w:ascii="Arial" w:hAnsi="Arial" w:cs="Arial"/>
        </w:rPr>
      </w:pPr>
    </w:p>
    <w:p w14:paraId="3BF88686" w14:textId="77777777" w:rsidR="00215840" w:rsidRDefault="00215840" w:rsidP="00215840">
      <w:pPr>
        <w:ind w:left="-284" w:right="-815"/>
        <w:rPr>
          <w:rFonts w:ascii="Arial" w:hAnsi="Arial" w:cs="Arial"/>
        </w:rPr>
      </w:pPr>
    </w:p>
    <w:p w14:paraId="484DA4CC" w14:textId="77777777" w:rsidR="00215840" w:rsidRDefault="00215840" w:rsidP="00215840">
      <w:pPr>
        <w:ind w:left="-284" w:right="-815"/>
        <w:rPr>
          <w:rFonts w:ascii="Arial" w:hAnsi="Arial" w:cs="Arial"/>
        </w:rPr>
      </w:pPr>
    </w:p>
    <w:p w14:paraId="65B80DA9" w14:textId="77777777" w:rsidR="00215840" w:rsidRDefault="00215840" w:rsidP="00215840">
      <w:pPr>
        <w:ind w:left="-284" w:right="-815"/>
        <w:rPr>
          <w:rFonts w:ascii="Arial" w:hAnsi="Arial" w:cs="Arial"/>
        </w:rPr>
      </w:pPr>
    </w:p>
    <w:p w14:paraId="60F0E748" w14:textId="77777777" w:rsidR="00215840" w:rsidRDefault="00215840" w:rsidP="00215840">
      <w:pPr>
        <w:ind w:left="-284" w:right="-815"/>
        <w:jc w:val="center"/>
        <w:rPr>
          <w:rFonts w:ascii="Arial" w:hAnsi="Arial" w:cs="Arial"/>
          <w:b/>
        </w:rPr>
      </w:pPr>
      <w:r>
        <w:rPr>
          <w:rFonts w:ascii="Arial" w:hAnsi="Arial" w:cs="Arial"/>
          <w:b/>
        </w:rPr>
        <w:t>EVALUATION CRITERIA AND METHODOLOGY</w:t>
      </w:r>
    </w:p>
    <w:p w14:paraId="14E59BA9" w14:textId="77777777" w:rsidR="00215840" w:rsidRDefault="00215840" w:rsidP="00215840">
      <w:pPr>
        <w:ind w:left="-284" w:right="-815"/>
        <w:jc w:val="center"/>
        <w:rPr>
          <w:rFonts w:ascii="Arial" w:hAnsi="Arial" w:cs="Arial"/>
          <w:b/>
        </w:rPr>
      </w:pPr>
    </w:p>
    <w:p w14:paraId="47916874" w14:textId="77777777" w:rsidR="00215840" w:rsidRPr="00754803" w:rsidRDefault="00215840" w:rsidP="00215840">
      <w:pPr>
        <w:ind w:left="-284" w:right="-815"/>
        <w:rPr>
          <w:rFonts w:ascii="Arial" w:hAnsi="Arial" w:cs="Arial"/>
        </w:rPr>
      </w:pPr>
      <w:r w:rsidRPr="00754803">
        <w:rPr>
          <w:rFonts w:ascii="Arial" w:hAnsi="Arial" w:cs="Arial"/>
        </w:rPr>
        <w:t>EVALUATION CRITERIA</w:t>
      </w:r>
    </w:p>
    <w:p w14:paraId="3060FD9D" w14:textId="77777777" w:rsidR="00215840" w:rsidRPr="00754803" w:rsidRDefault="00215840" w:rsidP="00215840">
      <w:pPr>
        <w:ind w:left="-284" w:right="-815"/>
        <w:rPr>
          <w:rFonts w:ascii="Arial" w:hAnsi="Arial" w:cs="Arial"/>
        </w:rPr>
      </w:pPr>
    </w:p>
    <w:p w14:paraId="13EE30DA" w14:textId="77777777" w:rsidR="00215840" w:rsidRPr="000C3F18" w:rsidRDefault="00215840" w:rsidP="00215840">
      <w:pPr>
        <w:pStyle w:val="ListParagraph"/>
        <w:numPr>
          <w:ilvl w:val="1"/>
          <w:numId w:val="3"/>
        </w:numPr>
        <w:ind w:right="-815"/>
        <w:rPr>
          <w:sz w:val="24"/>
          <w:szCs w:val="24"/>
        </w:rPr>
      </w:pPr>
      <w:r w:rsidRPr="000C3F18">
        <w:rPr>
          <w:sz w:val="24"/>
          <w:szCs w:val="24"/>
        </w:rPr>
        <w:t>All responses will be assessed against the Evaluation Criteria set out below:</w:t>
      </w:r>
    </w:p>
    <w:p w14:paraId="33D4D33E" w14:textId="77777777" w:rsidR="00215840" w:rsidRDefault="00215840" w:rsidP="00215840">
      <w:pPr>
        <w:ind w:right="-815"/>
      </w:pPr>
    </w:p>
    <w:tbl>
      <w:tblPr>
        <w:tblStyle w:val="TableGrid"/>
        <w:tblW w:w="0" w:type="auto"/>
        <w:tblLook w:val="04A0" w:firstRow="1" w:lastRow="0" w:firstColumn="1" w:lastColumn="0" w:noHBand="0" w:noVBand="1"/>
      </w:tblPr>
      <w:tblGrid>
        <w:gridCol w:w="6883"/>
        <w:gridCol w:w="2746"/>
      </w:tblGrid>
      <w:tr w:rsidR="00215840" w14:paraId="4BBEC154" w14:textId="77777777" w:rsidTr="00901901">
        <w:tc>
          <w:tcPr>
            <w:tcW w:w="7054" w:type="dxa"/>
          </w:tcPr>
          <w:p w14:paraId="06B8C645" w14:textId="77777777" w:rsidR="00215840" w:rsidRPr="00754803" w:rsidRDefault="00215840" w:rsidP="00901901">
            <w:pPr>
              <w:ind w:right="-815"/>
              <w:rPr>
                <w:rFonts w:ascii="Arial" w:hAnsi="Arial" w:cs="Arial"/>
              </w:rPr>
            </w:pPr>
            <w:r w:rsidRPr="00754803">
              <w:rPr>
                <w:rFonts w:ascii="Arial" w:hAnsi="Arial" w:cs="Arial"/>
              </w:rPr>
              <w:t>EVALUATION CRITERIA</w:t>
            </w:r>
          </w:p>
        </w:tc>
        <w:tc>
          <w:tcPr>
            <w:tcW w:w="2801" w:type="dxa"/>
          </w:tcPr>
          <w:p w14:paraId="799B093F" w14:textId="77777777" w:rsidR="00215840" w:rsidRPr="00754803" w:rsidRDefault="00215840" w:rsidP="00901901">
            <w:pPr>
              <w:ind w:right="-815"/>
              <w:rPr>
                <w:rFonts w:ascii="Arial" w:hAnsi="Arial" w:cs="Arial"/>
              </w:rPr>
            </w:pPr>
            <w:r w:rsidRPr="00754803">
              <w:rPr>
                <w:rFonts w:ascii="Arial" w:hAnsi="Arial" w:cs="Arial"/>
              </w:rPr>
              <w:t>WEIGHTING</w:t>
            </w:r>
          </w:p>
        </w:tc>
      </w:tr>
      <w:tr w:rsidR="00215840" w14:paraId="04BE9B05" w14:textId="77777777" w:rsidTr="00901901">
        <w:tc>
          <w:tcPr>
            <w:tcW w:w="7054" w:type="dxa"/>
          </w:tcPr>
          <w:p w14:paraId="700B8EB3" w14:textId="77777777" w:rsidR="00215840" w:rsidRDefault="00215840" w:rsidP="00901901">
            <w:pPr>
              <w:ind w:right="-815"/>
              <w:rPr>
                <w:rFonts w:ascii="Arial" w:hAnsi="Arial" w:cs="Arial"/>
              </w:rPr>
            </w:pPr>
            <w:r w:rsidRPr="000C3F18">
              <w:rPr>
                <w:rFonts w:ascii="Arial" w:hAnsi="Arial" w:cs="Arial"/>
              </w:rPr>
              <w:t>PLAY VALUE</w:t>
            </w:r>
          </w:p>
          <w:p w14:paraId="066E6B68" w14:textId="77777777" w:rsidR="00215840" w:rsidRDefault="00215840" w:rsidP="00901901">
            <w:pPr>
              <w:ind w:right="-815"/>
              <w:rPr>
                <w:rFonts w:ascii="Arial" w:hAnsi="Arial" w:cs="Arial"/>
              </w:rPr>
            </w:pPr>
            <w:r>
              <w:rPr>
                <w:rFonts w:ascii="Arial" w:hAnsi="Arial" w:cs="Arial"/>
              </w:rPr>
              <w:t>PRODUCT RANGE</w:t>
            </w:r>
          </w:p>
          <w:p w14:paraId="551B2A5B" w14:textId="77777777" w:rsidR="00215840" w:rsidRDefault="00215840" w:rsidP="00901901">
            <w:pPr>
              <w:ind w:right="-815"/>
              <w:rPr>
                <w:rFonts w:ascii="Arial" w:hAnsi="Arial" w:cs="Arial"/>
              </w:rPr>
            </w:pPr>
            <w:r>
              <w:rPr>
                <w:rFonts w:ascii="Arial" w:hAnsi="Arial" w:cs="Arial"/>
              </w:rPr>
              <w:t>WARRANTY/GUARANTEES</w:t>
            </w:r>
          </w:p>
          <w:p w14:paraId="0E34BA08" w14:textId="77777777" w:rsidR="00215840" w:rsidRPr="000C3F18" w:rsidRDefault="00215840" w:rsidP="00901901">
            <w:pPr>
              <w:ind w:right="-815"/>
              <w:rPr>
                <w:rFonts w:ascii="Arial" w:hAnsi="Arial" w:cs="Arial"/>
              </w:rPr>
            </w:pPr>
            <w:r>
              <w:rPr>
                <w:rFonts w:ascii="Arial" w:hAnsi="Arial" w:cs="Arial"/>
              </w:rPr>
              <w:t>PRESENTATION</w:t>
            </w:r>
          </w:p>
        </w:tc>
        <w:tc>
          <w:tcPr>
            <w:tcW w:w="2801" w:type="dxa"/>
          </w:tcPr>
          <w:p w14:paraId="17D177A3" w14:textId="77777777" w:rsidR="00215840" w:rsidRDefault="00215840" w:rsidP="00901901">
            <w:pPr>
              <w:ind w:right="-815"/>
              <w:rPr>
                <w:rFonts w:ascii="Arial" w:hAnsi="Arial" w:cs="Arial"/>
              </w:rPr>
            </w:pPr>
            <w:r>
              <w:rPr>
                <w:rFonts w:ascii="Arial" w:hAnsi="Arial" w:cs="Arial"/>
              </w:rPr>
              <w:t>40 POINTS</w:t>
            </w:r>
          </w:p>
          <w:p w14:paraId="59E75A91" w14:textId="77777777" w:rsidR="00215840" w:rsidRDefault="00215840" w:rsidP="00901901">
            <w:pPr>
              <w:ind w:right="-815"/>
              <w:rPr>
                <w:rFonts w:ascii="Arial" w:hAnsi="Arial" w:cs="Arial"/>
              </w:rPr>
            </w:pPr>
            <w:r>
              <w:rPr>
                <w:rFonts w:ascii="Arial" w:hAnsi="Arial" w:cs="Arial"/>
              </w:rPr>
              <w:t>10 POINTS</w:t>
            </w:r>
          </w:p>
          <w:p w14:paraId="1B8A48EA" w14:textId="77777777" w:rsidR="00215840" w:rsidRDefault="00215840" w:rsidP="00901901">
            <w:pPr>
              <w:ind w:right="-815"/>
              <w:rPr>
                <w:rFonts w:ascii="Arial" w:hAnsi="Arial" w:cs="Arial"/>
              </w:rPr>
            </w:pPr>
            <w:r>
              <w:rPr>
                <w:rFonts w:ascii="Arial" w:hAnsi="Arial" w:cs="Arial"/>
              </w:rPr>
              <w:t>10 POINT</w:t>
            </w:r>
          </w:p>
          <w:p w14:paraId="231C037D" w14:textId="77777777" w:rsidR="00215840" w:rsidRPr="000C3F18" w:rsidRDefault="00215840" w:rsidP="00901901">
            <w:pPr>
              <w:ind w:right="-815"/>
              <w:rPr>
                <w:rFonts w:ascii="Arial" w:hAnsi="Arial" w:cs="Arial"/>
              </w:rPr>
            </w:pPr>
            <w:r>
              <w:rPr>
                <w:rFonts w:ascii="Arial" w:hAnsi="Arial" w:cs="Arial"/>
              </w:rPr>
              <w:t>10 POINTS</w:t>
            </w:r>
          </w:p>
        </w:tc>
      </w:tr>
    </w:tbl>
    <w:p w14:paraId="1F4DC2AB" w14:textId="77777777" w:rsidR="00215840" w:rsidRDefault="00215840" w:rsidP="00215840">
      <w:pPr>
        <w:ind w:right="-815"/>
      </w:pPr>
    </w:p>
    <w:p w14:paraId="0531E846" w14:textId="77777777" w:rsidR="00215840" w:rsidRPr="00184945" w:rsidRDefault="00215840" w:rsidP="00215840">
      <w:pPr>
        <w:pStyle w:val="ListParagraph"/>
        <w:numPr>
          <w:ilvl w:val="1"/>
          <w:numId w:val="3"/>
        </w:numPr>
        <w:ind w:right="-815"/>
        <w:rPr>
          <w:sz w:val="24"/>
          <w:szCs w:val="24"/>
        </w:rPr>
      </w:pPr>
      <w:r w:rsidRPr="00184945">
        <w:rPr>
          <w:sz w:val="24"/>
          <w:szCs w:val="24"/>
        </w:rPr>
        <w:t>A bid may not be accepted that significantly fails to satisfy any specific criterion, even if it scores relatively well against all other criteria.</w:t>
      </w:r>
    </w:p>
    <w:p w14:paraId="66A88A36" w14:textId="77777777" w:rsidR="00215840" w:rsidRPr="00184945" w:rsidRDefault="00215840" w:rsidP="00215840">
      <w:pPr>
        <w:ind w:left="-284" w:right="-815"/>
      </w:pPr>
    </w:p>
    <w:p w14:paraId="6ACB3014" w14:textId="77777777" w:rsidR="00215840" w:rsidRPr="00184945" w:rsidRDefault="00215840" w:rsidP="00215840">
      <w:pPr>
        <w:pStyle w:val="ListParagraph"/>
        <w:numPr>
          <w:ilvl w:val="1"/>
          <w:numId w:val="3"/>
        </w:numPr>
        <w:ind w:right="-815"/>
        <w:rPr>
          <w:sz w:val="24"/>
          <w:szCs w:val="24"/>
        </w:rPr>
      </w:pPr>
      <w:r w:rsidRPr="00184945">
        <w:rPr>
          <w:sz w:val="24"/>
          <w:szCs w:val="24"/>
        </w:rPr>
        <w:t>A score of ‘1’ for any of the factors shall be treated as a non-compliant bid and give grounds for excluding the tender from further consideration.</w:t>
      </w:r>
    </w:p>
    <w:p w14:paraId="10004FC7" w14:textId="77777777" w:rsidR="00215840" w:rsidRPr="00184945" w:rsidRDefault="00215840" w:rsidP="00215840">
      <w:pPr>
        <w:ind w:right="-815"/>
      </w:pPr>
    </w:p>
    <w:p w14:paraId="770136F8" w14:textId="77777777" w:rsidR="00215840" w:rsidRDefault="00215840" w:rsidP="00215840">
      <w:pPr>
        <w:pStyle w:val="ListParagraph"/>
        <w:numPr>
          <w:ilvl w:val="1"/>
          <w:numId w:val="3"/>
        </w:numPr>
        <w:ind w:right="-815"/>
        <w:rPr>
          <w:sz w:val="24"/>
          <w:szCs w:val="24"/>
        </w:rPr>
      </w:pPr>
      <w:r w:rsidRPr="00184945">
        <w:rPr>
          <w:sz w:val="24"/>
          <w:szCs w:val="24"/>
        </w:rPr>
        <w:t>If a score of ‘2’</w:t>
      </w:r>
      <w:r>
        <w:rPr>
          <w:sz w:val="24"/>
          <w:szCs w:val="24"/>
        </w:rPr>
        <w:t xml:space="preserve"> </w:t>
      </w:r>
      <w:r w:rsidRPr="00184945">
        <w:rPr>
          <w:sz w:val="24"/>
          <w:szCs w:val="24"/>
        </w:rPr>
        <w:t xml:space="preserve">is awarded to three or more factors, then the submission will be treated as a </w:t>
      </w:r>
      <w:proofErr w:type="spellStart"/>
      <w:proofErr w:type="gramStart"/>
      <w:r w:rsidRPr="00184945">
        <w:rPr>
          <w:sz w:val="24"/>
          <w:szCs w:val="24"/>
        </w:rPr>
        <w:t>non compliant</w:t>
      </w:r>
      <w:proofErr w:type="spellEnd"/>
      <w:proofErr w:type="gramEnd"/>
      <w:r w:rsidRPr="00184945">
        <w:rPr>
          <w:sz w:val="24"/>
          <w:szCs w:val="24"/>
        </w:rPr>
        <w:t xml:space="preserve"> bid and give grounds for excluding the tenderer from further consideration.</w:t>
      </w:r>
    </w:p>
    <w:p w14:paraId="04A6B259" w14:textId="77777777" w:rsidR="00215840" w:rsidRPr="00184945" w:rsidRDefault="00215840" w:rsidP="00215840">
      <w:pPr>
        <w:ind w:right="-815"/>
      </w:pPr>
    </w:p>
    <w:p w14:paraId="0A14A354" w14:textId="77777777" w:rsidR="00215840" w:rsidRDefault="00215840" w:rsidP="00215840">
      <w:pPr>
        <w:pStyle w:val="ListParagraph"/>
        <w:numPr>
          <w:ilvl w:val="1"/>
          <w:numId w:val="3"/>
        </w:numPr>
        <w:ind w:right="-815"/>
        <w:rPr>
          <w:sz w:val="24"/>
          <w:szCs w:val="24"/>
        </w:rPr>
      </w:pPr>
      <w:r>
        <w:rPr>
          <w:sz w:val="24"/>
          <w:szCs w:val="24"/>
        </w:rPr>
        <w:t>Scoring (Maximum 70 points available)</w:t>
      </w:r>
    </w:p>
    <w:p w14:paraId="54CA7A52" w14:textId="77777777" w:rsidR="00215840" w:rsidRPr="00184945" w:rsidRDefault="00215840" w:rsidP="00215840">
      <w:pPr>
        <w:ind w:right="-815"/>
      </w:pPr>
    </w:p>
    <w:tbl>
      <w:tblPr>
        <w:tblStyle w:val="TableGrid"/>
        <w:tblW w:w="9457" w:type="dxa"/>
        <w:tblInd w:w="716" w:type="dxa"/>
        <w:tblLook w:val="04A0" w:firstRow="1" w:lastRow="0" w:firstColumn="1" w:lastColumn="0" w:noHBand="0" w:noVBand="1"/>
      </w:tblPr>
      <w:tblGrid>
        <w:gridCol w:w="668"/>
        <w:gridCol w:w="8789"/>
      </w:tblGrid>
      <w:tr w:rsidR="00215840" w14:paraId="46BA4E84" w14:textId="77777777" w:rsidTr="00901901">
        <w:tc>
          <w:tcPr>
            <w:tcW w:w="668" w:type="dxa"/>
            <w:vAlign w:val="center"/>
          </w:tcPr>
          <w:p w14:paraId="76C38D74" w14:textId="77777777" w:rsidR="00215840" w:rsidRDefault="00215840" w:rsidP="00901901">
            <w:pPr>
              <w:pStyle w:val="ListParagraph"/>
              <w:ind w:left="0" w:right="-815" w:firstLine="0"/>
              <w:rPr>
                <w:sz w:val="24"/>
                <w:szCs w:val="24"/>
              </w:rPr>
            </w:pPr>
            <w:r>
              <w:rPr>
                <w:sz w:val="24"/>
                <w:szCs w:val="24"/>
              </w:rPr>
              <w:t>1</w:t>
            </w:r>
          </w:p>
        </w:tc>
        <w:tc>
          <w:tcPr>
            <w:tcW w:w="8789" w:type="dxa"/>
          </w:tcPr>
          <w:p w14:paraId="47168A09" w14:textId="77777777" w:rsidR="00215840" w:rsidRDefault="00215840" w:rsidP="00901901">
            <w:pPr>
              <w:pStyle w:val="ListParagraph"/>
              <w:ind w:left="0" w:right="-108" w:firstLine="0"/>
              <w:rPr>
                <w:sz w:val="24"/>
                <w:szCs w:val="24"/>
              </w:rPr>
            </w:pPr>
            <w:r>
              <w:rPr>
                <w:sz w:val="24"/>
                <w:szCs w:val="24"/>
              </w:rPr>
              <w:t>The response raises major concerns about understanding or approach, which are potentially highly detrimental to satisfactory service delivery or contract performance.</w:t>
            </w:r>
          </w:p>
        </w:tc>
      </w:tr>
      <w:tr w:rsidR="00215840" w14:paraId="60EAE5F4" w14:textId="77777777" w:rsidTr="00901901">
        <w:tc>
          <w:tcPr>
            <w:tcW w:w="668" w:type="dxa"/>
          </w:tcPr>
          <w:p w14:paraId="7462F039" w14:textId="77777777" w:rsidR="00215840" w:rsidRDefault="00215840" w:rsidP="00901901">
            <w:pPr>
              <w:pStyle w:val="ListParagraph"/>
              <w:ind w:left="0" w:right="-815" w:firstLine="0"/>
              <w:rPr>
                <w:sz w:val="24"/>
                <w:szCs w:val="24"/>
              </w:rPr>
            </w:pPr>
            <w:r>
              <w:rPr>
                <w:sz w:val="24"/>
                <w:szCs w:val="24"/>
              </w:rPr>
              <w:t>2</w:t>
            </w:r>
          </w:p>
        </w:tc>
        <w:tc>
          <w:tcPr>
            <w:tcW w:w="8789" w:type="dxa"/>
          </w:tcPr>
          <w:p w14:paraId="12A6A57C" w14:textId="77777777" w:rsidR="00215840" w:rsidRDefault="00215840" w:rsidP="00901901">
            <w:pPr>
              <w:pStyle w:val="ListParagraph"/>
              <w:ind w:left="0" w:right="-815" w:firstLine="0"/>
              <w:rPr>
                <w:sz w:val="24"/>
                <w:szCs w:val="24"/>
              </w:rPr>
            </w:pPr>
            <w:r>
              <w:rPr>
                <w:sz w:val="24"/>
                <w:szCs w:val="24"/>
              </w:rPr>
              <w:t>The response suggests significant shortcomings of understanding or approach,</w:t>
            </w:r>
          </w:p>
          <w:p w14:paraId="1E273362" w14:textId="77777777" w:rsidR="00215840" w:rsidRDefault="00215840" w:rsidP="00901901">
            <w:pPr>
              <w:pStyle w:val="ListParagraph"/>
              <w:ind w:left="0" w:right="-815" w:firstLine="0"/>
              <w:rPr>
                <w:sz w:val="24"/>
                <w:szCs w:val="24"/>
              </w:rPr>
            </w:pPr>
            <w:r>
              <w:rPr>
                <w:sz w:val="24"/>
                <w:szCs w:val="24"/>
              </w:rPr>
              <w:t>which may impact on service delivery or contract performance.</w:t>
            </w:r>
          </w:p>
        </w:tc>
      </w:tr>
      <w:tr w:rsidR="00215840" w14:paraId="043D2FBC" w14:textId="77777777" w:rsidTr="00901901">
        <w:tc>
          <w:tcPr>
            <w:tcW w:w="668" w:type="dxa"/>
          </w:tcPr>
          <w:p w14:paraId="2E84BA0D" w14:textId="77777777" w:rsidR="00215840" w:rsidRDefault="00215840" w:rsidP="00901901">
            <w:pPr>
              <w:pStyle w:val="ListParagraph"/>
              <w:ind w:left="0" w:right="-815" w:firstLine="0"/>
              <w:rPr>
                <w:sz w:val="24"/>
                <w:szCs w:val="24"/>
              </w:rPr>
            </w:pPr>
            <w:r>
              <w:rPr>
                <w:sz w:val="24"/>
                <w:szCs w:val="24"/>
              </w:rPr>
              <w:t>3</w:t>
            </w:r>
          </w:p>
        </w:tc>
        <w:tc>
          <w:tcPr>
            <w:tcW w:w="8789" w:type="dxa"/>
          </w:tcPr>
          <w:p w14:paraId="34E25A97" w14:textId="77777777" w:rsidR="00215840" w:rsidRDefault="00215840" w:rsidP="00901901">
            <w:pPr>
              <w:pStyle w:val="ListParagraph"/>
              <w:ind w:left="0" w:right="-815" w:firstLine="0"/>
              <w:rPr>
                <w:sz w:val="24"/>
                <w:szCs w:val="24"/>
              </w:rPr>
            </w:pPr>
            <w:r>
              <w:rPr>
                <w:sz w:val="24"/>
                <w:szCs w:val="24"/>
              </w:rPr>
              <w:t xml:space="preserve">The response suggests minor shortcomings of understanding or approach, </w:t>
            </w:r>
          </w:p>
          <w:p w14:paraId="6ABA32D6" w14:textId="77777777" w:rsidR="00215840" w:rsidRDefault="00215840" w:rsidP="00901901">
            <w:pPr>
              <w:pStyle w:val="ListParagraph"/>
              <w:ind w:left="0" w:right="-815" w:firstLine="0"/>
              <w:rPr>
                <w:sz w:val="24"/>
                <w:szCs w:val="24"/>
              </w:rPr>
            </w:pPr>
            <w:r>
              <w:rPr>
                <w:sz w:val="24"/>
                <w:szCs w:val="24"/>
              </w:rPr>
              <w:t>which may impact to a minor extent on service delivery or contract performance.</w:t>
            </w:r>
          </w:p>
        </w:tc>
      </w:tr>
      <w:tr w:rsidR="00215840" w14:paraId="28477C20" w14:textId="77777777" w:rsidTr="00901901">
        <w:tc>
          <w:tcPr>
            <w:tcW w:w="668" w:type="dxa"/>
          </w:tcPr>
          <w:p w14:paraId="3A5CF9AB" w14:textId="77777777" w:rsidR="00215840" w:rsidRDefault="00215840" w:rsidP="00901901">
            <w:pPr>
              <w:pStyle w:val="ListParagraph"/>
              <w:ind w:left="0" w:right="-815" w:firstLine="0"/>
              <w:rPr>
                <w:sz w:val="24"/>
                <w:szCs w:val="24"/>
              </w:rPr>
            </w:pPr>
            <w:r>
              <w:rPr>
                <w:sz w:val="24"/>
                <w:szCs w:val="24"/>
              </w:rPr>
              <w:t>4</w:t>
            </w:r>
          </w:p>
        </w:tc>
        <w:tc>
          <w:tcPr>
            <w:tcW w:w="8789" w:type="dxa"/>
          </w:tcPr>
          <w:p w14:paraId="1BE2DBB5" w14:textId="77777777" w:rsidR="00215840" w:rsidRDefault="00215840" w:rsidP="00901901">
            <w:pPr>
              <w:pStyle w:val="ListParagraph"/>
              <w:ind w:left="0" w:right="-815" w:firstLine="0"/>
              <w:rPr>
                <w:sz w:val="24"/>
                <w:szCs w:val="24"/>
              </w:rPr>
            </w:pPr>
            <w:r>
              <w:rPr>
                <w:sz w:val="24"/>
                <w:szCs w:val="24"/>
              </w:rPr>
              <w:t xml:space="preserve">The response raises no concerns about understanding or approach, to service </w:t>
            </w:r>
          </w:p>
          <w:p w14:paraId="69136646" w14:textId="77777777" w:rsidR="00215840" w:rsidRDefault="00215840" w:rsidP="00901901">
            <w:pPr>
              <w:pStyle w:val="ListParagraph"/>
              <w:ind w:left="0" w:right="-815" w:firstLine="0"/>
              <w:rPr>
                <w:sz w:val="24"/>
                <w:szCs w:val="24"/>
              </w:rPr>
            </w:pPr>
            <w:r>
              <w:rPr>
                <w:sz w:val="24"/>
                <w:szCs w:val="24"/>
              </w:rPr>
              <w:t>delivery or contract performance.</w:t>
            </w:r>
          </w:p>
        </w:tc>
      </w:tr>
      <w:tr w:rsidR="00215840" w14:paraId="087AABCC" w14:textId="77777777" w:rsidTr="00901901">
        <w:tc>
          <w:tcPr>
            <w:tcW w:w="668" w:type="dxa"/>
          </w:tcPr>
          <w:p w14:paraId="5971924B" w14:textId="77777777" w:rsidR="00215840" w:rsidRDefault="00215840" w:rsidP="00901901">
            <w:pPr>
              <w:pStyle w:val="ListParagraph"/>
              <w:ind w:left="0" w:right="-815" w:firstLine="0"/>
              <w:rPr>
                <w:sz w:val="24"/>
                <w:szCs w:val="24"/>
              </w:rPr>
            </w:pPr>
            <w:r>
              <w:rPr>
                <w:sz w:val="24"/>
                <w:szCs w:val="24"/>
              </w:rPr>
              <w:t>5</w:t>
            </w:r>
          </w:p>
        </w:tc>
        <w:tc>
          <w:tcPr>
            <w:tcW w:w="8789" w:type="dxa"/>
          </w:tcPr>
          <w:p w14:paraId="750629B3" w14:textId="77777777" w:rsidR="00215840" w:rsidRDefault="00215840" w:rsidP="00901901">
            <w:pPr>
              <w:pStyle w:val="ListParagraph"/>
              <w:ind w:left="0" w:right="-108" w:firstLine="0"/>
              <w:rPr>
                <w:sz w:val="24"/>
                <w:szCs w:val="24"/>
              </w:rPr>
            </w:pPr>
            <w:r>
              <w:rPr>
                <w:sz w:val="24"/>
                <w:szCs w:val="24"/>
              </w:rPr>
              <w:t>The response exceeds expectation about understanding or approach, to service delivery or contract performance.</w:t>
            </w:r>
          </w:p>
        </w:tc>
      </w:tr>
    </w:tbl>
    <w:p w14:paraId="651D56A6" w14:textId="77777777" w:rsidR="00215840" w:rsidRDefault="00215840" w:rsidP="00215840">
      <w:pPr>
        <w:pStyle w:val="ListParagraph"/>
        <w:ind w:left="716" w:right="-815" w:firstLine="0"/>
        <w:rPr>
          <w:sz w:val="24"/>
          <w:szCs w:val="24"/>
        </w:rPr>
      </w:pPr>
    </w:p>
    <w:p w14:paraId="3191F838" w14:textId="77777777" w:rsidR="00215840" w:rsidRPr="00184945" w:rsidRDefault="00215840" w:rsidP="00215840">
      <w:pPr>
        <w:ind w:right="-815"/>
      </w:pPr>
    </w:p>
    <w:p w14:paraId="47EC54FC" w14:textId="77777777" w:rsidR="00215840" w:rsidRPr="00184945" w:rsidRDefault="00215840" w:rsidP="00215840">
      <w:pPr>
        <w:pStyle w:val="ListParagraph"/>
        <w:ind w:left="716" w:right="-815" w:firstLine="0"/>
        <w:rPr>
          <w:sz w:val="24"/>
          <w:szCs w:val="24"/>
        </w:rPr>
      </w:pPr>
    </w:p>
    <w:p w14:paraId="28B9E291" w14:textId="77777777" w:rsidR="00495558" w:rsidRDefault="00495558"/>
    <w:sectPr w:rsidR="00495558" w:rsidSect="00754803">
      <w:pgSz w:w="11910" w:h="16840"/>
      <w:pgMar w:top="851" w:right="1420"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C66FE"/>
    <w:multiLevelType w:val="hybridMultilevel"/>
    <w:tmpl w:val="B13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C79BC"/>
    <w:multiLevelType w:val="multilevel"/>
    <w:tmpl w:val="C7D4BAD0"/>
    <w:lvl w:ilvl="0">
      <w:start w:val="1"/>
      <w:numFmt w:val="decimal"/>
      <w:lvlText w:val="%1"/>
      <w:lvlJc w:val="left"/>
      <w:pPr>
        <w:ind w:left="1000" w:hanging="1000"/>
      </w:pPr>
      <w:rPr>
        <w:rFonts w:hint="default"/>
      </w:rPr>
    </w:lvl>
    <w:lvl w:ilvl="1">
      <w:start w:val="1"/>
      <w:numFmt w:val="decimal"/>
      <w:lvlText w:val="%1.%2"/>
      <w:lvlJc w:val="left"/>
      <w:pPr>
        <w:ind w:left="716" w:hanging="1000"/>
      </w:pPr>
      <w:rPr>
        <w:rFonts w:hint="default"/>
      </w:rPr>
    </w:lvl>
    <w:lvl w:ilvl="2">
      <w:start w:val="1"/>
      <w:numFmt w:val="decimal"/>
      <w:lvlText w:val="%1.%2.%3"/>
      <w:lvlJc w:val="left"/>
      <w:pPr>
        <w:ind w:left="432" w:hanging="100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27826631"/>
    <w:multiLevelType w:val="hybridMultilevel"/>
    <w:tmpl w:val="8E90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40"/>
    <w:rsid w:val="00215840"/>
    <w:rsid w:val="0049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7A8F"/>
  <w15:chartTrackingRefBased/>
  <w15:docId w15:val="{11DC9253-CEF7-468C-8CA7-17562993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40"/>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840"/>
    <w:pPr>
      <w:widowControl w:val="0"/>
      <w:autoSpaceDE w:val="0"/>
      <w:autoSpaceDN w:val="0"/>
      <w:ind w:left="1629" w:hanging="531"/>
    </w:pPr>
    <w:rPr>
      <w:rFonts w:ascii="Arial" w:eastAsia="Arial" w:hAnsi="Arial" w:cs="Arial"/>
      <w:sz w:val="22"/>
      <w:szCs w:val="22"/>
    </w:rPr>
  </w:style>
  <w:style w:type="table" w:styleId="TableGrid">
    <w:name w:val="Table Grid"/>
    <w:basedOn w:val="TableNormal"/>
    <w:uiPriority w:val="59"/>
    <w:rsid w:val="0021584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0E96639DA1B4D88988A14A94AE57A" ma:contentTypeVersion="12" ma:contentTypeDescription="Create a new document." ma:contentTypeScope="" ma:versionID="cb35489ec02243820d441f2683397ac4">
  <xsd:schema xmlns:xsd="http://www.w3.org/2001/XMLSchema" xmlns:xs="http://www.w3.org/2001/XMLSchema" xmlns:p="http://schemas.microsoft.com/office/2006/metadata/properties" xmlns:ns2="8839ca63-4bec-4561-a2f3-141883e392b6" xmlns:ns3="c4eacf9d-079f-4069-8eb9-fd68752def70" targetNamespace="http://schemas.microsoft.com/office/2006/metadata/properties" ma:root="true" ma:fieldsID="9b0b8d2bfb1e82d8f324be49be90732d" ns2:_="" ns3:_="">
    <xsd:import namespace="8839ca63-4bec-4561-a2f3-141883e392b6"/>
    <xsd:import namespace="c4eacf9d-079f-4069-8eb9-fd68752def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9ca63-4bec-4561-a2f3-141883e3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acf9d-079f-4069-8eb9-fd68752de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2105E-D58C-4849-B969-629DE225B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9ca63-4bec-4561-a2f3-141883e392b6"/>
    <ds:schemaRef ds:uri="c4eacf9d-079f-4069-8eb9-fd68752d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1A74-6856-439B-A952-D1102DA1A034}">
  <ds:schemaRefs>
    <ds:schemaRef ds:uri="http://schemas.microsoft.com/sharepoint/v3/contenttype/forms"/>
  </ds:schemaRefs>
</ds:datastoreItem>
</file>

<file path=customXml/itemProps3.xml><?xml version="1.0" encoding="utf-8"?>
<ds:datastoreItem xmlns:ds="http://schemas.openxmlformats.org/officeDocument/2006/customXml" ds:itemID="{B02BEFD0-00D2-4082-8A4F-7AD8AB0F79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ACPO Street</dc:creator>
  <cp:keywords/>
  <dc:description/>
  <cp:lastModifiedBy>ACPO Street</cp:lastModifiedBy>
  <cp:revision>1</cp:revision>
  <dcterms:created xsi:type="dcterms:W3CDTF">2020-06-17T09:27:00Z</dcterms:created>
  <dcterms:modified xsi:type="dcterms:W3CDTF">2020-06-17T09:28:00Z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0x01010040D0E96639DA1B4D88988A14A94AE57A</vt:lpwstr>
  </property>
</Properties>
</file>