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3" w14:textId="77777777" w:rsidR="00251AE6" w:rsidRDefault="00E907EE" w:rsidP="00AE4296">
      <w:r w:rsidRPr="00E907EE">
        <w:rPr>
          <w:noProof/>
        </w:rPr>
        <w:drawing>
          <wp:inline distT="0" distB="0" distL="0" distR="0" wp14:anchorId="4A7BA392" wp14:editId="4A7BA393">
            <wp:extent cx="876300" cy="723900"/>
            <wp:effectExtent l="1905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876300" cy="723900"/>
                    </a:xfrm>
                    <a:prstGeom prst="rect">
                      <a:avLst/>
                    </a:prstGeom>
                    <a:noFill/>
                    <a:ln w="9525">
                      <a:noFill/>
                      <a:miter lim="800000"/>
                      <a:headEnd/>
                      <a:tailEnd/>
                    </a:ln>
                  </pic:spPr>
                </pic:pic>
              </a:graphicData>
            </a:graphic>
          </wp:inline>
        </w:drawing>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4F3794" w:rsidRDefault="00AE4296" w:rsidP="00AE4296">
      <w:pPr>
        <w:pStyle w:val="BodyText"/>
        <w:spacing w:before="120"/>
        <w:jc w:val="center"/>
        <w:rPr>
          <w:rFonts w:cs="Arial"/>
          <w:b/>
          <w:sz w:val="22"/>
          <w:szCs w:val="22"/>
        </w:rPr>
      </w:pPr>
      <w:r w:rsidRPr="004F3794">
        <w:rPr>
          <w:rFonts w:cs="Arial"/>
          <w:b/>
          <w:sz w:val="22"/>
          <w:szCs w:val="22"/>
        </w:rPr>
        <w:t>INVITATION TO TENDER</w:t>
      </w:r>
    </w:p>
    <w:p w14:paraId="4A7BA0E8" w14:textId="77777777" w:rsidR="00AE4296" w:rsidRPr="004F3794" w:rsidRDefault="00AE4296" w:rsidP="00AE4296">
      <w:pPr>
        <w:pStyle w:val="MarginText"/>
        <w:jc w:val="center"/>
        <w:rPr>
          <w:rFonts w:cs="Arial"/>
          <w:b/>
          <w:sz w:val="22"/>
          <w:szCs w:val="22"/>
        </w:rPr>
      </w:pPr>
    </w:p>
    <w:p w14:paraId="4A7BA0E9" w14:textId="492A061B" w:rsidR="00AE4296" w:rsidRPr="004F3794" w:rsidRDefault="00DD1F5D" w:rsidP="00AE4296">
      <w:pPr>
        <w:pStyle w:val="MarginText"/>
        <w:jc w:val="center"/>
        <w:rPr>
          <w:rFonts w:cs="Arial"/>
          <w:b/>
          <w:sz w:val="22"/>
          <w:szCs w:val="22"/>
          <w:highlight w:val="yellow"/>
        </w:rPr>
      </w:pPr>
      <w:r w:rsidRPr="00DD1F5D">
        <w:rPr>
          <w:rFonts w:cs="Arial"/>
          <w:b/>
          <w:sz w:val="22"/>
          <w:szCs w:val="22"/>
        </w:rPr>
        <w:t>Civil Service Pension</w:t>
      </w:r>
      <w:r>
        <w:rPr>
          <w:rFonts w:cs="Arial"/>
          <w:b/>
          <w:sz w:val="22"/>
          <w:szCs w:val="22"/>
        </w:rPr>
        <w:t>s Scheme Medical Advice Contract</w:t>
      </w:r>
    </w:p>
    <w:p w14:paraId="4A7BA0EA" w14:textId="77777777" w:rsidR="00AE4296" w:rsidRPr="004F3794" w:rsidRDefault="00AE4296" w:rsidP="00AE4296">
      <w:pPr>
        <w:pStyle w:val="MarginText"/>
        <w:jc w:val="center"/>
        <w:rPr>
          <w:rFonts w:cs="Arial"/>
          <w:b/>
          <w:sz w:val="22"/>
          <w:szCs w:val="22"/>
        </w:rPr>
      </w:pPr>
    </w:p>
    <w:p w14:paraId="4A7BA0EB" w14:textId="77777777" w:rsidR="00AE4296" w:rsidRPr="004F3794" w:rsidRDefault="00AE4296" w:rsidP="00AE4296">
      <w:pPr>
        <w:pStyle w:val="MarginText"/>
        <w:jc w:val="center"/>
        <w:rPr>
          <w:rFonts w:cs="Arial"/>
          <w:b/>
          <w:sz w:val="22"/>
          <w:szCs w:val="22"/>
        </w:rPr>
      </w:pPr>
      <w:r w:rsidRPr="004F3794">
        <w:rPr>
          <w:rFonts w:cs="Arial"/>
          <w:b/>
          <w:sz w:val="22"/>
          <w:szCs w:val="22"/>
        </w:rPr>
        <w:t>REFERENCE NUMBER</w:t>
      </w:r>
    </w:p>
    <w:p w14:paraId="4A7BA0EC" w14:textId="77777777" w:rsidR="00AE4296" w:rsidRPr="004F3794" w:rsidRDefault="00AE4296" w:rsidP="00AE4296">
      <w:pPr>
        <w:pStyle w:val="MarginText"/>
        <w:jc w:val="center"/>
        <w:rPr>
          <w:rFonts w:cs="Arial"/>
          <w:b/>
          <w:sz w:val="22"/>
          <w:szCs w:val="22"/>
        </w:rPr>
      </w:pPr>
    </w:p>
    <w:p w14:paraId="4A7BA0ED" w14:textId="77777777" w:rsidR="00AE4296" w:rsidRPr="004F3794" w:rsidRDefault="00AE4296" w:rsidP="00AE4296">
      <w:pPr>
        <w:pStyle w:val="MarginText"/>
        <w:jc w:val="center"/>
        <w:rPr>
          <w:rFonts w:cs="Arial"/>
          <w:b/>
          <w:sz w:val="22"/>
          <w:szCs w:val="22"/>
          <w:highlight w:val="yellow"/>
        </w:rPr>
      </w:pPr>
      <w:r w:rsidRPr="004F3794">
        <w:rPr>
          <w:rFonts w:cs="Arial"/>
          <w:b/>
          <w:sz w:val="22"/>
          <w:szCs w:val="22"/>
          <w:highlight w:val="yellow"/>
        </w:rPr>
        <w:t>[INSERT REFERENCE NUMBER]</w:t>
      </w:r>
    </w:p>
    <w:p w14:paraId="4A7BA0EF" w14:textId="64C15B5F" w:rsidR="00AE4296" w:rsidRPr="004F3794" w:rsidRDefault="00AE4296" w:rsidP="00DD1F5D">
      <w:pPr>
        <w:pStyle w:val="MarginText"/>
        <w:rPr>
          <w:rFonts w:cs="Arial"/>
          <w:b/>
          <w:sz w:val="22"/>
          <w:szCs w:val="22"/>
          <w:highlight w:val="yellow"/>
        </w:rPr>
      </w:pPr>
    </w:p>
    <w:p w14:paraId="4A7BA0F0" w14:textId="77777777" w:rsidR="00AE4296" w:rsidRDefault="00AE4296">
      <w:r>
        <w:br w:type="page"/>
      </w:r>
    </w:p>
    <w:p w14:paraId="4A7BA0F1" w14:textId="77777777" w:rsidR="00AE4296" w:rsidRPr="004F3794" w:rsidRDefault="00AE4296" w:rsidP="00AE4296">
      <w:pPr>
        <w:pStyle w:val="bodystrongcentred"/>
        <w:rPr>
          <w:rFonts w:cs="Arial"/>
          <w:sz w:val="22"/>
        </w:rPr>
      </w:pPr>
      <w:r w:rsidRPr="004F3794">
        <w:rPr>
          <w:rFonts w:cs="Arial"/>
          <w:sz w:val="22"/>
        </w:rPr>
        <w:lastRenderedPageBreak/>
        <w:t>CONTENTS</w:t>
      </w:r>
    </w:p>
    <w:p w14:paraId="4A7BA0F2" w14:textId="77777777" w:rsidR="00AE4296" w:rsidRDefault="00AE4296" w:rsidP="00AE4296">
      <w:pPr>
        <w:jc w:val="center"/>
      </w:pPr>
    </w:p>
    <w:p w14:paraId="4A7BA0F3" w14:textId="77777777" w:rsidR="00AE4296" w:rsidRPr="004F3794" w:rsidRDefault="00AE4296" w:rsidP="00AE4296"/>
    <w:p w14:paraId="0DDAC041" w14:textId="77777777" w:rsidR="00E62DDA"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58691535" w:history="1">
        <w:r w:rsidR="00E62DDA" w:rsidRPr="005F4314">
          <w:rPr>
            <w:rStyle w:val="Hyperlink"/>
            <w:noProof/>
          </w:rPr>
          <w:t>1.</w:t>
        </w:r>
        <w:r w:rsidR="00E62DDA">
          <w:rPr>
            <w:rFonts w:asciiTheme="minorHAnsi" w:eastAsiaTheme="minorEastAsia" w:hAnsiTheme="minorHAnsi" w:cstheme="minorBidi"/>
            <w:caps w:val="0"/>
            <w:noProof/>
            <w:szCs w:val="22"/>
            <w:lang w:eastAsia="en-GB"/>
          </w:rPr>
          <w:tab/>
        </w:r>
        <w:r w:rsidR="00E62DDA" w:rsidRPr="005F4314">
          <w:rPr>
            <w:rStyle w:val="Hyperlink"/>
            <w:noProof/>
          </w:rPr>
          <w:t>introduction</w:t>
        </w:r>
        <w:r w:rsidR="00E62DDA">
          <w:rPr>
            <w:noProof/>
            <w:webHidden/>
          </w:rPr>
          <w:tab/>
        </w:r>
        <w:r w:rsidR="00E62DDA">
          <w:rPr>
            <w:noProof/>
            <w:webHidden/>
          </w:rPr>
          <w:fldChar w:fldCharType="begin"/>
        </w:r>
        <w:r w:rsidR="00E62DDA">
          <w:rPr>
            <w:noProof/>
            <w:webHidden/>
          </w:rPr>
          <w:instrText xml:space="preserve"> PAGEREF _Toc458691535 \h </w:instrText>
        </w:r>
        <w:r w:rsidR="00E62DDA">
          <w:rPr>
            <w:noProof/>
            <w:webHidden/>
          </w:rPr>
        </w:r>
        <w:r w:rsidR="00E62DDA">
          <w:rPr>
            <w:noProof/>
            <w:webHidden/>
          </w:rPr>
          <w:fldChar w:fldCharType="separate"/>
        </w:r>
        <w:r w:rsidR="00E62DDA">
          <w:rPr>
            <w:noProof/>
            <w:webHidden/>
          </w:rPr>
          <w:t>3</w:t>
        </w:r>
        <w:r w:rsidR="00E62DDA">
          <w:rPr>
            <w:noProof/>
            <w:webHidden/>
          </w:rPr>
          <w:fldChar w:fldCharType="end"/>
        </w:r>
      </w:hyperlink>
    </w:p>
    <w:p w14:paraId="1C0E4313" w14:textId="77777777" w:rsidR="00E62DDA" w:rsidRDefault="008605BD">
      <w:pPr>
        <w:pStyle w:val="TOC1"/>
        <w:rPr>
          <w:rFonts w:asciiTheme="minorHAnsi" w:eastAsiaTheme="minorEastAsia" w:hAnsiTheme="minorHAnsi" w:cstheme="minorBidi"/>
          <w:caps w:val="0"/>
          <w:noProof/>
          <w:szCs w:val="22"/>
          <w:lang w:eastAsia="en-GB"/>
        </w:rPr>
      </w:pPr>
      <w:hyperlink w:anchor="_Toc458691536" w:history="1">
        <w:r w:rsidR="00E62DDA" w:rsidRPr="005F4314">
          <w:rPr>
            <w:rStyle w:val="Hyperlink"/>
            <w:noProof/>
          </w:rPr>
          <w:t>2.</w:t>
        </w:r>
        <w:r w:rsidR="00E62DDA">
          <w:rPr>
            <w:rFonts w:asciiTheme="minorHAnsi" w:eastAsiaTheme="minorEastAsia" w:hAnsiTheme="minorHAnsi" w:cstheme="minorBidi"/>
            <w:caps w:val="0"/>
            <w:noProof/>
            <w:szCs w:val="22"/>
            <w:lang w:eastAsia="en-GB"/>
          </w:rPr>
          <w:tab/>
        </w:r>
        <w:r w:rsidR="00E62DDA" w:rsidRPr="005F4314">
          <w:rPr>
            <w:rStyle w:val="Hyperlink"/>
            <w:rFonts w:cs="Arial"/>
            <w:noProof/>
          </w:rPr>
          <w:t>THE FRAMEWORK AGREEMENT AND CALL-OFF CONTRACTS</w:t>
        </w:r>
        <w:r w:rsidR="00E62DDA">
          <w:rPr>
            <w:noProof/>
            <w:webHidden/>
          </w:rPr>
          <w:tab/>
        </w:r>
        <w:r w:rsidR="00E62DDA">
          <w:rPr>
            <w:noProof/>
            <w:webHidden/>
          </w:rPr>
          <w:fldChar w:fldCharType="begin"/>
        </w:r>
        <w:r w:rsidR="00E62DDA">
          <w:rPr>
            <w:noProof/>
            <w:webHidden/>
          </w:rPr>
          <w:instrText xml:space="preserve"> PAGEREF _Toc458691536 \h </w:instrText>
        </w:r>
        <w:r w:rsidR="00E62DDA">
          <w:rPr>
            <w:noProof/>
            <w:webHidden/>
          </w:rPr>
        </w:r>
        <w:r w:rsidR="00E62DDA">
          <w:rPr>
            <w:noProof/>
            <w:webHidden/>
          </w:rPr>
          <w:fldChar w:fldCharType="separate"/>
        </w:r>
        <w:r w:rsidR="00E62DDA">
          <w:rPr>
            <w:noProof/>
            <w:webHidden/>
          </w:rPr>
          <w:t>4</w:t>
        </w:r>
        <w:r w:rsidR="00E62DDA">
          <w:rPr>
            <w:noProof/>
            <w:webHidden/>
          </w:rPr>
          <w:fldChar w:fldCharType="end"/>
        </w:r>
      </w:hyperlink>
    </w:p>
    <w:p w14:paraId="6A2FF1FD" w14:textId="77777777" w:rsidR="00E62DDA" w:rsidRDefault="008605BD">
      <w:pPr>
        <w:pStyle w:val="TOC1"/>
        <w:rPr>
          <w:rFonts w:asciiTheme="minorHAnsi" w:eastAsiaTheme="minorEastAsia" w:hAnsiTheme="minorHAnsi" w:cstheme="minorBidi"/>
          <w:caps w:val="0"/>
          <w:noProof/>
          <w:szCs w:val="22"/>
          <w:lang w:eastAsia="en-GB"/>
        </w:rPr>
      </w:pPr>
      <w:hyperlink w:anchor="_Toc458691537" w:history="1">
        <w:r w:rsidR="00E62DDA" w:rsidRPr="005F4314">
          <w:rPr>
            <w:rStyle w:val="Hyperlink"/>
            <w:noProof/>
          </w:rPr>
          <w:t>3.</w:t>
        </w:r>
        <w:r w:rsidR="00E62DDA">
          <w:rPr>
            <w:rFonts w:asciiTheme="minorHAnsi" w:eastAsiaTheme="minorEastAsia" w:hAnsiTheme="minorHAnsi" w:cstheme="minorBidi"/>
            <w:caps w:val="0"/>
            <w:noProof/>
            <w:szCs w:val="22"/>
            <w:lang w:eastAsia="en-GB"/>
          </w:rPr>
          <w:tab/>
        </w:r>
        <w:r w:rsidR="00E62DDA" w:rsidRPr="005F4314">
          <w:rPr>
            <w:rStyle w:val="Hyperlink"/>
            <w:rFonts w:cs="Arial"/>
            <w:noProof/>
          </w:rPr>
          <w:t>ReqUirements</w:t>
        </w:r>
        <w:r w:rsidR="00E62DDA">
          <w:rPr>
            <w:noProof/>
            <w:webHidden/>
          </w:rPr>
          <w:tab/>
        </w:r>
        <w:r w:rsidR="00E62DDA">
          <w:rPr>
            <w:noProof/>
            <w:webHidden/>
          </w:rPr>
          <w:fldChar w:fldCharType="begin"/>
        </w:r>
        <w:r w:rsidR="00E62DDA">
          <w:rPr>
            <w:noProof/>
            <w:webHidden/>
          </w:rPr>
          <w:instrText xml:space="preserve"> PAGEREF _Toc458691537 \h </w:instrText>
        </w:r>
        <w:r w:rsidR="00E62DDA">
          <w:rPr>
            <w:noProof/>
            <w:webHidden/>
          </w:rPr>
        </w:r>
        <w:r w:rsidR="00E62DDA">
          <w:rPr>
            <w:noProof/>
            <w:webHidden/>
          </w:rPr>
          <w:fldChar w:fldCharType="separate"/>
        </w:r>
        <w:r w:rsidR="00E62DDA">
          <w:rPr>
            <w:noProof/>
            <w:webHidden/>
          </w:rPr>
          <w:t>5</w:t>
        </w:r>
        <w:r w:rsidR="00E62DDA">
          <w:rPr>
            <w:noProof/>
            <w:webHidden/>
          </w:rPr>
          <w:fldChar w:fldCharType="end"/>
        </w:r>
      </w:hyperlink>
    </w:p>
    <w:p w14:paraId="4C6358B1" w14:textId="77777777" w:rsidR="00E62DDA" w:rsidRDefault="008605BD">
      <w:pPr>
        <w:pStyle w:val="TOC1"/>
        <w:rPr>
          <w:rFonts w:asciiTheme="minorHAnsi" w:eastAsiaTheme="minorEastAsia" w:hAnsiTheme="minorHAnsi" w:cstheme="minorBidi"/>
          <w:caps w:val="0"/>
          <w:noProof/>
          <w:szCs w:val="22"/>
          <w:lang w:eastAsia="en-GB"/>
        </w:rPr>
      </w:pPr>
      <w:hyperlink w:anchor="_Toc458691538" w:history="1">
        <w:r w:rsidR="00E62DDA" w:rsidRPr="005F4314">
          <w:rPr>
            <w:rStyle w:val="Hyperlink"/>
            <w:noProof/>
          </w:rPr>
          <w:t>4.</w:t>
        </w:r>
        <w:r w:rsidR="00E62DDA">
          <w:rPr>
            <w:rFonts w:asciiTheme="minorHAnsi" w:eastAsiaTheme="minorEastAsia" w:hAnsiTheme="minorHAnsi" w:cstheme="minorBidi"/>
            <w:caps w:val="0"/>
            <w:noProof/>
            <w:szCs w:val="22"/>
            <w:lang w:eastAsia="en-GB"/>
          </w:rPr>
          <w:tab/>
        </w:r>
        <w:r w:rsidR="00E62DDA" w:rsidRPr="005F4314">
          <w:rPr>
            <w:rStyle w:val="Hyperlink"/>
            <w:noProof/>
          </w:rPr>
          <w:t>procurement timEtable</w:t>
        </w:r>
        <w:r w:rsidR="00E62DDA">
          <w:rPr>
            <w:noProof/>
            <w:webHidden/>
          </w:rPr>
          <w:tab/>
        </w:r>
        <w:r w:rsidR="00E62DDA">
          <w:rPr>
            <w:noProof/>
            <w:webHidden/>
          </w:rPr>
          <w:fldChar w:fldCharType="begin"/>
        </w:r>
        <w:r w:rsidR="00E62DDA">
          <w:rPr>
            <w:noProof/>
            <w:webHidden/>
          </w:rPr>
          <w:instrText xml:space="preserve"> PAGEREF _Toc458691538 \h </w:instrText>
        </w:r>
        <w:r w:rsidR="00E62DDA">
          <w:rPr>
            <w:noProof/>
            <w:webHidden/>
          </w:rPr>
        </w:r>
        <w:r w:rsidR="00E62DDA">
          <w:rPr>
            <w:noProof/>
            <w:webHidden/>
          </w:rPr>
          <w:fldChar w:fldCharType="separate"/>
        </w:r>
        <w:r w:rsidR="00E62DDA">
          <w:rPr>
            <w:noProof/>
            <w:webHidden/>
          </w:rPr>
          <w:t>6</w:t>
        </w:r>
        <w:r w:rsidR="00E62DDA">
          <w:rPr>
            <w:noProof/>
            <w:webHidden/>
          </w:rPr>
          <w:fldChar w:fldCharType="end"/>
        </w:r>
      </w:hyperlink>
    </w:p>
    <w:p w14:paraId="1A4E59B7" w14:textId="77777777" w:rsidR="00E62DDA" w:rsidRDefault="008605BD">
      <w:pPr>
        <w:pStyle w:val="TOC1"/>
        <w:rPr>
          <w:rFonts w:asciiTheme="minorHAnsi" w:eastAsiaTheme="minorEastAsia" w:hAnsiTheme="minorHAnsi" w:cstheme="minorBidi"/>
          <w:caps w:val="0"/>
          <w:noProof/>
          <w:szCs w:val="22"/>
          <w:lang w:eastAsia="en-GB"/>
        </w:rPr>
      </w:pPr>
      <w:hyperlink w:anchor="_Toc458691539" w:history="1">
        <w:r w:rsidR="00E62DDA" w:rsidRPr="005F4314">
          <w:rPr>
            <w:rStyle w:val="Hyperlink"/>
            <w:noProof/>
          </w:rPr>
          <w:t>5.</w:t>
        </w:r>
        <w:r w:rsidR="00E62DDA">
          <w:rPr>
            <w:rFonts w:asciiTheme="minorHAnsi" w:eastAsiaTheme="minorEastAsia" w:hAnsiTheme="minorHAnsi" w:cstheme="minorBidi"/>
            <w:caps w:val="0"/>
            <w:noProof/>
            <w:szCs w:val="22"/>
            <w:lang w:eastAsia="en-GB"/>
          </w:rPr>
          <w:tab/>
        </w:r>
        <w:r w:rsidR="00E62DDA" w:rsidRPr="005F4314">
          <w:rPr>
            <w:rStyle w:val="Hyperlink"/>
            <w:rFonts w:cs="Arial"/>
            <w:noProof/>
          </w:rPr>
          <w:t>completiNG AND SUBMITTING A tender</w:t>
        </w:r>
        <w:r w:rsidR="00E62DDA">
          <w:rPr>
            <w:noProof/>
            <w:webHidden/>
          </w:rPr>
          <w:tab/>
        </w:r>
        <w:r w:rsidR="00E62DDA">
          <w:rPr>
            <w:noProof/>
            <w:webHidden/>
          </w:rPr>
          <w:fldChar w:fldCharType="begin"/>
        </w:r>
        <w:r w:rsidR="00E62DDA">
          <w:rPr>
            <w:noProof/>
            <w:webHidden/>
          </w:rPr>
          <w:instrText xml:space="preserve"> PAGEREF _Toc458691539 \h </w:instrText>
        </w:r>
        <w:r w:rsidR="00E62DDA">
          <w:rPr>
            <w:noProof/>
            <w:webHidden/>
          </w:rPr>
        </w:r>
        <w:r w:rsidR="00E62DDA">
          <w:rPr>
            <w:noProof/>
            <w:webHidden/>
          </w:rPr>
          <w:fldChar w:fldCharType="separate"/>
        </w:r>
        <w:r w:rsidR="00E62DDA">
          <w:rPr>
            <w:noProof/>
            <w:webHidden/>
          </w:rPr>
          <w:t>7</w:t>
        </w:r>
        <w:r w:rsidR="00E62DDA">
          <w:rPr>
            <w:noProof/>
            <w:webHidden/>
          </w:rPr>
          <w:fldChar w:fldCharType="end"/>
        </w:r>
      </w:hyperlink>
    </w:p>
    <w:p w14:paraId="4AD48C09" w14:textId="77777777" w:rsidR="00E62DDA" w:rsidRDefault="008605BD">
      <w:pPr>
        <w:pStyle w:val="TOC1"/>
        <w:rPr>
          <w:rFonts w:asciiTheme="minorHAnsi" w:eastAsiaTheme="minorEastAsia" w:hAnsiTheme="minorHAnsi" w:cstheme="minorBidi"/>
          <w:caps w:val="0"/>
          <w:noProof/>
          <w:szCs w:val="22"/>
          <w:lang w:eastAsia="en-GB"/>
        </w:rPr>
      </w:pPr>
      <w:hyperlink w:anchor="_Toc458691540" w:history="1">
        <w:r w:rsidR="00E62DDA" w:rsidRPr="005F4314">
          <w:rPr>
            <w:rStyle w:val="Hyperlink"/>
            <w:noProof/>
          </w:rPr>
          <w:t>6.</w:t>
        </w:r>
        <w:r w:rsidR="00E62DDA">
          <w:rPr>
            <w:rFonts w:asciiTheme="minorHAnsi" w:eastAsiaTheme="minorEastAsia" w:hAnsiTheme="minorHAnsi" w:cstheme="minorBidi"/>
            <w:caps w:val="0"/>
            <w:noProof/>
            <w:szCs w:val="22"/>
            <w:lang w:eastAsia="en-GB"/>
          </w:rPr>
          <w:tab/>
        </w:r>
        <w:r w:rsidR="00E62DDA" w:rsidRPr="005F4314">
          <w:rPr>
            <w:rStyle w:val="Hyperlink"/>
            <w:noProof/>
          </w:rPr>
          <w:t>CONTRACTING ARRANGEMENTS (Sub-contractORS AND GROUPS OF ECONOMIC OPERATORS)</w:t>
        </w:r>
        <w:r w:rsidR="00E62DDA">
          <w:rPr>
            <w:noProof/>
            <w:webHidden/>
          </w:rPr>
          <w:tab/>
        </w:r>
        <w:r w:rsidR="00E62DDA">
          <w:rPr>
            <w:noProof/>
            <w:webHidden/>
          </w:rPr>
          <w:fldChar w:fldCharType="begin"/>
        </w:r>
        <w:r w:rsidR="00E62DDA">
          <w:rPr>
            <w:noProof/>
            <w:webHidden/>
          </w:rPr>
          <w:instrText xml:space="preserve"> PAGEREF _Toc458691540 \h </w:instrText>
        </w:r>
        <w:r w:rsidR="00E62DDA">
          <w:rPr>
            <w:noProof/>
            <w:webHidden/>
          </w:rPr>
        </w:r>
        <w:r w:rsidR="00E62DDA">
          <w:rPr>
            <w:noProof/>
            <w:webHidden/>
          </w:rPr>
          <w:fldChar w:fldCharType="separate"/>
        </w:r>
        <w:r w:rsidR="00E62DDA">
          <w:rPr>
            <w:noProof/>
            <w:webHidden/>
          </w:rPr>
          <w:t>9</w:t>
        </w:r>
        <w:r w:rsidR="00E62DDA">
          <w:rPr>
            <w:noProof/>
            <w:webHidden/>
          </w:rPr>
          <w:fldChar w:fldCharType="end"/>
        </w:r>
      </w:hyperlink>
    </w:p>
    <w:p w14:paraId="570D04D8" w14:textId="77777777" w:rsidR="00E62DDA" w:rsidRDefault="008605BD">
      <w:pPr>
        <w:pStyle w:val="TOC1"/>
        <w:rPr>
          <w:rFonts w:asciiTheme="minorHAnsi" w:eastAsiaTheme="minorEastAsia" w:hAnsiTheme="minorHAnsi" w:cstheme="minorBidi"/>
          <w:caps w:val="0"/>
          <w:noProof/>
          <w:szCs w:val="22"/>
          <w:lang w:eastAsia="en-GB"/>
        </w:rPr>
      </w:pPr>
      <w:hyperlink w:anchor="_Toc458691541" w:history="1">
        <w:r w:rsidR="00E62DDA" w:rsidRPr="005F4314">
          <w:rPr>
            <w:rStyle w:val="Hyperlink"/>
            <w:noProof/>
          </w:rPr>
          <w:t>7.</w:t>
        </w:r>
        <w:r w:rsidR="00E62DDA">
          <w:rPr>
            <w:rFonts w:asciiTheme="minorHAnsi" w:eastAsiaTheme="minorEastAsia" w:hAnsiTheme="minorHAnsi" w:cstheme="minorBidi"/>
            <w:caps w:val="0"/>
            <w:noProof/>
            <w:szCs w:val="22"/>
            <w:lang w:eastAsia="en-GB"/>
          </w:rPr>
          <w:tab/>
        </w:r>
        <w:r w:rsidR="00E62DDA" w:rsidRPr="005F4314">
          <w:rPr>
            <w:rStyle w:val="Hyperlink"/>
            <w:rFonts w:cs="Arial"/>
            <w:noProof/>
          </w:rPr>
          <w:t>questions AND ClarificationS</w:t>
        </w:r>
        <w:r w:rsidR="00E62DDA">
          <w:rPr>
            <w:noProof/>
            <w:webHidden/>
          </w:rPr>
          <w:tab/>
        </w:r>
        <w:r w:rsidR="00E62DDA">
          <w:rPr>
            <w:noProof/>
            <w:webHidden/>
          </w:rPr>
          <w:fldChar w:fldCharType="begin"/>
        </w:r>
        <w:r w:rsidR="00E62DDA">
          <w:rPr>
            <w:noProof/>
            <w:webHidden/>
          </w:rPr>
          <w:instrText xml:space="preserve"> PAGEREF _Toc458691541 \h </w:instrText>
        </w:r>
        <w:r w:rsidR="00E62DDA">
          <w:rPr>
            <w:noProof/>
            <w:webHidden/>
          </w:rPr>
        </w:r>
        <w:r w:rsidR="00E62DDA">
          <w:rPr>
            <w:noProof/>
            <w:webHidden/>
          </w:rPr>
          <w:fldChar w:fldCharType="separate"/>
        </w:r>
        <w:r w:rsidR="00E62DDA">
          <w:rPr>
            <w:noProof/>
            <w:webHidden/>
          </w:rPr>
          <w:t>12</w:t>
        </w:r>
        <w:r w:rsidR="00E62DDA">
          <w:rPr>
            <w:noProof/>
            <w:webHidden/>
          </w:rPr>
          <w:fldChar w:fldCharType="end"/>
        </w:r>
      </w:hyperlink>
    </w:p>
    <w:p w14:paraId="297FA890" w14:textId="77777777" w:rsidR="00E62DDA" w:rsidRDefault="008605BD">
      <w:pPr>
        <w:pStyle w:val="TOC1"/>
        <w:rPr>
          <w:rFonts w:asciiTheme="minorHAnsi" w:eastAsiaTheme="minorEastAsia" w:hAnsiTheme="minorHAnsi" w:cstheme="minorBidi"/>
          <w:caps w:val="0"/>
          <w:noProof/>
          <w:szCs w:val="22"/>
          <w:lang w:eastAsia="en-GB"/>
        </w:rPr>
      </w:pPr>
      <w:hyperlink w:anchor="_Toc458691542" w:history="1">
        <w:r w:rsidR="00E62DDA" w:rsidRPr="005F4314">
          <w:rPr>
            <w:rStyle w:val="Hyperlink"/>
            <w:noProof/>
          </w:rPr>
          <w:t>8.</w:t>
        </w:r>
        <w:r w:rsidR="00E62DDA">
          <w:rPr>
            <w:rFonts w:asciiTheme="minorHAnsi" w:eastAsiaTheme="minorEastAsia" w:hAnsiTheme="minorHAnsi" w:cstheme="minorBidi"/>
            <w:caps w:val="0"/>
            <w:noProof/>
            <w:szCs w:val="22"/>
            <w:lang w:eastAsia="en-GB"/>
          </w:rPr>
          <w:tab/>
        </w:r>
        <w:r w:rsidR="00E62DDA" w:rsidRPr="005F4314">
          <w:rPr>
            <w:rStyle w:val="Hyperlink"/>
            <w:rFonts w:cs="Arial"/>
            <w:noProof/>
          </w:rPr>
          <w:t>OVERVIEW OF THE EVALUATION PROCESS</w:t>
        </w:r>
        <w:r w:rsidR="00E62DDA">
          <w:rPr>
            <w:noProof/>
            <w:webHidden/>
          </w:rPr>
          <w:tab/>
        </w:r>
        <w:r w:rsidR="00E62DDA">
          <w:rPr>
            <w:noProof/>
            <w:webHidden/>
          </w:rPr>
          <w:fldChar w:fldCharType="begin"/>
        </w:r>
        <w:r w:rsidR="00E62DDA">
          <w:rPr>
            <w:noProof/>
            <w:webHidden/>
          </w:rPr>
          <w:instrText xml:space="preserve"> PAGEREF _Toc458691542 \h </w:instrText>
        </w:r>
        <w:r w:rsidR="00E62DDA">
          <w:rPr>
            <w:noProof/>
            <w:webHidden/>
          </w:rPr>
        </w:r>
        <w:r w:rsidR="00E62DDA">
          <w:rPr>
            <w:noProof/>
            <w:webHidden/>
          </w:rPr>
          <w:fldChar w:fldCharType="separate"/>
        </w:r>
        <w:r w:rsidR="00E62DDA">
          <w:rPr>
            <w:noProof/>
            <w:webHidden/>
          </w:rPr>
          <w:t>13</w:t>
        </w:r>
        <w:r w:rsidR="00E62DDA">
          <w:rPr>
            <w:noProof/>
            <w:webHidden/>
          </w:rPr>
          <w:fldChar w:fldCharType="end"/>
        </w:r>
      </w:hyperlink>
    </w:p>
    <w:p w14:paraId="21726AD7" w14:textId="77777777" w:rsidR="00E62DDA" w:rsidRDefault="008605BD">
      <w:pPr>
        <w:pStyle w:val="TOC1"/>
        <w:rPr>
          <w:rFonts w:asciiTheme="minorHAnsi" w:eastAsiaTheme="minorEastAsia" w:hAnsiTheme="minorHAnsi" w:cstheme="minorBidi"/>
          <w:caps w:val="0"/>
          <w:noProof/>
          <w:szCs w:val="22"/>
          <w:lang w:eastAsia="en-GB"/>
        </w:rPr>
      </w:pPr>
      <w:hyperlink w:anchor="_Toc458691543" w:history="1">
        <w:r w:rsidR="00E62DDA" w:rsidRPr="005F4314">
          <w:rPr>
            <w:rStyle w:val="Hyperlink"/>
            <w:noProof/>
          </w:rPr>
          <w:t>9.</w:t>
        </w:r>
        <w:r w:rsidR="00E62DDA">
          <w:rPr>
            <w:rFonts w:asciiTheme="minorHAnsi" w:eastAsiaTheme="minorEastAsia" w:hAnsiTheme="minorHAnsi" w:cstheme="minorBidi"/>
            <w:caps w:val="0"/>
            <w:noProof/>
            <w:szCs w:val="22"/>
            <w:lang w:eastAsia="en-GB"/>
          </w:rPr>
          <w:tab/>
        </w:r>
        <w:r w:rsidR="00E62DDA" w:rsidRPr="005F4314">
          <w:rPr>
            <w:rStyle w:val="Hyperlink"/>
            <w:rFonts w:cs="Arial"/>
            <w:noProof/>
          </w:rPr>
          <w:t>SELECTION STAGE EVALUATION</w:t>
        </w:r>
        <w:r w:rsidR="00E62DDA">
          <w:rPr>
            <w:noProof/>
            <w:webHidden/>
          </w:rPr>
          <w:tab/>
        </w:r>
        <w:r w:rsidR="00E62DDA">
          <w:rPr>
            <w:noProof/>
            <w:webHidden/>
          </w:rPr>
          <w:fldChar w:fldCharType="begin"/>
        </w:r>
        <w:r w:rsidR="00E62DDA">
          <w:rPr>
            <w:noProof/>
            <w:webHidden/>
          </w:rPr>
          <w:instrText xml:space="preserve"> PAGEREF _Toc458691543 \h </w:instrText>
        </w:r>
        <w:r w:rsidR="00E62DDA">
          <w:rPr>
            <w:noProof/>
            <w:webHidden/>
          </w:rPr>
        </w:r>
        <w:r w:rsidR="00E62DDA">
          <w:rPr>
            <w:noProof/>
            <w:webHidden/>
          </w:rPr>
          <w:fldChar w:fldCharType="separate"/>
        </w:r>
        <w:r w:rsidR="00E62DDA">
          <w:rPr>
            <w:noProof/>
            <w:webHidden/>
          </w:rPr>
          <w:t>15</w:t>
        </w:r>
        <w:r w:rsidR="00E62DDA">
          <w:rPr>
            <w:noProof/>
            <w:webHidden/>
          </w:rPr>
          <w:fldChar w:fldCharType="end"/>
        </w:r>
      </w:hyperlink>
    </w:p>
    <w:p w14:paraId="3D797B5E" w14:textId="77777777" w:rsidR="00E62DDA" w:rsidRDefault="008605BD">
      <w:pPr>
        <w:pStyle w:val="TOC1"/>
        <w:rPr>
          <w:rFonts w:asciiTheme="minorHAnsi" w:eastAsiaTheme="minorEastAsia" w:hAnsiTheme="minorHAnsi" w:cstheme="minorBidi"/>
          <w:caps w:val="0"/>
          <w:noProof/>
          <w:szCs w:val="22"/>
          <w:lang w:eastAsia="en-GB"/>
        </w:rPr>
      </w:pPr>
      <w:hyperlink w:anchor="_Toc458691544" w:history="1">
        <w:r w:rsidR="00E62DDA" w:rsidRPr="005F4314">
          <w:rPr>
            <w:rStyle w:val="Hyperlink"/>
            <w:noProof/>
          </w:rPr>
          <w:t>10.</w:t>
        </w:r>
        <w:r w:rsidR="00E62DDA">
          <w:rPr>
            <w:rFonts w:asciiTheme="minorHAnsi" w:eastAsiaTheme="minorEastAsia" w:hAnsiTheme="minorHAnsi" w:cstheme="minorBidi"/>
            <w:caps w:val="0"/>
            <w:noProof/>
            <w:szCs w:val="22"/>
            <w:lang w:eastAsia="en-GB"/>
          </w:rPr>
          <w:tab/>
        </w:r>
        <w:r w:rsidR="00E62DDA" w:rsidRPr="005F4314">
          <w:rPr>
            <w:rStyle w:val="Hyperlink"/>
            <w:rFonts w:cs="Arial"/>
            <w:noProof/>
          </w:rPr>
          <w:t>AWARD STAGE EVALUATION</w:t>
        </w:r>
        <w:r w:rsidR="00E62DDA">
          <w:rPr>
            <w:noProof/>
            <w:webHidden/>
          </w:rPr>
          <w:tab/>
        </w:r>
        <w:r w:rsidR="00E62DDA">
          <w:rPr>
            <w:noProof/>
            <w:webHidden/>
          </w:rPr>
          <w:fldChar w:fldCharType="begin"/>
        </w:r>
        <w:r w:rsidR="00E62DDA">
          <w:rPr>
            <w:noProof/>
            <w:webHidden/>
          </w:rPr>
          <w:instrText xml:space="preserve"> PAGEREF _Toc458691544 \h </w:instrText>
        </w:r>
        <w:r w:rsidR="00E62DDA">
          <w:rPr>
            <w:noProof/>
            <w:webHidden/>
          </w:rPr>
        </w:r>
        <w:r w:rsidR="00E62DDA">
          <w:rPr>
            <w:noProof/>
            <w:webHidden/>
          </w:rPr>
          <w:fldChar w:fldCharType="separate"/>
        </w:r>
        <w:r w:rsidR="00E62DDA">
          <w:rPr>
            <w:noProof/>
            <w:webHidden/>
          </w:rPr>
          <w:t>17</w:t>
        </w:r>
        <w:r w:rsidR="00E62DDA">
          <w:rPr>
            <w:noProof/>
            <w:webHidden/>
          </w:rPr>
          <w:fldChar w:fldCharType="end"/>
        </w:r>
      </w:hyperlink>
    </w:p>
    <w:p w14:paraId="787EA700" w14:textId="77777777" w:rsidR="00E62DDA" w:rsidRDefault="008605BD">
      <w:pPr>
        <w:pStyle w:val="TOC1"/>
        <w:rPr>
          <w:rFonts w:asciiTheme="minorHAnsi" w:eastAsiaTheme="minorEastAsia" w:hAnsiTheme="minorHAnsi" w:cstheme="minorBidi"/>
          <w:caps w:val="0"/>
          <w:noProof/>
          <w:szCs w:val="22"/>
          <w:lang w:eastAsia="en-GB"/>
        </w:rPr>
      </w:pPr>
      <w:hyperlink w:anchor="_Toc458691545" w:history="1">
        <w:r w:rsidR="00E62DDA" w:rsidRPr="005F4314">
          <w:rPr>
            <w:rStyle w:val="Hyperlink"/>
            <w:noProof/>
          </w:rPr>
          <w:t>11.</w:t>
        </w:r>
        <w:r w:rsidR="00E62DDA">
          <w:rPr>
            <w:rFonts w:asciiTheme="minorHAnsi" w:eastAsiaTheme="minorEastAsia" w:hAnsiTheme="minorHAnsi" w:cstheme="minorBidi"/>
            <w:caps w:val="0"/>
            <w:noProof/>
            <w:szCs w:val="22"/>
            <w:lang w:eastAsia="en-GB"/>
          </w:rPr>
          <w:tab/>
        </w:r>
        <w:r w:rsidR="00E62DDA" w:rsidRPr="005F4314">
          <w:rPr>
            <w:rStyle w:val="Hyperlink"/>
            <w:rFonts w:cs="Arial"/>
            <w:noProof/>
          </w:rPr>
          <w:t>FINAL DECISION TO Award</w:t>
        </w:r>
        <w:r w:rsidR="00E62DDA">
          <w:rPr>
            <w:noProof/>
            <w:webHidden/>
          </w:rPr>
          <w:tab/>
        </w:r>
        <w:r w:rsidR="00E62DDA">
          <w:rPr>
            <w:noProof/>
            <w:webHidden/>
          </w:rPr>
          <w:fldChar w:fldCharType="begin"/>
        </w:r>
        <w:r w:rsidR="00E62DDA">
          <w:rPr>
            <w:noProof/>
            <w:webHidden/>
          </w:rPr>
          <w:instrText xml:space="preserve"> PAGEREF _Toc458691545 \h </w:instrText>
        </w:r>
        <w:r w:rsidR="00E62DDA">
          <w:rPr>
            <w:noProof/>
            <w:webHidden/>
          </w:rPr>
        </w:r>
        <w:r w:rsidR="00E62DDA">
          <w:rPr>
            <w:noProof/>
            <w:webHidden/>
          </w:rPr>
          <w:fldChar w:fldCharType="separate"/>
        </w:r>
        <w:r w:rsidR="00E62DDA">
          <w:rPr>
            <w:noProof/>
            <w:webHidden/>
          </w:rPr>
          <w:t>19</w:t>
        </w:r>
        <w:r w:rsidR="00E62DDA">
          <w:rPr>
            <w:noProof/>
            <w:webHidden/>
          </w:rPr>
          <w:fldChar w:fldCharType="end"/>
        </w:r>
      </w:hyperlink>
    </w:p>
    <w:p w14:paraId="2DD9B3BF" w14:textId="77777777" w:rsidR="00E62DDA" w:rsidRDefault="008605BD">
      <w:pPr>
        <w:pStyle w:val="TOC1"/>
        <w:rPr>
          <w:rFonts w:asciiTheme="minorHAnsi" w:eastAsiaTheme="minorEastAsia" w:hAnsiTheme="minorHAnsi" w:cstheme="minorBidi"/>
          <w:caps w:val="0"/>
          <w:noProof/>
          <w:szCs w:val="22"/>
          <w:lang w:eastAsia="en-GB"/>
        </w:rPr>
      </w:pPr>
      <w:hyperlink w:anchor="_Toc458691546" w:history="1">
        <w:r w:rsidR="00E62DDA" w:rsidRPr="005F4314">
          <w:rPr>
            <w:rStyle w:val="Hyperlink"/>
            <w:noProof/>
          </w:rPr>
          <w:t>12.</w:t>
        </w:r>
        <w:r w:rsidR="00E62DDA">
          <w:rPr>
            <w:rFonts w:asciiTheme="minorHAnsi" w:eastAsiaTheme="minorEastAsia" w:hAnsiTheme="minorHAnsi" w:cstheme="minorBidi"/>
            <w:caps w:val="0"/>
            <w:noProof/>
            <w:szCs w:val="22"/>
            <w:lang w:eastAsia="en-GB"/>
          </w:rPr>
          <w:tab/>
        </w:r>
        <w:r w:rsidR="00E62DDA" w:rsidRPr="005F4314">
          <w:rPr>
            <w:rStyle w:val="Hyperlink"/>
            <w:rFonts w:cs="Arial"/>
            <w:noProof/>
          </w:rPr>
          <w:t>GLOSSARY</w:t>
        </w:r>
        <w:r w:rsidR="00E62DDA">
          <w:rPr>
            <w:noProof/>
            <w:webHidden/>
          </w:rPr>
          <w:tab/>
        </w:r>
        <w:r w:rsidR="00E62DDA">
          <w:rPr>
            <w:noProof/>
            <w:webHidden/>
          </w:rPr>
          <w:fldChar w:fldCharType="begin"/>
        </w:r>
        <w:r w:rsidR="00E62DDA">
          <w:rPr>
            <w:noProof/>
            <w:webHidden/>
          </w:rPr>
          <w:instrText xml:space="preserve"> PAGEREF _Toc458691546 \h </w:instrText>
        </w:r>
        <w:r w:rsidR="00E62DDA">
          <w:rPr>
            <w:noProof/>
            <w:webHidden/>
          </w:rPr>
        </w:r>
        <w:r w:rsidR="00E62DDA">
          <w:rPr>
            <w:noProof/>
            <w:webHidden/>
          </w:rPr>
          <w:fldChar w:fldCharType="separate"/>
        </w:r>
        <w:r w:rsidR="00E62DDA">
          <w:rPr>
            <w:noProof/>
            <w:webHidden/>
          </w:rPr>
          <w:t>20</w:t>
        </w:r>
        <w:r w:rsidR="00E62DDA">
          <w:rPr>
            <w:noProof/>
            <w:webHidden/>
          </w:rPr>
          <w:fldChar w:fldCharType="end"/>
        </w:r>
      </w:hyperlink>
    </w:p>
    <w:p w14:paraId="4A7BA101" w14:textId="77777777" w:rsidR="00AE4296" w:rsidRPr="00AE4296" w:rsidRDefault="00DB1A4B" w:rsidP="00AE4296">
      <w:pPr>
        <w:rPr>
          <w:rFonts w:ascii="Arial" w:hAnsi="Arial" w:cs="Arial"/>
        </w:rPr>
      </w:pPr>
      <w:r w:rsidRPr="004F3794">
        <w:rPr>
          <w:rFonts w:eastAsia="STZhongsong"/>
          <w:caps/>
        </w:rPr>
        <w:fldChar w:fldCharType="end"/>
      </w:r>
    </w:p>
    <w:p w14:paraId="4A7BA102" w14:textId="3A53FBD5" w:rsidR="00DB0528" w:rsidRPr="00AE4296" w:rsidRDefault="00DD1F5D" w:rsidP="00DB0528">
      <w:pPr>
        <w:ind w:left="2160" w:hanging="2160"/>
        <w:rPr>
          <w:rFonts w:ascii="Arial" w:hAnsi="Arial" w:cs="Arial"/>
          <w:noProof/>
        </w:rPr>
      </w:pPr>
      <w:r>
        <w:rPr>
          <w:rFonts w:ascii="Arial" w:hAnsi="Arial" w:cs="Arial"/>
          <w:noProof/>
        </w:rPr>
        <w:t>APPENDIX 1</w:t>
      </w:r>
      <w:r w:rsidR="00AE4296" w:rsidRPr="00AE4296">
        <w:rPr>
          <w:rFonts w:ascii="Arial" w:hAnsi="Arial" w:cs="Arial"/>
          <w:noProof/>
        </w:rPr>
        <w:tab/>
      </w:r>
      <w:r>
        <w:rPr>
          <w:rFonts w:ascii="Arial" w:hAnsi="Arial" w:cs="Arial"/>
          <w:noProof/>
        </w:rPr>
        <w:t>SELECTION QUESTIONNAIRE</w:t>
      </w:r>
    </w:p>
    <w:p w14:paraId="4A7BA103" w14:textId="538E0797" w:rsidR="00AE4296" w:rsidRPr="00AE4296" w:rsidRDefault="00DD1F5D" w:rsidP="00AE4296">
      <w:pPr>
        <w:ind w:left="2160" w:hanging="2160"/>
        <w:rPr>
          <w:rFonts w:ascii="Arial" w:eastAsia="Times New Roman" w:hAnsi="Arial" w:cs="Arial"/>
          <w:noProof/>
        </w:rPr>
      </w:pPr>
      <w:r>
        <w:rPr>
          <w:rFonts w:ascii="Arial" w:hAnsi="Arial" w:cs="Arial"/>
          <w:noProof/>
        </w:rPr>
        <w:t>APPENDIX 2</w:t>
      </w:r>
      <w:r w:rsidR="00AE4296" w:rsidRPr="00AE4296">
        <w:rPr>
          <w:rFonts w:ascii="Arial" w:hAnsi="Arial" w:cs="Arial"/>
          <w:noProof/>
        </w:rPr>
        <w:tab/>
      </w:r>
      <w:r>
        <w:rPr>
          <w:rFonts w:ascii="Arial" w:eastAsia="Times New Roman" w:hAnsi="Arial" w:cs="Arial"/>
          <w:noProof/>
        </w:rPr>
        <w:t>SPECIFICATION</w:t>
      </w:r>
    </w:p>
    <w:p w14:paraId="4A7BA104" w14:textId="708A344C" w:rsidR="00AE4296" w:rsidRPr="00AE4296" w:rsidRDefault="00DD1F5D" w:rsidP="00AE4296">
      <w:pPr>
        <w:rPr>
          <w:rFonts w:ascii="Arial" w:eastAsia="Times New Roman" w:hAnsi="Arial" w:cs="Arial"/>
          <w:noProof/>
        </w:rPr>
      </w:pPr>
      <w:r>
        <w:rPr>
          <w:rFonts w:ascii="Arial" w:eastAsia="Times New Roman" w:hAnsi="Arial" w:cs="Arial"/>
          <w:noProof/>
        </w:rPr>
        <w:t xml:space="preserve">APPENDIX 3  </w:t>
      </w:r>
      <w:r w:rsidR="00AE4296" w:rsidRPr="00AE4296">
        <w:rPr>
          <w:rFonts w:ascii="Arial" w:eastAsia="Times New Roman" w:hAnsi="Arial" w:cs="Arial"/>
          <w:noProof/>
        </w:rPr>
        <w:t xml:space="preserve"> </w:t>
      </w:r>
      <w:r w:rsidR="00AE4296" w:rsidRPr="00AE4296">
        <w:rPr>
          <w:rFonts w:ascii="Arial" w:eastAsia="Times New Roman" w:hAnsi="Arial" w:cs="Arial"/>
          <w:noProof/>
        </w:rPr>
        <w:tab/>
        <w:t xml:space="preserve">FRAMEWORK AGREEMENT </w:t>
      </w:r>
    </w:p>
    <w:p w14:paraId="4A7BA105" w14:textId="72D7E857" w:rsidR="00AE4296" w:rsidRPr="00AE4296" w:rsidRDefault="00DD1F5D" w:rsidP="00AE4296">
      <w:pPr>
        <w:rPr>
          <w:rFonts w:ascii="Arial" w:eastAsia="Times New Roman" w:hAnsi="Arial" w:cs="Arial"/>
          <w:noProof/>
        </w:rPr>
      </w:pPr>
      <w:r>
        <w:rPr>
          <w:rFonts w:ascii="Arial" w:eastAsia="Times New Roman" w:hAnsi="Arial" w:cs="Arial"/>
          <w:noProof/>
        </w:rPr>
        <w:t xml:space="preserve">APPENDIX 4   </w:t>
      </w:r>
      <w:r>
        <w:rPr>
          <w:rFonts w:ascii="Arial" w:eastAsia="Times New Roman" w:hAnsi="Arial" w:cs="Arial"/>
          <w:noProof/>
        </w:rPr>
        <w:tab/>
        <w:t>DECLARATION OF OFFER</w:t>
      </w:r>
    </w:p>
    <w:p w14:paraId="4A7BA106" w14:textId="06FB3FD3" w:rsidR="00AE4296" w:rsidRPr="00AE4296" w:rsidRDefault="00DD1F5D" w:rsidP="00AE4296">
      <w:pPr>
        <w:rPr>
          <w:rFonts w:ascii="Arial" w:eastAsia="Times New Roman" w:hAnsi="Arial" w:cs="Arial"/>
          <w:noProof/>
        </w:rPr>
      </w:pPr>
      <w:r>
        <w:rPr>
          <w:rFonts w:ascii="Arial" w:eastAsia="Times New Roman" w:hAnsi="Arial" w:cs="Arial"/>
          <w:noProof/>
        </w:rPr>
        <w:t xml:space="preserve">APPENDIX 5   </w:t>
      </w:r>
      <w:r>
        <w:rPr>
          <w:rFonts w:ascii="Arial" w:eastAsia="Times New Roman" w:hAnsi="Arial" w:cs="Arial"/>
          <w:noProof/>
        </w:rPr>
        <w:tab/>
        <w:t>NON-FINANCIAL EVALUATION</w:t>
      </w:r>
    </w:p>
    <w:p w14:paraId="4A7BA10B" w14:textId="1DABC323" w:rsidR="00AE4296" w:rsidRPr="001D2919" w:rsidRDefault="00BD272C">
      <w:pPr>
        <w:rPr>
          <w:rFonts w:ascii="Arial" w:eastAsia="Times New Roman" w:hAnsi="Arial" w:cs="Arial"/>
          <w:noProof/>
        </w:rPr>
      </w:pPr>
      <w:r>
        <w:rPr>
          <w:rFonts w:ascii="Arial" w:eastAsia="Times New Roman" w:hAnsi="Arial" w:cs="Arial"/>
          <w:noProof/>
        </w:rPr>
        <w:t xml:space="preserve">APPENDIX 6   </w:t>
      </w:r>
      <w:r>
        <w:rPr>
          <w:rFonts w:ascii="Arial" w:eastAsia="Times New Roman" w:hAnsi="Arial" w:cs="Arial"/>
          <w:noProof/>
        </w:rPr>
        <w:tab/>
        <w:t>FINANCIAL EVALUATION (BIDDERS PRICING MATRIX)</w:t>
      </w:r>
      <w:bookmarkStart w:id="0" w:name="_GoBack"/>
      <w:bookmarkEnd w:id="0"/>
      <w:r w:rsidR="00AE4296">
        <w:rPr>
          <w:rFonts w:ascii="Arial" w:hAnsi="Arial" w:cs="Arial"/>
        </w:rPr>
        <w:br w:type="page"/>
      </w:r>
    </w:p>
    <w:p w14:paraId="4A7BA10C" w14:textId="77777777" w:rsidR="00AE4296" w:rsidRPr="002A5365" w:rsidRDefault="00AE4296" w:rsidP="0058734C">
      <w:pPr>
        <w:pStyle w:val="Heading1"/>
        <w:rPr>
          <w:sz w:val="22"/>
          <w:szCs w:val="22"/>
        </w:rPr>
      </w:pPr>
      <w:bookmarkStart w:id="1" w:name="_Toc458691535"/>
      <w:r w:rsidRPr="002A5365">
        <w:rPr>
          <w:sz w:val="22"/>
          <w:szCs w:val="22"/>
        </w:rPr>
        <w:lastRenderedPageBreak/>
        <w:t>introduction</w:t>
      </w:r>
      <w:bookmarkEnd w:id="1"/>
    </w:p>
    <w:p w14:paraId="4A7BA10D" w14:textId="395BCA2B" w:rsidR="00A2254A" w:rsidRPr="002A5365" w:rsidRDefault="00AE4296" w:rsidP="0058734C">
      <w:pPr>
        <w:pStyle w:val="Heading2"/>
        <w:rPr>
          <w:sz w:val="22"/>
          <w:szCs w:val="22"/>
        </w:rPr>
      </w:pPr>
      <w:r w:rsidRPr="002A5365">
        <w:rPr>
          <w:sz w:val="22"/>
          <w:szCs w:val="22"/>
        </w:rPr>
        <w:t xml:space="preserve">Welcome to this Procurement which is being managed by </w:t>
      </w:r>
      <w:r w:rsidR="008C0D19">
        <w:rPr>
          <w:sz w:val="22"/>
          <w:szCs w:val="22"/>
        </w:rPr>
        <w:t>the Cabinet Notice</w:t>
      </w:r>
      <w:r w:rsidR="002E55A9" w:rsidRPr="002A5365">
        <w:rPr>
          <w:sz w:val="22"/>
          <w:szCs w:val="22"/>
        </w:rPr>
        <w:t xml:space="preserve">. </w:t>
      </w:r>
    </w:p>
    <w:p w14:paraId="4A7BA10E" w14:textId="230284CF" w:rsidR="00AE4296" w:rsidRPr="002A5365" w:rsidRDefault="008C0D19" w:rsidP="0058734C">
      <w:pPr>
        <w:pStyle w:val="Heading2"/>
        <w:rPr>
          <w:sz w:val="22"/>
          <w:szCs w:val="22"/>
        </w:rPr>
      </w:pPr>
      <w:r>
        <w:rPr>
          <w:sz w:val="22"/>
          <w:szCs w:val="22"/>
        </w:rPr>
        <w:t>The Cabinet Office</w:t>
      </w:r>
      <w:r w:rsidR="002E55A9" w:rsidRPr="002A5365">
        <w:rPr>
          <w:sz w:val="22"/>
          <w:szCs w:val="22"/>
        </w:rPr>
        <w:t xml:space="preserve"> is referred to </w:t>
      </w:r>
      <w:r w:rsidR="00AE4296" w:rsidRPr="002A5365">
        <w:rPr>
          <w:sz w:val="22"/>
          <w:szCs w:val="22"/>
        </w:rPr>
        <w:t>as the Authority in this I</w:t>
      </w:r>
      <w:r w:rsidR="00EC3E78" w:rsidRPr="002A5365">
        <w:rPr>
          <w:sz w:val="22"/>
          <w:szCs w:val="22"/>
        </w:rPr>
        <w:t>nvitation to Tender</w:t>
      </w:r>
      <w:r w:rsidR="006C2BE6">
        <w:rPr>
          <w:sz w:val="22"/>
          <w:szCs w:val="22"/>
        </w:rPr>
        <w:t xml:space="preserve"> (ITT)</w:t>
      </w:r>
      <w:r w:rsidR="002E55A9" w:rsidRPr="002A5365">
        <w:rPr>
          <w:sz w:val="22"/>
          <w:szCs w:val="22"/>
        </w:rPr>
        <w:t>, and you, along with other organisations participating in this Procurement, are referred to as Potential Providers</w:t>
      </w:r>
      <w:r w:rsidR="00AE4296" w:rsidRPr="002A5365">
        <w:rPr>
          <w:sz w:val="22"/>
          <w:szCs w:val="22"/>
        </w:rPr>
        <w:t xml:space="preserve">. This Procurement will establish a </w:t>
      </w:r>
      <w:r w:rsidRPr="008C0D19">
        <w:rPr>
          <w:sz w:val="22"/>
          <w:szCs w:val="22"/>
        </w:rPr>
        <w:t>single s</w:t>
      </w:r>
      <w:r w:rsidR="00AE4296" w:rsidRPr="008C0D19">
        <w:rPr>
          <w:sz w:val="22"/>
          <w:szCs w:val="22"/>
        </w:rPr>
        <w:t>upplier</w:t>
      </w:r>
      <w:r w:rsidR="00B37622" w:rsidRPr="008C0D19">
        <w:rPr>
          <w:sz w:val="22"/>
          <w:szCs w:val="22"/>
        </w:rPr>
        <w:t xml:space="preserve"> </w:t>
      </w:r>
      <w:r w:rsidR="00AE4296" w:rsidRPr="008C0D19">
        <w:rPr>
          <w:sz w:val="22"/>
          <w:szCs w:val="22"/>
        </w:rPr>
        <w:t>pan government</w:t>
      </w:r>
      <w:r w:rsidR="008C529E" w:rsidRPr="008C0D19">
        <w:rPr>
          <w:sz w:val="22"/>
          <w:szCs w:val="22"/>
        </w:rPr>
        <w:t xml:space="preserve"> </w:t>
      </w:r>
      <w:r w:rsidR="00AE4296" w:rsidRPr="002A5365">
        <w:rPr>
          <w:sz w:val="22"/>
          <w:szCs w:val="22"/>
        </w:rPr>
        <w:t xml:space="preserve">Framework Agreement for the purchase of </w:t>
      </w:r>
      <w:r w:rsidR="00B37622">
        <w:rPr>
          <w:sz w:val="22"/>
          <w:szCs w:val="22"/>
        </w:rPr>
        <w:t xml:space="preserve">services to provide medical advice to the Principle Civil Service Pension Scheme (PCSPS) Administrator on ill-health retirement and </w:t>
      </w:r>
      <w:r w:rsidR="000E1369">
        <w:rPr>
          <w:sz w:val="22"/>
          <w:szCs w:val="22"/>
        </w:rPr>
        <w:t xml:space="preserve">injury benefit referrals. </w:t>
      </w:r>
    </w:p>
    <w:p w14:paraId="4A7BA10F" w14:textId="68B777A7" w:rsidR="00EC3E78" w:rsidRPr="005C7FDC"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9C7984" w:rsidRPr="002A5365">
        <w:rPr>
          <w:sz w:val="22"/>
          <w:szCs w:val="22"/>
        </w:rPr>
        <w:t>you</w:t>
      </w:r>
      <w:r w:rsidRPr="002A5365">
        <w:rPr>
          <w:sz w:val="22"/>
          <w:szCs w:val="22"/>
        </w:rPr>
        <w:t xml:space="preserve"> need to 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w:t>
      </w:r>
      <w:r w:rsidR="00EC3E78" w:rsidRPr="005C7FDC">
        <w:rPr>
          <w:sz w:val="22"/>
          <w:szCs w:val="22"/>
        </w:rPr>
        <w:t xml:space="preserve">paragraph </w:t>
      </w:r>
      <w:r w:rsidR="005C7FDC" w:rsidRPr="005C7FDC">
        <w:rPr>
          <w:sz w:val="22"/>
          <w:szCs w:val="22"/>
        </w:rPr>
        <w:t>12</w:t>
      </w:r>
      <w:r w:rsidR="00EC3E78" w:rsidRPr="005C7FDC">
        <w:rPr>
          <w:sz w:val="22"/>
          <w:szCs w:val="22"/>
        </w:rPr>
        <w:t>.</w:t>
      </w:r>
    </w:p>
    <w:p w14:paraId="4A7BA111" w14:textId="5BE8AED2" w:rsidR="00AE4296" w:rsidRPr="005C7FDC" w:rsidRDefault="00AE4296" w:rsidP="005D1A7A">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6C2BE6">
        <w:rPr>
          <w:sz w:val="22"/>
          <w:szCs w:val="22"/>
        </w:rPr>
        <w:t xml:space="preserve">and all its Appendices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187832" w:rsidRPr="00F10AC9">
        <w:rPr>
          <w:sz w:val="22"/>
          <w:szCs w:val="22"/>
        </w:rPr>
        <w:t>your</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you have read all 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how to respond, please sub</w:t>
      </w:r>
      <w:r w:rsidR="006C2BE6">
        <w:rPr>
          <w:sz w:val="22"/>
          <w:szCs w:val="22"/>
        </w:rPr>
        <w:t xml:space="preserve">mit a question as described in </w:t>
      </w:r>
      <w:r w:rsidR="006C2BE6" w:rsidRPr="005C7FDC">
        <w:rPr>
          <w:sz w:val="22"/>
          <w:szCs w:val="22"/>
        </w:rPr>
        <w:t>p</w:t>
      </w:r>
      <w:r w:rsidR="00F10AC9" w:rsidRPr="005C7FDC">
        <w:rPr>
          <w:sz w:val="22"/>
          <w:szCs w:val="22"/>
        </w:rPr>
        <w:t xml:space="preserve">aragraph </w:t>
      </w:r>
      <w:r w:rsidR="005C7FDC" w:rsidRPr="005C7FDC">
        <w:rPr>
          <w:sz w:val="22"/>
          <w:szCs w:val="22"/>
        </w:rPr>
        <w:t>7</w:t>
      </w:r>
      <w:r w:rsidR="00F10AC9" w:rsidRPr="005C7FDC">
        <w:rPr>
          <w:sz w:val="22"/>
          <w:szCs w:val="22"/>
        </w:rPr>
        <w:t>.</w:t>
      </w:r>
    </w:p>
    <w:p w14:paraId="4A7BA112" w14:textId="18F5ED3B" w:rsidR="00E413F3" w:rsidRPr="002A5365" w:rsidRDefault="00E413F3" w:rsidP="0058734C">
      <w:pPr>
        <w:pStyle w:val="Heading2"/>
        <w:rPr>
          <w:sz w:val="22"/>
          <w:szCs w:val="22"/>
        </w:rPr>
      </w:pPr>
      <w:r w:rsidRPr="002A5365">
        <w:rPr>
          <w:sz w:val="22"/>
          <w:szCs w:val="22"/>
        </w:rPr>
        <w:t xml:space="preserve">If you are participating in this Procurement as a </w:t>
      </w:r>
      <w:r w:rsidR="00EC3E78" w:rsidRPr="002A5365">
        <w:rPr>
          <w:sz w:val="22"/>
          <w:szCs w:val="22"/>
        </w:rPr>
        <w:t xml:space="preserve">member of a </w:t>
      </w:r>
      <w:r w:rsidR="005011AF" w:rsidRPr="002A5365">
        <w:rPr>
          <w:sz w:val="22"/>
          <w:szCs w:val="22"/>
        </w:rPr>
        <w:t>Group of Economic Operators</w:t>
      </w:r>
      <w:r w:rsidRPr="002A5365">
        <w:rPr>
          <w:sz w:val="22"/>
          <w:szCs w:val="22"/>
        </w:rPr>
        <w:t xml:space="preserve">, 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9A08F0" w:rsidRPr="005C7FDC">
        <w:rPr>
          <w:sz w:val="22"/>
          <w:szCs w:val="22"/>
        </w:rPr>
        <w:t>6</w:t>
      </w:r>
      <w:r w:rsidR="002138FB" w:rsidRPr="005C7FDC">
        <w:rPr>
          <w:sz w:val="22"/>
          <w:szCs w:val="22"/>
        </w:rPr>
        <w:t>.</w:t>
      </w:r>
    </w:p>
    <w:p w14:paraId="4A7BA113" w14:textId="77777777" w:rsidR="00AE4296" w:rsidRPr="002A5365" w:rsidRDefault="00AE4296" w:rsidP="0058734C">
      <w:pPr>
        <w:pStyle w:val="Heading2"/>
        <w:rPr>
          <w:rFonts w:cs="Arial"/>
          <w:sz w:val="22"/>
          <w:szCs w:val="22"/>
        </w:rPr>
      </w:pPr>
      <w:r w:rsidRPr="002A5365">
        <w:rPr>
          <w:sz w:val="22"/>
          <w:szCs w:val="22"/>
        </w:rPr>
        <w:t xml:space="preserve">The Authority is using an e-Sourcing Suite to manage this Procurement and to communicate with </w:t>
      </w:r>
      <w:r w:rsidR="009C7984" w:rsidRPr="002A5365">
        <w:rPr>
          <w:sz w:val="22"/>
          <w:szCs w:val="22"/>
        </w:rPr>
        <w:t>you</w:t>
      </w:r>
      <w:r w:rsidRPr="002A5365">
        <w:rPr>
          <w:sz w:val="22"/>
          <w:szCs w:val="22"/>
        </w:rPr>
        <w:t>. No hard copy documents will be issued and all communications with the Authority (including the submission of Tenders) will be conducted via the e-Sourcing Suite</w:t>
      </w:r>
      <w:r w:rsidR="00933216" w:rsidRPr="002A5365">
        <w:rPr>
          <w:sz w:val="22"/>
          <w:szCs w:val="22"/>
        </w:rPr>
        <w:t>. Y</w:t>
      </w:r>
      <w:r w:rsidR="00187832" w:rsidRPr="002A5365">
        <w:rPr>
          <w:sz w:val="22"/>
          <w:szCs w:val="22"/>
        </w:rPr>
        <w:t>ou</w:t>
      </w:r>
      <w:r w:rsidRPr="002A5365">
        <w:rPr>
          <w:sz w:val="22"/>
          <w:szCs w:val="22"/>
        </w:rPr>
        <w:t xml:space="preserve"> must ensure that the </w:t>
      </w:r>
      <w:r w:rsidR="00933216" w:rsidRPr="002A5365">
        <w:rPr>
          <w:sz w:val="22"/>
          <w:szCs w:val="22"/>
        </w:rPr>
        <w:t xml:space="preserve">details of the </w:t>
      </w:r>
      <w:r w:rsidRPr="002A5365">
        <w:rPr>
          <w:sz w:val="22"/>
          <w:szCs w:val="22"/>
        </w:rPr>
        <w:t xml:space="preserve">point of contact </w:t>
      </w:r>
      <w:r w:rsidR="00187832" w:rsidRPr="002A5365">
        <w:rPr>
          <w:sz w:val="22"/>
          <w:szCs w:val="22"/>
        </w:rPr>
        <w:t>you</w:t>
      </w:r>
      <w:r w:rsidRPr="002A5365">
        <w:rPr>
          <w:sz w:val="22"/>
          <w:szCs w:val="22"/>
        </w:rPr>
        <w:t xml:space="preserve"> nominate in the e-Sourcing Suite </w:t>
      </w:r>
      <w:r w:rsidR="00933216" w:rsidRPr="002A5365">
        <w:rPr>
          <w:sz w:val="22"/>
          <w:szCs w:val="22"/>
        </w:rPr>
        <w:t>are</w:t>
      </w:r>
      <w:r w:rsidRPr="002A5365">
        <w:rPr>
          <w:sz w:val="22"/>
          <w:szCs w:val="22"/>
        </w:rPr>
        <w:t xml:space="preserve"> accurate at all times </w:t>
      </w:r>
      <w:r w:rsidRPr="002A5365">
        <w:rPr>
          <w:rFonts w:cs="Arial"/>
          <w:sz w:val="22"/>
          <w:szCs w:val="22"/>
        </w:rPr>
        <w:t>as the Authority will not be under any obligation to contact any other point of contact.</w:t>
      </w:r>
    </w:p>
    <w:p w14:paraId="4A7BA114" w14:textId="4DAE41CE" w:rsidR="00AE4296" w:rsidRPr="002A5365" w:rsidRDefault="009D588D" w:rsidP="0058734C">
      <w:pPr>
        <w:pStyle w:val="Heading2"/>
        <w:rPr>
          <w:rFonts w:cs="Arial"/>
          <w:sz w:val="22"/>
          <w:szCs w:val="22"/>
        </w:rPr>
      </w:pPr>
      <w:r w:rsidRPr="002A5365">
        <w:rPr>
          <w:sz w:val="22"/>
          <w:szCs w:val="22"/>
        </w:rPr>
        <w:t xml:space="preserve">Guidance on how to use the e-Sourcing Suite can be found </w:t>
      </w:r>
      <w:r w:rsidR="005C7FDC">
        <w:rPr>
          <w:sz w:val="22"/>
          <w:szCs w:val="22"/>
        </w:rPr>
        <w:t>at Appendix 7</w:t>
      </w:r>
      <w:r w:rsidR="003979E5" w:rsidRPr="002A5365">
        <w:rPr>
          <w:sz w:val="22"/>
          <w:szCs w:val="22"/>
        </w:rPr>
        <w:t>.</w:t>
      </w:r>
    </w:p>
    <w:p w14:paraId="4A7BA115" w14:textId="141C1633" w:rsidR="00AE4296" w:rsidRPr="002A5365" w:rsidRDefault="009C7984" w:rsidP="0058734C">
      <w:pPr>
        <w:pStyle w:val="Heading2"/>
        <w:rPr>
          <w:sz w:val="22"/>
          <w:szCs w:val="22"/>
        </w:rPr>
      </w:pPr>
      <w:r w:rsidRPr="002A5365">
        <w:rPr>
          <w:sz w:val="22"/>
          <w:szCs w:val="22"/>
        </w:rPr>
        <w:t>You</w:t>
      </w:r>
      <w:r w:rsidR="00AE4296" w:rsidRPr="002A5365">
        <w:rPr>
          <w:sz w:val="22"/>
          <w:szCs w:val="22"/>
        </w:rPr>
        <w:t xml:space="preserve"> are welcome to ask questions or seek clarification regarding this Procurement. See </w:t>
      </w:r>
      <w:r w:rsidR="00AE4296" w:rsidRPr="005C7FDC">
        <w:rPr>
          <w:sz w:val="22"/>
          <w:szCs w:val="22"/>
        </w:rPr>
        <w:t xml:space="preserve">paragraph </w:t>
      </w:r>
      <w:r w:rsidR="009A08F0" w:rsidRPr="005C7FDC">
        <w:rPr>
          <w:sz w:val="22"/>
          <w:szCs w:val="22"/>
        </w:rPr>
        <w:t>7</w:t>
      </w:r>
      <w:r w:rsidR="00AE4296" w:rsidRPr="005C7FDC">
        <w:rPr>
          <w:sz w:val="22"/>
          <w:szCs w:val="22"/>
        </w:rPr>
        <w:t xml:space="preserve"> for</w:t>
      </w:r>
      <w:r w:rsidR="00AE4296" w:rsidRPr="002A5365">
        <w:rPr>
          <w:sz w:val="22"/>
          <w:szCs w:val="22"/>
        </w:rPr>
        <w:t xml:space="preserve"> details on how to do so. </w:t>
      </w:r>
      <w:r w:rsidR="00933216" w:rsidRPr="002A5365">
        <w:rPr>
          <w:sz w:val="22"/>
          <w:szCs w:val="22"/>
        </w:rPr>
        <w:t>Please make sure you have read all the</w:t>
      </w:r>
      <w:r w:rsidR="009A08F0" w:rsidRPr="002A5365">
        <w:rPr>
          <w:sz w:val="22"/>
          <w:szCs w:val="22"/>
        </w:rPr>
        <w:t xml:space="preserve"> ITT</w:t>
      </w:r>
      <w:r w:rsidR="00933216" w:rsidRPr="002A5365">
        <w:rPr>
          <w:sz w:val="22"/>
          <w:szCs w:val="22"/>
        </w:rPr>
        <w:t xml:space="preserve"> information and </w:t>
      </w:r>
      <w:r w:rsidR="009A08F0" w:rsidRPr="002A5365">
        <w:rPr>
          <w:sz w:val="22"/>
          <w:szCs w:val="22"/>
        </w:rPr>
        <w:t>instructions</w:t>
      </w:r>
      <w:r w:rsidR="00933216" w:rsidRPr="002A5365">
        <w:rPr>
          <w:sz w:val="22"/>
          <w:szCs w:val="22"/>
        </w:rPr>
        <w:t xml:space="preserve"> carefully first.</w:t>
      </w:r>
    </w:p>
    <w:p w14:paraId="4A7BA116" w14:textId="77777777" w:rsidR="0025638E" w:rsidRPr="002A5365" w:rsidRDefault="00804C05" w:rsidP="0025638E">
      <w:pPr>
        <w:pStyle w:val="Heading2"/>
        <w:rPr>
          <w:sz w:val="22"/>
          <w:szCs w:val="22"/>
        </w:rPr>
      </w:pPr>
      <w:r w:rsidRPr="002A5365">
        <w:rPr>
          <w:sz w:val="22"/>
          <w:szCs w:val="22"/>
        </w:rPr>
        <w:t xml:space="preserve">The Authority is managing this Procurement in accordance with the Regulations and specifically in accordance with the open procedure (Regulation </w:t>
      </w:r>
      <w:r w:rsidR="0079033B" w:rsidRPr="002A5365">
        <w:rPr>
          <w:sz w:val="22"/>
          <w:szCs w:val="22"/>
        </w:rPr>
        <w:t>27</w:t>
      </w:r>
      <w:r w:rsidR="00257344" w:rsidRPr="002A5365">
        <w:rPr>
          <w:sz w:val="22"/>
          <w:szCs w:val="22"/>
        </w:rPr>
        <w:t xml:space="preserve"> of the Regulations</w:t>
      </w:r>
      <w:r w:rsidRPr="002A5365">
        <w:rPr>
          <w:sz w:val="22"/>
          <w:szCs w:val="22"/>
        </w:rPr>
        <w:t xml:space="preserve">) and the requirements relating to framework agreements (Regulation </w:t>
      </w:r>
      <w:r w:rsidR="0079033B" w:rsidRPr="002A5365">
        <w:rPr>
          <w:sz w:val="22"/>
          <w:szCs w:val="22"/>
        </w:rPr>
        <w:t>33</w:t>
      </w:r>
      <w:r w:rsidR="00257344" w:rsidRPr="002A5365">
        <w:rPr>
          <w:sz w:val="22"/>
          <w:szCs w:val="22"/>
        </w:rPr>
        <w:t xml:space="preserve"> of the Regulations</w:t>
      </w:r>
      <w:r w:rsidRPr="002A5365">
        <w:rPr>
          <w:sz w:val="22"/>
          <w:szCs w:val="22"/>
        </w:rPr>
        <w:t>).</w:t>
      </w:r>
    </w:p>
    <w:p w14:paraId="4A7BA117" w14:textId="77777777" w:rsidR="0079033B" w:rsidRDefault="00C1754A">
      <w:pPr>
        <w:rPr>
          <w:rFonts w:ascii="Arial" w:eastAsia="STZhongsong" w:hAnsi="Arial" w:cs="Times New Roman"/>
          <w:b/>
          <w:caps/>
          <w:sz w:val="20"/>
          <w:szCs w:val="20"/>
          <w:lang w:eastAsia="zh-CN"/>
        </w:rPr>
      </w:pPr>
      <w:r>
        <w:t xml:space="preserve"> </w:t>
      </w:r>
    </w:p>
    <w:p w14:paraId="4A7BA118" w14:textId="77777777" w:rsidR="009A08F0" w:rsidRDefault="009A08F0">
      <w:pPr>
        <w:rPr>
          <w:rFonts w:ascii="Arial" w:eastAsia="STZhongsong" w:hAnsi="Arial" w:cs="Times New Roman"/>
          <w:b/>
          <w:caps/>
          <w:sz w:val="20"/>
          <w:szCs w:val="20"/>
          <w:lang w:eastAsia="zh-CN"/>
        </w:rPr>
      </w:pPr>
      <w:r>
        <w:br w:type="page"/>
      </w:r>
    </w:p>
    <w:p w14:paraId="4A7BA119" w14:textId="77777777" w:rsidR="00AE4296" w:rsidRPr="002A5365" w:rsidRDefault="00AE4296" w:rsidP="0058734C">
      <w:pPr>
        <w:pStyle w:val="Heading1"/>
        <w:rPr>
          <w:rFonts w:cs="Arial"/>
          <w:sz w:val="22"/>
          <w:szCs w:val="22"/>
        </w:rPr>
      </w:pPr>
      <w:bookmarkStart w:id="2" w:name="_Toc458691536"/>
      <w:r w:rsidRPr="002A5365">
        <w:rPr>
          <w:rFonts w:cs="Arial"/>
          <w:sz w:val="22"/>
          <w:szCs w:val="22"/>
        </w:rPr>
        <w:lastRenderedPageBreak/>
        <w:t>THE FRAMEWORK AGREEMENT AND CALL-OFF CONTRACTS</w:t>
      </w:r>
      <w:bookmarkEnd w:id="2"/>
    </w:p>
    <w:p w14:paraId="4A7BA11A" w14:textId="0DC39E05" w:rsidR="00804C05" w:rsidRPr="002A5365" w:rsidRDefault="00804C05" w:rsidP="0058734C">
      <w:pPr>
        <w:pStyle w:val="Heading2"/>
        <w:rPr>
          <w:rFonts w:cs="Arial"/>
          <w:sz w:val="22"/>
          <w:szCs w:val="22"/>
        </w:rPr>
      </w:pPr>
      <w:bookmarkStart w:id="3" w:name="_Ref285619824"/>
      <w:r w:rsidRPr="002A5365">
        <w:rPr>
          <w:rFonts w:cs="Arial"/>
          <w:sz w:val="22"/>
          <w:szCs w:val="22"/>
        </w:rPr>
        <w:t xml:space="preserve">This Procurement will result in the award of the Framework Agreement to </w:t>
      </w:r>
      <w:r w:rsidR="00777869">
        <w:rPr>
          <w:rFonts w:cs="Arial"/>
          <w:sz w:val="22"/>
          <w:szCs w:val="22"/>
        </w:rPr>
        <w:t xml:space="preserve">one </w:t>
      </w:r>
      <w:r w:rsidRPr="002A5365">
        <w:rPr>
          <w:rFonts w:cs="Arial"/>
          <w:sz w:val="22"/>
          <w:szCs w:val="22"/>
        </w:rPr>
        <w:t xml:space="preserve">successful </w:t>
      </w:r>
      <w:r w:rsidR="00777869">
        <w:rPr>
          <w:rFonts w:cs="Arial"/>
          <w:sz w:val="22"/>
          <w:szCs w:val="22"/>
        </w:rPr>
        <w:t>Potential Provider</w:t>
      </w:r>
      <w:r w:rsidRPr="002A5365">
        <w:rPr>
          <w:rFonts w:cs="Arial"/>
          <w:sz w:val="22"/>
          <w:szCs w:val="22"/>
        </w:rPr>
        <w:t>.</w:t>
      </w:r>
      <w:r w:rsidR="00E22D56" w:rsidRPr="002A5365">
        <w:rPr>
          <w:rFonts w:cs="Arial"/>
          <w:sz w:val="22"/>
          <w:szCs w:val="22"/>
        </w:rPr>
        <w:t xml:space="preserve"> Once the Framework </w:t>
      </w:r>
      <w:r w:rsidR="00777869">
        <w:rPr>
          <w:rFonts w:cs="Arial"/>
          <w:sz w:val="22"/>
          <w:szCs w:val="22"/>
        </w:rPr>
        <w:t>Agreement has been executed th</w:t>
      </w:r>
      <w:r w:rsidR="00E22D56" w:rsidRPr="002A5365">
        <w:rPr>
          <w:rFonts w:cs="Arial"/>
          <w:sz w:val="22"/>
          <w:szCs w:val="22"/>
        </w:rPr>
        <w:t xml:space="preserve">e successful </w:t>
      </w:r>
      <w:r w:rsidR="00777869">
        <w:rPr>
          <w:rFonts w:cs="Arial"/>
          <w:sz w:val="22"/>
          <w:szCs w:val="22"/>
        </w:rPr>
        <w:t>Potential Provider will become the Supplier</w:t>
      </w:r>
      <w:r w:rsidR="00E22D56" w:rsidRPr="002A5365">
        <w:rPr>
          <w:rFonts w:cs="Arial"/>
          <w:sz w:val="22"/>
          <w:szCs w:val="22"/>
        </w:rPr>
        <w:t>.</w:t>
      </w:r>
    </w:p>
    <w:p w14:paraId="4A7BA11B" w14:textId="3B6EF13F" w:rsidR="00AE4296" w:rsidRPr="002A5365" w:rsidRDefault="00AE4296" w:rsidP="0058734C">
      <w:pPr>
        <w:pStyle w:val="Heading2"/>
        <w:rPr>
          <w:rFonts w:cs="Arial"/>
          <w:sz w:val="22"/>
          <w:szCs w:val="22"/>
        </w:rPr>
      </w:pPr>
      <w:r w:rsidRPr="002A5365">
        <w:rPr>
          <w:rFonts w:cs="Arial"/>
          <w:sz w:val="22"/>
          <w:szCs w:val="22"/>
        </w:rPr>
        <w:t xml:space="preserve">The Framework Agreement will enable </w:t>
      </w:r>
      <w:r w:rsidR="006D17A1" w:rsidRPr="002A5365">
        <w:rPr>
          <w:rFonts w:cs="Arial"/>
          <w:sz w:val="22"/>
          <w:szCs w:val="22"/>
        </w:rPr>
        <w:t>Contracting Authorities</w:t>
      </w:r>
      <w:r w:rsidRPr="002A5365">
        <w:rPr>
          <w:rFonts w:cs="Arial"/>
          <w:sz w:val="22"/>
          <w:szCs w:val="22"/>
        </w:rPr>
        <w:t xml:space="preserve"> to place orders </w:t>
      </w:r>
      <w:r w:rsidR="00777869">
        <w:rPr>
          <w:rFonts w:cs="Arial"/>
          <w:sz w:val="22"/>
          <w:szCs w:val="22"/>
        </w:rPr>
        <w:t>with the Supplier</w:t>
      </w:r>
      <w:r w:rsidR="00804C05" w:rsidRPr="002A5365">
        <w:rPr>
          <w:rFonts w:cs="Arial"/>
          <w:sz w:val="22"/>
          <w:szCs w:val="22"/>
        </w:rPr>
        <w:t xml:space="preserve"> </w:t>
      </w:r>
      <w:r w:rsidRPr="002A5365">
        <w:rPr>
          <w:rFonts w:cs="Arial"/>
          <w:sz w:val="22"/>
          <w:szCs w:val="22"/>
        </w:rPr>
        <w:t xml:space="preserve">for </w:t>
      </w:r>
      <w:r w:rsidRPr="00777869">
        <w:rPr>
          <w:rFonts w:cs="Arial"/>
          <w:sz w:val="22"/>
          <w:szCs w:val="22"/>
        </w:rPr>
        <w:t>the Services</w:t>
      </w:r>
      <w:r w:rsidR="00804C05" w:rsidRPr="002A5365">
        <w:rPr>
          <w:rFonts w:cs="Arial"/>
          <w:sz w:val="22"/>
          <w:szCs w:val="22"/>
        </w:rPr>
        <w:t xml:space="preserve"> via Call-Off Contracts</w:t>
      </w:r>
      <w:r w:rsidR="00CD14A5" w:rsidRPr="002A5365">
        <w:rPr>
          <w:rFonts w:cs="Arial"/>
          <w:sz w:val="22"/>
          <w:szCs w:val="22"/>
        </w:rPr>
        <w:t>.</w:t>
      </w:r>
    </w:p>
    <w:p w14:paraId="4A7BA11C" w14:textId="35260365" w:rsidR="00AE4296" w:rsidRPr="002A5365" w:rsidRDefault="00EC3DFE" w:rsidP="0058734C">
      <w:pPr>
        <w:pStyle w:val="Heading2"/>
        <w:rPr>
          <w:rFonts w:cs="Arial"/>
          <w:sz w:val="22"/>
          <w:szCs w:val="22"/>
        </w:rPr>
      </w:pPr>
      <w:r w:rsidRPr="002A5365">
        <w:rPr>
          <w:rFonts w:cs="Arial"/>
          <w:sz w:val="22"/>
          <w:szCs w:val="22"/>
        </w:rPr>
        <w:t>The</w:t>
      </w:r>
      <w:r w:rsidR="00AE4296" w:rsidRPr="002A5365">
        <w:rPr>
          <w:rFonts w:cs="Arial"/>
          <w:sz w:val="22"/>
          <w:szCs w:val="22"/>
        </w:rPr>
        <w:t xml:space="preserve"> </w:t>
      </w:r>
      <w:r w:rsidR="00AB4C2D" w:rsidRPr="002A5365">
        <w:rPr>
          <w:rFonts w:cs="Arial"/>
          <w:sz w:val="22"/>
          <w:szCs w:val="22"/>
        </w:rPr>
        <w:t xml:space="preserve">published </w:t>
      </w:r>
      <w:r w:rsidR="00AE4296" w:rsidRPr="002A5365">
        <w:rPr>
          <w:rFonts w:cs="Arial"/>
          <w:sz w:val="22"/>
          <w:szCs w:val="22"/>
        </w:rPr>
        <w:t>Framework Agreement (including the Framework S</w:t>
      </w:r>
      <w:r w:rsidR="00465587">
        <w:rPr>
          <w:rFonts w:cs="Arial"/>
          <w:sz w:val="22"/>
          <w:szCs w:val="22"/>
        </w:rPr>
        <w:t>chedules) and the terms</w:t>
      </w:r>
      <w:r w:rsidR="00AE4296" w:rsidRPr="002A5365">
        <w:rPr>
          <w:rFonts w:cs="Arial"/>
          <w:sz w:val="22"/>
          <w:szCs w:val="22"/>
        </w:rPr>
        <w:t xml:space="preserve"> and conditi</w:t>
      </w:r>
      <w:r w:rsidR="00465587">
        <w:rPr>
          <w:rFonts w:cs="Arial"/>
          <w:sz w:val="22"/>
          <w:szCs w:val="22"/>
        </w:rPr>
        <w:t>ons are available at Appendix</w:t>
      </w:r>
      <w:r w:rsidR="00AE4296" w:rsidRPr="002A5365">
        <w:rPr>
          <w:rFonts w:cs="Arial"/>
          <w:sz w:val="22"/>
          <w:szCs w:val="22"/>
        </w:rPr>
        <w:t xml:space="preserve"> </w:t>
      </w:r>
      <w:r w:rsidR="00465587" w:rsidRPr="00465587">
        <w:rPr>
          <w:rFonts w:cs="Arial"/>
          <w:sz w:val="22"/>
          <w:szCs w:val="22"/>
        </w:rPr>
        <w:t>3</w:t>
      </w:r>
      <w:r w:rsidR="00AE4296" w:rsidRPr="00465587">
        <w:rPr>
          <w:rFonts w:cs="Arial"/>
          <w:sz w:val="22"/>
          <w:szCs w:val="22"/>
        </w:rPr>
        <w:t>.</w:t>
      </w:r>
      <w:r w:rsidR="00AE4296" w:rsidRPr="002A5365">
        <w:rPr>
          <w:rFonts w:cs="Arial"/>
          <w:sz w:val="22"/>
          <w:szCs w:val="22"/>
        </w:rPr>
        <w:t xml:space="preserve"> Please </w:t>
      </w:r>
      <w:r w:rsidR="004255BC" w:rsidRPr="002A5365">
        <w:rPr>
          <w:rFonts w:cs="Arial"/>
          <w:sz w:val="22"/>
          <w:szCs w:val="22"/>
        </w:rPr>
        <w:t xml:space="preserve">carefully </w:t>
      </w:r>
      <w:r w:rsidR="00465587">
        <w:rPr>
          <w:rFonts w:cs="Arial"/>
          <w:sz w:val="22"/>
          <w:szCs w:val="22"/>
        </w:rPr>
        <w:t>review this document</w:t>
      </w:r>
      <w:r w:rsidR="004255BC" w:rsidRPr="002A5365">
        <w:rPr>
          <w:rFonts w:cs="Arial"/>
          <w:sz w:val="22"/>
          <w:szCs w:val="22"/>
        </w:rPr>
        <w:t xml:space="preserve"> so that you fully </w:t>
      </w:r>
      <w:r w:rsidR="00AE4296" w:rsidRPr="002A5365">
        <w:rPr>
          <w:rFonts w:cs="Arial"/>
          <w:sz w:val="22"/>
          <w:szCs w:val="22"/>
        </w:rPr>
        <w:t xml:space="preserve">to understand the rights and obligations </w:t>
      </w:r>
      <w:r w:rsidR="00920949" w:rsidRPr="002A5365">
        <w:rPr>
          <w:rFonts w:cs="Arial"/>
          <w:sz w:val="22"/>
          <w:szCs w:val="22"/>
        </w:rPr>
        <w:t>they</w:t>
      </w:r>
      <w:r w:rsidR="00AE4296" w:rsidRPr="002A5365">
        <w:rPr>
          <w:rFonts w:cs="Arial"/>
          <w:sz w:val="22"/>
          <w:szCs w:val="22"/>
        </w:rPr>
        <w:t xml:space="preserve"> confer on the parties.</w:t>
      </w:r>
      <w:bookmarkEnd w:id="3"/>
    </w:p>
    <w:p w14:paraId="4A7BA11D" w14:textId="68AD0C51" w:rsidR="00AE4296" w:rsidRPr="002A5365" w:rsidRDefault="00AE4296" w:rsidP="009A08F0">
      <w:pPr>
        <w:pStyle w:val="Heading2"/>
        <w:rPr>
          <w:rFonts w:cs="Arial"/>
          <w:sz w:val="22"/>
          <w:szCs w:val="22"/>
        </w:rPr>
      </w:pPr>
      <w:r w:rsidRPr="002A5365">
        <w:rPr>
          <w:rFonts w:cs="Arial"/>
          <w:sz w:val="22"/>
          <w:szCs w:val="22"/>
        </w:rPr>
        <w:t>Framework</w:t>
      </w:r>
      <w:r w:rsidR="00465587">
        <w:rPr>
          <w:rFonts w:cs="Arial"/>
          <w:sz w:val="22"/>
          <w:szCs w:val="22"/>
        </w:rPr>
        <w:t xml:space="preserve"> Agreement</w:t>
      </w:r>
      <w:r w:rsidRPr="002A5365">
        <w:rPr>
          <w:rFonts w:cs="Arial"/>
          <w:sz w:val="22"/>
          <w:szCs w:val="22"/>
        </w:rPr>
        <w:t xml:space="preserve"> terms are non-negotiable, whether during th</w:t>
      </w:r>
      <w:r w:rsidR="006F03E6">
        <w:rPr>
          <w:rFonts w:cs="Arial"/>
          <w:sz w:val="22"/>
          <w:szCs w:val="22"/>
        </w:rPr>
        <w:t>is</w:t>
      </w:r>
      <w:r w:rsidRPr="002A5365">
        <w:rPr>
          <w:rFonts w:cs="Arial"/>
          <w:sz w:val="22"/>
          <w:szCs w:val="22"/>
        </w:rPr>
        <w:t xml:space="preserve"> Procurement or </w:t>
      </w:r>
      <w:r w:rsidR="00CF77C0" w:rsidRPr="002A5365">
        <w:rPr>
          <w:rFonts w:cs="Arial"/>
          <w:sz w:val="22"/>
          <w:szCs w:val="22"/>
        </w:rPr>
        <w:t>post</w:t>
      </w:r>
      <w:r w:rsidRPr="002A5365">
        <w:rPr>
          <w:rFonts w:cs="Arial"/>
          <w:sz w:val="22"/>
          <w:szCs w:val="22"/>
        </w:rPr>
        <w:t xml:space="preserve"> award. However, </w:t>
      </w:r>
      <w:r w:rsidR="009C7984" w:rsidRPr="002A5365">
        <w:rPr>
          <w:rFonts w:cs="Arial"/>
          <w:sz w:val="22"/>
          <w:szCs w:val="22"/>
        </w:rPr>
        <w:t>you</w:t>
      </w:r>
      <w:r w:rsidRPr="002A5365">
        <w:rPr>
          <w:rFonts w:cs="Arial"/>
          <w:sz w:val="22"/>
          <w:szCs w:val="22"/>
        </w:rPr>
        <w:t xml:space="preserve"> may seek clarification of any points of ambiguity or apparent error in relation to the terms throughout the clarification period (see paragraph </w:t>
      </w:r>
      <w:r w:rsidR="009A08F0" w:rsidRPr="005C7FDC">
        <w:rPr>
          <w:rFonts w:cs="Arial"/>
          <w:sz w:val="22"/>
          <w:szCs w:val="22"/>
        </w:rPr>
        <w:t>7</w:t>
      </w:r>
      <w:r w:rsidRPr="005C7FDC">
        <w:rPr>
          <w:rFonts w:cs="Arial"/>
          <w:sz w:val="22"/>
          <w:szCs w:val="22"/>
        </w:rPr>
        <w:t>)</w:t>
      </w:r>
      <w:r w:rsidR="00B73CDE" w:rsidRPr="005C7FDC">
        <w:rPr>
          <w:rFonts w:cs="Arial"/>
          <w:sz w:val="22"/>
          <w:szCs w:val="22"/>
        </w:rPr>
        <w:t>.</w:t>
      </w:r>
      <w:r w:rsidR="009A08F0" w:rsidRPr="002A5365">
        <w:rPr>
          <w:rFonts w:cs="Arial"/>
          <w:sz w:val="22"/>
          <w:szCs w:val="22"/>
        </w:rPr>
        <w:t xml:space="preserve"> If, </w:t>
      </w:r>
      <w:r w:rsidR="004D65D8">
        <w:rPr>
          <w:rFonts w:cs="Arial"/>
          <w:sz w:val="22"/>
          <w:szCs w:val="22"/>
        </w:rPr>
        <w:t>in</w:t>
      </w:r>
      <w:r w:rsidR="009A08F0" w:rsidRPr="002A5365">
        <w:rPr>
          <w:rFonts w:cs="Arial"/>
          <w:sz w:val="22"/>
          <w:szCs w:val="22"/>
        </w:rPr>
        <w:t xml:space="preserve"> its sole discretion, the Authority accepts that there is either ambiguity or error, then it will make appropriate amendment.</w:t>
      </w:r>
    </w:p>
    <w:p w14:paraId="4A7BA11E" w14:textId="04143EE7" w:rsidR="00AE4296" w:rsidRPr="002A5365" w:rsidRDefault="00E22D56" w:rsidP="0058734C">
      <w:pPr>
        <w:pStyle w:val="Heading2"/>
        <w:rPr>
          <w:rFonts w:cs="Arial"/>
          <w:sz w:val="22"/>
          <w:szCs w:val="22"/>
        </w:rPr>
      </w:pPr>
      <w:r w:rsidRPr="002A5365">
        <w:rPr>
          <w:rFonts w:cs="Arial"/>
          <w:sz w:val="22"/>
          <w:szCs w:val="22"/>
        </w:rPr>
        <w:t>Following the Authority’s decision to award</w:t>
      </w:r>
      <w:r w:rsidR="00AE4296" w:rsidRPr="002A5365">
        <w:rPr>
          <w:rFonts w:cs="Arial"/>
          <w:sz w:val="22"/>
          <w:szCs w:val="22"/>
        </w:rPr>
        <w:t xml:space="preserve">, the Framework Agreement will be updated to incorporate the Tender including (but not limited to) the </w:t>
      </w:r>
      <w:r w:rsidR="00187832" w:rsidRPr="002A5365">
        <w:rPr>
          <w:rFonts w:cs="Arial"/>
          <w:sz w:val="22"/>
          <w:szCs w:val="22"/>
        </w:rPr>
        <w:t xml:space="preserve">successful </w:t>
      </w:r>
      <w:r w:rsidR="002138FB" w:rsidRPr="002A5365">
        <w:rPr>
          <w:rFonts w:cs="Arial"/>
          <w:sz w:val="22"/>
          <w:szCs w:val="22"/>
        </w:rPr>
        <w:t>Potential Provider</w:t>
      </w:r>
      <w:r w:rsidR="00187832" w:rsidRPr="002A5365">
        <w:rPr>
          <w:rFonts w:cs="Arial"/>
          <w:sz w:val="22"/>
          <w:szCs w:val="22"/>
        </w:rPr>
        <w:t>’s</w:t>
      </w:r>
      <w:r w:rsidR="00AE4296" w:rsidRPr="002A5365">
        <w:rPr>
          <w:rFonts w:cs="Arial"/>
          <w:sz w:val="22"/>
          <w:szCs w:val="22"/>
        </w:rPr>
        <w:t xml:space="preserve"> char</w:t>
      </w:r>
      <w:r w:rsidR="00187832" w:rsidRPr="002A5365">
        <w:rPr>
          <w:rFonts w:cs="Arial"/>
          <w:sz w:val="22"/>
          <w:szCs w:val="22"/>
        </w:rPr>
        <w:t>ges and the</w:t>
      </w:r>
      <w:r w:rsidR="00AE4296" w:rsidRPr="002A5365">
        <w:rPr>
          <w:rFonts w:cs="Arial"/>
          <w:sz w:val="22"/>
          <w:szCs w:val="22"/>
        </w:rPr>
        <w:t xml:space="preserve"> approach to delivering </w:t>
      </w:r>
      <w:r w:rsidR="00AE4296" w:rsidRPr="005D58E6">
        <w:rPr>
          <w:rFonts w:cs="Arial"/>
          <w:sz w:val="22"/>
          <w:szCs w:val="22"/>
        </w:rPr>
        <w:t>the Services</w:t>
      </w:r>
      <w:r w:rsidR="005236AC" w:rsidRPr="002A5365">
        <w:rPr>
          <w:rFonts w:cs="Arial"/>
          <w:sz w:val="22"/>
          <w:szCs w:val="22"/>
        </w:rPr>
        <w:t xml:space="preserve"> </w:t>
      </w:r>
    </w:p>
    <w:p w14:paraId="4A7BA11F" w14:textId="0E8F8FC7" w:rsidR="00AE4296" w:rsidRPr="005C7FDC" w:rsidRDefault="00AE4296" w:rsidP="0058734C">
      <w:pPr>
        <w:pStyle w:val="Heading2"/>
        <w:rPr>
          <w:rFonts w:cs="Arial"/>
          <w:sz w:val="22"/>
          <w:szCs w:val="22"/>
        </w:rPr>
      </w:pPr>
      <w:bookmarkStart w:id="4" w:name="_Ref373234614"/>
      <w:r w:rsidRPr="002A5365">
        <w:rPr>
          <w:rFonts w:cs="Arial"/>
          <w:sz w:val="22"/>
          <w:szCs w:val="22"/>
        </w:rPr>
        <w:t xml:space="preserve">The Authority will manage the overall performance of the </w:t>
      </w:r>
      <w:r w:rsidR="005C7FDC" w:rsidRPr="005C7FDC">
        <w:rPr>
          <w:rFonts w:cs="Arial"/>
          <w:sz w:val="22"/>
          <w:szCs w:val="22"/>
        </w:rPr>
        <w:t>Framework Agreement</w:t>
      </w:r>
      <w:r w:rsidRPr="005C7FDC">
        <w:rPr>
          <w:rFonts w:cs="Arial"/>
          <w:sz w:val="22"/>
          <w:szCs w:val="22"/>
        </w:rPr>
        <w:t xml:space="preserve"> and collect </w:t>
      </w:r>
      <w:r w:rsidR="00405EFE" w:rsidRPr="005C7FDC">
        <w:rPr>
          <w:rFonts w:cs="Arial"/>
          <w:sz w:val="22"/>
          <w:szCs w:val="22"/>
        </w:rPr>
        <w:t>M</w:t>
      </w:r>
      <w:r w:rsidRPr="005C7FDC">
        <w:rPr>
          <w:rFonts w:cs="Arial"/>
          <w:sz w:val="22"/>
          <w:szCs w:val="22"/>
        </w:rPr>
        <w:t xml:space="preserve">anagement </w:t>
      </w:r>
      <w:r w:rsidR="00405EFE" w:rsidRPr="005C7FDC">
        <w:rPr>
          <w:rFonts w:cs="Arial"/>
          <w:sz w:val="22"/>
          <w:szCs w:val="22"/>
        </w:rPr>
        <w:t>I</w:t>
      </w:r>
      <w:r w:rsidR="005D58E6" w:rsidRPr="005C7FDC">
        <w:rPr>
          <w:rFonts w:cs="Arial"/>
          <w:sz w:val="22"/>
          <w:szCs w:val="22"/>
        </w:rPr>
        <w:t>nformation</w:t>
      </w:r>
      <w:r w:rsidR="00CD14A5" w:rsidRPr="005C7FDC">
        <w:rPr>
          <w:rFonts w:cs="Arial"/>
          <w:sz w:val="22"/>
          <w:szCs w:val="22"/>
        </w:rPr>
        <w:t>.</w:t>
      </w:r>
      <w:bookmarkEnd w:id="4"/>
    </w:p>
    <w:p w14:paraId="4A7BA120" w14:textId="77777777" w:rsidR="00AE4296" w:rsidRPr="002A5365" w:rsidRDefault="006D17A1" w:rsidP="0058734C">
      <w:pPr>
        <w:pStyle w:val="Heading2"/>
        <w:rPr>
          <w:rFonts w:cs="Arial"/>
          <w:sz w:val="22"/>
          <w:szCs w:val="22"/>
        </w:rPr>
      </w:pPr>
      <w:r w:rsidRPr="002A5365">
        <w:rPr>
          <w:rFonts w:cs="Arial"/>
          <w:sz w:val="22"/>
          <w:szCs w:val="22"/>
        </w:rPr>
        <w:t>Contracting Authorities</w:t>
      </w:r>
    </w:p>
    <w:p w14:paraId="4A7BA121" w14:textId="77777777" w:rsidR="00AE4296" w:rsidRPr="002A5365" w:rsidRDefault="00AE4296" w:rsidP="00696C71">
      <w:pPr>
        <w:pStyle w:val="Heading3"/>
      </w:pPr>
      <w:r w:rsidRPr="002A5365">
        <w:t xml:space="preserve">The Framework Agreement will be available for use by </w:t>
      </w:r>
      <w:r w:rsidR="006D17A1" w:rsidRPr="002A5365">
        <w:t>Contracting Authorities</w:t>
      </w:r>
      <w:r w:rsidRPr="002A5365">
        <w:t xml:space="preserve"> throughout the whole of the UK, including Northern Ireland, Scotland and Wales as described in the OJEU Contract Notice. </w:t>
      </w:r>
    </w:p>
    <w:p w14:paraId="4A7BA122" w14:textId="3B28FD09" w:rsidR="00AE4296" w:rsidRPr="002A5365" w:rsidRDefault="005C4680">
      <w:pPr>
        <w:pStyle w:val="Heading3"/>
      </w:pPr>
      <w:r>
        <w:t>A</w:t>
      </w:r>
      <w:r w:rsidR="00AE4296" w:rsidRPr="005D58E6">
        <w:t xml:space="preserve">ny relevant </w:t>
      </w:r>
      <w:r w:rsidR="006D17A1" w:rsidRPr="005D58E6">
        <w:t>Contracting Authority</w:t>
      </w:r>
      <w:r w:rsidR="00AE4296" w:rsidRPr="005D58E6">
        <w:t xml:space="preserve"> may purchase the Services from any sup</w:t>
      </w:r>
      <w:r w:rsidR="00AE4296" w:rsidRPr="002A5365">
        <w:t>plier outside of the Framework Agreement. Being appointed to this Framework Agreement does not confer an exclus</w:t>
      </w:r>
      <w:r w:rsidR="005D58E6">
        <w:t>ive right to supply on the Supplier or guarantee that the</w:t>
      </w:r>
      <w:r w:rsidR="00AE4296" w:rsidRPr="002A5365">
        <w:t xml:space="preserve"> Supplier will receive any business at all under the Framework Agreement.</w:t>
      </w:r>
    </w:p>
    <w:p w14:paraId="4A7BA128" w14:textId="77777777" w:rsidR="002A5365" w:rsidRDefault="002A5365">
      <w:pPr>
        <w:rPr>
          <w:rFonts w:ascii="Arial" w:eastAsia="STZhongsong" w:hAnsi="Arial" w:cs="Arial"/>
          <w:b/>
          <w:caps/>
          <w:lang w:eastAsia="zh-CN"/>
        </w:rPr>
      </w:pPr>
      <w:bookmarkStart w:id="5" w:name="_Ref284694562"/>
      <w:r>
        <w:rPr>
          <w:rFonts w:cs="Arial"/>
        </w:rPr>
        <w:br w:type="page"/>
      </w:r>
    </w:p>
    <w:p w14:paraId="4A7BA129" w14:textId="12D96A3A" w:rsidR="00AE4296" w:rsidRPr="002A5365" w:rsidRDefault="00AE4296" w:rsidP="0058734C">
      <w:pPr>
        <w:pStyle w:val="Heading1"/>
        <w:rPr>
          <w:rFonts w:cs="Arial"/>
          <w:sz w:val="22"/>
          <w:szCs w:val="22"/>
        </w:rPr>
      </w:pPr>
      <w:bookmarkStart w:id="6" w:name="_Toc458691537"/>
      <w:r w:rsidRPr="002A5365">
        <w:rPr>
          <w:rFonts w:cs="Arial"/>
          <w:sz w:val="22"/>
          <w:szCs w:val="22"/>
        </w:rPr>
        <w:lastRenderedPageBreak/>
        <w:t>ReqUirements</w:t>
      </w:r>
      <w:bookmarkEnd w:id="6"/>
      <w:r w:rsidRPr="002A5365">
        <w:rPr>
          <w:rFonts w:cs="Arial"/>
          <w:sz w:val="22"/>
          <w:szCs w:val="22"/>
        </w:rPr>
        <w:t xml:space="preserve"> </w:t>
      </w:r>
      <w:bookmarkEnd w:id="5"/>
    </w:p>
    <w:p w14:paraId="4A7BA12A" w14:textId="1F727EB1"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A370DF">
        <w:rPr>
          <w:rFonts w:cs="Arial"/>
          <w:sz w:val="22"/>
          <w:szCs w:val="22"/>
        </w:rPr>
        <w:t>S</w:t>
      </w:r>
      <w:r w:rsidRPr="00A370DF">
        <w:rPr>
          <w:rFonts w:cs="Arial"/>
          <w:sz w:val="22"/>
          <w:szCs w:val="22"/>
        </w:rPr>
        <w:t>ervices</w:t>
      </w:r>
      <w:r w:rsidR="00A370DF">
        <w:rPr>
          <w:rFonts w:cs="Arial"/>
          <w:sz w:val="22"/>
          <w:szCs w:val="22"/>
        </w:rPr>
        <w:t xml:space="preserve"> that the </w:t>
      </w:r>
      <w:r w:rsidRPr="002A5365">
        <w:rPr>
          <w:rFonts w:cs="Arial"/>
          <w:sz w:val="22"/>
          <w:szCs w:val="22"/>
        </w:rPr>
        <w:t>Supplier will be required to supply</w:t>
      </w:r>
      <w:r w:rsidR="009D588D" w:rsidRPr="002A5365">
        <w:rPr>
          <w:rFonts w:cs="Arial"/>
          <w:sz w:val="22"/>
          <w:szCs w:val="22"/>
        </w:rPr>
        <w:t xml:space="preserve"> is set out at </w:t>
      </w:r>
      <w:r w:rsidR="00A370DF">
        <w:rPr>
          <w:rFonts w:cs="Arial"/>
          <w:sz w:val="22"/>
          <w:szCs w:val="22"/>
        </w:rPr>
        <w:t>Appendix</w:t>
      </w:r>
      <w:r w:rsidRPr="00A370DF">
        <w:rPr>
          <w:rFonts w:cs="Arial"/>
          <w:sz w:val="22"/>
          <w:szCs w:val="22"/>
        </w:rPr>
        <w:t xml:space="preserve"> </w:t>
      </w:r>
      <w:r w:rsidR="00EC3DFE" w:rsidRPr="00A370DF">
        <w:rPr>
          <w:rFonts w:cs="Arial"/>
          <w:sz w:val="22"/>
          <w:szCs w:val="22"/>
        </w:rPr>
        <w:t>2</w:t>
      </w:r>
      <w:r w:rsidR="00A370DF">
        <w:rPr>
          <w:rFonts w:cs="Arial"/>
          <w:sz w:val="22"/>
          <w:szCs w:val="22"/>
        </w:rPr>
        <w:t xml:space="preserve"> - Specification</w:t>
      </w:r>
      <w:r w:rsidRPr="002A5365">
        <w:rPr>
          <w:rFonts w:cs="Arial"/>
          <w:sz w:val="22"/>
          <w:szCs w:val="22"/>
        </w:rPr>
        <w:t xml:space="preserve"> </w:t>
      </w:r>
      <w:r w:rsidR="009D588D" w:rsidRPr="002A5365">
        <w:rPr>
          <w:rFonts w:cs="Arial"/>
          <w:sz w:val="22"/>
          <w:szCs w:val="22"/>
        </w:rPr>
        <w:t>and</w:t>
      </w:r>
      <w:r w:rsidR="00AE391F">
        <w:rPr>
          <w:rFonts w:cs="Arial"/>
          <w:sz w:val="22"/>
          <w:szCs w:val="22"/>
        </w:rPr>
        <w:t xml:space="preserve"> a short description is contained</w:t>
      </w:r>
      <w:r w:rsidR="009D588D" w:rsidRPr="002A5365">
        <w:rPr>
          <w:rFonts w:cs="Arial"/>
          <w:sz w:val="22"/>
          <w:szCs w:val="22"/>
        </w:rPr>
        <w:t xml:space="preserve"> in the OJEU Contract Notice. A copy of the OJEU </w:t>
      </w:r>
      <w:r w:rsidR="000339AF" w:rsidRPr="002A5365">
        <w:rPr>
          <w:rFonts w:cs="Arial"/>
          <w:sz w:val="22"/>
          <w:szCs w:val="22"/>
        </w:rPr>
        <w:t>Contract N</w:t>
      </w:r>
      <w:r w:rsidR="009D588D" w:rsidRPr="002A5365">
        <w:rPr>
          <w:rFonts w:cs="Arial"/>
          <w:sz w:val="22"/>
          <w:szCs w:val="22"/>
        </w:rPr>
        <w:t xml:space="preserve">otice is published at </w:t>
      </w:r>
      <w:r w:rsidR="00F42490" w:rsidRPr="002A5365">
        <w:rPr>
          <w:rFonts w:cs="Arial"/>
          <w:sz w:val="22"/>
          <w:szCs w:val="22"/>
        </w:rPr>
        <w:t>http://ccs-agreements.cabinetoffice.gov.uk/procurement-pipeline</w:t>
      </w:r>
    </w:p>
    <w:p w14:paraId="0499E71C" w14:textId="752C4FE4" w:rsidR="00771451" w:rsidRPr="00A370DF" w:rsidRDefault="00AE4296" w:rsidP="00A370DF">
      <w:pPr>
        <w:pStyle w:val="Heading2"/>
        <w:rPr>
          <w:rFonts w:cs="Arial"/>
          <w:sz w:val="22"/>
          <w:szCs w:val="22"/>
        </w:rPr>
      </w:pPr>
      <w:r w:rsidRPr="00A370DF">
        <w:rPr>
          <w:rFonts w:cs="Arial"/>
          <w:sz w:val="22"/>
          <w:szCs w:val="22"/>
        </w:rPr>
        <w:t>The Services covered by this Procurement have</w:t>
      </w:r>
      <w:r w:rsidR="00A370DF">
        <w:rPr>
          <w:rFonts w:cs="Arial"/>
          <w:sz w:val="22"/>
          <w:szCs w:val="22"/>
        </w:rPr>
        <w:t xml:space="preserve"> </w:t>
      </w:r>
      <w:r w:rsidR="00771451" w:rsidRPr="00A370DF">
        <w:rPr>
          <w:rFonts w:cs="Arial"/>
          <w:sz w:val="22"/>
          <w:szCs w:val="22"/>
        </w:rPr>
        <w:t xml:space="preserve">not been sub-divided into Lots because </w:t>
      </w:r>
      <w:r w:rsidR="00FD51A8" w:rsidRPr="00A370DF">
        <w:rPr>
          <w:rFonts w:cs="Arial"/>
          <w:sz w:val="22"/>
          <w:szCs w:val="22"/>
        </w:rPr>
        <w:t xml:space="preserve">the contract is a national service, and so the successful provider must be able to deliver services to the entire UK. </w:t>
      </w:r>
    </w:p>
    <w:p w14:paraId="4A7BA145" w14:textId="2909B95D" w:rsidR="00AE4296" w:rsidRPr="002A5365" w:rsidRDefault="00AE4296" w:rsidP="0058734C">
      <w:pPr>
        <w:pStyle w:val="Heading2"/>
        <w:rPr>
          <w:rFonts w:cs="Arial"/>
          <w:sz w:val="22"/>
          <w:szCs w:val="22"/>
        </w:rPr>
      </w:pPr>
      <w:r w:rsidRPr="002A5365">
        <w:rPr>
          <w:rFonts w:cs="Arial"/>
          <w:sz w:val="22"/>
          <w:szCs w:val="22"/>
        </w:rPr>
        <w:t xml:space="preserve">Details of the </w:t>
      </w:r>
      <w:r w:rsidR="0046084F">
        <w:rPr>
          <w:rFonts w:cs="Arial"/>
          <w:sz w:val="22"/>
          <w:szCs w:val="22"/>
        </w:rPr>
        <w:t xml:space="preserve">estimated </w:t>
      </w:r>
      <w:r w:rsidRPr="002A5365">
        <w:rPr>
          <w:rFonts w:cs="Arial"/>
          <w:sz w:val="22"/>
          <w:szCs w:val="22"/>
        </w:rPr>
        <w:t>value of the Framework Agreement are set out in the OJEU Contract Notice.</w:t>
      </w:r>
    </w:p>
    <w:p w14:paraId="4A7BA146" w14:textId="77777777" w:rsidR="0079033B" w:rsidRDefault="0079033B">
      <w:pPr>
        <w:rPr>
          <w:rFonts w:ascii="Arial" w:eastAsia="STZhongsong" w:hAnsi="Arial" w:cs="Times New Roman"/>
          <w:b/>
          <w:caps/>
          <w:sz w:val="20"/>
          <w:szCs w:val="20"/>
          <w:lang w:eastAsia="zh-CN"/>
        </w:rPr>
      </w:pPr>
      <w:bookmarkStart w:id="7" w:name="_Ref284764423"/>
      <w:r>
        <w:br w:type="page"/>
      </w:r>
    </w:p>
    <w:p w14:paraId="4A7BA147" w14:textId="77777777" w:rsidR="00706CC1" w:rsidRPr="002A5365" w:rsidRDefault="00706CC1" w:rsidP="0058734C">
      <w:pPr>
        <w:pStyle w:val="Heading1"/>
        <w:rPr>
          <w:sz w:val="22"/>
          <w:szCs w:val="22"/>
        </w:rPr>
      </w:pPr>
      <w:bookmarkStart w:id="8" w:name="_Toc458691538"/>
      <w:r w:rsidRPr="002A5365">
        <w:rPr>
          <w:sz w:val="22"/>
          <w:szCs w:val="22"/>
        </w:rPr>
        <w:lastRenderedPageBreak/>
        <w:t>procurement timEtable</w:t>
      </w:r>
      <w:bookmarkEnd w:id="7"/>
      <w:bookmarkEnd w:id="8"/>
    </w:p>
    <w:p w14:paraId="4A7BA148" w14:textId="77777777" w:rsidR="00706CC1" w:rsidRPr="002A5365" w:rsidRDefault="00706CC1" w:rsidP="0058734C">
      <w:pPr>
        <w:pStyle w:val="Heading2"/>
        <w:rPr>
          <w:sz w:val="22"/>
          <w:szCs w:val="22"/>
        </w:rPr>
      </w:pPr>
      <w:r w:rsidRPr="002A5365">
        <w:rPr>
          <w:sz w:val="22"/>
          <w:szCs w:val="22"/>
        </w:rPr>
        <w:t xml:space="preserve">The </w:t>
      </w:r>
      <w:r w:rsidR="00FD0AEF" w:rsidRPr="002A5365">
        <w:rPr>
          <w:sz w:val="22"/>
          <w:szCs w:val="22"/>
        </w:rPr>
        <w:t xml:space="preserve">anticipated </w:t>
      </w:r>
      <w:r w:rsidRPr="002A5365">
        <w:rPr>
          <w:sz w:val="22"/>
          <w:szCs w:val="22"/>
        </w:rPr>
        <w:t xml:space="preserve">timetable for this Procurement is set out in the table below. </w:t>
      </w:r>
    </w:p>
    <w:p w14:paraId="4A7BA149" w14:textId="77777777" w:rsidR="00706CC1" w:rsidRPr="002A5365" w:rsidRDefault="00706CC1" w:rsidP="0058734C">
      <w:pPr>
        <w:pStyle w:val="Heading2"/>
        <w:rPr>
          <w:sz w:val="22"/>
          <w:szCs w:val="22"/>
        </w:rPr>
      </w:pPr>
      <w:bookmarkStart w:id="9" w:name="_Ref414960847"/>
      <w:r w:rsidRPr="002A5365">
        <w:rPr>
          <w:sz w:val="22"/>
          <w:szCs w:val="22"/>
        </w:rPr>
        <w:t xml:space="preserve">This timetable may be changed by the Authority at any time. Changes to any of the dates will be made in accordance with the Regulations (where applicable). </w:t>
      </w:r>
      <w:r w:rsidR="009C7984" w:rsidRPr="002A5365">
        <w:rPr>
          <w:sz w:val="22"/>
          <w:szCs w:val="22"/>
        </w:rPr>
        <w:t>You</w:t>
      </w:r>
      <w:r w:rsidRPr="002A5365">
        <w:rPr>
          <w:sz w:val="22"/>
          <w:szCs w:val="22"/>
        </w:rPr>
        <w:t xml:space="preserve"> will be informed through the e-Sourcing Suite if the Authority decides that changes to this timetable are necessary.</w:t>
      </w:r>
      <w:bookmarkEnd w:id="9"/>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030"/>
      </w:tblGrid>
      <w:tr w:rsidR="00706CC1" w:rsidRPr="002A5365" w14:paraId="4A7BA14D" w14:textId="77777777" w:rsidTr="00251AE6">
        <w:trPr>
          <w:cantSplit/>
          <w:trHeight w:val="397"/>
          <w:tblHeader/>
        </w:trPr>
        <w:tc>
          <w:tcPr>
            <w:tcW w:w="2400"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6030"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51AE6">
        <w:trPr>
          <w:cantSplit/>
          <w:trHeight w:val="397"/>
        </w:trPr>
        <w:tc>
          <w:tcPr>
            <w:tcW w:w="2400" w:type="dxa"/>
            <w:vAlign w:val="center"/>
          </w:tcPr>
          <w:p w14:paraId="4A7BA14E" w14:textId="19C049B4" w:rsidR="00706CC1" w:rsidRPr="002A5365" w:rsidRDefault="0074524C" w:rsidP="00251AE6">
            <w:pPr>
              <w:pStyle w:val="MarginText"/>
              <w:jc w:val="center"/>
              <w:rPr>
                <w:sz w:val="22"/>
                <w:szCs w:val="22"/>
                <w:highlight w:val="yellow"/>
              </w:rPr>
            </w:pPr>
            <w:r w:rsidRPr="00A370DF">
              <w:rPr>
                <w:sz w:val="22"/>
                <w:szCs w:val="22"/>
              </w:rPr>
              <w:t>22</w:t>
            </w:r>
            <w:r w:rsidRPr="00A370DF">
              <w:rPr>
                <w:sz w:val="22"/>
                <w:szCs w:val="22"/>
                <w:vertAlign w:val="superscript"/>
              </w:rPr>
              <w:t>nd</w:t>
            </w:r>
            <w:r w:rsidRPr="00A370DF">
              <w:rPr>
                <w:sz w:val="22"/>
                <w:szCs w:val="22"/>
              </w:rPr>
              <w:t xml:space="preserve"> August 2016</w:t>
            </w:r>
          </w:p>
        </w:tc>
        <w:tc>
          <w:tcPr>
            <w:tcW w:w="6030" w:type="dxa"/>
          </w:tcPr>
          <w:p w14:paraId="4A7BA14F" w14:textId="77777777" w:rsidR="00706CC1" w:rsidRPr="002A5365" w:rsidRDefault="00343880" w:rsidP="00251AE6">
            <w:pPr>
              <w:pStyle w:val="MarginText"/>
              <w:rPr>
                <w:sz w:val="22"/>
                <w:szCs w:val="22"/>
              </w:rPr>
            </w:pPr>
            <w:r w:rsidRPr="002A5365">
              <w:rPr>
                <w:sz w:val="22"/>
                <w:szCs w:val="22"/>
              </w:rPr>
              <w:t xml:space="preserve">Despatch </w:t>
            </w:r>
            <w:r w:rsidR="00706CC1" w:rsidRPr="002A5365">
              <w:rPr>
                <w:sz w:val="22"/>
                <w:szCs w:val="22"/>
              </w:rPr>
              <w:t>of the OJEU Contract Notice</w:t>
            </w:r>
          </w:p>
        </w:tc>
      </w:tr>
      <w:tr w:rsidR="00706CC1" w:rsidRPr="002A5365" w14:paraId="4A7BA15F" w14:textId="77777777" w:rsidTr="00251AE6">
        <w:trPr>
          <w:cantSplit/>
          <w:trHeight w:val="397"/>
        </w:trPr>
        <w:tc>
          <w:tcPr>
            <w:tcW w:w="2400" w:type="dxa"/>
            <w:vAlign w:val="center"/>
          </w:tcPr>
          <w:p w14:paraId="4A7BA15D" w14:textId="77CCBE41" w:rsidR="00706CC1" w:rsidRPr="002A5365" w:rsidRDefault="00706CC1" w:rsidP="0074524C">
            <w:pPr>
              <w:pStyle w:val="MarginText"/>
              <w:jc w:val="center"/>
              <w:rPr>
                <w:sz w:val="22"/>
                <w:szCs w:val="22"/>
                <w:highlight w:val="yellow"/>
              </w:rPr>
            </w:pPr>
            <w:r w:rsidRPr="00A370DF">
              <w:rPr>
                <w:sz w:val="22"/>
                <w:szCs w:val="22"/>
              </w:rPr>
              <w:t xml:space="preserve">15:00.00 GMT </w:t>
            </w:r>
            <w:r w:rsidR="0074524C" w:rsidRPr="00A370DF">
              <w:rPr>
                <w:sz w:val="22"/>
                <w:szCs w:val="22"/>
              </w:rPr>
              <w:t>7</w:t>
            </w:r>
            <w:r w:rsidR="0074524C" w:rsidRPr="00A370DF">
              <w:rPr>
                <w:sz w:val="22"/>
                <w:szCs w:val="22"/>
                <w:vertAlign w:val="superscript"/>
              </w:rPr>
              <w:t>th</w:t>
            </w:r>
            <w:r w:rsidR="0074524C" w:rsidRPr="00A370DF">
              <w:rPr>
                <w:sz w:val="22"/>
                <w:szCs w:val="22"/>
              </w:rPr>
              <w:t xml:space="preserve"> October 2016</w:t>
            </w:r>
          </w:p>
        </w:tc>
        <w:tc>
          <w:tcPr>
            <w:tcW w:w="6030" w:type="dxa"/>
          </w:tcPr>
          <w:p w14:paraId="4A7BA15E" w14:textId="068B6086" w:rsidR="00706CC1" w:rsidRPr="002A5365" w:rsidRDefault="00706CC1" w:rsidP="00CB2224">
            <w:pPr>
              <w:pStyle w:val="MarginText"/>
              <w:rPr>
                <w:sz w:val="22"/>
                <w:szCs w:val="22"/>
              </w:rPr>
            </w:pPr>
            <w:r w:rsidRPr="002A5365">
              <w:rPr>
                <w:sz w:val="22"/>
                <w:szCs w:val="22"/>
              </w:rPr>
              <w:t>Deadline for submission of Tenders to the Authority (“</w:t>
            </w:r>
            <w:r w:rsidRPr="002A5365">
              <w:rPr>
                <w:b/>
                <w:sz w:val="22"/>
                <w:szCs w:val="22"/>
              </w:rPr>
              <w:t>Tender Submission Deadline</w:t>
            </w:r>
            <w:r w:rsidRPr="002A5365">
              <w:rPr>
                <w:sz w:val="22"/>
                <w:szCs w:val="22"/>
              </w:rPr>
              <w:t>”)</w:t>
            </w:r>
            <w:r w:rsidR="00043B85" w:rsidRPr="002A5365">
              <w:rPr>
                <w:sz w:val="22"/>
                <w:szCs w:val="22"/>
              </w:rPr>
              <w:t xml:space="preserve"> </w:t>
            </w:r>
          </w:p>
        </w:tc>
      </w:tr>
      <w:tr w:rsidR="00706CC1" w:rsidRPr="002A5365" w14:paraId="4A7BA165" w14:textId="77777777" w:rsidTr="00251AE6">
        <w:trPr>
          <w:cantSplit/>
          <w:trHeight w:val="397"/>
        </w:trPr>
        <w:tc>
          <w:tcPr>
            <w:tcW w:w="2400" w:type="dxa"/>
            <w:vAlign w:val="center"/>
          </w:tcPr>
          <w:p w14:paraId="4A7BA163" w14:textId="04ABBC96" w:rsidR="00706CC1" w:rsidRPr="002A5365" w:rsidRDefault="0074524C" w:rsidP="00251AE6">
            <w:pPr>
              <w:pStyle w:val="MarginText"/>
              <w:jc w:val="center"/>
              <w:rPr>
                <w:sz w:val="22"/>
                <w:szCs w:val="22"/>
                <w:highlight w:val="yellow"/>
              </w:rPr>
            </w:pPr>
            <w:r w:rsidRPr="00A370DF">
              <w:rPr>
                <w:sz w:val="22"/>
                <w:szCs w:val="22"/>
              </w:rPr>
              <w:t>20</w:t>
            </w:r>
            <w:r w:rsidRPr="00A370DF">
              <w:rPr>
                <w:sz w:val="22"/>
                <w:szCs w:val="22"/>
                <w:vertAlign w:val="superscript"/>
              </w:rPr>
              <w:t>th</w:t>
            </w:r>
            <w:r w:rsidRPr="00A370DF">
              <w:rPr>
                <w:sz w:val="22"/>
                <w:szCs w:val="22"/>
              </w:rPr>
              <w:t xml:space="preserve"> December 2016</w:t>
            </w:r>
          </w:p>
        </w:tc>
        <w:tc>
          <w:tcPr>
            <w:tcW w:w="6030" w:type="dxa"/>
          </w:tcPr>
          <w:p w14:paraId="4A7BA164" w14:textId="77777777" w:rsidR="00706CC1" w:rsidRPr="002A5365" w:rsidRDefault="00706CC1" w:rsidP="00251AE6">
            <w:pPr>
              <w:pStyle w:val="MarginText"/>
              <w:rPr>
                <w:sz w:val="22"/>
                <w:szCs w:val="22"/>
              </w:rPr>
            </w:pPr>
            <w:r w:rsidRPr="002A5365">
              <w:rPr>
                <w:sz w:val="22"/>
                <w:szCs w:val="22"/>
              </w:rPr>
              <w:t>Intention to award noti</w:t>
            </w:r>
            <w:r w:rsidR="00883898" w:rsidRPr="002A5365">
              <w:rPr>
                <w:sz w:val="22"/>
                <w:szCs w:val="22"/>
              </w:rPr>
              <w:t>ces</w:t>
            </w:r>
            <w:r w:rsidRPr="002A5365">
              <w:rPr>
                <w:sz w:val="22"/>
                <w:szCs w:val="22"/>
              </w:rPr>
              <w:t xml:space="preserve"> issued to successful and unsuccessful Potential Providers.</w:t>
            </w:r>
          </w:p>
        </w:tc>
      </w:tr>
      <w:tr w:rsidR="00706CC1" w:rsidRPr="002A5365" w14:paraId="4A7BA169" w14:textId="77777777" w:rsidTr="00251AE6">
        <w:trPr>
          <w:cantSplit/>
          <w:trHeight w:val="397"/>
        </w:trPr>
        <w:tc>
          <w:tcPr>
            <w:tcW w:w="2400" w:type="dxa"/>
            <w:vAlign w:val="center"/>
          </w:tcPr>
          <w:p w14:paraId="4A7BA166" w14:textId="5CF2258B" w:rsidR="00706CC1" w:rsidRPr="002A5365" w:rsidRDefault="00C3737F" w:rsidP="00C3737F">
            <w:pPr>
              <w:pStyle w:val="MarginText"/>
              <w:jc w:val="center"/>
              <w:rPr>
                <w:sz w:val="22"/>
                <w:szCs w:val="22"/>
                <w:highlight w:val="yellow"/>
              </w:rPr>
            </w:pPr>
            <w:r>
              <w:rPr>
                <w:sz w:val="22"/>
                <w:szCs w:val="22"/>
              </w:rPr>
              <w:t>2</w:t>
            </w:r>
            <w:r w:rsidRPr="00C3737F">
              <w:rPr>
                <w:sz w:val="22"/>
                <w:szCs w:val="22"/>
                <w:vertAlign w:val="superscript"/>
              </w:rPr>
              <w:t>nd</w:t>
            </w:r>
            <w:r>
              <w:rPr>
                <w:sz w:val="22"/>
                <w:szCs w:val="22"/>
              </w:rPr>
              <w:t xml:space="preserve"> January 2017 – 13</w:t>
            </w:r>
            <w:r w:rsidRPr="00C3737F">
              <w:rPr>
                <w:sz w:val="22"/>
                <w:szCs w:val="22"/>
                <w:vertAlign w:val="superscript"/>
              </w:rPr>
              <w:t>th</w:t>
            </w:r>
            <w:r>
              <w:rPr>
                <w:sz w:val="22"/>
                <w:szCs w:val="22"/>
              </w:rPr>
              <w:t xml:space="preserve"> January 2017</w:t>
            </w:r>
          </w:p>
        </w:tc>
        <w:tc>
          <w:tcPr>
            <w:tcW w:w="6030" w:type="dxa"/>
          </w:tcPr>
          <w:p w14:paraId="4A7BA167" w14:textId="431DA66D" w:rsidR="00706CC1" w:rsidRPr="002A5365" w:rsidRDefault="00706CC1" w:rsidP="00B776D7">
            <w:pPr>
              <w:pStyle w:val="MarginText"/>
              <w:rPr>
                <w:sz w:val="22"/>
                <w:szCs w:val="22"/>
              </w:rPr>
            </w:pPr>
            <w:r w:rsidRPr="00DA2075">
              <w:rPr>
                <w:sz w:val="22"/>
                <w:szCs w:val="22"/>
              </w:rPr>
              <w:t>10 day</w:t>
            </w:r>
            <w:r w:rsidRPr="002A5365">
              <w:rPr>
                <w:sz w:val="22"/>
                <w:szCs w:val="22"/>
              </w:rPr>
              <w:t xml:space="preserve"> Standstill Period (in accordance with Regulation </w:t>
            </w:r>
            <w:r w:rsidR="00B776D7" w:rsidRPr="002A5365">
              <w:rPr>
                <w:sz w:val="22"/>
                <w:szCs w:val="22"/>
              </w:rPr>
              <w:t>87</w:t>
            </w:r>
            <w:r w:rsidRPr="002A5365">
              <w:rPr>
                <w:sz w:val="22"/>
                <w:szCs w:val="22"/>
              </w:rPr>
              <w:t>)</w:t>
            </w:r>
          </w:p>
          <w:p w14:paraId="4A7BA168" w14:textId="30442E0A" w:rsidR="001A16D0" w:rsidRPr="00AA1BD9" w:rsidRDefault="001A16D0" w:rsidP="00A86401">
            <w:pPr>
              <w:pStyle w:val="MarginText"/>
              <w:rPr>
                <w:b/>
                <w:i/>
                <w:sz w:val="22"/>
                <w:szCs w:val="22"/>
              </w:rPr>
            </w:pPr>
          </w:p>
        </w:tc>
      </w:tr>
      <w:tr w:rsidR="00706CC1" w:rsidRPr="002A5365" w14:paraId="4A7BA16C" w14:textId="77777777" w:rsidTr="00251AE6">
        <w:trPr>
          <w:cantSplit/>
          <w:trHeight w:val="397"/>
        </w:trPr>
        <w:tc>
          <w:tcPr>
            <w:tcW w:w="2400" w:type="dxa"/>
            <w:vAlign w:val="center"/>
          </w:tcPr>
          <w:p w14:paraId="4A7BA16A" w14:textId="3733FE21" w:rsidR="00706CC1" w:rsidRPr="002A5365" w:rsidRDefault="0074524C" w:rsidP="00251AE6">
            <w:pPr>
              <w:pStyle w:val="MarginText"/>
              <w:jc w:val="center"/>
              <w:rPr>
                <w:sz w:val="22"/>
                <w:szCs w:val="22"/>
                <w:highlight w:val="yellow"/>
              </w:rPr>
            </w:pPr>
            <w:r w:rsidRPr="00DA2075">
              <w:rPr>
                <w:sz w:val="22"/>
                <w:szCs w:val="22"/>
              </w:rPr>
              <w:t>31</w:t>
            </w:r>
            <w:r w:rsidRPr="00DA2075">
              <w:rPr>
                <w:sz w:val="22"/>
                <w:szCs w:val="22"/>
                <w:vertAlign w:val="superscript"/>
              </w:rPr>
              <w:t>st</w:t>
            </w:r>
            <w:r w:rsidRPr="00DA2075">
              <w:rPr>
                <w:sz w:val="22"/>
                <w:szCs w:val="22"/>
              </w:rPr>
              <w:t xml:space="preserve"> March 2017</w:t>
            </w:r>
          </w:p>
        </w:tc>
        <w:tc>
          <w:tcPr>
            <w:tcW w:w="6030" w:type="dxa"/>
          </w:tcPr>
          <w:p w14:paraId="4A7BA16B" w14:textId="77777777" w:rsidR="00706CC1" w:rsidRPr="002A5365" w:rsidRDefault="00F80672" w:rsidP="00F80672">
            <w:pPr>
              <w:pStyle w:val="MarginText"/>
              <w:rPr>
                <w:sz w:val="22"/>
                <w:szCs w:val="22"/>
              </w:rPr>
            </w:pPr>
            <w:r>
              <w:rPr>
                <w:sz w:val="22"/>
                <w:szCs w:val="22"/>
              </w:rPr>
              <w:t>Expected execution (signature) date for Framework Agreement (s)</w:t>
            </w:r>
          </w:p>
        </w:tc>
      </w:tr>
      <w:tr w:rsidR="00706CC1" w:rsidRPr="002A5365" w14:paraId="4A7BA16F" w14:textId="77777777" w:rsidTr="00251AE6">
        <w:trPr>
          <w:cantSplit/>
          <w:trHeight w:val="397"/>
        </w:trPr>
        <w:tc>
          <w:tcPr>
            <w:tcW w:w="2400" w:type="dxa"/>
            <w:vAlign w:val="center"/>
          </w:tcPr>
          <w:p w14:paraId="4A7BA16D" w14:textId="60A91A71" w:rsidR="00706CC1" w:rsidRPr="002A5365" w:rsidRDefault="0074524C" w:rsidP="00251AE6">
            <w:pPr>
              <w:pStyle w:val="MarginText"/>
              <w:jc w:val="center"/>
              <w:rPr>
                <w:sz w:val="22"/>
                <w:szCs w:val="22"/>
                <w:highlight w:val="yellow"/>
              </w:rPr>
            </w:pPr>
            <w:r w:rsidRPr="00DA2075">
              <w:rPr>
                <w:sz w:val="22"/>
                <w:szCs w:val="22"/>
              </w:rPr>
              <w:t>1</w:t>
            </w:r>
            <w:r w:rsidRPr="00DA2075">
              <w:rPr>
                <w:sz w:val="22"/>
                <w:szCs w:val="22"/>
                <w:vertAlign w:val="superscript"/>
              </w:rPr>
              <w:t>st</w:t>
            </w:r>
            <w:r w:rsidRPr="00DA2075">
              <w:rPr>
                <w:sz w:val="22"/>
                <w:szCs w:val="22"/>
              </w:rPr>
              <w:t xml:space="preserve"> July 2017</w:t>
            </w:r>
          </w:p>
        </w:tc>
        <w:tc>
          <w:tcPr>
            <w:tcW w:w="6030" w:type="dxa"/>
          </w:tcPr>
          <w:p w14:paraId="4A7BA16E" w14:textId="77777777" w:rsidR="00706CC1" w:rsidRPr="002A5365" w:rsidRDefault="00735B24" w:rsidP="00735B24">
            <w:pPr>
              <w:pStyle w:val="MarginText"/>
              <w:rPr>
                <w:sz w:val="22"/>
                <w:szCs w:val="22"/>
              </w:rPr>
            </w:pPr>
            <w:r w:rsidRPr="002A5365">
              <w:rPr>
                <w:sz w:val="22"/>
                <w:szCs w:val="22"/>
              </w:rPr>
              <w:t>Expected c</w:t>
            </w:r>
            <w:r w:rsidR="00706CC1" w:rsidRPr="002A5365">
              <w:rPr>
                <w:sz w:val="22"/>
                <w:szCs w:val="22"/>
              </w:rPr>
              <w:t xml:space="preserve">ommencement </w:t>
            </w:r>
            <w:r w:rsidRPr="002A5365">
              <w:rPr>
                <w:sz w:val="22"/>
                <w:szCs w:val="22"/>
              </w:rPr>
              <w:t>d</w:t>
            </w:r>
            <w:r w:rsidR="00706CC1" w:rsidRPr="002A5365">
              <w:rPr>
                <w:sz w:val="22"/>
                <w:szCs w:val="22"/>
              </w:rPr>
              <w:t>ate for Framework Agreement(s)</w:t>
            </w:r>
          </w:p>
        </w:tc>
      </w:tr>
    </w:tbl>
    <w:p w14:paraId="4A7BA170" w14:textId="77777777" w:rsidR="002A5365" w:rsidRDefault="002A5365">
      <w:pPr>
        <w:pStyle w:val="Heading2"/>
        <w:numPr>
          <w:ilvl w:val="0"/>
          <w:numId w:val="0"/>
        </w:numPr>
        <w:ind w:left="851"/>
        <w:rPr>
          <w:sz w:val="22"/>
          <w:szCs w:val="22"/>
        </w:rPr>
      </w:pPr>
    </w:p>
    <w:p w14:paraId="4A7BA172" w14:textId="77777777" w:rsidR="0079033B" w:rsidRDefault="0079033B">
      <w:pPr>
        <w:rPr>
          <w:rFonts w:ascii="Arial" w:eastAsia="STZhongsong" w:hAnsi="Arial" w:cs="Times New Roman"/>
          <w:b/>
          <w:caps/>
          <w:sz w:val="20"/>
          <w:szCs w:val="20"/>
          <w:lang w:eastAsia="zh-CN"/>
        </w:rPr>
      </w:pPr>
      <w:r>
        <w:br w:type="page"/>
      </w:r>
    </w:p>
    <w:p w14:paraId="4A7BA173" w14:textId="77777777" w:rsidR="00706CC1" w:rsidRPr="002A5365" w:rsidRDefault="00706CC1" w:rsidP="0058734C">
      <w:pPr>
        <w:pStyle w:val="Heading1"/>
        <w:rPr>
          <w:rFonts w:cs="Arial"/>
          <w:sz w:val="22"/>
          <w:szCs w:val="22"/>
        </w:rPr>
      </w:pPr>
      <w:bookmarkStart w:id="10" w:name="_Toc458691539"/>
      <w:r w:rsidRPr="002A5365">
        <w:rPr>
          <w:rFonts w:cs="Arial"/>
          <w:sz w:val="22"/>
          <w:szCs w:val="22"/>
        </w:rPr>
        <w:lastRenderedPageBreak/>
        <w:t>completiNG AND SUBMITTING A tender</w:t>
      </w:r>
      <w:bookmarkEnd w:id="10"/>
    </w:p>
    <w:p w14:paraId="4A7BA174" w14:textId="4A6B15F5"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9C7984" w:rsidRPr="002A5365">
        <w:rPr>
          <w:rFonts w:cs="Arial"/>
          <w:sz w:val="22"/>
          <w:szCs w:val="22"/>
        </w:rPr>
        <w:t>you</w:t>
      </w:r>
      <w:r w:rsidRPr="002A5365">
        <w:rPr>
          <w:rFonts w:cs="Arial"/>
          <w:sz w:val="22"/>
          <w:szCs w:val="22"/>
        </w:rPr>
        <w:t xml:space="preserve"> 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A</w:t>
      </w:r>
      <w:r w:rsidR="00435A26">
        <w:rPr>
          <w:rFonts w:cs="Arial"/>
          <w:sz w:val="22"/>
          <w:szCs w:val="22"/>
        </w:rPr>
        <w:t>ppendices</w:t>
      </w:r>
      <w:r w:rsidRPr="002A5365">
        <w:rPr>
          <w:rFonts w:cs="Arial"/>
          <w:sz w:val="22"/>
          <w:szCs w:val="22"/>
        </w:rPr>
        <w:t>.</w:t>
      </w:r>
    </w:p>
    <w:p w14:paraId="4A7BA175" w14:textId="77777777" w:rsidR="006607CA" w:rsidRPr="002A5365" w:rsidRDefault="009C7984" w:rsidP="0058734C">
      <w:pPr>
        <w:pStyle w:val="Heading2"/>
        <w:rPr>
          <w:rFonts w:cs="Arial"/>
          <w:sz w:val="22"/>
          <w:szCs w:val="22"/>
        </w:rPr>
      </w:pPr>
      <w:r w:rsidRPr="002A5365">
        <w:rPr>
          <w:rFonts w:cs="Arial"/>
          <w:sz w:val="22"/>
          <w:szCs w:val="22"/>
        </w:rPr>
        <w:t>You</w:t>
      </w:r>
      <w:r w:rsidR="006607CA" w:rsidRPr="002A5365">
        <w:rPr>
          <w:rFonts w:cs="Arial"/>
          <w:sz w:val="22"/>
          <w:szCs w:val="22"/>
        </w:rPr>
        <w:t xml:space="preserve"> are strongly advised to read through all documentation first to ensure </w:t>
      </w:r>
      <w:r w:rsidR="004C6C4C" w:rsidRPr="002A5365">
        <w:rPr>
          <w:rFonts w:cs="Arial"/>
          <w:sz w:val="22"/>
          <w:szCs w:val="22"/>
        </w:rPr>
        <w:t xml:space="preserve">you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77777777" w:rsidR="00706CC1" w:rsidRPr="002A5365" w:rsidRDefault="00706CC1" w:rsidP="00696C71">
      <w:pPr>
        <w:pStyle w:val="Heading3"/>
      </w:pPr>
      <w:r w:rsidRPr="002A5365">
        <w:t xml:space="preserve">It is </w:t>
      </w:r>
      <w:r w:rsidR="009C7984" w:rsidRPr="002A5365">
        <w:t>your</w:t>
      </w:r>
      <w:r w:rsidRPr="002A5365">
        <w:t xml:space="preserve"> responsibility to ensure that </w:t>
      </w:r>
      <w:r w:rsidR="00187832" w:rsidRPr="002A5365">
        <w:t>you</w:t>
      </w:r>
      <w:r w:rsidRPr="002A5365">
        <w:t xml:space="preserve"> submit a fully complian</w:t>
      </w:r>
      <w:r w:rsidR="000500B2" w:rsidRPr="002A5365">
        <w:t>t Tender.</w:t>
      </w:r>
    </w:p>
    <w:p w14:paraId="4A7BA178" w14:textId="7B0F7481" w:rsidR="00706CC1" w:rsidRPr="002A5365" w:rsidRDefault="009C7984" w:rsidP="00AA1BD9">
      <w:pPr>
        <w:pStyle w:val="Heading3"/>
      </w:pPr>
      <w:r w:rsidRPr="002A5365">
        <w:t>You</w:t>
      </w:r>
      <w:r w:rsidR="00706CC1" w:rsidRPr="002A5365">
        <w:t xml:space="preserve"> </w:t>
      </w:r>
      <w:r w:rsidR="004C6C4C" w:rsidRPr="002A5365">
        <w:t>must</w:t>
      </w:r>
      <w:r w:rsidR="00706CC1" w:rsidRPr="002A5365">
        <w:t xml:space="preserve"> </w:t>
      </w:r>
      <w:r w:rsidR="00760427" w:rsidRPr="002A5365">
        <w:t xml:space="preserve">ensure that you are using </w:t>
      </w:r>
      <w:r w:rsidR="00706CC1" w:rsidRPr="002A5365">
        <w:t>the latest version</w:t>
      </w:r>
      <w:r w:rsidR="006607CA" w:rsidRPr="002A5365">
        <w:t>s</w:t>
      </w:r>
      <w:r w:rsidR="00706CC1" w:rsidRPr="002A5365">
        <w:t xml:space="preserve"> of </w:t>
      </w:r>
      <w:r w:rsidR="005B545B" w:rsidRPr="002A5365">
        <w:t xml:space="preserve">this document and its </w:t>
      </w:r>
      <w:r w:rsidR="00435A26" w:rsidRPr="002A5365">
        <w:t>A</w:t>
      </w:r>
      <w:r w:rsidR="00435A26">
        <w:t>ppendices</w:t>
      </w:r>
      <w:r w:rsidR="00706CC1" w:rsidRPr="002A5365">
        <w:t>, 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248E7AA6" w:rsidR="004C6C4C" w:rsidRPr="002A5365" w:rsidRDefault="004C6C4C" w:rsidP="004C6C4C">
      <w:pPr>
        <w:pStyle w:val="Heading2"/>
        <w:rPr>
          <w:rFonts w:cs="Arial"/>
          <w:sz w:val="22"/>
          <w:szCs w:val="22"/>
        </w:rPr>
      </w:pPr>
      <w:r w:rsidRPr="002A5365">
        <w:rPr>
          <w:rFonts w:cs="Arial"/>
          <w:sz w:val="22"/>
          <w:szCs w:val="22"/>
        </w:rPr>
        <w:t>For tech</w:t>
      </w:r>
      <w:r w:rsidR="00435A26">
        <w:rPr>
          <w:rFonts w:cs="Arial"/>
          <w:sz w:val="22"/>
          <w:szCs w:val="22"/>
        </w:rPr>
        <w:t>nical guidance on</w:t>
      </w:r>
      <w:r w:rsidRPr="002A5365">
        <w:rPr>
          <w:rFonts w:cs="Arial"/>
          <w:sz w:val="22"/>
          <w:szCs w:val="22"/>
        </w:rPr>
        <w:t xml:space="preserve"> how to </w:t>
      </w:r>
      <w:r w:rsidR="00435A26">
        <w:rPr>
          <w:rFonts w:cs="Arial"/>
          <w:sz w:val="22"/>
          <w:szCs w:val="22"/>
        </w:rPr>
        <w:t>upload any requested Appendices</w:t>
      </w:r>
      <w:r w:rsidRPr="002A5365">
        <w:rPr>
          <w:rFonts w:cs="Arial"/>
          <w:sz w:val="22"/>
          <w:szCs w:val="22"/>
        </w:rPr>
        <w:t xml:space="preserve"> please see</w:t>
      </w:r>
      <w:r w:rsidR="00435A26">
        <w:rPr>
          <w:rFonts w:cs="Arial"/>
          <w:sz w:val="22"/>
          <w:szCs w:val="22"/>
        </w:rPr>
        <w:t xml:space="preserve"> </w:t>
      </w:r>
      <w:r w:rsidR="00E806B0">
        <w:rPr>
          <w:rFonts w:cs="Arial"/>
          <w:sz w:val="22"/>
          <w:szCs w:val="22"/>
        </w:rPr>
        <w:t>Appendix 7 – E-sourcing Suite Guidance</w:t>
      </w:r>
      <w:r w:rsidRPr="002A5365">
        <w:rPr>
          <w:rFonts w:cs="Arial"/>
          <w:sz w:val="22"/>
          <w:szCs w:val="22"/>
        </w:rPr>
        <w:t>.</w:t>
      </w:r>
    </w:p>
    <w:p w14:paraId="4A7BA17B" w14:textId="77777777" w:rsidR="006607CA" w:rsidRPr="002A5365" w:rsidRDefault="006607CA" w:rsidP="0058734C">
      <w:pPr>
        <w:pStyle w:val="Heading2"/>
        <w:rPr>
          <w:rFonts w:cs="Arial"/>
          <w:sz w:val="22"/>
          <w:szCs w:val="22"/>
        </w:rPr>
      </w:pPr>
      <w:r w:rsidRPr="002A5365">
        <w:rPr>
          <w:rFonts w:cs="Arial"/>
          <w:sz w:val="22"/>
          <w:szCs w:val="22"/>
        </w:rPr>
        <w:t>Additional Materials, Documents and Attachments</w:t>
      </w:r>
    </w:p>
    <w:p w14:paraId="4A7BA17C" w14:textId="77777777" w:rsidR="006607CA" w:rsidRPr="002A5365" w:rsidRDefault="0045014B" w:rsidP="00696C71">
      <w:pPr>
        <w:pStyle w:val="Heading3"/>
      </w:pPr>
      <w:r w:rsidRPr="002A5365">
        <w:t>You</w:t>
      </w:r>
      <w:r w:rsidR="006607CA" w:rsidRPr="002A5365">
        <w:t xml:space="preserve"> must adhere to the following instructions;</w:t>
      </w:r>
    </w:p>
    <w:p w14:paraId="4A7BA17D" w14:textId="77777777"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the Authority. </w:t>
      </w:r>
    </w:p>
    <w:p w14:paraId="4A7BA17E" w14:textId="3EBCD868" w:rsidR="006607CA" w:rsidRPr="002A5365" w:rsidRDefault="006607CA">
      <w:pPr>
        <w:pStyle w:val="Heading4"/>
      </w:pPr>
      <w:r w:rsidRPr="002A5365">
        <w:t>Any additional documents requested by the Authori</w:t>
      </w:r>
      <w:r w:rsidR="00E806B0">
        <w:t>ty must only be attached</w:t>
      </w:r>
      <w:r w:rsidR="00AB352C">
        <w:t xml:space="preserve"> </w:t>
      </w:r>
      <w:r w:rsidR="00760427" w:rsidRPr="002A5365">
        <w:t xml:space="preserve">in the e-Sourcing Suite </w:t>
      </w:r>
      <w:r w:rsidRPr="002A5365">
        <w:t xml:space="preserve">using a unique, unambiguous and relevant file name as specified by the Authority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1" w14:textId="09F87F0D" w:rsidR="006607CA" w:rsidRPr="002A5365" w:rsidRDefault="006607CA" w:rsidP="00AA7F31">
      <w:pPr>
        <w:pStyle w:val="Heading3"/>
      </w:pPr>
      <w:r w:rsidRPr="002A5365">
        <w:t>A fully compliant Tender must adhere to the following instructions;</w:t>
      </w:r>
    </w:p>
    <w:p w14:paraId="4A7BA182" w14:textId="77777777" w:rsidR="006607CA" w:rsidRPr="002A5365" w:rsidRDefault="006607CA">
      <w:pPr>
        <w:pStyle w:val="Heading4"/>
      </w:pPr>
      <w:r w:rsidRPr="002A5365">
        <w:t>The Tender must be submitted in the English (UK) language.</w:t>
      </w:r>
    </w:p>
    <w:p w14:paraId="4A7BA183" w14:textId="77777777" w:rsidR="006607CA" w:rsidRPr="002A5365" w:rsidRDefault="009C7984">
      <w:pPr>
        <w:pStyle w:val="Heading4"/>
      </w:pPr>
      <w:r w:rsidRPr="002A5365">
        <w:t>You</w:t>
      </w:r>
      <w:r w:rsidR="006607CA" w:rsidRPr="002A5365">
        <w:t xml:space="preserve"> must answer </w:t>
      </w:r>
      <w:r w:rsidR="004974A8" w:rsidRPr="002A5365">
        <w:t>all questions accurately and as fully as possible, within the word / character limits specified</w:t>
      </w:r>
      <w:r w:rsidR="006607CA" w:rsidRPr="002A5365">
        <w:t>.</w:t>
      </w:r>
    </w:p>
    <w:p w14:paraId="4A7BA184" w14:textId="77777777" w:rsidR="006607CA" w:rsidRPr="002A5365" w:rsidRDefault="006607CA">
      <w:pPr>
        <w:pStyle w:val="Heading4"/>
      </w:pPr>
      <w:r w:rsidRPr="002A5365">
        <w:t xml:space="preserve">Where options are offered as a response to a question, </w:t>
      </w:r>
      <w:r w:rsidR="009C7984" w:rsidRPr="002A5365">
        <w:t>you</w:t>
      </w:r>
      <w:r w:rsidRPr="002A5365">
        <w:t xml:space="preserve"> must select the relevant option from the drop down list.</w:t>
      </w:r>
    </w:p>
    <w:p w14:paraId="4A7BA185" w14:textId="77777777" w:rsidR="006607CA" w:rsidRPr="002A5365" w:rsidRDefault="009C7984">
      <w:pPr>
        <w:pStyle w:val="Heading4"/>
      </w:pPr>
      <w:r w:rsidRPr="002A5365">
        <w:t>You</w:t>
      </w:r>
      <w:r w:rsidR="006607CA" w:rsidRPr="002A5365">
        <w:t xml:space="preserve"> must not answer questions by cross referring to other answers or to other materials (e.g. annual company reports located on a web site). Each question answered must be complete in its own right.</w:t>
      </w:r>
    </w:p>
    <w:p w14:paraId="4A7BA186" w14:textId="77777777" w:rsidR="006607CA" w:rsidRPr="002A5365" w:rsidRDefault="006607CA">
      <w:pPr>
        <w:pStyle w:val="Heading4"/>
      </w:pPr>
      <w:r w:rsidRPr="002A5365">
        <w:t xml:space="preserve">The Authority will disregard any part of a response to a question which exceeds the specified character limit (i.e. the excess will be disregarded, not the whole response). </w:t>
      </w:r>
      <w:r w:rsidR="00A86401">
        <w:t xml:space="preserve">The </w:t>
      </w:r>
      <w:r w:rsidRPr="002A5365">
        <w:t>stated character limit include</w:t>
      </w:r>
      <w:r w:rsidR="00A86401">
        <w:t>s</w:t>
      </w:r>
      <w:r w:rsidRPr="002A5365">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73FFC309" w:rsidR="006607CA" w:rsidRPr="002A5365" w:rsidRDefault="006607CA" w:rsidP="00696C71">
      <w:pPr>
        <w:pStyle w:val="Heading3"/>
      </w:pPr>
      <w:r w:rsidRPr="00E940AE">
        <w:t>All Tenders must be received by the Authority before the Tender Submission Deadline</w:t>
      </w:r>
      <w:r w:rsidRPr="002A5365">
        <w:t xml:space="preserve"> (see the Procurement Timetable in </w:t>
      </w:r>
      <w:r w:rsidRPr="00FF06CA">
        <w:t xml:space="preserve">paragraph </w:t>
      </w:r>
      <w:r w:rsidR="00BF6C46" w:rsidRPr="00FF06CA">
        <w:t>4</w:t>
      </w:r>
      <w:r w:rsidRPr="00FF06CA">
        <w:t xml:space="preserve"> for</w:t>
      </w:r>
      <w:r w:rsidRPr="002A5365">
        <w:t xml:space="preserve">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77777777" w:rsidR="006607CA" w:rsidRPr="002A5365" w:rsidRDefault="006607CA" w:rsidP="00AA1BD9">
      <w:pPr>
        <w:pStyle w:val="Heading3"/>
        <w:numPr>
          <w:ilvl w:val="0"/>
          <w:numId w:val="0"/>
        </w:numPr>
        <w:ind w:left="737"/>
      </w:pPr>
      <w:r w:rsidRPr="002A5365">
        <w:t xml:space="preserve">Tenders received on or after the Tender Submission Deadline </w:t>
      </w:r>
      <w:r w:rsidR="00B16DD8" w:rsidRPr="002A5365">
        <w:t>will be considered irregular and will be excluded from th</w:t>
      </w:r>
      <w:r w:rsidR="006F03E6">
        <w:t>is</w:t>
      </w:r>
      <w:r w:rsidR="00B16DD8" w:rsidRPr="002A5365">
        <w:t xml:space="preserve"> Procurement.</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77777777" w:rsidR="006607CA" w:rsidRPr="002A5365" w:rsidRDefault="009C7984" w:rsidP="00AA1BD9">
      <w:pPr>
        <w:pStyle w:val="Heading3"/>
      </w:pPr>
      <w:r w:rsidRPr="002A5365">
        <w:lastRenderedPageBreak/>
        <w:t>You are</w:t>
      </w:r>
      <w:r w:rsidR="006607CA" w:rsidRPr="002A5365">
        <w:t xml:space="preserve"> responsible for ensuring that </w:t>
      </w:r>
      <w:r w:rsidR="00187832" w:rsidRPr="002A5365">
        <w:t>your</w:t>
      </w:r>
      <w:r w:rsidR="006607CA" w:rsidRPr="002A5365">
        <w:t xml:space="preserve"> Tender has been successfully completed in the e-Sourcing Suite prior to the Tender Submission Deadline.</w:t>
      </w:r>
    </w:p>
    <w:p w14:paraId="4A7BA18D" w14:textId="77777777" w:rsidR="006607CA" w:rsidRPr="002A5365" w:rsidRDefault="006607CA">
      <w:pPr>
        <w:pStyle w:val="Heading3"/>
      </w:pPr>
      <w:r w:rsidRPr="002A5365">
        <w:t>All Tenders must be submitted to the Authority using the e-Sourcing Suite. Tenders submitted by any other means will not</w:t>
      </w:r>
      <w:r w:rsidRPr="002A5365">
        <w:rPr>
          <w:b/>
        </w:rPr>
        <w:t xml:space="preserve"> </w:t>
      </w:r>
      <w:r w:rsidRPr="002A5365">
        <w:t>be accepted.</w:t>
      </w:r>
    </w:p>
    <w:p w14:paraId="4A7BA18E" w14:textId="749D731B"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086A1A">
        <w:t>See Appendix 7</w:t>
      </w:r>
      <w:r w:rsidR="00B16DD8" w:rsidRPr="002A5365">
        <w:t xml:space="preserve"> for details of how</w:t>
      </w:r>
      <w:r w:rsidRPr="002A5365">
        <w:t xml:space="preserve"> to formally submit the Tender</w:t>
      </w:r>
      <w:r w:rsidR="00B16DD8" w:rsidRPr="002A5365">
        <w:t>.</w:t>
      </w:r>
      <w:r w:rsidRPr="002A5365">
        <w:t xml:space="preserve"> </w:t>
      </w:r>
    </w:p>
    <w:p w14:paraId="4A7BA18F" w14:textId="77777777" w:rsidR="006607CA" w:rsidRPr="002A5365" w:rsidRDefault="00187832">
      <w:pPr>
        <w:pStyle w:val="Heading3"/>
      </w:pPr>
      <w:r w:rsidRPr="002A5365">
        <w:t>You</w:t>
      </w:r>
      <w:r w:rsidR="006607CA" w:rsidRPr="002A5365">
        <w:t xml:space="preserve"> may modify and resubmit </w:t>
      </w:r>
      <w:r w:rsidRPr="002A5365">
        <w:t>your</w:t>
      </w:r>
      <w:r w:rsidR="006607CA" w:rsidRPr="002A5365">
        <w:t xml:space="preserve"> Tender at any time prior to the Tender Submission Deadline. </w:t>
      </w:r>
      <w:r w:rsidR="002A5365">
        <w:t>Before</w:t>
      </w:r>
      <w:r w:rsidR="006607CA" w:rsidRPr="002A5365">
        <w:t xml:space="preserve"> the Tender Submission Deadline, </w:t>
      </w:r>
      <w:r w:rsidRPr="002A5365">
        <w:t>you</w:t>
      </w:r>
      <w:r w:rsidR="006607CA" w:rsidRPr="002A5365">
        <w:t xml:space="preserve"> must satisfy </w:t>
      </w:r>
      <w:r w:rsidRPr="002A5365">
        <w:t>yourself</w:t>
      </w:r>
      <w:r w:rsidR="006607CA" w:rsidRPr="002A5365">
        <w:t xml:space="preserve"> that </w:t>
      </w:r>
      <w:r w:rsidRPr="002A5365">
        <w:t>you</w:t>
      </w:r>
      <w:r w:rsidR="006607CA" w:rsidRPr="002A5365">
        <w:t xml:space="preserve"> ha</w:t>
      </w:r>
      <w:r w:rsidRPr="002A5365">
        <w:t>ve</w:t>
      </w:r>
      <w:r w:rsidR="006607CA" w:rsidRPr="002A5365">
        <w:t xml:space="preserve"> submitted 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rsidR="00B16DD8" w:rsidRPr="002A5365">
        <w:t>You cannot modify your Tender</w:t>
      </w:r>
      <w:r w:rsidR="006607CA" w:rsidRPr="002A5365">
        <w:t xml:space="preserve"> after the Tender Submission Deadline.</w:t>
      </w:r>
    </w:p>
    <w:p w14:paraId="4A7BA190" w14:textId="77777777" w:rsidR="006607CA" w:rsidRPr="002A5365" w:rsidRDefault="00187832">
      <w:pPr>
        <w:pStyle w:val="Heading3"/>
      </w:pPr>
      <w:r w:rsidRPr="002A5365">
        <w:t>You</w:t>
      </w:r>
      <w:r w:rsidR="006607CA" w:rsidRPr="002A5365">
        <w:t xml:space="preserve"> may withdraw from this Procurement by choosing not to submit a Tender by the Tender Submission Deadline. </w:t>
      </w:r>
    </w:p>
    <w:p w14:paraId="4A7BA191" w14:textId="6C6C3C0E" w:rsidR="006607CA" w:rsidRPr="002A5365" w:rsidRDefault="00D22EF6">
      <w:pPr>
        <w:pStyle w:val="Heading3"/>
      </w:pPr>
      <w:r w:rsidRPr="002A5365">
        <w:t>Your</w:t>
      </w:r>
      <w:r w:rsidR="006607CA" w:rsidRPr="002A5365">
        <w:t xml:space="preserve"> Tender must remain valid and capable of acceptance by the Authority for a period of </w:t>
      </w:r>
      <w:r w:rsidR="00A906E4">
        <w:t xml:space="preserve">120 </w:t>
      </w:r>
      <w:r w:rsidR="006607CA" w:rsidRPr="002A5365">
        <w:t>days following the Tender Submission Deadline. A</w:t>
      </w:r>
      <w:r w:rsidRPr="002A5365">
        <w:t>n attempt to submit a</w:t>
      </w:r>
      <w:r w:rsidR="006607CA" w:rsidRPr="002A5365">
        <w:t xml:space="preserve"> Tender with a shorter validity period may </w:t>
      </w:r>
      <w:r w:rsidRPr="002A5365">
        <w:t xml:space="preserve">lead to the </w:t>
      </w:r>
      <w:r w:rsidR="00F44561">
        <w:t>exclusion</w:t>
      </w:r>
      <w:r w:rsidRPr="002A5365">
        <w:t xml:space="preserve"> of your Tender</w:t>
      </w:r>
      <w:r w:rsidR="006607CA"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77777777" w:rsidR="00C1286C" w:rsidRDefault="00C1286C" w:rsidP="00696C71">
      <w:pPr>
        <w:pStyle w:val="Heading3"/>
      </w:pPr>
      <w:r>
        <w:t xml:space="preserve">Potential </w:t>
      </w:r>
      <w:r w:rsidR="00015C17">
        <w:t>P</w:t>
      </w:r>
      <w:r>
        <w:t>roviders must not collude with nor disclose the fact of their intention to submit a tender to other Potential Providers</w:t>
      </w:r>
      <w:r w:rsidR="00926E97">
        <w:t>.</w:t>
      </w:r>
      <w:r>
        <w:t xml:space="preserve"> </w:t>
      </w:r>
    </w:p>
    <w:p w14:paraId="4A7BA195" w14:textId="77777777" w:rsidR="00F54549" w:rsidRPr="002A5365" w:rsidRDefault="0025638E">
      <w:pPr>
        <w:pStyle w:val="Heading3"/>
      </w:pPr>
      <w:r w:rsidRPr="002A5365">
        <w:t>The Authority may dis</w:t>
      </w:r>
      <w:r w:rsidR="00C1286C">
        <w:t xml:space="preserve">close </w:t>
      </w:r>
      <w:r w:rsidRPr="002A5365">
        <w:t xml:space="preserve">information provided by a Potential Provider </w:t>
      </w:r>
      <w:r w:rsidR="00C1286C">
        <w:t xml:space="preserve">where there is express provision to do so </w:t>
      </w:r>
      <w:r w:rsidR="00E27050" w:rsidRPr="002A5365">
        <w:t>in accordance with Regulation 21 (2).</w:t>
      </w:r>
    </w:p>
    <w:p w14:paraId="4A7BA196" w14:textId="77777777" w:rsidR="007A3E72" w:rsidRPr="002A5365" w:rsidRDefault="009158EF">
      <w:pPr>
        <w:pStyle w:val="Heading3"/>
      </w:pPr>
      <w:r>
        <w:t>C</w:t>
      </w:r>
      <w:r w:rsidR="007A3E72" w:rsidRPr="002A5365">
        <w:t>ustomer contact</w:t>
      </w:r>
      <w:r>
        <w:t>s named in the Selection Questionnaire</w:t>
      </w:r>
      <w:r w:rsidR="007A3E72" w:rsidRPr="002A5365">
        <w:t xml:space="preserve"> do not owe the Authority any duty of care or have any legal liability, except for any deceitful or malici</w:t>
      </w:r>
      <w:r>
        <w:t>ously false statements of fact.</w:t>
      </w:r>
    </w:p>
    <w:p w14:paraId="4A7BA197" w14:textId="1D373AEB" w:rsidR="00BE7A7A" w:rsidRPr="002A5365" w:rsidRDefault="007A3E72">
      <w:pPr>
        <w:pStyle w:val="Heading3"/>
      </w:pPr>
      <w:r w:rsidRPr="002A5365">
        <w:t>The Authority confirms that it will keep confidential and will not disclose to any third parties any information obtained from a named customer contact, o</w:t>
      </w:r>
      <w:r w:rsidR="006441F3" w:rsidRPr="002A5365">
        <w:t>ther than to the</w:t>
      </w:r>
      <w:r w:rsidRPr="002A5365">
        <w:t xml:space="preserve"> </w:t>
      </w:r>
      <w:r w:rsidR="00E27050" w:rsidRPr="002A5365">
        <w:t>C</w:t>
      </w:r>
      <w:r w:rsidRPr="002A5365">
        <w:t xml:space="preserve">ontracting </w:t>
      </w:r>
      <w:r w:rsidR="00E27050" w:rsidRPr="002A5365">
        <w:t>A</w:t>
      </w:r>
      <w:r w:rsidRPr="002A5365">
        <w:t>uthorities.</w:t>
      </w:r>
    </w:p>
    <w:p w14:paraId="4A7BA19A" w14:textId="7F91CB2B" w:rsidR="0079033B" w:rsidRPr="002A5365" w:rsidRDefault="0079033B" w:rsidP="00A32222">
      <w:pPr>
        <w:pStyle w:val="Heading3"/>
        <w:numPr>
          <w:ilvl w:val="0"/>
          <w:numId w:val="0"/>
        </w:numPr>
      </w:pPr>
      <w:bookmarkStart w:id="11" w:name="_Toc277947343"/>
      <w:bookmarkStart w:id="12" w:name="_Ref284791665"/>
      <w:bookmarkStart w:id="13" w:name="_Ref285623882"/>
      <w:bookmarkStart w:id="14" w:name="_Ref372795810"/>
      <w:r w:rsidRPr="002A5365">
        <w:br w:type="page"/>
      </w:r>
    </w:p>
    <w:p w14:paraId="4A7BA19B" w14:textId="77777777" w:rsidR="00E413F3" w:rsidRPr="00C351DF" w:rsidRDefault="00E413F3" w:rsidP="00C57281">
      <w:pPr>
        <w:pStyle w:val="Heading1"/>
        <w:rPr>
          <w:sz w:val="22"/>
          <w:szCs w:val="22"/>
        </w:rPr>
      </w:pPr>
      <w:bookmarkStart w:id="15" w:name="_Toc458691540"/>
      <w:r w:rsidRPr="00C351DF">
        <w:rPr>
          <w:sz w:val="22"/>
          <w:szCs w:val="22"/>
        </w:rPr>
        <w:lastRenderedPageBreak/>
        <w:t xml:space="preserve">CONTRACTING ARRANGEMENTS (Sub-contractORS AND </w:t>
      </w:r>
      <w:bookmarkEnd w:id="11"/>
      <w:bookmarkEnd w:id="12"/>
      <w:bookmarkEnd w:id="13"/>
      <w:r w:rsidR="000F7D62" w:rsidRPr="00C351DF">
        <w:rPr>
          <w:sz w:val="22"/>
          <w:szCs w:val="22"/>
        </w:rPr>
        <w:t>GROUPS OF ECONOMIC OPERATORS</w:t>
      </w:r>
      <w:r w:rsidRPr="00C351DF">
        <w:rPr>
          <w:sz w:val="22"/>
          <w:szCs w:val="22"/>
        </w:rPr>
        <w:t>)</w:t>
      </w:r>
      <w:bookmarkEnd w:id="14"/>
      <w:bookmarkEnd w:id="15"/>
    </w:p>
    <w:p w14:paraId="4A7BA19C" w14:textId="729C1FCD" w:rsidR="00E413F3" w:rsidRPr="00CF5E00" w:rsidRDefault="00D22EF6" w:rsidP="00C57281">
      <w:pPr>
        <w:pStyle w:val="Heading2"/>
        <w:rPr>
          <w:sz w:val="22"/>
          <w:szCs w:val="22"/>
        </w:rPr>
      </w:pPr>
      <w:r w:rsidRPr="00C351DF">
        <w:rPr>
          <w:sz w:val="22"/>
          <w:szCs w:val="22"/>
        </w:rPr>
        <w:t>It is important that your Tender conveys a complete and accurate picture of how the Authority’s minimum requirements for legal, economic</w:t>
      </w:r>
      <w:r w:rsidR="005148E7" w:rsidRPr="00C351DF">
        <w:rPr>
          <w:sz w:val="22"/>
          <w:szCs w:val="22"/>
        </w:rPr>
        <w:t>,</w:t>
      </w:r>
      <w:r w:rsidRPr="00C351DF">
        <w:rPr>
          <w:sz w:val="22"/>
          <w:szCs w:val="22"/>
        </w:rPr>
        <w:t xml:space="preserve"> technical </w:t>
      </w:r>
      <w:r w:rsidR="005148E7" w:rsidRPr="00C351DF">
        <w:rPr>
          <w:sz w:val="22"/>
          <w:szCs w:val="22"/>
        </w:rPr>
        <w:t xml:space="preserve">and professional </w:t>
      </w:r>
      <w:r w:rsidRPr="00C351DF">
        <w:rPr>
          <w:sz w:val="22"/>
          <w:szCs w:val="22"/>
        </w:rPr>
        <w:t>capacity, as set out in the Selection Questionnaire</w:t>
      </w:r>
      <w:r w:rsidR="002B3F57">
        <w:rPr>
          <w:sz w:val="22"/>
          <w:szCs w:val="22"/>
        </w:rPr>
        <w:t xml:space="preserve"> (Appendix 1</w:t>
      </w:r>
      <w:r w:rsidR="000E1CB7">
        <w:rPr>
          <w:sz w:val="22"/>
          <w:szCs w:val="22"/>
        </w:rPr>
        <w:t>)</w:t>
      </w:r>
      <w:r w:rsidRPr="00C351DF">
        <w:rPr>
          <w:sz w:val="22"/>
          <w:szCs w:val="22"/>
        </w:rPr>
        <w:t xml:space="preserve">, will be satisfied. The </w:t>
      </w:r>
      <w:r w:rsidRPr="00926E97">
        <w:rPr>
          <w:sz w:val="22"/>
          <w:szCs w:val="22"/>
        </w:rPr>
        <w:t xml:space="preserve">Authority needs clarity </w:t>
      </w:r>
      <w:r w:rsidRPr="006523E9">
        <w:rPr>
          <w:sz w:val="22"/>
          <w:szCs w:val="22"/>
        </w:rPr>
        <w:t>on how bids are structured in terms of organisations contributing to them.</w:t>
      </w:r>
    </w:p>
    <w:p w14:paraId="4A7BA19D" w14:textId="77777777" w:rsidR="002C4CF7" w:rsidRPr="00AA1BD9" w:rsidRDefault="002C4CF7" w:rsidP="002C4CF7">
      <w:pPr>
        <w:pStyle w:val="Heading2"/>
        <w:rPr>
          <w:sz w:val="22"/>
          <w:szCs w:val="22"/>
        </w:rPr>
      </w:pPr>
      <w:bookmarkStart w:id="16" w:name="_Ref286847545"/>
      <w:r w:rsidRPr="00AA1BD9">
        <w:rPr>
          <w:sz w:val="22"/>
          <w:szCs w:val="22"/>
        </w:rPr>
        <w:t xml:space="preserve">The Authority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Pr="00AA1BD9">
        <w:rPr>
          <w:sz w:val="22"/>
          <w:szCs w:val="22"/>
        </w:rPr>
        <w:t xml:space="preserve"> this paragraph must be followed.</w:t>
      </w:r>
    </w:p>
    <w:p w14:paraId="4A7BA19E" w14:textId="77777777" w:rsidR="00E413F3" w:rsidRPr="00C351DF" w:rsidRDefault="00C57281" w:rsidP="00C57281">
      <w:pPr>
        <w:pStyle w:val="Heading2"/>
        <w:rPr>
          <w:sz w:val="22"/>
          <w:szCs w:val="22"/>
        </w:rPr>
      </w:pPr>
      <w:bookmarkStart w:id="17"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will ultimately enter into a Framework Agreement with the Authority and therefore assume liability for performance of the Framework Agreement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subject to paragraph 6.6 below</w:t>
      </w:r>
      <w:r w:rsidRPr="00C351DF">
        <w:rPr>
          <w:sz w:val="22"/>
          <w:szCs w:val="22"/>
        </w:rPr>
        <w:t>.</w:t>
      </w:r>
      <w:bookmarkEnd w:id="16"/>
      <w:bookmarkEnd w:id="17"/>
    </w:p>
    <w:p w14:paraId="4A7BA19F" w14:textId="3E092710" w:rsidR="00EC3E78" w:rsidRPr="00C351DF" w:rsidRDefault="00C57281" w:rsidP="00C57281">
      <w:pPr>
        <w:pStyle w:val="Heading2"/>
        <w:rPr>
          <w:sz w:val="22"/>
          <w:szCs w:val="22"/>
        </w:rPr>
      </w:pPr>
      <w:bookmarkStart w:id="18"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w:t>
      </w:r>
      <w:r w:rsidR="002B3F57">
        <w:rPr>
          <w:sz w:val="22"/>
          <w:szCs w:val="22"/>
        </w:rPr>
        <w:t xml:space="preserve">nder (and subject to </w:t>
      </w:r>
      <w:r w:rsidR="002B3F57" w:rsidRPr="002B3F57">
        <w:rPr>
          <w:sz w:val="22"/>
          <w:szCs w:val="22"/>
        </w:rPr>
        <w:t xml:space="preserve">paragraph </w:t>
      </w:r>
      <w:r w:rsidR="00CE13D1" w:rsidRPr="002B3F57">
        <w:rPr>
          <w:sz w:val="22"/>
          <w:szCs w:val="22"/>
        </w:rPr>
        <w:fldChar w:fldCharType="begin"/>
      </w:r>
      <w:r w:rsidR="00CE13D1" w:rsidRPr="002B3F57">
        <w:rPr>
          <w:sz w:val="22"/>
          <w:szCs w:val="22"/>
        </w:rPr>
        <w:instrText xml:space="preserve"> REF _Ref320716532 \r \h  \* MERGEFORMAT </w:instrText>
      </w:r>
      <w:r w:rsidR="00CE13D1" w:rsidRPr="002B3F57">
        <w:rPr>
          <w:sz w:val="22"/>
          <w:szCs w:val="22"/>
        </w:rPr>
      </w:r>
      <w:r w:rsidR="00CE13D1" w:rsidRPr="002B3F57">
        <w:rPr>
          <w:sz w:val="22"/>
          <w:szCs w:val="22"/>
        </w:rPr>
        <w:fldChar w:fldCharType="separate"/>
      </w:r>
      <w:r w:rsidR="00FD51A8" w:rsidRPr="002B3F57">
        <w:rPr>
          <w:sz w:val="22"/>
          <w:szCs w:val="22"/>
        </w:rPr>
        <w:t>6.8</w:t>
      </w:r>
      <w:r w:rsidR="00CE13D1" w:rsidRPr="002B3F57">
        <w:rPr>
          <w:sz w:val="22"/>
          <w:szCs w:val="22"/>
        </w:rPr>
        <w:fldChar w:fldCharType="end"/>
      </w:r>
      <w:r w:rsidRPr="002B3F57">
        <w:rPr>
          <w:sz w:val="22"/>
          <w:szCs w:val="22"/>
        </w:rPr>
        <w:t>),</w:t>
      </w:r>
      <w:r w:rsidRPr="00C351DF">
        <w:rPr>
          <w:sz w:val="22"/>
          <w:szCs w:val="22"/>
        </w:rPr>
        <w:t xml:space="preserve"> no organisation other than the Potential Provider will be able to provide</w:t>
      </w:r>
      <w:r w:rsidR="00EC3DFE" w:rsidRPr="00C351DF">
        <w:rPr>
          <w:sz w:val="22"/>
          <w:szCs w:val="22"/>
        </w:rPr>
        <w:t xml:space="preserve"> </w:t>
      </w:r>
      <w:r w:rsidRPr="002B3F57">
        <w:rPr>
          <w:sz w:val="22"/>
          <w:szCs w:val="22"/>
        </w:rPr>
        <w:t>Services</w:t>
      </w:r>
      <w:r w:rsidR="00BF6C46" w:rsidRPr="002B3F57">
        <w:rPr>
          <w:sz w:val="22"/>
          <w:szCs w:val="22"/>
        </w:rPr>
        <w:t xml:space="preserve"> </w:t>
      </w:r>
      <w:r w:rsidRPr="002B3F57">
        <w:rPr>
          <w:sz w:val="22"/>
          <w:szCs w:val="22"/>
        </w:rPr>
        <w:t>through</w:t>
      </w:r>
      <w:r w:rsidRPr="00C351DF">
        <w:rPr>
          <w:sz w:val="22"/>
          <w:szCs w:val="22"/>
        </w:rPr>
        <w:t xml:space="preserve"> th</w:t>
      </w:r>
      <w:r w:rsidR="00EC3DFE" w:rsidRPr="00C351DF">
        <w:rPr>
          <w:sz w:val="22"/>
          <w:szCs w:val="22"/>
        </w:rPr>
        <w:t>e Framework Agreement,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Potential Provider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8"/>
    </w:p>
    <w:p w14:paraId="4A7BA1A0" w14:textId="77777777" w:rsidR="00EC3E78" w:rsidRPr="00AA1BD9" w:rsidRDefault="00247FD2" w:rsidP="00C57281">
      <w:pPr>
        <w:pStyle w:val="Heading2"/>
        <w:rPr>
          <w:b/>
          <w:sz w:val="22"/>
          <w:szCs w:val="22"/>
        </w:rPr>
      </w:pPr>
      <w:bookmarkStart w:id="19" w:name="_Ref286761748"/>
      <w:r w:rsidRPr="00AA1BD9">
        <w:rPr>
          <w:b/>
          <w:sz w:val="22"/>
          <w:szCs w:val="22"/>
        </w:rPr>
        <w:t>Sub-c</w:t>
      </w:r>
      <w:r w:rsidR="00EC3E78" w:rsidRPr="00AA1BD9">
        <w:rPr>
          <w:b/>
          <w:sz w:val="22"/>
          <w:szCs w:val="22"/>
        </w:rPr>
        <w:t>ontracting</w:t>
      </w:r>
      <w:bookmarkEnd w:id="19"/>
      <w:r w:rsidR="00EC3E78" w:rsidRPr="00AA1BD9">
        <w:rPr>
          <w:b/>
          <w:sz w:val="22"/>
          <w:szCs w:val="22"/>
        </w:rPr>
        <w:t xml:space="preserve"> </w:t>
      </w:r>
      <w:r w:rsidRPr="00AA1BD9">
        <w:rPr>
          <w:b/>
          <w:sz w:val="22"/>
          <w:szCs w:val="22"/>
        </w:rPr>
        <w:t>p</w:t>
      </w:r>
      <w:r w:rsidR="00EC3E78" w:rsidRPr="00AA1BD9">
        <w:rPr>
          <w:b/>
          <w:sz w:val="22"/>
          <w:szCs w:val="22"/>
        </w:rPr>
        <w:t>roposals</w:t>
      </w:r>
      <w:r w:rsidR="00BA514C" w:rsidRPr="00AA1BD9">
        <w:rPr>
          <w:b/>
          <w:sz w:val="22"/>
          <w:szCs w:val="22"/>
        </w:rPr>
        <w:t>:</w:t>
      </w:r>
    </w:p>
    <w:p w14:paraId="4A7BA1A1" w14:textId="284C74AF" w:rsidR="006441F3" w:rsidRPr="00C351DF" w:rsidRDefault="002B3F57">
      <w:pPr>
        <w:pStyle w:val="Heading3"/>
      </w:pPr>
      <w:r>
        <w:t>You need to complete Section A</w:t>
      </w:r>
      <w:r w:rsidR="00B7002F" w:rsidRPr="00C351DF">
        <w:t xml:space="preserve"> in the Selection Questionnaire if</w:t>
      </w:r>
      <w:r w:rsidR="00364882" w:rsidRPr="00C351DF">
        <w:t xml:space="preserve"> you</w:t>
      </w:r>
      <w:r w:rsidR="006441F3" w:rsidRPr="00C351DF">
        <w:t xml:space="preserve"> propose to use one or more </w:t>
      </w:r>
      <w:r w:rsidR="00EF60E3" w:rsidRPr="00C351DF">
        <w:t>Sub-Contractor</w:t>
      </w:r>
      <w:r w:rsidR="006441F3" w:rsidRPr="00C351DF">
        <w:t>s</w:t>
      </w:r>
      <w:r w:rsidR="00364882" w:rsidRPr="00C351DF">
        <w:t>.</w:t>
      </w:r>
    </w:p>
    <w:p w14:paraId="4A7BA1A2" w14:textId="00003D4F" w:rsidR="00EC3E78" w:rsidRPr="005C7FDC" w:rsidRDefault="00C57281">
      <w:pPr>
        <w:pStyle w:val="Heading3"/>
      </w:pPr>
      <w:r w:rsidRPr="00C351DF">
        <w:t xml:space="preserve">The Authority does not require all </w:t>
      </w:r>
      <w:r w:rsidR="0091350D" w:rsidRPr="00C351DF">
        <w:t>sub-contractors</w:t>
      </w:r>
      <w:r w:rsidRPr="00C351DF">
        <w:t xml:space="preserve"> </w:t>
      </w:r>
      <w:r w:rsidR="00364882" w:rsidRPr="00C351DF">
        <w:t xml:space="preserve">to </w:t>
      </w:r>
      <w:r w:rsidRPr="00C351DF">
        <w:t xml:space="preserve">be disclosed. </w:t>
      </w:r>
      <w:r w:rsidR="00364882" w:rsidRPr="00C351DF">
        <w:t>You need</w:t>
      </w:r>
      <w:r w:rsidRPr="00C351DF">
        <w:t xml:space="preserve"> </w:t>
      </w:r>
      <w:r w:rsidR="00364882" w:rsidRPr="00C351DF">
        <w:t xml:space="preserve">only </w:t>
      </w:r>
      <w:r w:rsidRPr="00C351DF">
        <w:t xml:space="preserve">disclose those </w:t>
      </w:r>
      <w:r w:rsidR="0091350D" w:rsidRPr="00C351DF">
        <w:t>sub-contractors</w:t>
      </w:r>
      <w:r w:rsidRPr="00C351DF">
        <w:t xml:space="preserve"> who directly contribute to </w:t>
      </w:r>
      <w:r w:rsidR="00364882" w:rsidRPr="00C351DF">
        <w:t>your</w:t>
      </w:r>
      <w:r w:rsidRPr="00C351DF">
        <w:t xml:space="preserve"> ability to meet </w:t>
      </w:r>
      <w:r w:rsidR="00364882" w:rsidRPr="00C351DF">
        <w:t>your</w:t>
      </w:r>
      <w:r w:rsidRPr="00C351DF">
        <w:t xml:space="preserve"> obligations under the Framework Agreem</w:t>
      </w:r>
      <w:r w:rsidR="0048192A">
        <w:t>ent</w:t>
      </w:r>
      <w:r w:rsidRPr="00C351DF">
        <w:t xml:space="preserve">. There is no need to specify </w:t>
      </w:r>
      <w:r w:rsidR="0091350D" w:rsidRPr="00C351DF">
        <w:t>sub-contractors</w:t>
      </w:r>
      <w:r w:rsidRPr="00C351DF">
        <w:t xml:space="preserve"> </w:t>
      </w:r>
      <w:r w:rsidR="00364882" w:rsidRPr="00C351DF">
        <w:t>supply</w:t>
      </w:r>
      <w:r w:rsidRPr="00C351DF">
        <w:t xml:space="preserve">ing general services to </w:t>
      </w:r>
      <w:r w:rsidR="00364882" w:rsidRPr="00C351DF">
        <w:t>you</w:t>
      </w:r>
      <w:r w:rsidRPr="00C351DF">
        <w:t xml:space="preserve"> (such as window cleaners </w:t>
      </w:r>
      <w:r w:rsidR="00D62B3B" w:rsidRPr="00C351DF">
        <w:t>etc.</w:t>
      </w:r>
      <w:r w:rsidRPr="00C351DF">
        <w:t xml:space="preserve">) that </w:t>
      </w:r>
      <w:r w:rsidR="00364882" w:rsidRPr="00C351DF">
        <w:t xml:space="preserve">only </w:t>
      </w:r>
      <w:r w:rsidRPr="00C351DF">
        <w:t xml:space="preserve">indirectly enable </w:t>
      </w:r>
      <w:r w:rsidR="00364882" w:rsidRPr="00C351DF">
        <w:t>you</w:t>
      </w:r>
      <w:r w:rsidRPr="00C351DF">
        <w:t xml:space="preserve"> to pe</w:t>
      </w:r>
      <w:r w:rsidR="00364882" w:rsidRPr="00C351DF">
        <w:t xml:space="preserve">rform the Framework Agreement. Please read the definition of Sub-Contractor in </w:t>
      </w:r>
      <w:r w:rsidR="00364882" w:rsidRPr="005C7FDC">
        <w:t xml:space="preserve">Paragraph </w:t>
      </w:r>
      <w:r w:rsidR="005C7FDC" w:rsidRPr="005C7FDC">
        <w:t>12</w:t>
      </w:r>
      <w:r w:rsidR="00364882" w:rsidRPr="005C7FDC">
        <w:t>.</w:t>
      </w:r>
    </w:p>
    <w:p w14:paraId="4A7BA1A3" w14:textId="0B725610" w:rsidR="003327AC" w:rsidRPr="00C351DF" w:rsidRDefault="003327AC">
      <w:pPr>
        <w:pStyle w:val="Heading3"/>
      </w:pPr>
      <w:r w:rsidRPr="00C351DF">
        <w:t xml:space="preserve">If you need to rely on the capability and/or experience of one or more Sub-Contractors in your Tender to demonstrate your ability to provide </w:t>
      </w:r>
      <w:r w:rsidRPr="0048192A">
        <w:t>the Services</w:t>
      </w:r>
      <w:r w:rsidRPr="00C351DF">
        <w:t xml:space="preserve"> in accordance with the requirements of the question and the Framework Agreement you must inform the Authority in your Tender.</w:t>
      </w:r>
    </w:p>
    <w:p w14:paraId="4A7BA1A4" w14:textId="77777777" w:rsidR="003327AC" w:rsidRPr="00C351DF" w:rsidRDefault="003327AC">
      <w:pPr>
        <w:pStyle w:val="Heading3"/>
      </w:pPr>
      <w:r w:rsidRPr="00C351DF">
        <w:t>Your Tender must clearly identify when it is relying on a Sub-Contractor in its response to a question, giving the name of the Sub-Contractor and explaining the Sub-Contractor’s role, capability and experience as the context of the question requires.</w:t>
      </w:r>
    </w:p>
    <w:p w14:paraId="4A7BA1A5" w14:textId="77777777" w:rsidR="00EC3E78" w:rsidRPr="00AA1BD9" w:rsidRDefault="005011AF" w:rsidP="00C57281">
      <w:pPr>
        <w:pStyle w:val="Heading2"/>
        <w:rPr>
          <w:b/>
          <w:sz w:val="22"/>
          <w:szCs w:val="22"/>
        </w:rPr>
      </w:pPr>
      <w:bookmarkStart w:id="20" w:name="_Ref286761761"/>
      <w:r w:rsidRPr="00AA1BD9">
        <w:rPr>
          <w:b/>
          <w:sz w:val="22"/>
          <w:szCs w:val="22"/>
        </w:rPr>
        <w:t>Group of Economic Operator</w:t>
      </w:r>
      <w:r w:rsidR="00EC3E78" w:rsidRPr="00AA1BD9">
        <w:rPr>
          <w:b/>
          <w:sz w:val="22"/>
          <w:szCs w:val="22"/>
        </w:rPr>
        <w:t xml:space="preserve"> </w:t>
      </w:r>
      <w:bookmarkEnd w:id="20"/>
      <w:r w:rsidR="00EC3E78" w:rsidRPr="00AA1BD9">
        <w:rPr>
          <w:b/>
          <w:sz w:val="22"/>
          <w:szCs w:val="22"/>
        </w:rPr>
        <w:t>proposals</w:t>
      </w:r>
      <w:r w:rsidR="00BA514C" w:rsidRPr="00AA1BD9">
        <w:rPr>
          <w:b/>
          <w:sz w:val="22"/>
          <w:szCs w:val="22"/>
        </w:rPr>
        <w:t>:</w:t>
      </w:r>
    </w:p>
    <w:p w14:paraId="4A7BA1A6" w14:textId="50B6D2F8"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w:t>
      </w:r>
      <w:r w:rsidRPr="0048192A">
        <w:t>the</w:t>
      </w:r>
      <w:r w:rsidR="00EC3DFE" w:rsidRPr="0048192A">
        <w:t xml:space="preserve"> </w:t>
      </w:r>
      <w:r w:rsidRPr="0048192A">
        <w:t>Services</w:t>
      </w:r>
      <w:r w:rsidRPr="00C351DF">
        <w:t xml:space="preserve"> they may do so</w:t>
      </w:r>
      <w:r w:rsidR="006504BD" w:rsidRPr="00C351DF">
        <w:t xml:space="preserve"> with all parties signing the resultant Framework Agreement and assuming joint and several responsibility for performance of the Framework Agreement.  </w:t>
      </w:r>
    </w:p>
    <w:p w14:paraId="4A7BA1A7" w14:textId="77777777" w:rsidR="00EC3E78" w:rsidRPr="00C351DF" w:rsidRDefault="006504BD">
      <w:pPr>
        <w:pStyle w:val="Heading3"/>
      </w:pPr>
      <w:r w:rsidRPr="00C351DF">
        <w:t xml:space="preserve">Please note that, in accordance with Regulation 19 (6), the Authority 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the Framework Agreement.</w:t>
      </w:r>
      <w:r w:rsidR="00861BC5" w:rsidRPr="00C351DF">
        <w:t xml:space="preserve"> In this case, the </w:t>
      </w:r>
      <w:r w:rsidR="00861BC5" w:rsidRPr="00C351DF">
        <w:lastRenderedPageBreak/>
        <w:t xml:space="preserve">Authority is also likely to require the members of the </w:t>
      </w:r>
      <w:r w:rsidR="005011AF" w:rsidRPr="00C351DF">
        <w:t>Group of Economic Operators</w:t>
      </w:r>
      <w:r w:rsidR="00861BC5" w:rsidRPr="00C351DF">
        <w:t xml:space="preserve"> to nominate a </w:t>
      </w:r>
      <w:r w:rsidR="00726115">
        <w:t xml:space="preserve">Framework </w:t>
      </w:r>
      <w:r w:rsidR="006B547D" w:rsidRPr="00C351DF">
        <w:t>Guarantor</w:t>
      </w:r>
      <w:r w:rsidR="00861BC5" w:rsidRPr="00C351DF">
        <w:t xml:space="preserve"> for the single legal entity’s performance of the Framework Agreement.</w:t>
      </w:r>
    </w:p>
    <w:p w14:paraId="4A7BA1A8" w14:textId="77777777"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bidding 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00072863">
        <w:t>and</w:t>
      </w:r>
      <w:r w:rsidRPr="00C351DF">
        <w:t xml:space="preserve"> 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0A286DAC" w:rsidR="001B2733" w:rsidRPr="00C351DF" w:rsidRDefault="001B2733">
      <w:pPr>
        <w:pStyle w:val="Heading3"/>
      </w:pPr>
      <w:r w:rsidRPr="00C351DF">
        <w:t>The Lead C</w:t>
      </w:r>
      <w:r w:rsidR="00C04AEB">
        <w:t>ontact should complete Section A</w:t>
      </w:r>
      <w:r w:rsidR="005A4ECF" w:rsidRPr="00C351DF">
        <w:t xml:space="preserve"> in the</w:t>
      </w:r>
      <w:r w:rsidRPr="00C351DF">
        <w:t xml:space="preserve"> Selection Questionnaire to provide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422F8D" w:rsidRPr="00C351DF">
        <w:t xml:space="preserve">contract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30A654F6"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w:t>
      </w:r>
      <w:r w:rsidRPr="00C04AEB">
        <w:t>the Services in</w:t>
      </w:r>
      <w:r w:rsidRPr="00C351DF">
        <w:t xml:space="preserve"> accordance with the requirements of the ITT and the Framework Agreement</w:t>
      </w:r>
      <w:r w:rsidR="00280DAC" w:rsidRPr="00C351DF">
        <w:t>,</w:t>
      </w:r>
      <w:r w:rsidRPr="00C351DF">
        <w:t xml:space="preserve"> it must inform the Authority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C351DF" w:rsidRDefault="00EC3E78" w:rsidP="00C57281">
      <w:pPr>
        <w:pStyle w:val="Heading2"/>
        <w:rPr>
          <w:sz w:val="22"/>
          <w:szCs w:val="22"/>
        </w:rPr>
      </w:pPr>
      <w:r w:rsidRPr="00C351DF">
        <w:rPr>
          <w:sz w:val="22"/>
          <w:szCs w:val="22"/>
        </w:rPr>
        <w:t xml:space="preserve">Queries </w:t>
      </w:r>
    </w:p>
    <w:p w14:paraId="4A7BA1AD" w14:textId="46A975CF" w:rsidR="00EC3E78" w:rsidRPr="005C7FDC"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you are unsure how to classify and communicate your contracting arrangements in your Tender, then you should contact the Authority at the earliest opportunity in accordance with </w:t>
      </w:r>
      <w:r w:rsidRPr="005C7FDC">
        <w:t xml:space="preserve">paragraph </w:t>
      </w:r>
      <w:r w:rsidR="005A4ECF" w:rsidRPr="005C7FDC">
        <w:t>7</w:t>
      </w:r>
      <w:r w:rsidRPr="005C7FDC">
        <w:t>.</w:t>
      </w:r>
    </w:p>
    <w:p w14:paraId="4A7BA1AE" w14:textId="77777777" w:rsidR="00EC3E78" w:rsidRPr="00C351DF" w:rsidRDefault="00EC3E78" w:rsidP="00C57281">
      <w:pPr>
        <w:pStyle w:val="Heading2"/>
        <w:rPr>
          <w:sz w:val="22"/>
          <w:szCs w:val="22"/>
        </w:rPr>
      </w:pPr>
      <w:bookmarkStart w:id="21" w:name="_Ref320716532"/>
      <w:r w:rsidRPr="00C351DF">
        <w:rPr>
          <w:sz w:val="22"/>
          <w:szCs w:val="22"/>
        </w:rPr>
        <w:t>Changes to the contracting arrangements</w:t>
      </w:r>
      <w:bookmarkEnd w:id="21"/>
    </w:p>
    <w:p w14:paraId="4A7BA1AF" w14:textId="77777777" w:rsidR="001B2733" w:rsidRPr="00C351DF" w:rsidRDefault="001B2733" w:rsidP="00696C71">
      <w:pPr>
        <w:pStyle w:val="Heading3"/>
      </w:pPr>
      <w:bookmarkStart w:id="22" w:name="_Toc277947345"/>
      <w:r w:rsidRPr="00C351DF">
        <w:t xml:space="preserve">The Authority recognises that arrangements in relation to sub-contracting and </w:t>
      </w:r>
      <w:r w:rsidR="0007504E" w:rsidRPr="00C351DF">
        <w:t>Groups of Economic Operators</w:t>
      </w:r>
      <w:r w:rsidR="007735A9" w:rsidRPr="00C351DF">
        <w:t xml:space="preserve"> </w:t>
      </w:r>
      <w:r w:rsidRPr="00C351DF">
        <w:t xml:space="preserve">may be subject to future change, and may not be finalised until a later date.  However, any changes to those arrangements may affect </w:t>
      </w:r>
      <w:r w:rsidR="0007504E" w:rsidRPr="00C351DF">
        <w:t>your</w:t>
      </w:r>
      <w:r w:rsidRPr="00C351DF">
        <w:t xml:space="preserve"> ability </w:t>
      </w:r>
      <w:r w:rsidR="0007504E" w:rsidRPr="00C351DF">
        <w:t xml:space="preserve">to deliver the requirements. </w:t>
      </w:r>
      <w:r w:rsidR="000A5896" w:rsidRPr="00C351DF">
        <w:t xml:space="preserve">You must tell us about any changes to the </w:t>
      </w:r>
      <w:r w:rsidRPr="00C351DF">
        <w:t xml:space="preserve">proposed sub-contracting or </w:t>
      </w:r>
      <w:r w:rsidR="000A5896" w:rsidRPr="00C351DF">
        <w:t>to the Group of Economic Operators</w:t>
      </w:r>
      <w:r w:rsidRPr="00C351DF">
        <w:t>. The Authority</w:t>
      </w:r>
      <w:r w:rsidR="000A5896" w:rsidRPr="00C351DF">
        <w:t xml:space="preserve"> will assess the new information provided and</w:t>
      </w:r>
      <w:r w:rsidRPr="00C351DF">
        <w:t xml:space="preserve"> reserves the right to </w:t>
      </w:r>
      <w:r w:rsidR="000A5896" w:rsidRPr="00C351DF">
        <w:t>exclude</w:t>
      </w:r>
      <w:r w:rsidRPr="00C351DF">
        <w:t xml:space="preserve"> the Potential Provider prior to any award of contract.</w:t>
      </w:r>
    </w:p>
    <w:p w14:paraId="4A7BA1B0" w14:textId="3BAB1EC3" w:rsidR="00D22EF6" w:rsidRPr="00C351DF" w:rsidRDefault="00D22EF6">
      <w:pPr>
        <w:pStyle w:val="Heading3"/>
      </w:pPr>
      <w:r w:rsidRPr="00C351DF">
        <w:t>If you are awarded a Framework Agreement,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Pr="00C351DF">
        <w:t xml:space="preserve"> which are made following the award will be dealt with in accordance with </w:t>
      </w:r>
      <w:r w:rsidR="00E33F81" w:rsidRPr="00C351DF">
        <w:t>clause [</w:t>
      </w:r>
      <w:r w:rsidR="00566C83" w:rsidRPr="00C351DF">
        <w:rPr>
          <w:highlight w:val="yellow"/>
        </w:rPr>
        <w:t>22</w:t>
      </w:r>
      <w:r w:rsidR="00E33F81" w:rsidRPr="00C351DF">
        <w:t>] of the Framework Agreement</w:t>
      </w:r>
      <w:r w:rsidR="009B1299" w:rsidRPr="00C351DF">
        <w:t xml:space="preserve"> </w:t>
      </w:r>
      <w:r w:rsidR="002C4CF7">
        <w:t>(</w:t>
      </w:r>
      <w:r w:rsidR="00C04AEB">
        <w:t>Appendix 3</w:t>
      </w:r>
      <w:r w:rsidR="00E9541E">
        <w:t>)</w:t>
      </w:r>
      <w:r w:rsidR="00E33F81" w:rsidRPr="00C351DF">
        <w:t>.</w:t>
      </w:r>
    </w:p>
    <w:p w14:paraId="4A7BA1B1" w14:textId="77777777" w:rsidR="00EC3E78" w:rsidRPr="00C351DF" w:rsidRDefault="00EC3E78" w:rsidP="00C57281">
      <w:pPr>
        <w:pStyle w:val="Heading2"/>
        <w:rPr>
          <w:sz w:val="22"/>
          <w:szCs w:val="22"/>
        </w:rPr>
      </w:pPr>
      <w:r w:rsidRPr="00C351DF">
        <w:rPr>
          <w:sz w:val="22"/>
          <w:szCs w:val="22"/>
        </w:rPr>
        <w:t>Declaration of Compliance</w:t>
      </w:r>
    </w:p>
    <w:p w14:paraId="4A7BA1B2" w14:textId="52829CC0" w:rsidR="00EC3E78" w:rsidRPr="00C351DF" w:rsidRDefault="00C57281" w:rsidP="00696C71">
      <w:pPr>
        <w:pStyle w:val="Heading3"/>
      </w:pPr>
      <w:r w:rsidRPr="00C351DF">
        <w:t xml:space="preserve">The Authority requires you </w:t>
      </w:r>
      <w:r w:rsidR="0001319E" w:rsidRPr="00C351DF">
        <w:t xml:space="preserve">as either the </w:t>
      </w:r>
      <w:r w:rsidR="00664785">
        <w:t>Potential Provide</w:t>
      </w:r>
      <w:r w:rsidR="0001319E" w:rsidRPr="00C351DF">
        <w:t xml:space="preserve">r or Lead Contact </w:t>
      </w:r>
      <w:r w:rsidRPr="00C351DF">
        <w:t xml:space="preserve">to confirm </w:t>
      </w:r>
      <w:r w:rsidR="00735B24" w:rsidRPr="00C351DF">
        <w:t xml:space="preserve">that each </w:t>
      </w:r>
      <w:r w:rsidR="00EF60E3" w:rsidRPr="00C351DF">
        <w:t>Sub-Contractor</w:t>
      </w:r>
      <w:r w:rsidRPr="00C351DF">
        <w:t xml:space="preserve"> and/or </w:t>
      </w:r>
      <w:r w:rsidR="00C649E4" w:rsidRPr="00C351DF">
        <w:t xml:space="preserve">member of the </w:t>
      </w:r>
      <w:r w:rsidR="005011AF" w:rsidRPr="00C351DF">
        <w:t>Group of Economic Operators</w:t>
      </w:r>
      <w:r w:rsidRPr="00C351DF">
        <w:t xml:space="preserve"> named in the Tender has read, understood and complied with the statements contained within </w:t>
      </w:r>
      <w:r w:rsidR="00E9541E">
        <w:t xml:space="preserve">the </w:t>
      </w:r>
      <w:r w:rsidR="009B0331">
        <w:t>Declaration of Offer</w:t>
      </w:r>
      <w:r w:rsidR="00E9541E" w:rsidRPr="00E9541E">
        <w:t xml:space="preserve"> </w:t>
      </w:r>
      <w:r w:rsidR="00E9541E">
        <w:t>(</w:t>
      </w:r>
      <w:r w:rsidR="009B0331">
        <w:t>Appendix 4</w:t>
      </w:r>
      <w:r w:rsidR="00E9541E">
        <w:t>)</w:t>
      </w:r>
      <w:r w:rsidRPr="00C351DF">
        <w:t>.</w:t>
      </w:r>
      <w:r w:rsidR="00D91CD8">
        <w:t xml:space="preserve"> You do this in the online ‘Key Participation Requirements’ section. If you do not answer Yes to this confirmation you will be excluded from this Procurement. </w:t>
      </w:r>
      <w:r w:rsidRPr="00C351DF">
        <w:t xml:space="preserve">  This </w:t>
      </w:r>
      <w:r w:rsidRPr="00C351DF">
        <w:lastRenderedPageBreak/>
        <w:t xml:space="preserve">provides the Authority with assurance that statements made by or in relation to the </w:t>
      </w:r>
      <w:r w:rsidR="00EF60E3" w:rsidRPr="00C351DF">
        <w:t>Sub-Contractor</w:t>
      </w:r>
      <w:r w:rsidR="0091350D" w:rsidRPr="00C351DF">
        <w:t>s</w:t>
      </w:r>
      <w:r w:rsidRPr="00C351DF">
        <w:t xml:space="preserve"> and/or </w:t>
      </w:r>
      <w:r w:rsidR="00C649E4" w:rsidRPr="00C351DF">
        <w:t xml:space="preserve">members of the </w:t>
      </w:r>
      <w:r w:rsidR="005011AF" w:rsidRPr="00C351DF">
        <w:t>Group of Economic Operators</w:t>
      </w:r>
      <w:r w:rsidRPr="00C351DF">
        <w:t xml:space="preserve"> are accurate and that they have participated in this Procurement in accordance with the ITT.</w:t>
      </w:r>
    </w:p>
    <w:p w14:paraId="4A7BA1B3" w14:textId="77777777" w:rsidR="0079033B" w:rsidRDefault="0079033B">
      <w:pPr>
        <w:rPr>
          <w:rFonts w:ascii="Arial" w:eastAsia="STZhongsong" w:hAnsi="Arial" w:cs="Times New Roman"/>
          <w:b/>
          <w:caps/>
          <w:sz w:val="20"/>
          <w:szCs w:val="20"/>
          <w:lang w:eastAsia="zh-CN"/>
        </w:rPr>
      </w:pPr>
      <w:bookmarkStart w:id="23" w:name="_Ref284607453"/>
      <w:bookmarkStart w:id="24" w:name="_Ref286828015"/>
      <w:bookmarkEnd w:id="22"/>
      <w:r>
        <w:br w:type="page"/>
      </w:r>
    </w:p>
    <w:p w14:paraId="4A7BA1B4" w14:textId="77777777" w:rsidR="0058734C" w:rsidRPr="00C351DF" w:rsidRDefault="0058734C" w:rsidP="0058734C">
      <w:pPr>
        <w:pStyle w:val="Heading1"/>
        <w:rPr>
          <w:rFonts w:cs="Arial"/>
          <w:sz w:val="22"/>
          <w:szCs w:val="22"/>
        </w:rPr>
      </w:pPr>
      <w:bookmarkStart w:id="25" w:name="_Toc458691541"/>
      <w:r w:rsidRPr="00C351DF">
        <w:rPr>
          <w:rFonts w:cs="Arial"/>
          <w:sz w:val="22"/>
          <w:szCs w:val="22"/>
        </w:rPr>
        <w:lastRenderedPageBreak/>
        <w:t>questions AND Clarification</w:t>
      </w:r>
      <w:bookmarkEnd w:id="23"/>
      <w:r w:rsidRPr="00C351DF">
        <w:rPr>
          <w:rFonts w:cs="Arial"/>
          <w:sz w:val="22"/>
          <w:szCs w:val="22"/>
        </w:rPr>
        <w:t>S</w:t>
      </w:r>
      <w:bookmarkEnd w:id="24"/>
      <w:bookmarkEnd w:id="25"/>
      <w:r w:rsidRPr="00C351DF">
        <w:rPr>
          <w:rFonts w:cs="Arial"/>
          <w:sz w:val="22"/>
          <w:szCs w:val="22"/>
        </w:rPr>
        <w:t xml:space="preserve"> </w:t>
      </w:r>
    </w:p>
    <w:p w14:paraId="4A7BA1B5" w14:textId="0169F7DD" w:rsidR="0058734C" w:rsidRPr="00C351DF" w:rsidRDefault="00187832" w:rsidP="0058734C">
      <w:pPr>
        <w:pStyle w:val="Heading2"/>
        <w:rPr>
          <w:rFonts w:cs="Arial"/>
          <w:sz w:val="22"/>
          <w:szCs w:val="22"/>
        </w:rPr>
      </w:pPr>
      <w:r w:rsidRPr="00C351DF">
        <w:rPr>
          <w:rFonts w:cs="Arial"/>
          <w:sz w:val="22"/>
          <w:szCs w:val="22"/>
        </w:rPr>
        <w:t>You</w:t>
      </w:r>
      <w:r w:rsidR="0058734C" w:rsidRPr="00C351DF">
        <w:rPr>
          <w:rFonts w:cs="Arial"/>
          <w:sz w:val="22"/>
          <w:szCs w:val="22"/>
        </w:rPr>
        <w:t xml:space="preserve"> 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 Timetable in set out paragraph </w:t>
      </w:r>
      <w:r w:rsidR="00401557" w:rsidRPr="00A8588F">
        <w:rPr>
          <w:rFonts w:cs="Arial"/>
          <w:sz w:val="22"/>
          <w:szCs w:val="22"/>
        </w:rPr>
        <w:t>4</w:t>
      </w:r>
      <w:r w:rsidR="0058734C" w:rsidRPr="00A8588F">
        <w:rPr>
          <w:rFonts w:cs="Arial"/>
          <w:sz w:val="22"/>
          <w:szCs w:val="22"/>
        </w:rPr>
        <w:t>)</w:t>
      </w:r>
      <w:r w:rsidR="0058734C" w:rsidRPr="00C351DF">
        <w:rPr>
          <w:rFonts w:cs="Arial"/>
          <w:sz w:val="22"/>
          <w:szCs w:val="22"/>
        </w:rPr>
        <w:t xml:space="preserve">. Questions must be submitted using the messaging facility provided within the e-Sourcing Suite. </w:t>
      </w:r>
    </w:p>
    <w:p w14:paraId="4A7BA1B6" w14:textId="7777777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the Authority will publish all its responses to questions </w:t>
      </w:r>
      <w:r w:rsidR="00F05BAE" w:rsidRPr="00C351DF">
        <w:rPr>
          <w:rFonts w:cs="Arial"/>
          <w:sz w:val="22"/>
          <w:szCs w:val="22"/>
        </w:rPr>
        <w:t xml:space="preserve">asked and or clarifications </w:t>
      </w:r>
      <w:r w:rsidRPr="00C351DF">
        <w:rPr>
          <w:rFonts w:cs="Arial"/>
          <w:sz w:val="22"/>
          <w:szCs w:val="22"/>
        </w:rPr>
        <w:t xml:space="preserve">raised by </w:t>
      </w:r>
      <w:r w:rsidR="00187832" w:rsidRPr="00C351DF">
        <w:rPr>
          <w:rFonts w:cs="Arial"/>
          <w:sz w:val="22"/>
          <w:szCs w:val="22"/>
        </w:rPr>
        <w:t>you</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77777777" w:rsidR="00422F8D" w:rsidRPr="00C351DF" w:rsidRDefault="009D5CA1" w:rsidP="0058734C">
      <w:pPr>
        <w:pStyle w:val="Heading2"/>
        <w:rPr>
          <w:rFonts w:cs="Arial"/>
          <w:sz w:val="22"/>
          <w:szCs w:val="22"/>
        </w:rPr>
      </w:pPr>
      <w:r>
        <w:rPr>
          <w:rFonts w:cs="Arial"/>
          <w:sz w:val="22"/>
          <w:szCs w:val="22"/>
        </w:rPr>
        <w:t>If you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E9541E">
        <w:rPr>
          <w:rFonts w:cs="Arial"/>
          <w:sz w:val="22"/>
          <w:szCs w:val="22"/>
        </w:rPr>
        <w:t xml:space="preserve">please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Pr>
          <w:rFonts w:cs="Arial"/>
          <w:sz w:val="22"/>
          <w:szCs w:val="22"/>
        </w:rPr>
        <w:t xml:space="preserve">your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77777777"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the Authority</w:t>
      </w:r>
      <w:r w:rsidR="0058734C" w:rsidRPr="00C351DF">
        <w:rPr>
          <w:rFonts w:cs="Arial"/>
          <w:sz w:val="22"/>
          <w:szCs w:val="22"/>
        </w:rPr>
        <w:t xml:space="preserve">, rather than one at a time. </w:t>
      </w:r>
    </w:p>
    <w:p w14:paraId="4A7BA1B9" w14:textId="77777777" w:rsidR="00A17913" w:rsidRPr="00C351DF" w:rsidRDefault="0058734C" w:rsidP="00047DFF">
      <w:pPr>
        <w:pStyle w:val="Heading2"/>
        <w:rPr>
          <w:rFonts w:cs="Arial"/>
          <w:sz w:val="22"/>
          <w:szCs w:val="22"/>
        </w:rPr>
      </w:pPr>
      <w:r w:rsidRPr="00C351DF">
        <w:rPr>
          <w:rFonts w:cs="Arial"/>
          <w:sz w:val="22"/>
          <w:szCs w:val="22"/>
        </w:rPr>
        <w:t xml:space="preserve">If </w:t>
      </w:r>
      <w:r w:rsidR="00187832" w:rsidRPr="00C351DF">
        <w:rPr>
          <w:rFonts w:cs="Arial"/>
          <w:sz w:val="22"/>
          <w:szCs w:val="22"/>
        </w:rPr>
        <w:t>you wish</w:t>
      </w:r>
      <w:r w:rsidRPr="00C351DF">
        <w:rPr>
          <w:rFonts w:cs="Arial"/>
          <w:sz w:val="22"/>
          <w:szCs w:val="22"/>
        </w:rPr>
        <w:t xml:space="preserve"> to ask a question or seek clarification </w:t>
      </w:r>
      <w:r w:rsidR="00F05BAE" w:rsidRPr="00C351DF">
        <w:rPr>
          <w:rFonts w:cs="Arial"/>
          <w:sz w:val="22"/>
          <w:szCs w:val="22"/>
        </w:rPr>
        <w:t xml:space="preserve">in confidence </w:t>
      </w:r>
      <w:r w:rsidR="00187832" w:rsidRPr="00C351DF">
        <w:rPr>
          <w:rFonts w:cs="Arial"/>
          <w:sz w:val="22"/>
          <w:szCs w:val="22"/>
        </w:rPr>
        <w:t>you</w:t>
      </w:r>
      <w:r w:rsidRPr="00C351DF">
        <w:rPr>
          <w:rFonts w:cs="Arial"/>
          <w:sz w:val="22"/>
          <w:szCs w:val="22"/>
        </w:rPr>
        <w:t xml:space="preserve"> must notify the Authority and provide </w:t>
      </w:r>
      <w:r w:rsidR="00187832" w:rsidRPr="00C351DF">
        <w:rPr>
          <w:rFonts w:cs="Arial"/>
          <w:sz w:val="22"/>
          <w:szCs w:val="22"/>
        </w:rPr>
        <w:t xml:space="preserve">your </w:t>
      </w:r>
      <w:r w:rsidRPr="00C351DF">
        <w:rPr>
          <w:rFonts w:cs="Arial"/>
          <w:sz w:val="22"/>
          <w:szCs w:val="22"/>
        </w:rPr>
        <w:t xml:space="preserve">justification for withholding the question and any response. If the Authority does not consider that there is sufficient justification for withholding the question and the corresponding response, the Authority will </w:t>
      </w:r>
      <w:r w:rsidR="00F05BAE" w:rsidRPr="00C351DF">
        <w:rPr>
          <w:rFonts w:cs="Arial"/>
          <w:sz w:val="22"/>
          <w:szCs w:val="22"/>
        </w:rPr>
        <w:t xml:space="preserve">inform </w:t>
      </w:r>
      <w:r w:rsidR="00C351DF" w:rsidRPr="00C351DF">
        <w:rPr>
          <w:rFonts w:cs="Arial"/>
          <w:sz w:val="22"/>
          <w:szCs w:val="22"/>
        </w:rPr>
        <w:t>you</w:t>
      </w:r>
      <w:r w:rsidR="00F05BAE" w:rsidRPr="00C351DF">
        <w:rPr>
          <w:rFonts w:cs="Arial"/>
          <w:sz w:val="22"/>
          <w:szCs w:val="22"/>
        </w:rPr>
        <w:t xml:space="preserve"> and </w:t>
      </w:r>
      <w:r w:rsidR="00C351DF" w:rsidRPr="00C351DF">
        <w:rPr>
          <w:rFonts w:cs="Arial"/>
          <w:sz w:val="22"/>
          <w:szCs w:val="22"/>
        </w:rPr>
        <w:t>you</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xml:space="preserve">.  If the question and or clarification is not withdrawn, then the response will be issued to all Potential Providers  </w:t>
      </w:r>
      <w:r w:rsidR="00F05BAE" w:rsidRPr="00C351DF">
        <w:rPr>
          <w:rFonts w:cs="Arial"/>
          <w:sz w:val="22"/>
          <w:szCs w:val="22"/>
        </w:rPr>
        <w:t xml:space="preserve"> </w:t>
      </w:r>
    </w:p>
    <w:p w14:paraId="4A7BA1BA" w14:textId="77777777" w:rsidR="009D5CA1" w:rsidRDefault="00187832" w:rsidP="0058734C">
      <w:pPr>
        <w:pStyle w:val="Heading2"/>
        <w:rPr>
          <w:rFonts w:cs="Arial"/>
          <w:sz w:val="22"/>
          <w:szCs w:val="22"/>
        </w:rPr>
      </w:pPr>
      <w:r w:rsidRPr="00C351DF">
        <w:rPr>
          <w:rFonts w:cs="Arial"/>
          <w:sz w:val="22"/>
          <w:szCs w:val="22"/>
        </w:rPr>
        <w:t>You</w:t>
      </w:r>
      <w:r w:rsidR="0058734C" w:rsidRPr="00C351DF">
        <w:rPr>
          <w:rFonts w:cs="Arial"/>
          <w:sz w:val="22"/>
          <w:szCs w:val="22"/>
        </w:rPr>
        <w:t xml:space="preserve"> are responsible for monitoring the e-Sourcing Suite and the ‘Questions and Answers’ document in particular, for any responses to questions, general clarifications or other information issued by the Authority.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sidRPr="00C351DF">
        <w:rPr>
          <w:rFonts w:cs="Arial"/>
          <w:sz w:val="22"/>
          <w:szCs w:val="22"/>
        </w:rPr>
        <w:t>you</w:t>
      </w:r>
      <w:r w:rsidR="0058734C" w:rsidRPr="00C351DF">
        <w:rPr>
          <w:rFonts w:cs="Arial"/>
          <w:sz w:val="22"/>
          <w:szCs w:val="22"/>
        </w:rPr>
        <w:t xml:space="preserve"> complete </w:t>
      </w:r>
      <w:r w:rsidRPr="00C351DF">
        <w:rPr>
          <w:rFonts w:cs="Arial"/>
          <w:sz w:val="22"/>
          <w:szCs w:val="22"/>
        </w:rPr>
        <w:t>your</w:t>
      </w:r>
      <w:r w:rsidR="0058734C" w:rsidRPr="00C351DF">
        <w:rPr>
          <w:rFonts w:cs="Arial"/>
          <w:sz w:val="22"/>
          <w:szCs w:val="22"/>
        </w:rPr>
        <w:t xml:space="preserve"> Tender.</w:t>
      </w:r>
      <w:r w:rsidR="009D5CA1" w:rsidRPr="009D5CA1">
        <w:rPr>
          <w:rFonts w:cs="Arial"/>
          <w:sz w:val="22"/>
          <w:szCs w:val="22"/>
        </w:rPr>
        <w:t xml:space="preserve"> </w:t>
      </w:r>
    </w:p>
    <w:p w14:paraId="4A7BA1BB" w14:textId="77777777" w:rsidR="0058734C" w:rsidRPr="00C351DF" w:rsidRDefault="009D5CA1" w:rsidP="0058734C">
      <w:pPr>
        <w:pStyle w:val="Heading2"/>
        <w:rPr>
          <w:rFonts w:cs="Arial"/>
          <w:sz w:val="22"/>
          <w:szCs w:val="22"/>
        </w:rPr>
      </w:pPr>
      <w:r w:rsidRPr="00C351DF">
        <w:rPr>
          <w:rFonts w:cs="Arial"/>
          <w:sz w:val="22"/>
          <w:szCs w:val="22"/>
        </w:rPr>
        <w:t>The Authority reserves the right to contact you at any time for clarification on all or any part of your Tender during th</w:t>
      </w:r>
      <w:r w:rsidR="006F03E6">
        <w:rPr>
          <w:rFonts w:cs="Arial"/>
          <w:sz w:val="22"/>
          <w:szCs w:val="22"/>
        </w:rPr>
        <w:t>is</w:t>
      </w:r>
      <w:r w:rsidRPr="00C351DF">
        <w:rPr>
          <w:rFonts w:cs="Arial"/>
          <w:sz w:val="22"/>
          <w:szCs w:val="22"/>
        </w:rPr>
        <w:t xml:space="preserve"> Procurement and which is likely to require a prompt response from you. </w:t>
      </w:r>
    </w:p>
    <w:p w14:paraId="4A7BA1C0" w14:textId="1A3252DC" w:rsidR="0079033B" w:rsidRDefault="0079033B">
      <w:pPr>
        <w:rPr>
          <w:rFonts w:ascii="Arial" w:eastAsia="STZhongsong" w:hAnsi="Arial" w:cs="Times New Roman"/>
          <w:b/>
          <w:caps/>
          <w:sz w:val="20"/>
          <w:szCs w:val="20"/>
          <w:lang w:eastAsia="zh-CN"/>
        </w:rPr>
      </w:pPr>
      <w:r>
        <w:rPr>
          <w:highlight w:val="yellow"/>
        </w:rPr>
        <w:br w:type="page"/>
      </w:r>
    </w:p>
    <w:p w14:paraId="4A7BA1C1" w14:textId="77777777" w:rsidR="0058734C" w:rsidRPr="00137CD3" w:rsidRDefault="0058734C" w:rsidP="0058734C">
      <w:pPr>
        <w:pStyle w:val="Heading1"/>
        <w:rPr>
          <w:rFonts w:cs="Arial"/>
          <w:sz w:val="22"/>
          <w:szCs w:val="22"/>
        </w:rPr>
      </w:pPr>
      <w:bookmarkStart w:id="26" w:name="_Toc458691542"/>
      <w:r w:rsidRPr="00137CD3">
        <w:rPr>
          <w:rFonts w:cs="Arial"/>
          <w:sz w:val="22"/>
          <w:szCs w:val="22"/>
        </w:rPr>
        <w:lastRenderedPageBreak/>
        <w:t>OVERVIEW OF THE EVALUATION PROCESS</w:t>
      </w:r>
      <w:bookmarkEnd w:id="26"/>
    </w:p>
    <w:p w14:paraId="4A7BA1C2" w14:textId="0E9F5748" w:rsidR="0058734C" w:rsidRPr="00CA1007" w:rsidRDefault="0058734C" w:rsidP="00137CD3">
      <w:pPr>
        <w:pStyle w:val="Heading2"/>
        <w:rPr>
          <w:sz w:val="22"/>
          <w:szCs w:val="22"/>
        </w:rPr>
      </w:pPr>
      <w:r w:rsidRPr="00775F1F">
        <w:rPr>
          <w:sz w:val="22"/>
          <w:szCs w:val="22"/>
        </w:rPr>
        <w:t xml:space="preserve">Paragraphs </w:t>
      </w:r>
      <w:r w:rsidR="00775F1F" w:rsidRPr="00775F1F">
        <w:rPr>
          <w:sz w:val="22"/>
          <w:szCs w:val="22"/>
        </w:rPr>
        <w:t xml:space="preserve">9 </w:t>
      </w:r>
      <w:r w:rsidRPr="00775F1F">
        <w:rPr>
          <w:sz w:val="22"/>
          <w:szCs w:val="22"/>
        </w:rPr>
        <w:t>and</w:t>
      </w:r>
      <w:r w:rsidRPr="00137CD3">
        <w:rPr>
          <w:sz w:val="22"/>
          <w:szCs w:val="22"/>
        </w:rPr>
        <w:t xml:space="preserve"> </w:t>
      </w:r>
      <w:r w:rsidR="00775F1F">
        <w:rPr>
          <w:sz w:val="22"/>
          <w:szCs w:val="22"/>
        </w:rPr>
        <w:t>10</w:t>
      </w:r>
      <w:r w:rsidR="002C36F2" w:rsidRPr="00137CD3">
        <w:rPr>
          <w:sz w:val="22"/>
          <w:szCs w:val="22"/>
        </w:rPr>
        <w:t xml:space="preserve"> </w:t>
      </w:r>
      <w:r w:rsidRPr="00137CD3">
        <w:rPr>
          <w:sz w:val="22"/>
          <w:szCs w:val="22"/>
        </w:rPr>
        <w:t xml:space="preserve">below set out and explain the procedure, stages and process by which the Authority will assess </w:t>
      </w:r>
      <w:r w:rsidR="00187832" w:rsidRPr="00137CD3">
        <w:rPr>
          <w:sz w:val="22"/>
          <w:szCs w:val="22"/>
        </w:rPr>
        <w:t>your</w:t>
      </w:r>
      <w:r w:rsidRPr="00137CD3">
        <w:rPr>
          <w:sz w:val="22"/>
          <w:szCs w:val="22"/>
        </w:rPr>
        <w:t xml:space="preserve"> Tender. 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the Authority may nevertheless decide to </w:t>
      </w:r>
      <w:r w:rsidR="00137CD3" w:rsidRPr="00CA1007">
        <w:rPr>
          <w:rFonts w:cs="Arial"/>
          <w:sz w:val="22"/>
          <w:szCs w:val="22"/>
        </w:rPr>
        <w:t>run concurrently</w:t>
      </w:r>
      <w:r w:rsidRPr="00CA1007">
        <w:rPr>
          <w:sz w:val="22"/>
          <w:szCs w:val="22"/>
        </w:rPr>
        <w:t>;</w:t>
      </w:r>
    </w:p>
    <w:p w14:paraId="4A7BA1C3" w14:textId="77777777" w:rsidR="00F44561" w:rsidRPr="00CA1007" w:rsidRDefault="00137CD3" w:rsidP="00696C71">
      <w:pPr>
        <w:pStyle w:val="Heading3"/>
      </w:pPr>
      <w:bookmarkStart w:id="27" w:name="_Ref285636769"/>
      <w:r w:rsidRPr="00CA1007">
        <w:t>Compliance/validation – The Authority will check your Tender to ensure it is compliant</w:t>
      </w:r>
      <w:r w:rsidR="00F44561" w:rsidRPr="00CA1007">
        <w:t xml:space="preserve"> with the ITT and that your 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‘Key Participation Requirements’ section.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by the Authority.</w:t>
      </w:r>
    </w:p>
    <w:p w14:paraId="4A7BA1C4" w14:textId="69265DB7" w:rsidR="0058734C" w:rsidRPr="00C351DF" w:rsidRDefault="00A326A6">
      <w:pPr>
        <w:pStyle w:val="Heading3"/>
      </w:pPr>
      <w:bookmarkStart w:id="28" w:name="_Ref414959141"/>
      <w:r w:rsidRPr="00137CD3">
        <w:t>Selection</w:t>
      </w:r>
      <w:bookmarkEnd w:id="27"/>
      <w:r w:rsidR="007D6A4F" w:rsidRPr="00137CD3">
        <w:t xml:space="preserve"> - </w:t>
      </w:r>
      <w:r w:rsidR="00C71192" w:rsidRPr="00137CD3">
        <w:t xml:space="preserve">The Authority </w:t>
      </w:r>
      <w:r w:rsidR="00137CD3">
        <w:t xml:space="preserve">will </w:t>
      </w:r>
      <w:r w:rsidR="0058734C" w:rsidRPr="00C351DF">
        <w:t xml:space="preserve">assess </w:t>
      </w:r>
      <w:r w:rsidR="000230C3" w:rsidRPr="00C351DF">
        <w:t xml:space="preserve">your </w:t>
      </w:r>
      <w:r w:rsidR="0058734C" w:rsidRPr="00C351DF">
        <w:t>response</w:t>
      </w:r>
      <w:r w:rsidR="00F44561">
        <w:t>s</w:t>
      </w:r>
      <w:r w:rsidR="0058734C" w:rsidRPr="00C351DF">
        <w:t xml:space="preserve"> to the Selection Questionnaire</w:t>
      </w:r>
      <w:r w:rsidR="00A8588F">
        <w:t xml:space="preserve"> (Appendix 1</w:t>
      </w:r>
      <w:r w:rsidR="00E9541E">
        <w:t xml:space="preserve">) </w:t>
      </w:r>
      <w:r w:rsidR="0058734C" w:rsidRPr="00C351DF">
        <w:t>in accordance with paragraph [</w:t>
      </w:r>
      <w:r w:rsidR="006411D4" w:rsidRPr="00C351DF">
        <w:rPr>
          <w:highlight w:val="yellow"/>
        </w:rPr>
        <w:fldChar w:fldCharType="begin"/>
      </w:r>
      <w:r w:rsidR="006411D4" w:rsidRPr="00C351DF">
        <w:rPr>
          <w:highlight w:val="yellow"/>
        </w:rPr>
        <w:instrText xml:space="preserve"> REF _Ref413077301 \r \h  \* MERGEFORMAT </w:instrText>
      </w:r>
      <w:r w:rsidR="006411D4" w:rsidRPr="00C351DF">
        <w:rPr>
          <w:highlight w:val="yellow"/>
        </w:rPr>
      </w:r>
      <w:r w:rsidR="006411D4" w:rsidRPr="00C351DF">
        <w:rPr>
          <w:highlight w:val="yellow"/>
        </w:rPr>
        <w:fldChar w:fldCharType="separate"/>
      </w:r>
      <w:r w:rsidR="00FD51A8">
        <w:rPr>
          <w:highlight w:val="yellow"/>
        </w:rPr>
        <w:t>10</w:t>
      </w:r>
      <w:r w:rsidR="006411D4" w:rsidRPr="00C351DF">
        <w:rPr>
          <w:highlight w:val="yellow"/>
        </w:rPr>
        <w:fldChar w:fldCharType="end"/>
      </w:r>
      <w:r w:rsidR="0058734C" w:rsidRPr="00C351DF">
        <w:t>] below (“</w:t>
      </w:r>
      <w:r w:rsidR="005F1771" w:rsidRPr="00C351DF">
        <w:rPr>
          <w:b/>
        </w:rPr>
        <w:t xml:space="preserve">Selection </w:t>
      </w:r>
      <w:r w:rsidR="00D9161C" w:rsidRPr="00C351DF">
        <w:rPr>
          <w:b/>
        </w:rPr>
        <w:t>Stage</w:t>
      </w:r>
      <w:r w:rsidR="0058734C" w:rsidRPr="00C351DF">
        <w:t>”).</w:t>
      </w:r>
      <w:r w:rsidR="001728DB" w:rsidRPr="001728DB">
        <w:t xml:space="preserve"> </w:t>
      </w:r>
      <w:r w:rsidR="001728DB" w:rsidRPr="00C351DF">
        <w:t xml:space="preserve">Tenders that do not meet the selection criteria at the Selection Stage will be </w:t>
      </w:r>
      <w:r w:rsidR="001728DB">
        <w:t>excluded</w:t>
      </w:r>
      <w:r w:rsidR="001728DB" w:rsidRPr="00C351DF">
        <w:t xml:space="preserve"> from th</w:t>
      </w:r>
      <w:r w:rsidR="006F03E6">
        <w:t>is</w:t>
      </w:r>
      <w:r w:rsidR="001728DB" w:rsidRPr="00C351DF">
        <w:t xml:space="preserve"> Procurement </w:t>
      </w:r>
      <w:r w:rsidR="001728DB">
        <w:t>by the Authority.</w:t>
      </w:r>
      <w:bookmarkEnd w:id="28"/>
    </w:p>
    <w:p w14:paraId="4A7BA1C5" w14:textId="388E2210" w:rsidR="0058734C" w:rsidRPr="00C351DF" w:rsidRDefault="003C0934">
      <w:pPr>
        <w:pStyle w:val="Heading3"/>
      </w:pPr>
      <w:bookmarkStart w:id="29" w:name="_Ref285636786"/>
      <w:r w:rsidRPr="00C351DF">
        <w:t xml:space="preserve"> </w:t>
      </w:r>
      <w:r w:rsidR="002A6C07" w:rsidRPr="00C351DF">
        <w:t xml:space="preserve">Award </w:t>
      </w:r>
      <w:r w:rsidR="000230C3" w:rsidRPr="00C351DF">
        <w:t>-</w:t>
      </w:r>
      <w:bookmarkEnd w:id="29"/>
      <w:r w:rsidR="000230C3" w:rsidRPr="00C351DF">
        <w:t xml:space="preserve"> </w:t>
      </w:r>
      <w:r w:rsidR="0058734C" w:rsidRPr="00C351DF">
        <w:t xml:space="preserve">The Authority will assess </w:t>
      </w:r>
      <w:r w:rsidR="000230C3" w:rsidRPr="00C351DF">
        <w:t xml:space="preserve">your </w:t>
      </w:r>
      <w:r w:rsidR="0058734C" w:rsidRPr="00C351DF">
        <w:t>res</w:t>
      </w:r>
      <w:r w:rsidR="00A8588F">
        <w:t>ponse to the Non-financial Evaluation</w:t>
      </w:r>
      <w:r w:rsidR="0058734C" w:rsidRPr="00C351DF">
        <w:t xml:space="preserve"> </w:t>
      </w:r>
      <w:r w:rsidR="00A8588F">
        <w:t>(Appendix 5</w:t>
      </w:r>
      <w:r w:rsidR="00E9541E">
        <w:t xml:space="preserve">) </w:t>
      </w:r>
      <w:r w:rsidR="0058734C" w:rsidRPr="00C351DF">
        <w:t>in accordance with paragraph [</w:t>
      </w:r>
      <w:r w:rsidR="006411D4" w:rsidRPr="00C351DF">
        <w:rPr>
          <w:highlight w:val="yellow"/>
        </w:rPr>
        <w:fldChar w:fldCharType="begin"/>
      </w:r>
      <w:r w:rsidR="006411D4" w:rsidRPr="00C351DF">
        <w:rPr>
          <w:highlight w:val="yellow"/>
        </w:rPr>
        <w:instrText xml:space="preserve"> REF _Ref413077315 \r \h </w:instrText>
      </w:r>
      <w:r w:rsidR="00C351DF" w:rsidRPr="00C351DF">
        <w:rPr>
          <w:highlight w:val="yellow"/>
        </w:rPr>
        <w:instrText xml:space="preserve"> \* MERGEFORMAT </w:instrText>
      </w:r>
      <w:r w:rsidR="006411D4" w:rsidRPr="00C351DF">
        <w:rPr>
          <w:highlight w:val="yellow"/>
        </w:rPr>
      </w:r>
      <w:r w:rsidR="006411D4" w:rsidRPr="00C351DF">
        <w:rPr>
          <w:highlight w:val="yellow"/>
        </w:rPr>
        <w:fldChar w:fldCharType="separate"/>
      </w:r>
      <w:r w:rsidR="00FD51A8">
        <w:rPr>
          <w:highlight w:val="yellow"/>
        </w:rPr>
        <w:t>11</w:t>
      </w:r>
      <w:r w:rsidR="006411D4" w:rsidRPr="00C351DF">
        <w:rPr>
          <w:highlight w:val="yellow"/>
        </w:rPr>
        <w:fldChar w:fldCharType="end"/>
      </w:r>
      <w:r w:rsidR="0058734C" w:rsidRPr="00C351DF">
        <w:t>] below (“</w:t>
      </w:r>
      <w:r w:rsidR="0058734C" w:rsidRPr="00C351DF">
        <w:rPr>
          <w:b/>
        </w:rPr>
        <w:t>Award Stage</w:t>
      </w:r>
      <w:r w:rsidR="0058734C" w:rsidRPr="00C351DF">
        <w:t>”).</w:t>
      </w:r>
    </w:p>
    <w:p w14:paraId="4A7BA1C6" w14:textId="77777777" w:rsidR="0058734C" w:rsidRPr="00C351DF" w:rsidRDefault="0058734C" w:rsidP="007D6A4F">
      <w:pPr>
        <w:pStyle w:val="Heading2"/>
        <w:rPr>
          <w:rFonts w:cs="Arial"/>
          <w:sz w:val="22"/>
          <w:szCs w:val="22"/>
        </w:rPr>
      </w:pPr>
      <w:bookmarkStart w:id="30" w:name="_Ref285704218"/>
      <w:r w:rsidRPr="00C351DF">
        <w:rPr>
          <w:rFonts w:cs="Arial"/>
          <w:sz w:val="22"/>
          <w:szCs w:val="22"/>
        </w:rPr>
        <w:t>Consensus Marking Procedure</w:t>
      </w:r>
      <w:bookmarkEnd w:id="30"/>
    </w:p>
    <w:p w14:paraId="4A7BA1C7" w14:textId="77777777" w:rsidR="0058734C" w:rsidRPr="00C351DF" w:rsidRDefault="0058734C" w:rsidP="00AA1BD9">
      <w:pPr>
        <w:pStyle w:val="Heading3"/>
      </w:pPr>
      <w:r w:rsidRPr="00C351DF">
        <w:t>Tender</w:t>
      </w:r>
      <w:r w:rsidR="00343880" w:rsidRPr="00C351DF">
        <w:t>s</w:t>
      </w:r>
      <w:r w:rsidRPr="00C351DF">
        <w:t xml:space="preserve"> that are scored and require evaluation will be evaluated in accordance with the procedure described in this paragraph at both the </w:t>
      </w:r>
      <w:r w:rsidR="005C32AF" w:rsidRPr="00C351DF">
        <w:t xml:space="preserve">Selection </w:t>
      </w:r>
      <w:r w:rsidR="00CF5E00">
        <w:t xml:space="preserve">Stage </w:t>
      </w:r>
      <w:r w:rsidRPr="00C351DF">
        <w:t>and the Award Stage.</w:t>
      </w:r>
    </w:p>
    <w:p w14:paraId="4A7BA1C8" w14:textId="77777777" w:rsidR="0058734C" w:rsidRPr="00C351DF" w:rsidRDefault="0058734C">
      <w:pPr>
        <w:pStyle w:val="Heading3"/>
      </w:pPr>
      <w:r w:rsidRPr="00C351DF">
        <w:t>The Consensus Marking Procedure is a two step process, comprising of:</w:t>
      </w:r>
    </w:p>
    <w:p w14:paraId="4A7BA1C9" w14:textId="77777777" w:rsidR="0058734C" w:rsidRPr="00C351DF" w:rsidRDefault="0058734C" w:rsidP="00AA1BD9">
      <w:pPr>
        <w:pStyle w:val="Heading4"/>
      </w:pPr>
      <w:r w:rsidRPr="00C351DF">
        <w:t>independent evaluation; and</w:t>
      </w:r>
    </w:p>
    <w:p w14:paraId="4A7BA1CA" w14:textId="77777777" w:rsidR="0058734C" w:rsidRPr="00C351DF" w:rsidRDefault="0058734C">
      <w:pPr>
        <w:pStyle w:val="Heading4"/>
      </w:pPr>
      <w:r w:rsidRPr="00C351DF">
        <w:t>group consensus marking.</w:t>
      </w:r>
    </w:p>
    <w:p w14:paraId="4A7BA1CB" w14:textId="77777777" w:rsidR="0058734C" w:rsidRPr="00C351DF" w:rsidRDefault="0058734C" w:rsidP="00AA1BD9">
      <w:pPr>
        <w:pStyle w:val="Heading3"/>
      </w:pPr>
      <w:r w:rsidRPr="00C351DF">
        <w:t xml:space="preserve">During the independent evaluation process each evaluator will separately (i.e. without conferring with other evaluators) scrutinise the quality of answers given by </w:t>
      </w:r>
      <w:r w:rsidR="00187832" w:rsidRPr="00C351DF">
        <w:t>you in your</w:t>
      </w:r>
      <w:r w:rsidRPr="00C351DF">
        <w:t xml:space="preserve"> Tender. Evaluators will apply the criteria applicable to </w:t>
      </w:r>
      <w:r w:rsidR="000630CF" w:rsidRPr="00C351DF">
        <w:t>the question as set out in the e</w:t>
      </w:r>
      <w:r w:rsidRPr="00C351DF">
        <w:t xml:space="preserve">valuation </w:t>
      </w:r>
      <w:r w:rsidR="000630CF" w:rsidRPr="00C351DF">
        <w:t>g</w:t>
      </w:r>
      <w:r w:rsidRPr="00C351DF">
        <w:t>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4A7BA1CC" w14:textId="77777777" w:rsidR="0058734C" w:rsidRPr="00C351DF" w:rsidRDefault="0058734C">
      <w:pPr>
        <w:pStyle w:val="Heading3"/>
      </w:pPr>
      <w:r w:rsidRPr="00C351DF">
        <w:t>When the independent evaluation exercise has been completed by all of the evaluators, a group consensus marking exercise will be coordinated by a consensus marker as follows:</w:t>
      </w:r>
    </w:p>
    <w:p w14:paraId="4A7BA1CD" w14:textId="77777777" w:rsidR="0058734C" w:rsidRPr="00C351DF" w:rsidRDefault="0058734C">
      <w:pPr>
        <w:pStyle w:val="Heading4"/>
      </w:pPr>
      <w:r w:rsidRPr="00C351DF">
        <w:t xml:space="preserve">The consensus marker will review the marks allocated by the individual evaluators together with their justifications for awarding the marks. </w:t>
      </w:r>
    </w:p>
    <w:p w14:paraId="4A7BA1CE" w14:textId="77777777" w:rsidR="0058734C" w:rsidRPr="00C351DF" w:rsidRDefault="0058734C">
      <w:pPr>
        <w:pStyle w:val="Heading4"/>
      </w:pPr>
      <w:r w:rsidRPr="00C351DF">
        <w:t xml:space="preserve">The consensus marker will arrange for the evaluators to meet and discuss the marks they have allocated to </w:t>
      </w:r>
      <w:r w:rsidR="002A6C07" w:rsidRPr="00C351DF">
        <w:t>responses</w:t>
      </w:r>
      <w:r w:rsidRPr="00C351DF">
        <w:t xml:space="preserve"> provided in the Tender. The consensus marker will facilitate discussion among the evaluators regarding the marks awarded and the related justifications. </w:t>
      </w:r>
    </w:p>
    <w:p w14:paraId="4A7BA1CF" w14:textId="45841E10" w:rsidR="0058734C" w:rsidRPr="00C351DF" w:rsidRDefault="0058734C">
      <w:pPr>
        <w:pStyle w:val="Heading4"/>
      </w:pPr>
      <w:bookmarkStart w:id="31" w:name="_Ref294281633"/>
      <w:r w:rsidRPr="00C351DF">
        <w:t xml:space="preserve">During the meeting each evaluator will discuss the quality of the answers given to a question and review his/her justification for attributing the marks having regard to the relevant </w:t>
      </w:r>
      <w:r w:rsidR="0083744C" w:rsidRPr="00C351DF">
        <w:t>Ma</w:t>
      </w:r>
      <w:r w:rsidRPr="00C351DF">
        <w:t xml:space="preserve">rking </w:t>
      </w:r>
      <w:r w:rsidR="0083744C" w:rsidRPr="00C351DF">
        <w:t>S</w:t>
      </w:r>
      <w:r w:rsidRPr="00C351DF">
        <w:t>cheme</w:t>
      </w:r>
      <w:r w:rsidR="0083744C" w:rsidRPr="00C351DF">
        <w:t>s</w:t>
      </w:r>
      <w:r w:rsidR="00A8588F">
        <w:t xml:space="preserve"> at Appendix 5</w:t>
      </w:r>
      <w:r w:rsidRPr="00C351DF">
        <w:t>. The evaluators will continue discussing the answers until the evaluators reach a consensus regarding the mark that should attributed to each Potential Provider’s answer to the question.</w:t>
      </w:r>
      <w:bookmarkEnd w:id="31"/>
      <w:r w:rsidRPr="00C351DF">
        <w:t xml:space="preserve"> </w:t>
      </w:r>
    </w:p>
    <w:p w14:paraId="4A7BA1D0" w14:textId="77777777" w:rsidR="0058734C" w:rsidRPr="00C351DF" w:rsidRDefault="0058734C">
      <w:pPr>
        <w:pStyle w:val="Heading4"/>
      </w:pPr>
      <w:r w:rsidRPr="00C351DF">
        <w:lastRenderedPageBreak/>
        <w:t xml:space="preserve">The consensus marker will record the consensus mark and the justification for the consensus mark (in addition to each evaluator’s original mark and justification) in the e-Sourcing Suite. </w:t>
      </w:r>
    </w:p>
    <w:p w14:paraId="4A7BA1D1" w14:textId="77777777" w:rsidR="0058734C" w:rsidRPr="00C351DF" w:rsidRDefault="0058734C">
      <w:pPr>
        <w:pStyle w:val="Heading4"/>
      </w:pPr>
      <w:r w:rsidRPr="00C351DF">
        <w:t>The process above will be repeated until all applicable answers in the Tender have been consensus marked by evaluators.</w:t>
      </w:r>
    </w:p>
    <w:p w14:paraId="4A7BA1D2" w14:textId="77777777" w:rsidR="0079033B" w:rsidRPr="00C351DF" w:rsidRDefault="0079033B">
      <w:pPr>
        <w:rPr>
          <w:rFonts w:ascii="Arial" w:eastAsia="STZhongsong" w:hAnsi="Arial" w:cs="Arial"/>
          <w:b/>
          <w:caps/>
          <w:lang w:eastAsia="zh-CN"/>
        </w:rPr>
      </w:pPr>
      <w:bookmarkStart w:id="32" w:name="_Ref284767525"/>
      <w:bookmarkStart w:id="33" w:name="_Ref284857267"/>
      <w:r w:rsidRPr="00C351DF">
        <w:rPr>
          <w:rFonts w:ascii="Arial" w:hAnsi="Arial" w:cs="Arial"/>
        </w:rPr>
        <w:br w:type="page"/>
      </w:r>
    </w:p>
    <w:p w14:paraId="4A7BA1D3" w14:textId="77777777" w:rsidR="0058734C" w:rsidRPr="00C351DF" w:rsidRDefault="001D02FB" w:rsidP="0058734C">
      <w:pPr>
        <w:pStyle w:val="Heading1"/>
        <w:rPr>
          <w:rFonts w:cs="Arial"/>
          <w:sz w:val="22"/>
          <w:szCs w:val="22"/>
        </w:rPr>
      </w:pPr>
      <w:bookmarkStart w:id="34" w:name="_Ref413077301"/>
      <w:bookmarkStart w:id="35" w:name="_Toc458691543"/>
      <w:r w:rsidRPr="00C351DF">
        <w:rPr>
          <w:rFonts w:cs="Arial"/>
          <w:sz w:val="22"/>
          <w:szCs w:val="22"/>
        </w:rPr>
        <w:lastRenderedPageBreak/>
        <w:t xml:space="preserve">SELECTION </w:t>
      </w:r>
      <w:r w:rsidR="0058734C" w:rsidRPr="00C351DF">
        <w:rPr>
          <w:rFonts w:cs="Arial"/>
          <w:sz w:val="22"/>
          <w:szCs w:val="22"/>
        </w:rPr>
        <w:t xml:space="preserve">STAGE </w:t>
      </w:r>
      <w:bookmarkEnd w:id="32"/>
      <w:r w:rsidR="0058734C" w:rsidRPr="00C351DF">
        <w:rPr>
          <w:rFonts w:cs="Arial"/>
          <w:sz w:val="22"/>
          <w:szCs w:val="22"/>
        </w:rPr>
        <w:t>EVALUATION</w:t>
      </w:r>
      <w:bookmarkEnd w:id="33"/>
      <w:bookmarkEnd w:id="34"/>
      <w:bookmarkEnd w:id="35"/>
    </w:p>
    <w:p w14:paraId="4A7BA1D4" w14:textId="34D9D399" w:rsidR="0058734C" w:rsidRDefault="0058734C" w:rsidP="007D6A4F">
      <w:pPr>
        <w:pStyle w:val="Heading2"/>
        <w:rPr>
          <w:rFonts w:cs="Arial"/>
          <w:sz w:val="22"/>
          <w:szCs w:val="22"/>
        </w:rPr>
      </w:pPr>
      <w:bookmarkStart w:id="36" w:name="_Ref284445620"/>
      <w:bookmarkStart w:id="37" w:name="_Ref285725755"/>
      <w:r w:rsidRPr="00C351DF">
        <w:rPr>
          <w:rFonts w:cs="Arial"/>
          <w:sz w:val="22"/>
          <w:szCs w:val="22"/>
        </w:rPr>
        <w:t xml:space="preserve">The information submitted in </w:t>
      </w:r>
      <w:r w:rsidR="000230C3" w:rsidRPr="00C351DF">
        <w:rPr>
          <w:rFonts w:cs="Arial"/>
          <w:sz w:val="22"/>
          <w:szCs w:val="22"/>
        </w:rPr>
        <w:t xml:space="preserve">your </w:t>
      </w:r>
      <w:r w:rsidRPr="00C351DF">
        <w:rPr>
          <w:rFonts w:cs="Arial"/>
          <w:sz w:val="22"/>
          <w:szCs w:val="22"/>
        </w:rPr>
        <w:t>response to</w:t>
      </w:r>
      <w:bookmarkEnd w:id="36"/>
      <w:r w:rsidRPr="00C351DF">
        <w:rPr>
          <w:rFonts w:cs="Arial"/>
          <w:sz w:val="22"/>
          <w:szCs w:val="22"/>
        </w:rPr>
        <w:t xml:space="preserve"> the Selection Questionnaire</w:t>
      </w:r>
      <w:r w:rsidR="00047DFF" w:rsidRPr="00C351DF">
        <w:rPr>
          <w:rFonts w:cs="Arial"/>
          <w:sz w:val="22"/>
          <w:szCs w:val="22"/>
        </w:rPr>
        <w:t xml:space="preserve"> </w:t>
      </w:r>
      <w:r w:rsidR="0028092A" w:rsidRPr="00C351DF">
        <w:rPr>
          <w:rFonts w:cs="Arial"/>
          <w:sz w:val="22"/>
          <w:szCs w:val="22"/>
        </w:rPr>
        <w:t xml:space="preserve">will enable the Authority </w:t>
      </w:r>
      <w:r w:rsidR="0028092A" w:rsidRPr="00200D55">
        <w:rPr>
          <w:rFonts w:cs="Arial"/>
          <w:sz w:val="22"/>
          <w:szCs w:val="22"/>
        </w:rPr>
        <w:t xml:space="preserve">to consider your </w:t>
      </w:r>
      <w:r w:rsidR="00200D55" w:rsidRPr="004A23D3">
        <w:rPr>
          <w:rFonts w:cs="Arial"/>
          <w:sz w:val="22"/>
          <w:szCs w:val="22"/>
        </w:rPr>
        <w:t>suitability to pursue a professional activity, economic</w:t>
      </w:r>
      <w:r w:rsidR="00200D55" w:rsidRPr="00AA1BD9">
        <w:rPr>
          <w:rFonts w:cs="Arial"/>
          <w:sz w:val="22"/>
          <w:szCs w:val="22"/>
        </w:rPr>
        <w:t xml:space="preserve"> and financial standing</w:t>
      </w:r>
      <w:r w:rsidR="00200D55" w:rsidRPr="0000109B">
        <w:rPr>
          <w:rFonts w:cs="Arial"/>
          <w:sz w:val="22"/>
          <w:szCs w:val="22"/>
        </w:rPr>
        <w:t xml:space="preserve"> </w:t>
      </w:r>
      <w:r w:rsidR="00504EB3" w:rsidRPr="0000109B">
        <w:rPr>
          <w:rFonts w:cs="Arial"/>
          <w:sz w:val="22"/>
          <w:szCs w:val="22"/>
        </w:rPr>
        <w:t>and</w:t>
      </w:r>
      <w:r w:rsidR="00200D55" w:rsidRPr="0000109B">
        <w:rPr>
          <w:rFonts w:cs="Arial"/>
          <w:sz w:val="22"/>
          <w:szCs w:val="22"/>
        </w:rPr>
        <w:t xml:space="preserve"> </w:t>
      </w:r>
      <w:r w:rsidR="00200D55" w:rsidRPr="00AA1BD9">
        <w:rPr>
          <w:rFonts w:cs="Arial"/>
          <w:sz w:val="22"/>
          <w:szCs w:val="22"/>
        </w:rPr>
        <w:t>technical and professional ability</w:t>
      </w:r>
      <w:r w:rsidR="0028092A" w:rsidRPr="00C351DF">
        <w:rPr>
          <w:rFonts w:cs="Arial"/>
          <w:sz w:val="22"/>
          <w:szCs w:val="22"/>
        </w:rPr>
        <w:t xml:space="preserve">. </w:t>
      </w:r>
      <w:r w:rsidRPr="00C351DF">
        <w:rPr>
          <w:rFonts w:cs="Arial"/>
          <w:sz w:val="22"/>
          <w:szCs w:val="22"/>
        </w:rPr>
        <w:t xml:space="preserve">If </w:t>
      </w:r>
      <w:r w:rsidR="00187832" w:rsidRPr="00C351DF">
        <w:rPr>
          <w:rFonts w:cs="Arial"/>
          <w:sz w:val="22"/>
          <w:szCs w:val="22"/>
        </w:rPr>
        <w:t>you</w:t>
      </w:r>
      <w:r w:rsidRPr="00C351DF">
        <w:rPr>
          <w:rFonts w:cs="Arial"/>
          <w:sz w:val="22"/>
          <w:szCs w:val="22"/>
        </w:rPr>
        <w:t xml:space="preserve"> fail to respond </w:t>
      </w:r>
      <w:r w:rsidR="00BF6C46">
        <w:rPr>
          <w:rFonts w:cs="Arial"/>
          <w:sz w:val="22"/>
          <w:szCs w:val="22"/>
        </w:rPr>
        <w:t>ful</w:t>
      </w:r>
      <w:r w:rsidRPr="00C351DF">
        <w:rPr>
          <w:rFonts w:cs="Arial"/>
          <w:sz w:val="22"/>
          <w:szCs w:val="22"/>
        </w:rPr>
        <w:t xml:space="preserve">ly and accurately </w:t>
      </w:r>
      <w:r w:rsidR="00187832" w:rsidRPr="00C351DF">
        <w:rPr>
          <w:rFonts w:cs="Arial"/>
          <w:sz w:val="22"/>
          <w:szCs w:val="22"/>
        </w:rPr>
        <w:t>your</w:t>
      </w:r>
      <w:r w:rsidRPr="00C351DF">
        <w:rPr>
          <w:rFonts w:cs="Arial"/>
          <w:sz w:val="22"/>
          <w:szCs w:val="22"/>
        </w:rPr>
        <w:t xml:space="preserve"> Tender may be deemed non-compliant. The Authority reserves the right to exclude non-compliant Tenders from th</w:t>
      </w:r>
      <w:r w:rsidR="006F03E6">
        <w:rPr>
          <w:rFonts w:cs="Arial"/>
          <w:sz w:val="22"/>
          <w:szCs w:val="22"/>
        </w:rPr>
        <w:t>is</w:t>
      </w:r>
      <w:r w:rsidRPr="00C351DF">
        <w:rPr>
          <w:rFonts w:cs="Arial"/>
          <w:sz w:val="22"/>
          <w:szCs w:val="22"/>
        </w:rPr>
        <w:t xml:space="preserve"> Procurement.</w:t>
      </w:r>
      <w:bookmarkEnd w:id="37"/>
    </w:p>
    <w:p w14:paraId="4A7BA1D5" w14:textId="77777777" w:rsidR="00357BAF" w:rsidRPr="00357BAF" w:rsidRDefault="00357BAF" w:rsidP="00357BAF">
      <w:pPr>
        <w:pStyle w:val="Heading2"/>
        <w:rPr>
          <w:sz w:val="22"/>
          <w:szCs w:val="22"/>
        </w:rPr>
      </w:pPr>
      <w:r w:rsidRPr="00357BAF">
        <w:rPr>
          <w:sz w:val="22"/>
          <w:szCs w:val="22"/>
        </w:rPr>
        <w:t xml:space="preserve">Stage </w:t>
      </w:r>
      <w:r>
        <w:rPr>
          <w:sz w:val="22"/>
          <w:szCs w:val="22"/>
        </w:rPr>
        <w:t>1</w:t>
      </w:r>
      <w:r w:rsidRPr="00357BAF">
        <w:rPr>
          <w:sz w:val="22"/>
          <w:szCs w:val="22"/>
        </w:rPr>
        <w:t xml:space="preserve"> - Selection Questionnaire </w:t>
      </w:r>
      <w:r w:rsidR="00200D55">
        <w:rPr>
          <w:sz w:val="22"/>
          <w:szCs w:val="22"/>
        </w:rPr>
        <w:t>s</w:t>
      </w:r>
      <w:r w:rsidRPr="00357BAF">
        <w:rPr>
          <w:sz w:val="22"/>
          <w:szCs w:val="22"/>
        </w:rPr>
        <w:t>ection</w:t>
      </w:r>
      <w:r w:rsidR="00200D55">
        <w:rPr>
          <w:sz w:val="22"/>
          <w:szCs w:val="22"/>
        </w:rPr>
        <w:t>s</w:t>
      </w:r>
      <w:r w:rsidR="00B82F88">
        <w:rPr>
          <w:sz w:val="22"/>
          <w:szCs w:val="22"/>
        </w:rPr>
        <w:t xml:space="preserve"> 2, 3 and 4</w:t>
      </w:r>
      <w:r w:rsidRPr="00357BAF">
        <w:rPr>
          <w:sz w:val="22"/>
          <w:szCs w:val="22"/>
        </w:rPr>
        <w:t xml:space="preserve"> – Grounds for Exclusion</w:t>
      </w:r>
    </w:p>
    <w:p w14:paraId="4A7BA1D6" w14:textId="08B29041" w:rsidR="00357BAF" w:rsidRPr="004D65D8" w:rsidRDefault="00357BAF" w:rsidP="00696C71">
      <w:pPr>
        <w:pStyle w:val="Heading3"/>
      </w:pPr>
      <w:r w:rsidRPr="00C351DF">
        <w:t xml:space="preserve">In certain circumstances the Authority is required by law to exclude Potential Providers from participating in this Procurement. If you cannot answer ‘no’ to every statement in </w:t>
      </w:r>
      <w:r w:rsidR="00200D55">
        <w:t>S</w:t>
      </w:r>
      <w:r w:rsidR="004A23D3">
        <w:t>ection B</w:t>
      </w:r>
      <w:r w:rsidR="003A50EC">
        <w:t xml:space="preserve"> </w:t>
      </w:r>
      <w:r w:rsidR="00200D55">
        <w:t>of the Selection Questionnaire</w:t>
      </w:r>
      <w:r w:rsidR="004A23D3">
        <w:t xml:space="preserve"> (Appendix 1</w:t>
      </w:r>
      <w:r w:rsidR="0000109B">
        <w:t xml:space="preserve">) </w:t>
      </w:r>
      <w:r w:rsidR="003A50EC">
        <w:t xml:space="preserve">then, subject to </w:t>
      </w:r>
      <w:r w:rsidR="003A50EC" w:rsidRPr="00312348">
        <w:t xml:space="preserve">paragraph </w:t>
      </w:r>
      <w:r w:rsidR="00312348" w:rsidRPr="00312348">
        <w:t>9.2.3</w:t>
      </w:r>
      <w:r w:rsidR="003A50EC" w:rsidRPr="00312348">
        <w:t xml:space="preserve">, </w:t>
      </w:r>
      <w:r w:rsidRPr="00312348">
        <w:t>your</w:t>
      </w:r>
      <w:r w:rsidRPr="00C351DF">
        <w:t xml:space="preserve"> Tender </w:t>
      </w:r>
      <w:r w:rsidR="00200D55">
        <w:t>shall</w:t>
      </w:r>
      <w:r w:rsidRPr="004D65D8">
        <w:t xml:space="preserve"> be excluded from further participation in this Procurement</w:t>
      </w:r>
      <w:r w:rsidR="000854C2">
        <w:t xml:space="preserve"> (except where disproportionately small amounts of </w:t>
      </w:r>
      <w:r w:rsidR="000854C2" w:rsidRPr="00A9426D">
        <w:t>tax or social security obligations</w:t>
      </w:r>
      <w:r w:rsidR="000854C2">
        <w:t xml:space="preserve"> are involved)</w:t>
      </w:r>
      <w:r w:rsidRPr="004D65D8">
        <w:t>.</w:t>
      </w:r>
    </w:p>
    <w:p w14:paraId="4A7BA1D7" w14:textId="1C0F840C" w:rsidR="00E5300D" w:rsidRDefault="00357BAF">
      <w:pPr>
        <w:pStyle w:val="Heading3"/>
      </w:pPr>
      <w:r w:rsidRPr="005547CD">
        <w:t xml:space="preserve">The Authority is entitled (in its sole discretion) to exclude a Potential Provider from further participation in this Procurement if any of the statements in response to </w:t>
      </w:r>
      <w:r w:rsidR="00370CEF">
        <w:t>Section C</w:t>
      </w:r>
      <w:r w:rsidRPr="00ED47E3">
        <w:rPr>
          <w:rFonts w:cs="Times New Roman"/>
        </w:rPr>
        <w:t xml:space="preserve"> (Discretionary grounds for exclusion)</w:t>
      </w:r>
      <w:r w:rsidR="0000109B" w:rsidRPr="0000109B">
        <w:t xml:space="preserve"> </w:t>
      </w:r>
      <w:r w:rsidR="0000109B">
        <w:t>of the Sele</w:t>
      </w:r>
      <w:r w:rsidR="00370CEF">
        <w:t>ction Questionnaire (Appendix 1</w:t>
      </w:r>
      <w:r w:rsidR="0000109B">
        <w:t>)</w:t>
      </w:r>
      <w:r w:rsidR="0000109B" w:rsidRPr="00ED47E3">
        <w:rPr>
          <w:rFonts w:cs="Times New Roman"/>
        </w:rPr>
        <w:t xml:space="preserve"> </w:t>
      </w:r>
      <w:r w:rsidR="00370CEF">
        <w:rPr>
          <w:rFonts w:cs="Times New Roman"/>
        </w:rPr>
        <w:t>are deemed unacceptable. S</w:t>
      </w:r>
      <w:r w:rsidR="004D65D8" w:rsidRPr="004D65D8">
        <w:t xml:space="preserve">ubject to paragraph </w:t>
      </w:r>
      <w:r w:rsidR="00312348" w:rsidRPr="00312348">
        <w:t>9.2.3,</w:t>
      </w:r>
      <w:r w:rsidR="00F517B1">
        <w:t xml:space="preserve"> </w:t>
      </w:r>
      <w:r w:rsidRPr="004D65D8">
        <w:t xml:space="preserve">that your Tender will be </w:t>
      </w:r>
      <w:r w:rsidRPr="005547CD">
        <w:t xml:space="preserve">excluded from this </w:t>
      </w:r>
      <w:r w:rsidR="00F517B1">
        <w:t>P</w:t>
      </w:r>
      <w:r w:rsidRPr="005547CD">
        <w:t>rocurement</w:t>
      </w:r>
      <w:r w:rsidR="005547CD">
        <w:t>.</w:t>
      </w:r>
      <w:r w:rsidR="003A50EC" w:rsidRPr="005547CD">
        <w:t xml:space="preserve"> </w:t>
      </w:r>
    </w:p>
    <w:p w14:paraId="4A7BA1D8" w14:textId="77777777" w:rsidR="00F517B1" w:rsidRPr="004D65D8" w:rsidRDefault="00357BAF">
      <w:pPr>
        <w:pStyle w:val="Heading3"/>
      </w:pPr>
      <w:r w:rsidRPr="004D65D8">
        <w:t>‘Self Cleaning’ (Covering both mandatory and discretionary exclusion)</w:t>
      </w:r>
    </w:p>
    <w:p w14:paraId="4A7BA1D9" w14:textId="7702A082" w:rsidR="00DB5CC0" w:rsidRPr="00DB5CC0" w:rsidRDefault="00357BAF" w:rsidP="00DB5CC0">
      <w:pPr>
        <w:pStyle w:val="Heading4"/>
      </w:pPr>
      <w:r w:rsidRPr="00DB5CC0">
        <w:t xml:space="preserve">If a Potential Provider provides sufficient evidence that remedial action has taken place subsequently </w:t>
      </w:r>
      <w:r w:rsidR="003A50EC" w:rsidRPr="00DB5CC0">
        <w:t>that effectively</w:t>
      </w:r>
      <w:r w:rsidRPr="00DB5CC0">
        <w:t xml:space="preserve"> “self cleans”</w:t>
      </w:r>
      <w:r w:rsidR="003A50EC" w:rsidRPr="00DB5CC0">
        <w:t xml:space="preserve"> the situation</w:t>
      </w:r>
      <w:r w:rsidRPr="00DB5CC0">
        <w:t xml:space="preserve">, the Authority </w:t>
      </w:r>
      <w:r w:rsidR="001D3D7D">
        <w:t>may</w:t>
      </w:r>
      <w:r w:rsidR="00F517B1" w:rsidRPr="00DB5CC0">
        <w:t xml:space="preserve"> decide that </w:t>
      </w:r>
      <w:r w:rsidR="00E5300D" w:rsidRPr="00DB5CC0">
        <w:t xml:space="preserve">that </w:t>
      </w:r>
      <w:r w:rsidR="00F517B1" w:rsidRPr="00DB5CC0">
        <w:t xml:space="preserve">Potential Provider shall not be excluded from this Procurement. </w:t>
      </w:r>
      <w:r w:rsidR="00DB5CC0" w:rsidRPr="00DB5CC0">
        <w:t>As a minimum, you will have to demonstrate that you have</w:t>
      </w:r>
      <w:r w:rsidR="00DB5CC0">
        <w:t>:</w:t>
      </w:r>
    </w:p>
    <w:p w14:paraId="4A7BA1DA" w14:textId="77777777" w:rsidR="00DB5CC0" w:rsidRPr="00DB5CC0" w:rsidRDefault="00DB5CC0" w:rsidP="00DB5CC0">
      <w:pPr>
        <w:pStyle w:val="Heading4"/>
        <w:numPr>
          <w:ilvl w:val="4"/>
          <w:numId w:val="1"/>
        </w:numPr>
      </w:pPr>
      <w:r w:rsidRPr="00DB5CC0">
        <w:t>paid or undertaken to pay compensation in respect of any damage caused by any criminal offence or misconduct;</w:t>
      </w:r>
    </w:p>
    <w:p w14:paraId="4A7BA1DB" w14:textId="77777777" w:rsidR="00DB5CC0" w:rsidRPr="00DB5CC0" w:rsidRDefault="00DB5CC0" w:rsidP="00DB5CC0">
      <w:pPr>
        <w:pStyle w:val="Heading4"/>
        <w:numPr>
          <w:ilvl w:val="4"/>
          <w:numId w:val="1"/>
        </w:numPr>
      </w:pPr>
      <w:r w:rsidRPr="00DB5CC0">
        <w:t>clarified the facts and circumstances in a comprehensive manner by actively collaborating with the investigating authorities; and</w:t>
      </w:r>
    </w:p>
    <w:p w14:paraId="4A7BA1DC" w14:textId="77777777" w:rsidR="00DB5CC0" w:rsidRPr="009F6AE8" w:rsidRDefault="00DB5CC0" w:rsidP="00DB5CC0">
      <w:pPr>
        <w:pStyle w:val="Heading4"/>
        <w:numPr>
          <w:ilvl w:val="4"/>
          <w:numId w:val="1"/>
        </w:numPr>
      </w:pPr>
      <w:r w:rsidRPr="009F6AE8">
        <w:t>taken concrete technical, organisational and personnel measures that are appropriate to prevent further criminal offences or misconduct.</w:t>
      </w:r>
    </w:p>
    <w:p w14:paraId="4A7BA1DD" w14:textId="77777777" w:rsidR="00CA1007" w:rsidRPr="00AA1BD9" w:rsidRDefault="00DB5CC0" w:rsidP="00DB5CC0">
      <w:pPr>
        <w:pStyle w:val="Heading4"/>
      </w:pPr>
      <w:r w:rsidRPr="00CC22D2">
        <w:t xml:space="preserve">The measures </w:t>
      </w:r>
      <w:r>
        <w:t xml:space="preserve">you have </w:t>
      </w:r>
      <w:r w:rsidRPr="00CC22D2">
        <w:t xml:space="preserve">taken </w:t>
      </w:r>
      <w:r>
        <w:t xml:space="preserve">will </w:t>
      </w:r>
      <w:r w:rsidRPr="00CC22D2">
        <w:t>be evaluated taking into account the gravity and particular circumstances of the criminal offence or misconduct.</w:t>
      </w:r>
    </w:p>
    <w:p w14:paraId="4A7BA1DE" w14:textId="77777777" w:rsidR="0058734C" w:rsidRPr="00C351DF" w:rsidRDefault="0058734C" w:rsidP="007D6A4F">
      <w:pPr>
        <w:pStyle w:val="Heading2"/>
        <w:rPr>
          <w:rFonts w:cs="Arial"/>
          <w:sz w:val="22"/>
          <w:szCs w:val="22"/>
        </w:rPr>
      </w:pPr>
      <w:bookmarkStart w:id="38" w:name="_Ref284445646"/>
      <w:bookmarkStart w:id="39" w:name="_Ref284767543"/>
      <w:r w:rsidRPr="00C351DF">
        <w:rPr>
          <w:rFonts w:cs="Arial"/>
          <w:sz w:val="22"/>
          <w:szCs w:val="22"/>
        </w:rPr>
        <w:t xml:space="preserve">Stage 2 – </w:t>
      </w:r>
      <w:r w:rsidR="00F3323B" w:rsidRPr="00C351DF">
        <w:rPr>
          <w:rFonts w:cs="Arial"/>
          <w:sz w:val="22"/>
          <w:szCs w:val="22"/>
        </w:rPr>
        <w:t>S</w:t>
      </w:r>
      <w:r w:rsidR="000863B0">
        <w:rPr>
          <w:rFonts w:cs="Arial"/>
          <w:sz w:val="22"/>
          <w:szCs w:val="22"/>
        </w:rPr>
        <w:t xml:space="preserve">election Questionnaire </w:t>
      </w:r>
      <w:r w:rsidR="0000109B">
        <w:rPr>
          <w:rFonts w:cs="Arial"/>
          <w:sz w:val="22"/>
          <w:szCs w:val="22"/>
        </w:rPr>
        <w:t>s</w:t>
      </w:r>
      <w:r w:rsidR="000863B0">
        <w:rPr>
          <w:rFonts w:cs="Arial"/>
          <w:sz w:val="22"/>
          <w:szCs w:val="22"/>
        </w:rPr>
        <w:t xml:space="preserve">ection 5 </w:t>
      </w:r>
      <w:r w:rsidRPr="00C351DF">
        <w:rPr>
          <w:rFonts w:cs="Arial"/>
          <w:sz w:val="22"/>
          <w:szCs w:val="22"/>
        </w:rPr>
        <w:t xml:space="preserve">– </w:t>
      </w:r>
      <w:r w:rsidR="000863B0">
        <w:rPr>
          <w:rFonts w:cs="Arial"/>
          <w:sz w:val="22"/>
          <w:szCs w:val="22"/>
        </w:rPr>
        <w:t xml:space="preserve">Economic and </w:t>
      </w:r>
      <w:r w:rsidRPr="00C351DF">
        <w:rPr>
          <w:rFonts w:cs="Arial"/>
          <w:sz w:val="22"/>
          <w:szCs w:val="22"/>
        </w:rPr>
        <w:t xml:space="preserve">Financial </w:t>
      </w:r>
      <w:bookmarkEnd w:id="38"/>
      <w:r w:rsidRPr="00C351DF">
        <w:rPr>
          <w:rFonts w:cs="Arial"/>
          <w:sz w:val="22"/>
          <w:szCs w:val="22"/>
        </w:rPr>
        <w:t xml:space="preserve">Standing </w:t>
      </w:r>
    </w:p>
    <w:p w14:paraId="4A7BA1E1" w14:textId="3C0F11CE" w:rsidR="0058734C" w:rsidRPr="00C351DF" w:rsidRDefault="0058734C" w:rsidP="00D15C44">
      <w:pPr>
        <w:pStyle w:val="Heading3"/>
      </w:pPr>
      <w:r w:rsidRPr="00C351DF">
        <w:t xml:space="preserve">The information </w:t>
      </w:r>
      <w:r w:rsidR="00187832" w:rsidRPr="00C351DF">
        <w:t xml:space="preserve">you </w:t>
      </w:r>
      <w:r w:rsidR="001D3D7D">
        <w:t xml:space="preserve">submit in response </w:t>
      </w:r>
      <w:r w:rsidR="00D15C44" w:rsidRPr="00D15C44">
        <w:t>Potentia</w:t>
      </w:r>
      <w:r w:rsidR="001D3D7D">
        <w:t>l Provider Information and</w:t>
      </w:r>
      <w:r w:rsidR="00D15C44" w:rsidRPr="00D15C44">
        <w:t xml:space="preserve"> Bidding Model</w:t>
      </w:r>
      <w:r w:rsidR="00D15C44">
        <w:t xml:space="preserve"> in</w:t>
      </w:r>
      <w:r w:rsidRPr="00C351DF">
        <w:t xml:space="preserve"> the </w:t>
      </w:r>
      <w:r w:rsidR="006B547D" w:rsidRPr="00C351DF">
        <w:t xml:space="preserve">Selection </w:t>
      </w:r>
      <w:r w:rsidRPr="00C351DF">
        <w:t>Question</w:t>
      </w:r>
      <w:r w:rsidR="006B547D" w:rsidRPr="00C351DF">
        <w:t>naire</w:t>
      </w:r>
      <w:r w:rsidRPr="00C351DF">
        <w:t xml:space="preserve"> will be used to carry out an assessment of </w:t>
      </w:r>
      <w:r w:rsidR="0021440A" w:rsidRPr="00C351DF">
        <w:t xml:space="preserve">your </w:t>
      </w:r>
      <w:r w:rsidRPr="00C351DF">
        <w:t>econ</w:t>
      </w:r>
      <w:r w:rsidR="001D3D7D">
        <w:t>omic and financial standing.</w:t>
      </w:r>
    </w:p>
    <w:p w14:paraId="4A7BA1E2" w14:textId="47F8AED1" w:rsidR="0058734C" w:rsidRPr="00C351DF" w:rsidRDefault="0058734C">
      <w:pPr>
        <w:pStyle w:val="Heading3"/>
      </w:pPr>
      <w:bookmarkStart w:id="40" w:name="_Ref284445999"/>
      <w:r w:rsidRPr="00C351DF">
        <w:t xml:space="preserve">The Authority uses a credit reference agency (Experian) as the first step in determining financial risk. The Authority will request an Experian financial risk score based on the information provided in response to the </w:t>
      </w:r>
      <w:r w:rsidR="006B547D" w:rsidRPr="00C351DF">
        <w:t xml:space="preserve">Selection </w:t>
      </w:r>
      <w:r w:rsidRPr="00C351DF">
        <w:t>Question</w:t>
      </w:r>
      <w:r w:rsidR="006B547D" w:rsidRPr="00C351DF">
        <w:t>naire</w:t>
      </w:r>
      <w:r w:rsidRPr="00C351DF">
        <w:t xml:space="preserve">. The report provided by Experian will be used to determine the level of financial risk </w:t>
      </w:r>
      <w:r w:rsidR="00187832" w:rsidRPr="00C351DF">
        <w:t>you represent</w:t>
      </w:r>
      <w:r w:rsidRPr="00C351DF">
        <w:t>. If the score provided by Experian is [</w:t>
      </w:r>
      <w:r w:rsidRPr="00C351DF">
        <w:rPr>
          <w:highlight w:val="yellow"/>
        </w:rPr>
        <w:t>51</w:t>
      </w:r>
      <w:r w:rsidRPr="00C351DF">
        <w:t xml:space="preserve">] or more (where a standard UK score is available), or the risk level is </w:t>
      </w:r>
      <w:r w:rsidR="004E1EAA" w:rsidRPr="00C351DF">
        <w:t>equivalent</w:t>
      </w:r>
      <w:r w:rsidRPr="00C351DF">
        <w:t xml:space="preserve"> or better (where a standard International score is available) then</w:t>
      </w:r>
      <w:r w:rsidR="00D15C44">
        <w:t xml:space="preserve"> </w:t>
      </w:r>
      <w:r w:rsidR="00871EEB">
        <w:t>your</w:t>
      </w:r>
      <w:r w:rsidRPr="00C351DF">
        <w:t xml:space="preserve"> Tender will proceed to</w:t>
      </w:r>
      <w:bookmarkEnd w:id="40"/>
      <w:r w:rsidRPr="00C351DF">
        <w:t xml:space="preserve"> evaluation process.</w:t>
      </w:r>
    </w:p>
    <w:p w14:paraId="4A7BA1E3" w14:textId="77777777" w:rsidR="0058734C" w:rsidRPr="00C351DF" w:rsidRDefault="0058734C">
      <w:pPr>
        <w:pStyle w:val="Heading3"/>
      </w:pPr>
      <w:r w:rsidRPr="00C351DF">
        <w:lastRenderedPageBreak/>
        <w:t xml:space="preserve">If any of </w:t>
      </w:r>
      <w:r w:rsidRPr="00696C71">
        <w:t>the</w:t>
      </w:r>
      <w:r w:rsidRPr="00C351DF">
        <w:t xml:space="preserve"> following circumstances arise:</w:t>
      </w:r>
    </w:p>
    <w:p w14:paraId="4A7BA1E4" w14:textId="77777777" w:rsidR="0058734C" w:rsidRPr="00C351DF" w:rsidRDefault="0058734C" w:rsidP="00AA1BD9">
      <w:pPr>
        <w:pStyle w:val="Heading4"/>
      </w:pPr>
      <w:r w:rsidRPr="00C351DF">
        <w:t>the score provided by Experian (where a standard UK score is available) is less than [</w:t>
      </w:r>
      <w:r w:rsidRPr="00C351DF">
        <w:rPr>
          <w:highlight w:val="yellow"/>
        </w:rPr>
        <w:t>51</w:t>
      </w:r>
      <w:r w:rsidRPr="00C351DF">
        <w:t>];</w:t>
      </w:r>
    </w:p>
    <w:p w14:paraId="4A7BA1E5" w14:textId="7EEBB262" w:rsidR="0058734C" w:rsidRPr="00C351DF" w:rsidRDefault="0058734C">
      <w:pPr>
        <w:pStyle w:val="Heading4"/>
      </w:pPr>
      <w:r w:rsidRPr="00C351DF">
        <w:t xml:space="preserve">the </w:t>
      </w:r>
      <w:r w:rsidR="002043F0">
        <w:t>score</w:t>
      </w:r>
      <w:r w:rsidRPr="00C351DF">
        <w:t xml:space="preserve"> is </w:t>
      </w:r>
      <w:r w:rsidR="002043F0">
        <w:t xml:space="preserve">less than the equivalent risk level </w:t>
      </w:r>
      <w:r w:rsidRPr="00C351DF">
        <w:t>above (where a standard international score is available); or</w:t>
      </w:r>
    </w:p>
    <w:p w14:paraId="4A7BA1E6" w14:textId="77777777" w:rsidR="0058734C" w:rsidRPr="00C351DF" w:rsidRDefault="0058734C">
      <w:pPr>
        <w:pStyle w:val="Heading4"/>
      </w:pPr>
      <w:r w:rsidRPr="00C351DF">
        <w:t xml:space="preserve">no standard Experian score is available for </w:t>
      </w:r>
      <w:r w:rsidR="00187832" w:rsidRPr="00C351DF">
        <w:t>your</w:t>
      </w:r>
      <w:r w:rsidRPr="00C351DF">
        <w:t xml:space="preserve"> organisation,</w:t>
      </w:r>
    </w:p>
    <w:p w14:paraId="4A7BA1E7" w14:textId="77777777" w:rsidR="0058734C" w:rsidRPr="00CA7415" w:rsidRDefault="0058734C" w:rsidP="00AA1BD9">
      <w:pPr>
        <w:pStyle w:val="Heading3"/>
      </w:pPr>
      <w:bookmarkStart w:id="41" w:name="_Ref316390128"/>
      <w:r w:rsidRPr="00CA7415">
        <w:t xml:space="preserve">then the Authority may ask </w:t>
      </w:r>
      <w:r w:rsidR="00187832" w:rsidRPr="00CA7415">
        <w:t>you</w:t>
      </w:r>
      <w:r w:rsidRPr="00CA7415">
        <w:t xml:space="preserve"> to provide a copy of </w:t>
      </w:r>
      <w:r w:rsidR="00187832" w:rsidRPr="00CA7415">
        <w:t>your</w:t>
      </w:r>
      <w:r w:rsidRPr="00CA7415">
        <w:t xml:space="preserve"> audited accounts for the most recent two years and</w:t>
      </w:r>
      <w:r w:rsidR="00495F1B" w:rsidRPr="00CA7415">
        <w:t>/or</w:t>
      </w:r>
      <w:r w:rsidRPr="00CA7415">
        <w:t xml:space="preserve"> one or more of</w:t>
      </w:r>
      <w:r w:rsidR="00495F1B" w:rsidRPr="00CA7415">
        <w:t xml:space="preserve"> the</w:t>
      </w:r>
      <w:r w:rsidRPr="00CA7415">
        <w:t xml:space="preserve"> following in respect of </w:t>
      </w:r>
      <w:r w:rsidR="00187832" w:rsidRPr="00CA7415">
        <w:t>your</w:t>
      </w:r>
      <w:r w:rsidRPr="00CA7415">
        <w:t xml:space="preserve"> organisation or </w:t>
      </w:r>
      <w:r w:rsidR="00F2595A">
        <w:t xml:space="preserve">the proposed Framework </w:t>
      </w:r>
      <w:r w:rsidR="006B547D" w:rsidRPr="00CA7415">
        <w:t>Guarantor</w:t>
      </w:r>
      <w:r w:rsidRPr="00CA7415">
        <w:t xml:space="preserve"> (as the case may be):</w:t>
      </w:r>
      <w:bookmarkEnd w:id="41"/>
    </w:p>
    <w:p w14:paraId="4A7BA1E8" w14:textId="77777777" w:rsidR="0058734C" w:rsidRPr="00C351DF" w:rsidRDefault="0058734C" w:rsidP="00AA1BD9">
      <w:pPr>
        <w:pStyle w:val="Heading4"/>
      </w:pPr>
      <w:r w:rsidRPr="00C351DF">
        <w:t xml:space="preserve">a statement of </w:t>
      </w:r>
      <w:r w:rsidR="00187832" w:rsidRPr="00C351DF">
        <w:t>your</w:t>
      </w:r>
      <w:r w:rsidRPr="00C351DF">
        <w:t xml:space="preserve"> turnover profit and loss account and cash flow for the most recent year of trading;</w:t>
      </w:r>
    </w:p>
    <w:p w14:paraId="4A7BA1E9" w14:textId="77777777" w:rsidR="0058734C" w:rsidRPr="00C351DF" w:rsidRDefault="0058734C">
      <w:pPr>
        <w:pStyle w:val="Heading4"/>
      </w:pPr>
      <w:r w:rsidRPr="00C351DF">
        <w:t xml:space="preserve">a statement of </w:t>
      </w:r>
      <w:r w:rsidR="00187832" w:rsidRPr="00C351DF">
        <w:t>your</w:t>
      </w:r>
      <w:r w:rsidRPr="00C351DF">
        <w:t xml:space="preserve"> cash flow forecast for the current year and a bank letter outlining the current cash and credit position; and/or</w:t>
      </w:r>
    </w:p>
    <w:p w14:paraId="4A7BA1EA" w14:textId="2284B8EB" w:rsidR="0058734C" w:rsidRPr="00C351DF" w:rsidRDefault="0058734C">
      <w:pPr>
        <w:pStyle w:val="Heading4"/>
      </w:pPr>
      <w:r w:rsidRPr="00C351DF">
        <w:t>an alternative means of demonstrating financial status</w:t>
      </w:r>
      <w:r w:rsidR="002043F0">
        <w:t>.</w:t>
      </w:r>
    </w:p>
    <w:p w14:paraId="4A7BA1EB" w14:textId="2B86A7A6" w:rsidR="0058734C" w:rsidRPr="00C351DF" w:rsidRDefault="0058734C" w:rsidP="002043F0">
      <w:pPr>
        <w:pStyle w:val="Heading3"/>
      </w:pPr>
      <w:bookmarkStart w:id="42" w:name="_Ref284803311"/>
      <w:r w:rsidRPr="00C351DF">
        <w:t>The Authority will use the info</w:t>
      </w:r>
      <w:r w:rsidR="00821C24">
        <w:t xml:space="preserve">rmation described in paragraph </w:t>
      </w:r>
      <w:r w:rsidR="00CE13D1" w:rsidRPr="00821C24">
        <w:fldChar w:fldCharType="begin"/>
      </w:r>
      <w:r w:rsidR="00CE13D1" w:rsidRPr="00821C24">
        <w:instrText xml:space="preserve"> REF _Ref316390128 \r \h  \* MERGEFORMAT </w:instrText>
      </w:r>
      <w:r w:rsidR="00CE13D1" w:rsidRPr="00821C24">
        <w:fldChar w:fldCharType="separate"/>
      </w:r>
      <w:r w:rsidR="00821C24" w:rsidRPr="00821C24">
        <w:t>9</w:t>
      </w:r>
      <w:r w:rsidR="00FD51A8" w:rsidRPr="00821C24">
        <w:t>.3.4</w:t>
      </w:r>
      <w:r w:rsidR="00CE13D1" w:rsidRPr="00821C24">
        <w:fldChar w:fldCharType="end"/>
      </w:r>
      <w:r w:rsidRPr="00821C24">
        <w:t>, i</w:t>
      </w:r>
      <w:r w:rsidRPr="00C351DF">
        <w:t>n addition to a detailed Experian report (where available) to assess whether</w:t>
      </w:r>
      <w:r w:rsidR="002043F0">
        <w:t xml:space="preserve"> your</w:t>
      </w:r>
      <w:r w:rsidRPr="00C351DF">
        <w:t xml:space="preserve"> organisation’s</w:t>
      </w:r>
      <w:r w:rsidR="004F0CF3" w:rsidRPr="00C351DF">
        <w:t xml:space="preserve"> or your </w:t>
      </w:r>
      <w:r w:rsidR="00F2595A">
        <w:t xml:space="preserve">proposed Framework </w:t>
      </w:r>
      <w:r w:rsidR="006B547D" w:rsidRPr="00C351DF">
        <w:t>Guarantor</w:t>
      </w:r>
      <w:r w:rsidR="004F0CF3" w:rsidRPr="00C351DF">
        <w:t>’s</w:t>
      </w:r>
      <w:r w:rsidRPr="00C351DF">
        <w:t xml:space="preserve"> financi</w:t>
      </w:r>
      <w:r w:rsidR="00821C24">
        <w:t>al risk is average or better.</w:t>
      </w:r>
      <w:bookmarkEnd w:id="42"/>
    </w:p>
    <w:p w14:paraId="4A7BA1EC" w14:textId="53873479" w:rsidR="0058734C" w:rsidRPr="00C351DF" w:rsidRDefault="0058734C">
      <w:pPr>
        <w:pStyle w:val="Heading3"/>
      </w:pPr>
      <w:r w:rsidRPr="00C351DF">
        <w:t xml:space="preserve">If the Authority then determines (in accordance with </w:t>
      </w:r>
      <w:r w:rsidR="00821C24">
        <w:t xml:space="preserve">paragraph </w:t>
      </w:r>
      <w:r w:rsidR="00CE13D1" w:rsidRPr="00821C24">
        <w:fldChar w:fldCharType="begin"/>
      </w:r>
      <w:r w:rsidR="00CE13D1" w:rsidRPr="00821C24">
        <w:instrText xml:space="preserve"> REF _Ref284803311 \r \h  \* MERGEFORMAT </w:instrText>
      </w:r>
      <w:r w:rsidR="00CE13D1" w:rsidRPr="00821C24">
        <w:fldChar w:fldCharType="separate"/>
      </w:r>
      <w:r w:rsidR="00821C24" w:rsidRPr="00821C24">
        <w:t>9</w:t>
      </w:r>
      <w:r w:rsidR="00FD51A8" w:rsidRPr="00821C24">
        <w:t>.3.5</w:t>
      </w:r>
      <w:r w:rsidR="00CE13D1" w:rsidRPr="00821C24">
        <w:fldChar w:fldCharType="end"/>
      </w:r>
      <w:r w:rsidRPr="00821C24">
        <w:t>) that</w:t>
      </w:r>
      <w:r w:rsidRPr="00C351DF">
        <w:t xml:space="preserve"> the financial risk is determined as being </w:t>
      </w:r>
      <w:r w:rsidR="00871EEB">
        <w:t>‘</w:t>
      </w:r>
      <w:r w:rsidRPr="00C351DF">
        <w:t>average or better</w:t>
      </w:r>
      <w:r w:rsidR="00871EEB">
        <w:t>’</w:t>
      </w:r>
      <w:r w:rsidRPr="00C351DF">
        <w:t>,</w:t>
      </w:r>
      <w:r w:rsidR="00871EEB">
        <w:t xml:space="preserve"> then</w:t>
      </w:r>
      <w:r w:rsidRPr="00C351DF">
        <w:t xml:space="preserve"> </w:t>
      </w:r>
      <w:r w:rsidR="00871EEB">
        <w:t xml:space="preserve">your </w:t>
      </w:r>
      <w:r w:rsidR="00821C24">
        <w:t>Tender will proceed to the</w:t>
      </w:r>
      <w:r w:rsidRPr="00C351DF">
        <w:t xml:space="preserve"> evaluation process.</w:t>
      </w:r>
    </w:p>
    <w:p w14:paraId="4A7BA1ED" w14:textId="32F4A1F6" w:rsidR="0058734C" w:rsidRPr="00C351DF" w:rsidRDefault="0058734C">
      <w:pPr>
        <w:pStyle w:val="Heading3"/>
      </w:pPr>
      <w:bookmarkStart w:id="43" w:name="_Ref284446003"/>
      <w:r w:rsidRPr="00C351DF">
        <w:t xml:space="preserve">If the Authority determines (in accordance with </w:t>
      </w:r>
      <w:r w:rsidRPr="00945B92">
        <w:t xml:space="preserve">paragraph </w:t>
      </w:r>
      <w:r w:rsidR="00CE13D1" w:rsidRPr="00945B92">
        <w:fldChar w:fldCharType="begin"/>
      </w:r>
      <w:r w:rsidR="00CE13D1" w:rsidRPr="00945B92">
        <w:instrText xml:space="preserve"> REF _Ref284803311 \r \h  \* MERGEFORMAT </w:instrText>
      </w:r>
      <w:r w:rsidR="00CE13D1" w:rsidRPr="00945B92">
        <w:fldChar w:fldCharType="separate"/>
      </w:r>
      <w:r w:rsidR="00945B92" w:rsidRPr="00945B92">
        <w:t>9</w:t>
      </w:r>
      <w:r w:rsidR="00FD51A8" w:rsidRPr="00945B92">
        <w:t>.3.5</w:t>
      </w:r>
      <w:r w:rsidR="00CE13D1" w:rsidRPr="00945B92">
        <w:fldChar w:fldCharType="end"/>
      </w:r>
      <w:r w:rsidRPr="00945B92">
        <w:t>) that</w:t>
      </w:r>
      <w:r w:rsidRPr="00C351DF">
        <w:t xml:space="preserve"> the financial risk is determined as being </w:t>
      </w:r>
      <w:r w:rsidR="00871EEB">
        <w:t>‘</w:t>
      </w:r>
      <w:r w:rsidRPr="00C351DF">
        <w:t>worse than average</w:t>
      </w:r>
      <w:r w:rsidR="00871EEB">
        <w:t>’</w:t>
      </w:r>
      <w:r w:rsidRPr="00C351DF">
        <w:t>, then</w:t>
      </w:r>
      <w:r w:rsidR="00EC2BF0">
        <w:t xml:space="preserve"> the Authority may (in its sole discretion) request that you nominate a Framework Guarantor. If you nominate a Framework Guarantor the Authority will under</w:t>
      </w:r>
      <w:r w:rsidR="00945B92">
        <w:t>take the steps at paragraphs 9.3.2 to 9.3.7</w:t>
      </w:r>
      <w:r w:rsidR="00D60606">
        <w:t xml:space="preserve"> in respect of the proposed Framework Guarantor</w:t>
      </w:r>
      <w:r w:rsidR="00EC2BF0">
        <w:t>.</w:t>
      </w:r>
      <w:bookmarkEnd w:id="43"/>
      <w:r w:rsidRPr="00C351DF">
        <w:t xml:space="preserve"> </w:t>
      </w:r>
    </w:p>
    <w:p w14:paraId="4A7BA1EE" w14:textId="1D8983F9" w:rsidR="0058734C" w:rsidRDefault="00EC2BF0">
      <w:pPr>
        <w:pStyle w:val="Heading3"/>
      </w:pPr>
      <w:bookmarkStart w:id="44" w:name="_Ref288817182"/>
      <w:r>
        <w:t xml:space="preserve">Only if, after </w:t>
      </w:r>
      <w:r w:rsidR="000B6BFA">
        <w:t>evaluating all the information requested and provided,</w:t>
      </w:r>
      <w:r>
        <w:t xml:space="preserve"> the level of financial risk is still deemed not acceptable, or where </w:t>
      </w:r>
      <w:r w:rsidR="003A7F98">
        <w:t>the requested information at 9.3.4</w:t>
      </w:r>
      <w:r>
        <w:t xml:space="preserve"> has not been provided</w:t>
      </w:r>
      <w:r w:rsidR="000B6BFA">
        <w:t>,</w:t>
      </w:r>
      <w:r>
        <w:t xml:space="preserve"> then the Tender will be excluded from further involvement in the procurement.</w:t>
      </w:r>
      <w:bookmarkEnd w:id="44"/>
    </w:p>
    <w:p w14:paraId="4A7BA1EF" w14:textId="17017FE4" w:rsidR="00541614" w:rsidRPr="00C351DF" w:rsidRDefault="00541614">
      <w:pPr>
        <w:pStyle w:val="Heading3"/>
      </w:pPr>
      <w:r w:rsidRPr="00C351DF">
        <w:t xml:space="preserve">If you are bidding as </w:t>
      </w:r>
      <w:r w:rsidR="000B6BFA" w:rsidRPr="00C351DF">
        <w:t>Lead</w:t>
      </w:r>
      <w:r>
        <w:t xml:space="preserve"> Contact for a </w:t>
      </w:r>
      <w:r w:rsidRPr="00C351DF">
        <w:t>Group of Economic Operators</w:t>
      </w:r>
      <w:r w:rsidR="000B6BFA">
        <w:t>,</w:t>
      </w:r>
      <w:r w:rsidRPr="00C351DF">
        <w:t xml:space="preserve"> the assessment of economic and financial standing will be carried out in respect of each member of the Group of Economic Operators.  If one or more member</w:t>
      </w:r>
      <w:r w:rsidR="006B7BAA">
        <w:t>s</w:t>
      </w:r>
      <w:r w:rsidRPr="00C351DF">
        <w:t xml:space="preserve"> of the Group of Economic Operators </w:t>
      </w:r>
      <w:r w:rsidR="001F7DF1">
        <w:t>is determined as having a ‘worse than average’ risk level following</w:t>
      </w:r>
      <w:r w:rsidRPr="00C351DF">
        <w:t xml:space="preserve"> this assessment</w:t>
      </w:r>
      <w:r w:rsidR="001F7DF1">
        <w:t>,</w:t>
      </w:r>
      <w:r w:rsidRPr="00C351DF">
        <w:t xml:space="preserve"> then</w:t>
      </w:r>
      <w:r w:rsidR="00EC2BF0">
        <w:t xml:space="preserve"> the relevant member</w:t>
      </w:r>
      <w:r w:rsidR="006B7BAA">
        <w:t>(</w:t>
      </w:r>
      <w:r w:rsidR="00EC2BF0">
        <w:t>s</w:t>
      </w:r>
      <w:r w:rsidR="006B7BAA">
        <w:t>)</w:t>
      </w:r>
      <w:r w:rsidR="00EC2BF0">
        <w:t xml:space="preserve"> will be required to obtain a Framework Guarantee. The Authority will under</w:t>
      </w:r>
      <w:r w:rsidR="007C708C">
        <w:t>take the steps at paragraphs 9.3.2 to 9.3.7</w:t>
      </w:r>
      <w:r w:rsidR="00EC2BF0">
        <w:t xml:space="preserve"> in respect of the proposed Framework Guarantor</w:t>
      </w:r>
      <w:r w:rsidR="00C131DC">
        <w:t>. If a Framework Guarantor cannot be provided and the level of financial risk remains not acceptable,</w:t>
      </w:r>
      <w:r w:rsidRPr="00C351DF">
        <w:t xml:space="preserve"> the Tender will be excluded from further involvement in this Procurement</w:t>
      </w:r>
      <w:r>
        <w:t>.</w:t>
      </w:r>
    </w:p>
    <w:p w14:paraId="4A7BA20D" w14:textId="77777777" w:rsidR="00982327" w:rsidRPr="004F3794" w:rsidRDefault="00982327" w:rsidP="00846C8B">
      <w:pPr>
        <w:pStyle w:val="Heading2"/>
        <w:numPr>
          <w:ilvl w:val="0"/>
          <w:numId w:val="0"/>
        </w:numPr>
        <w:ind w:left="851" w:hanging="851"/>
      </w:pPr>
      <w:bookmarkStart w:id="45" w:name="_Ref275265859"/>
      <w:bookmarkEnd w:id="39"/>
    </w:p>
    <w:p w14:paraId="4A7BA20E" w14:textId="77777777" w:rsidR="0079033B" w:rsidRDefault="0079033B">
      <w:pPr>
        <w:rPr>
          <w:rFonts w:ascii="Arial" w:eastAsia="STZhongsong" w:hAnsi="Arial" w:cs="Times New Roman"/>
          <w:b/>
          <w:caps/>
          <w:sz w:val="20"/>
          <w:szCs w:val="20"/>
          <w:lang w:eastAsia="zh-CN"/>
        </w:rPr>
      </w:pPr>
      <w:bookmarkStart w:id="46" w:name="_Ref284504457"/>
      <w:bookmarkStart w:id="47" w:name="_Ref284857382"/>
      <w:bookmarkEnd w:id="45"/>
      <w:r>
        <w:br w:type="page"/>
      </w:r>
    </w:p>
    <w:p w14:paraId="4A7BA20F" w14:textId="77777777" w:rsidR="0058734C" w:rsidRPr="00C351DF" w:rsidRDefault="0058734C" w:rsidP="0058734C">
      <w:pPr>
        <w:pStyle w:val="Heading1"/>
        <w:rPr>
          <w:rFonts w:cs="Arial"/>
          <w:sz w:val="22"/>
          <w:szCs w:val="22"/>
        </w:rPr>
      </w:pPr>
      <w:bookmarkStart w:id="48" w:name="_Ref413077315"/>
      <w:bookmarkStart w:id="49" w:name="_Toc458691544"/>
      <w:r w:rsidRPr="00C351DF">
        <w:rPr>
          <w:rFonts w:cs="Arial"/>
          <w:sz w:val="22"/>
          <w:szCs w:val="22"/>
        </w:rPr>
        <w:lastRenderedPageBreak/>
        <w:t>AWARD STAGE EVALUATION</w:t>
      </w:r>
      <w:bookmarkEnd w:id="46"/>
      <w:bookmarkEnd w:id="47"/>
      <w:bookmarkEnd w:id="48"/>
      <w:bookmarkEnd w:id="49"/>
    </w:p>
    <w:p w14:paraId="4A7BA212" w14:textId="5B1EBC58" w:rsidR="0058734C" w:rsidRPr="00C351DF" w:rsidRDefault="00410D69" w:rsidP="007D6A4F">
      <w:pPr>
        <w:pStyle w:val="Heading2"/>
        <w:rPr>
          <w:rFonts w:cs="Arial"/>
          <w:sz w:val="22"/>
          <w:szCs w:val="22"/>
        </w:rPr>
      </w:pPr>
      <w:r>
        <w:rPr>
          <w:rFonts w:cs="Arial"/>
          <w:sz w:val="22"/>
          <w:szCs w:val="22"/>
        </w:rPr>
        <w:t xml:space="preserve">Once </w:t>
      </w:r>
      <w:r w:rsidR="004538FC">
        <w:rPr>
          <w:rFonts w:cs="Arial"/>
          <w:sz w:val="22"/>
          <w:szCs w:val="22"/>
        </w:rPr>
        <w:t xml:space="preserve">the Potential Providers Tender has been </w:t>
      </w:r>
      <w:r>
        <w:rPr>
          <w:rFonts w:cs="Arial"/>
          <w:sz w:val="22"/>
          <w:szCs w:val="22"/>
        </w:rPr>
        <w:t xml:space="preserve">successfully evaluated at Selection Stage, </w:t>
      </w:r>
      <w:r w:rsidR="004538FC">
        <w:rPr>
          <w:rFonts w:cs="Arial"/>
          <w:sz w:val="22"/>
          <w:szCs w:val="22"/>
        </w:rPr>
        <w:t>consideration will then be given to t</w:t>
      </w:r>
      <w:r w:rsidR="00EE6DD4">
        <w:rPr>
          <w:rFonts w:cs="Arial"/>
          <w:sz w:val="22"/>
          <w:szCs w:val="22"/>
        </w:rPr>
        <w:t>he resp</w:t>
      </w:r>
      <w:r w:rsidR="001F0C3A">
        <w:rPr>
          <w:rFonts w:cs="Arial"/>
          <w:sz w:val="22"/>
          <w:szCs w:val="22"/>
        </w:rPr>
        <w:t>onses to the Non-financial Evaluation</w:t>
      </w:r>
      <w:r w:rsidR="00EE6DD4">
        <w:rPr>
          <w:rFonts w:cs="Arial"/>
          <w:sz w:val="22"/>
          <w:szCs w:val="22"/>
        </w:rPr>
        <w:t xml:space="preserve"> </w:t>
      </w:r>
      <w:r w:rsidR="00ED6692" w:rsidRPr="00C351DF">
        <w:rPr>
          <w:rFonts w:cs="Arial"/>
          <w:sz w:val="22"/>
          <w:szCs w:val="22"/>
        </w:rPr>
        <w:t xml:space="preserve">and </w:t>
      </w:r>
      <w:r w:rsidR="004538FC">
        <w:rPr>
          <w:rFonts w:cs="Arial"/>
          <w:sz w:val="22"/>
          <w:szCs w:val="22"/>
        </w:rPr>
        <w:t xml:space="preserve">evaluated </w:t>
      </w:r>
      <w:r w:rsidR="0058734C" w:rsidRPr="00C351DF">
        <w:rPr>
          <w:rFonts w:cs="Arial"/>
          <w:sz w:val="22"/>
          <w:szCs w:val="22"/>
        </w:rPr>
        <w:t xml:space="preserve">in </w:t>
      </w:r>
      <w:r w:rsidR="001F0C3A">
        <w:rPr>
          <w:rFonts w:cs="Arial"/>
          <w:sz w:val="22"/>
          <w:szCs w:val="22"/>
        </w:rPr>
        <w:t xml:space="preserve">accordance with this </w:t>
      </w:r>
      <w:r w:rsidR="001F0C3A" w:rsidRPr="001F0C3A">
        <w:rPr>
          <w:rFonts w:cs="Arial"/>
          <w:sz w:val="22"/>
          <w:szCs w:val="22"/>
        </w:rPr>
        <w:t xml:space="preserve">paragraph </w:t>
      </w:r>
      <w:r w:rsidR="00685A4D" w:rsidRPr="001F0C3A">
        <w:rPr>
          <w:rFonts w:cs="Arial"/>
          <w:sz w:val="22"/>
          <w:szCs w:val="22"/>
        </w:rPr>
        <w:fldChar w:fldCharType="begin"/>
      </w:r>
      <w:r w:rsidR="00685A4D" w:rsidRPr="001F0C3A">
        <w:rPr>
          <w:rFonts w:cs="Arial"/>
          <w:sz w:val="22"/>
          <w:szCs w:val="22"/>
        </w:rPr>
        <w:instrText xml:space="preserve"> REF _Ref413077315 \r \h  \* MERGEFORMAT </w:instrText>
      </w:r>
      <w:r w:rsidR="00685A4D" w:rsidRPr="001F0C3A">
        <w:rPr>
          <w:rFonts w:cs="Arial"/>
          <w:sz w:val="22"/>
          <w:szCs w:val="22"/>
        </w:rPr>
      </w:r>
      <w:r w:rsidR="00685A4D" w:rsidRPr="001F0C3A">
        <w:rPr>
          <w:rFonts w:cs="Arial"/>
          <w:sz w:val="22"/>
          <w:szCs w:val="22"/>
        </w:rPr>
        <w:fldChar w:fldCharType="separate"/>
      </w:r>
      <w:r w:rsidR="00FD51A8" w:rsidRPr="001F0C3A">
        <w:rPr>
          <w:rFonts w:cs="Arial"/>
          <w:sz w:val="22"/>
          <w:szCs w:val="22"/>
        </w:rPr>
        <w:t>11</w:t>
      </w:r>
      <w:r w:rsidR="00685A4D" w:rsidRPr="001F0C3A">
        <w:rPr>
          <w:rFonts w:cs="Arial"/>
          <w:sz w:val="22"/>
          <w:szCs w:val="22"/>
        </w:rPr>
        <w:fldChar w:fldCharType="end"/>
      </w:r>
      <w:r w:rsidR="0058734C" w:rsidRPr="00C351DF">
        <w:rPr>
          <w:rFonts w:cs="Arial"/>
          <w:sz w:val="22"/>
          <w:szCs w:val="22"/>
        </w:rPr>
        <w:t>.</w:t>
      </w:r>
    </w:p>
    <w:p w14:paraId="4A7BA213" w14:textId="77777777" w:rsidR="0058734C" w:rsidRPr="00C351DF" w:rsidRDefault="0058734C" w:rsidP="007D6A4F">
      <w:pPr>
        <w:pStyle w:val="Heading2"/>
        <w:rPr>
          <w:rFonts w:cs="Arial"/>
          <w:sz w:val="22"/>
          <w:szCs w:val="22"/>
        </w:rPr>
      </w:pPr>
      <w:r w:rsidRPr="00C351DF">
        <w:rPr>
          <w:rFonts w:cs="Arial"/>
          <w:sz w:val="22"/>
          <w:szCs w:val="22"/>
        </w:rPr>
        <w:t>The Award Stage evaluation will comprise of:</w:t>
      </w:r>
    </w:p>
    <w:p w14:paraId="4A7BA214" w14:textId="50270068" w:rsidR="0058734C" w:rsidRPr="00C351DF" w:rsidRDefault="0058734C" w:rsidP="00696C71">
      <w:pPr>
        <w:pStyle w:val="Heading3"/>
      </w:pPr>
      <w:r w:rsidRPr="00C351DF">
        <w:t>an evaluation of Potential Provider</w:t>
      </w:r>
      <w:r w:rsidR="007E710F">
        <w:t>’s</w:t>
      </w:r>
      <w:r w:rsidRPr="00C351DF">
        <w:t xml:space="preserve"> an</w:t>
      </w:r>
      <w:r w:rsidR="001F0C3A">
        <w:t>swers to the Non-financial Evaluation</w:t>
      </w:r>
      <w:r w:rsidRPr="00C351DF">
        <w:t xml:space="preserve"> (“</w:t>
      </w:r>
      <w:r w:rsidRPr="00C351DF">
        <w:rPr>
          <w:b/>
        </w:rPr>
        <w:t>Quality Evaluation</w:t>
      </w:r>
      <w:r w:rsidRPr="00C351DF">
        <w:t>”); and</w:t>
      </w:r>
    </w:p>
    <w:p w14:paraId="4A7BA215" w14:textId="615214AC" w:rsidR="00685A4D" w:rsidRPr="00C351DF" w:rsidRDefault="0058734C" w:rsidP="00ED7D03">
      <w:pPr>
        <w:pStyle w:val="Heading3"/>
      </w:pPr>
      <w:r w:rsidRPr="00C351DF">
        <w:t>an evaluation of the prices tendered in r</w:t>
      </w:r>
      <w:r w:rsidR="00421DCA">
        <w:t>esponse to the Financial Evaluation (Bidders Pricing Matrix)</w:t>
      </w:r>
      <w:r w:rsidRPr="00C351DF">
        <w:t xml:space="preserve"> (“</w:t>
      </w:r>
      <w:r w:rsidRPr="00C351DF">
        <w:rPr>
          <w:b/>
        </w:rPr>
        <w:t>Price Evaluation</w:t>
      </w:r>
      <w:r w:rsidRPr="00C351DF">
        <w:t xml:space="preserve">”) </w:t>
      </w:r>
    </w:p>
    <w:p w14:paraId="4A7BA217" w14:textId="6BF53CC7" w:rsidR="0058734C" w:rsidRPr="00DC2189" w:rsidRDefault="0058734C" w:rsidP="007D6A4F">
      <w:pPr>
        <w:pStyle w:val="Heading2"/>
        <w:rPr>
          <w:rFonts w:cs="Arial"/>
          <w:sz w:val="22"/>
          <w:szCs w:val="22"/>
        </w:rPr>
      </w:pPr>
      <w:r w:rsidRPr="00DC2189">
        <w:rPr>
          <w:rFonts w:cs="Arial"/>
          <w:sz w:val="22"/>
          <w:szCs w:val="22"/>
        </w:rPr>
        <w:t xml:space="preserve">The maximum </w:t>
      </w:r>
      <w:r w:rsidR="00B71515" w:rsidRPr="00DC2189">
        <w:rPr>
          <w:rFonts w:cs="Arial"/>
          <w:sz w:val="22"/>
          <w:szCs w:val="22"/>
        </w:rPr>
        <w:t xml:space="preserve">possible </w:t>
      </w:r>
      <w:r w:rsidRPr="00DC2189">
        <w:rPr>
          <w:rFonts w:cs="Arial"/>
          <w:sz w:val="22"/>
          <w:szCs w:val="22"/>
        </w:rPr>
        <w:t>score capable of being a</w:t>
      </w:r>
      <w:r w:rsidR="00DC2189">
        <w:rPr>
          <w:rFonts w:cs="Arial"/>
          <w:sz w:val="22"/>
          <w:szCs w:val="22"/>
        </w:rPr>
        <w:t>chieved by a Potential Provider</w:t>
      </w:r>
      <w:r w:rsidRPr="00DC2189">
        <w:rPr>
          <w:rFonts w:cs="Arial"/>
          <w:sz w:val="22"/>
          <w:szCs w:val="22"/>
        </w:rPr>
        <w:t xml:space="preserve"> will be 100 points (being the </w:t>
      </w:r>
      <w:r w:rsidR="007E710F" w:rsidRPr="00DC2189">
        <w:rPr>
          <w:rFonts w:cs="Arial"/>
          <w:sz w:val="22"/>
          <w:szCs w:val="22"/>
        </w:rPr>
        <w:t xml:space="preserve">combined </w:t>
      </w:r>
      <w:r w:rsidRPr="00DC2189">
        <w:rPr>
          <w:rFonts w:cs="Arial"/>
          <w:sz w:val="22"/>
          <w:szCs w:val="22"/>
        </w:rPr>
        <w:t xml:space="preserve">sum of the scores achieved for Quality Evaluation and the Price Evaluation </w:t>
      </w:r>
      <w:r w:rsidR="007E710F" w:rsidRPr="00DC2189">
        <w:rPr>
          <w:rFonts w:cs="Arial"/>
          <w:sz w:val="22"/>
          <w:szCs w:val="22"/>
        </w:rPr>
        <w:t xml:space="preserve">respectively </w:t>
      </w:r>
      <w:r w:rsidR="00DC2189">
        <w:rPr>
          <w:rFonts w:cs="Arial"/>
          <w:sz w:val="22"/>
          <w:szCs w:val="22"/>
        </w:rPr>
        <w:t>i.e. 5</w:t>
      </w:r>
      <w:r w:rsidRPr="00DC2189">
        <w:rPr>
          <w:rFonts w:cs="Arial"/>
          <w:sz w:val="22"/>
          <w:szCs w:val="22"/>
        </w:rPr>
        <w:t xml:space="preserve">0 + </w:t>
      </w:r>
      <w:r w:rsidR="00DC2189">
        <w:rPr>
          <w:rFonts w:cs="Arial"/>
          <w:sz w:val="22"/>
          <w:szCs w:val="22"/>
        </w:rPr>
        <w:t>5</w:t>
      </w:r>
      <w:r w:rsidRPr="00DC2189">
        <w:rPr>
          <w:rFonts w:cs="Arial"/>
          <w:sz w:val="22"/>
          <w:szCs w:val="22"/>
        </w:rPr>
        <w:t>0)</w:t>
      </w:r>
    </w:p>
    <w:p w14:paraId="4A7BA229" w14:textId="77777777" w:rsidR="00421979" w:rsidRDefault="00421979" w:rsidP="00AA1BD9">
      <w:pPr>
        <w:pStyle w:val="Heading2"/>
        <w:numPr>
          <w:ilvl w:val="0"/>
          <w:numId w:val="0"/>
        </w:numPr>
        <w:ind w:left="737"/>
        <w:rPr>
          <w:rFonts w:cs="Arial"/>
          <w:sz w:val="22"/>
          <w:szCs w:val="22"/>
        </w:rPr>
      </w:pPr>
    </w:p>
    <w:p w14:paraId="4A7BA22A" w14:textId="77777777" w:rsidR="0058734C" w:rsidRPr="00C351DF" w:rsidRDefault="0058734C" w:rsidP="007D6A4F">
      <w:pPr>
        <w:pStyle w:val="Heading2"/>
        <w:rPr>
          <w:rFonts w:cs="Arial"/>
          <w:sz w:val="22"/>
          <w:szCs w:val="22"/>
        </w:rPr>
      </w:pPr>
      <w:r w:rsidRPr="00C351DF">
        <w:rPr>
          <w:rFonts w:cs="Arial"/>
          <w:sz w:val="22"/>
          <w:szCs w:val="22"/>
        </w:rPr>
        <w:t xml:space="preserve">Quality Evaluation Process </w:t>
      </w:r>
    </w:p>
    <w:p w14:paraId="4A7BA22B" w14:textId="14A7B4E8" w:rsidR="0058734C" w:rsidRPr="00C351DF" w:rsidRDefault="0058734C" w:rsidP="00AA1BD9">
      <w:pPr>
        <w:pStyle w:val="Heading3"/>
      </w:pPr>
      <w:r w:rsidRPr="00C351DF">
        <w:t>The evaluation of each res</w:t>
      </w:r>
      <w:r w:rsidR="00D9660D">
        <w:t>ponse to the Non-financial Evaluation</w:t>
      </w:r>
      <w:r w:rsidRPr="00C351DF">
        <w:t xml:space="preserve"> will be conducted and consensus checked in accordance with the Consensus Marking Procedure.</w:t>
      </w:r>
    </w:p>
    <w:p w14:paraId="4A7BA22C" w14:textId="7F32B060" w:rsidR="0058734C" w:rsidRPr="00C351DF" w:rsidRDefault="0058734C">
      <w:pPr>
        <w:pStyle w:val="Heading3"/>
      </w:pPr>
      <w:r w:rsidRPr="00C351DF">
        <w:t>When the Consensus Marking Procedure has been completed, the mark awarded for e</w:t>
      </w:r>
      <w:r w:rsidR="00D9660D">
        <w:t>ach response to the Non-financial Evaluation</w:t>
      </w:r>
      <w:r w:rsidRPr="00C351DF">
        <w:t xml:space="preserve"> will be converted into a percentage in a</w:t>
      </w:r>
      <w:r w:rsidR="00251AE6" w:rsidRPr="00C351DF">
        <w:t>ccordance with the table below:</w:t>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953"/>
      </w:tblGrid>
      <w:tr w:rsidR="0058734C" w:rsidRPr="00C351DF" w14:paraId="4A7BA22F" w14:textId="77777777" w:rsidTr="00251AE6">
        <w:tc>
          <w:tcPr>
            <w:tcW w:w="1540" w:type="dxa"/>
            <w:shd w:val="clear" w:color="auto" w:fill="E0E0E0"/>
            <w:vAlign w:val="center"/>
          </w:tcPr>
          <w:p w14:paraId="4A7BA22D" w14:textId="77777777" w:rsidR="0058734C" w:rsidRPr="00C351DF" w:rsidRDefault="0058734C" w:rsidP="00251AE6">
            <w:pPr>
              <w:pStyle w:val="MarginText"/>
              <w:overflowPunct w:val="0"/>
              <w:autoSpaceDE w:val="0"/>
              <w:autoSpaceDN w:val="0"/>
              <w:jc w:val="center"/>
              <w:textAlignment w:val="baseline"/>
              <w:rPr>
                <w:rFonts w:cs="Arial"/>
                <w:b/>
                <w:sz w:val="22"/>
                <w:szCs w:val="22"/>
              </w:rPr>
            </w:pPr>
            <w:r w:rsidRPr="00C351DF">
              <w:rPr>
                <w:rFonts w:cs="Arial"/>
                <w:b/>
                <w:sz w:val="22"/>
                <w:szCs w:val="22"/>
              </w:rPr>
              <w:t>MARK</w:t>
            </w:r>
          </w:p>
        </w:tc>
        <w:tc>
          <w:tcPr>
            <w:tcW w:w="6050" w:type="dxa"/>
            <w:shd w:val="clear" w:color="auto" w:fill="E0E0E0"/>
          </w:tcPr>
          <w:p w14:paraId="4A7BA22E" w14:textId="77777777" w:rsidR="0058734C" w:rsidRPr="00C351DF" w:rsidRDefault="0058734C" w:rsidP="00251AE6">
            <w:pPr>
              <w:pStyle w:val="MarginText"/>
              <w:overflowPunct w:val="0"/>
              <w:autoSpaceDE w:val="0"/>
              <w:autoSpaceDN w:val="0"/>
              <w:textAlignment w:val="baseline"/>
              <w:rPr>
                <w:rFonts w:cs="Arial"/>
                <w:b/>
                <w:sz w:val="22"/>
                <w:szCs w:val="22"/>
              </w:rPr>
            </w:pPr>
            <w:r w:rsidRPr="00C351DF">
              <w:rPr>
                <w:rFonts w:cs="Arial"/>
                <w:b/>
                <w:sz w:val="22"/>
                <w:szCs w:val="22"/>
              </w:rPr>
              <w:t>PERCENTAGE OF THE MAXIMUM SCORE AVAILABLE</w:t>
            </w:r>
          </w:p>
        </w:tc>
      </w:tr>
      <w:tr w:rsidR="0058734C" w:rsidRPr="00C351DF" w14:paraId="4A7BA232" w14:textId="77777777" w:rsidTr="00251AE6">
        <w:tc>
          <w:tcPr>
            <w:tcW w:w="1540" w:type="dxa"/>
            <w:vAlign w:val="center"/>
          </w:tcPr>
          <w:p w14:paraId="4A7BA230" w14:textId="57726C15" w:rsidR="0058734C" w:rsidRPr="00D9660D" w:rsidRDefault="0058734C" w:rsidP="00251AE6">
            <w:pPr>
              <w:pStyle w:val="MarginText"/>
              <w:overflowPunct w:val="0"/>
              <w:autoSpaceDE w:val="0"/>
              <w:autoSpaceDN w:val="0"/>
              <w:jc w:val="center"/>
              <w:textAlignment w:val="baseline"/>
              <w:rPr>
                <w:rFonts w:cs="Arial"/>
                <w:sz w:val="22"/>
                <w:szCs w:val="22"/>
              </w:rPr>
            </w:pPr>
            <w:r w:rsidRPr="00D9660D">
              <w:rPr>
                <w:rFonts w:cs="Arial"/>
                <w:sz w:val="22"/>
                <w:szCs w:val="22"/>
              </w:rPr>
              <w:t>0</w:t>
            </w:r>
          </w:p>
        </w:tc>
        <w:tc>
          <w:tcPr>
            <w:tcW w:w="6050" w:type="dxa"/>
          </w:tcPr>
          <w:p w14:paraId="4A7BA231" w14:textId="5BA95385" w:rsidR="0058734C" w:rsidRPr="00D9660D" w:rsidRDefault="0058734C" w:rsidP="00251AE6">
            <w:pPr>
              <w:pStyle w:val="MarginText"/>
              <w:overflowPunct w:val="0"/>
              <w:autoSpaceDE w:val="0"/>
              <w:autoSpaceDN w:val="0"/>
              <w:textAlignment w:val="baseline"/>
              <w:rPr>
                <w:rFonts w:cs="Arial"/>
                <w:sz w:val="22"/>
                <w:szCs w:val="22"/>
              </w:rPr>
            </w:pPr>
            <w:r w:rsidRPr="00D9660D">
              <w:rPr>
                <w:rFonts w:cs="Arial"/>
                <w:sz w:val="22"/>
                <w:szCs w:val="22"/>
              </w:rPr>
              <w:t>0% of the Maximum Mark Available for the question</w:t>
            </w:r>
          </w:p>
        </w:tc>
      </w:tr>
      <w:tr w:rsidR="0058734C" w:rsidRPr="00C351DF" w14:paraId="4A7BA235" w14:textId="77777777" w:rsidTr="00251AE6">
        <w:tc>
          <w:tcPr>
            <w:tcW w:w="1540" w:type="dxa"/>
            <w:vAlign w:val="center"/>
          </w:tcPr>
          <w:p w14:paraId="4A7BA233" w14:textId="1E8262AD" w:rsidR="0058734C" w:rsidRPr="00D9660D" w:rsidRDefault="00D9660D" w:rsidP="00251AE6">
            <w:pPr>
              <w:pStyle w:val="MarginText"/>
              <w:overflowPunct w:val="0"/>
              <w:autoSpaceDE w:val="0"/>
              <w:autoSpaceDN w:val="0"/>
              <w:jc w:val="center"/>
              <w:textAlignment w:val="baseline"/>
              <w:rPr>
                <w:rFonts w:cs="Arial"/>
                <w:sz w:val="22"/>
                <w:szCs w:val="22"/>
              </w:rPr>
            </w:pPr>
            <w:r>
              <w:rPr>
                <w:rFonts w:cs="Arial"/>
                <w:sz w:val="22"/>
                <w:szCs w:val="22"/>
              </w:rPr>
              <w:t>1.5</w:t>
            </w:r>
          </w:p>
        </w:tc>
        <w:tc>
          <w:tcPr>
            <w:tcW w:w="6050" w:type="dxa"/>
          </w:tcPr>
          <w:p w14:paraId="4A7BA234" w14:textId="1D09F452" w:rsidR="0058734C" w:rsidRPr="00D9660D" w:rsidRDefault="00D9660D" w:rsidP="00251AE6">
            <w:pPr>
              <w:pStyle w:val="MarginText"/>
              <w:overflowPunct w:val="0"/>
              <w:autoSpaceDE w:val="0"/>
              <w:autoSpaceDN w:val="0"/>
              <w:textAlignment w:val="baseline"/>
              <w:rPr>
                <w:rFonts w:cs="Arial"/>
                <w:sz w:val="22"/>
                <w:szCs w:val="22"/>
              </w:rPr>
            </w:pPr>
            <w:r>
              <w:rPr>
                <w:rFonts w:cs="Arial"/>
                <w:sz w:val="22"/>
                <w:szCs w:val="22"/>
              </w:rPr>
              <w:t>2</w:t>
            </w:r>
            <w:r w:rsidR="0058734C" w:rsidRPr="00D9660D">
              <w:rPr>
                <w:rFonts w:cs="Arial"/>
                <w:sz w:val="22"/>
                <w:szCs w:val="22"/>
              </w:rPr>
              <w:t>0% of the Maximum Mark Available for the question</w:t>
            </w:r>
          </w:p>
        </w:tc>
      </w:tr>
      <w:tr w:rsidR="0058734C" w:rsidRPr="00C351DF" w14:paraId="4A7BA238" w14:textId="77777777" w:rsidTr="00251AE6">
        <w:tc>
          <w:tcPr>
            <w:tcW w:w="1540" w:type="dxa"/>
            <w:vAlign w:val="center"/>
          </w:tcPr>
          <w:p w14:paraId="4A7BA236" w14:textId="08145A67" w:rsidR="0058734C" w:rsidRPr="00D9660D" w:rsidRDefault="00D9660D" w:rsidP="00251AE6">
            <w:pPr>
              <w:pStyle w:val="MarginText"/>
              <w:overflowPunct w:val="0"/>
              <w:autoSpaceDE w:val="0"/>
              <w:autoSpaceDN w:val="0"/>
              <w:jc w:val="center"/>
              <w:textAlignment w:val="baseline"/>
              <w:rPr>
                <w:rFonts w:cs="Arial"/>
                <w:sz w:val="22"/>
                <w:szCs w:val="22"/>
              </w:rPr>
            </w:pPr>
            <w:r>
              <w:rPr>
                <w:rFonts w:cs="Arial"/>
                <w:sz w:val="22"/>
                <w:szCs w:val="22"/>
              </w:rPr>
              <w:t>3</w:t>
            </w:r>
          </w:p>
        </w:tc>
        <w:tc>
          <w:tcPr>
            <w:tcW w:w="6050" w:type="dxa"/>
          </w:tcPr>
          <w:p w14:paraId="4A7BA237" w14:textId="5AB61EFC" w:rsidR="0058734C" w:rsidRPr="00D9660D" w:rsidRDefault="00D9660D" w:rsidP="00251AE6">
            <w:pPr>
              <w:pStyle w:val="MarginText"/>
              <w:overflowPunct w:val="0"/>
              <w:autoSpaceDE w:val="0"/>
              <w:autoSpaceDN w:val="0"/>
              <w:textAlignment w:val="baseline"/>
              <w:rPr>
                <w:rFonts w:cs="Arial"/>
                <w:sz w:val="22"/>
                <w:szCs w:val="22"/>
              </w:rPr>
            </w:pPr>
            <w:r>
              <w:rPr>
                <w:rFonts w:cs="Arial"/>
                <w:sz w:val="22"/>
                <w:szCs w:val="22"/>
              </w:rPr>
              <w:t>4</w:t>
            </w:r>
            <w:r w:rsidR="0058734C" w:rsidRPr="00D9660D">
              <w:rPr>
                <w:rFonts w:cs="Arial"/>
                <w:sz w:val="22"/>
                <w:szCs w:val="22"/>
              </w:rPr>
              <w:t>0% of the Maximum Mark Available for the question</w:t>
            </w:r>
          </w:p>
        </w:tc>
      </w:tr>
      <w:tr w:rsidR="00D9660D" w:rsidRPr="00C351DF" w14:paraId="5AC479FB" w14:textId="77777777" w:rsidTr="00251AE6">
        <w:tc>
          <w:tcPr>
            <w:tcW w:w="1540" w:type="dxa"/>
            <w:vAlign w:val="center"/>
          </w:tcPr>
          <w:p w14:paraId="620E196D" w14:textId="723AF81E" w:rsidR="00D9660D" w:rsidRDefault="00D9660D" w:rsidP="00251AE6">
            <w:pPr>
              <w:pStyle w:val="MarginText"/>
              <w:overflowPunct w:val="0"/>
              <w:autoSpaceDE w:val="0"/>
              <w:autoSpaceDN w:val="0"/>
              <w:jc w:val="center"/>
              <w:textAlignment w:val="baseline"/>
              <w:rPr>
                <w:rFonts w:cs="Arial"/>
                <w:sz w:val="22"/>
                <w:szCs w:val="22"/>
              </w:rPr>
            </w:pPr>
            <w:r>
              <w:rPr>
                <w:rFonts w:cs="Arial"/>
                <w:sz w:val="22"/>
                <w:szCs w:val="22"/>
              </w:rPr>
              <w:t>4.5</w:t>
            </w:r>
          </w:p>
        </w:tc>
        <w:tc>
          <w:tcPr>
            <w:tcW w:w="6050" w:type="dxa"/>
          </w:tcPr>
          <w:p w14:paraId="51F262C8" w14:textId="28DB69A5" w:rsidR="00D9660D" w:rsidRPr="00D9660D" w:rsidRDefault="00D9660D" w:rsidP="00251AE6">
            <w:pPr>
              <w:pStyle w:val="MarginText"/>
              <w:overflowPunct w:val="0"/>
              <w:autoSpaceDE w:val="0"/>
              <w:autoSpaceDN w:val="0"/>
              <w:textAlignment w:val="baseline"/>
              <w:rPr>
                <w:rFonts w:cs="Arial"/>
                <w:sz w:val="22"/>
                <w:szCs w:val="22"/>
              </w:rPr>
            </w:pPr>
            <w:r>
              <w:rPr>
                <w:rFonts w:cs="Arial"/>
                <w:sz w:val="22"/>
                <w:szCs w:val="22"/>
              </w:rPr>
              <w:t>6</w:t>
            </w:r>
            <w:r w:rsidRPr="00D9660D">
              <w:rPr>
                <w:rFonts w:cs="Arial"/>
                <w:sz w:val="22"/>
                <w:szCs w:val="22"/>
              </w:rPr>
              <w:t>0% of the Maximum Mark Available for the question</w:t>
            </w:r>
          </w:p>
        </w:tc>
      </w:tr>
      <w:tr w:rsidR="00D9660D" w:rsidRPr="00C351DF" w14:paraId="454D5463" w14:textId="77777777" w:rsidTr="00251AE6">
        <w:tc>
          <w:tcPr>
            <w:tcW w:w="1540" w:type="dxa"/>
            <w:vAlign w:val="center"/>
          </w:tcPr>
          <w:p w14:paraId="4141EB8E" w14:textId="5B4D8F75" w:rsidR="00D9660D" w:rsidRDefault="00D9660D" w:rsidP="00251AE6">
            <w:pPr>
              <w:pStyle w:val="MarginText"/>
              <w:overflowPunct w:val="0"/>
              <w:autoSpaceDE w:val="0"/>
              <w:autoSpaceDN w:val="0"/>
              <w:jc w:val="center"/>
              <w:textAlignment w:val="baseline"/>
              <w:rPr>
                <w:rFonts w:cs="Arial"/>
                <w:sz w:val="22"/>
                <w:szCs w:val="22"/>
              </w:rPr>
            </w:pPr>
            <w:r>
              <w:rPr>
                <w:rFonts w:cs="Arial"/>
                <w:sz w:val="22"/>
                <w:szCs w:val="22"/>
              </w:rPr>
              <w:t>6</w:t>
            </w:r>
          </w:p>
        </w:tc>
        <w:tc>
          <w:tcPr>
            <w:tcW w:w="6050" w:type="dxa"/>
          </w:tcPr>
          <w:p w14:paraId="18F68B5E" w14:textId="6E549D0A" w:rsidR="00D9660D" w:rsidRPr="00D9660D" w:rsidRDefault="00D9660D" w:rsidP="00251AE6">
            <w:pPr>
              <w:pStyle w:val="MarginText"/>
              <w:overflowPunct w:val="0"/>
              <w:autoSpaceDE w:val="0"/>
              <w:autoSpaceDN w:val="0"/>
              <w:textAlignment w:val="baseline"/>
              <w:rPr>
                <w:rFonts w:cs="Arial"/>
                <w:sz w:val="22"/>
                <w:szCs w:val="22"/>
              </w:rPr>
            </w:pPr>
            <w:r>
              <w:rPr>
                <w:rFonts w:cs="Arial"/>
                <w:sz w:val="22"/>
                <w:szCs w:val="22"/>
              </w:rPr>
              <w:t>8</w:t>
            </w:r>
            <w:r w:rsidRPr="00D9660D">
              <w:rPr>
                <w:rFonts w:cs="Arial"/>
                <w:sz w:val="22"/>
                <w:szCs w:val="22"/>
              </w:rPr>
              <w:t>0% of the Maximum Mark Available for the question</w:t>
            </w:r>
          </w:p>
        </w:tc>
      </w:tr>
      <w:tr w:rsidR="00D9660D" w:rsidRPr="00C351DF" w14:paraId="2AB4B971" w14:textId="77777777" w:rsidTr="00251AE6">
        <w:tc>
          <w:tcPr>
            <w:tcW w:w="1540" w:type="dxa"/>
            <w:vAlign w:val="center"/>
          </w:tcPr>
          <w:p w14:paraId="7319D68F" w14:textId="49855F62" w:rsidR="00D9660D" w:rsidRDefault="00D9660D" w:rsidP="00251AE6">
            <w:pPr>
              <w:pStyle w:val="MarginText"/>
              <w:overflowPunct w:val="0"/>
              <w:autoSpaceDE w:val="0"/>
              <w:autoSpaceDN w:val="0"/>
              <w:jc w:val="center"/>
              <w:textAlignment w:val="baseline"/>
              <w:rPr>
                <w:rFonts w:cs="Arial"/>
                <w:sz w:val="22"/>
                <w:szCs w:val="22"/>
              </w:rPr>
            </w:pPr>
            <w:r>
              <w:rPr>
                <w:rFonts w:cs="Arial"/>
                <w:sz w:val="22"/>
                <w:szCs w:val="22"/>
              </w:rPr>
              <w:t>7.5</w:t>
            </w:r>
          </w:p>
        </w:tc>
        <w:tc>
          <w:tcPr>
            <w:tcW w:w="6050" w:type="dxa"/>
          </w:tcPr>
          <w:p w14:paraId="41490E41" w14:textId="503EDB86" w:rsidR="00D9660D" w:rsidRPr="00D9660D" w:rsidRDefault="00D9660D" w:rsidP="00251AE6">
            <w:pPr>
              <w:pStyle w:val="MarginText"/>
              <w:overflowPunct w:val="0"/>
              <w:autoSpaceDE w:val="0"/>
              <w:autoSpaceDN w:val="0"/>
              <w:textAlignment w:val="baseline"/>
              <w:rPr>
                <w:rFonts w:cs="Arial"/>
                <w:sz w:val="22"/>
                <w:szCs w:val="22"/>
              </w:rPr>
            </w:pPr>
            <w:r>
              <w:rPr>
                <w:rFonts w:cs="Arial"/>
                <w:sz w:val="22"/>
                <w:szCs w:val="22"/>
              </w:rPr>
              <w:t>10</w:t>
            </w:r>
            <w:r w:rsidRPr="00D9660D">
              <w:rPr>
                <w:rFonts w:cs="Arial"/>
                <w:sz w:val="22"/>
                <w:szCs w:val="22"/>
              </w:rPr>
              <w:t>0% of the Maximum Mark Available for the question</w:t>
            </w:r>
          </w:p>
        </w:tc>
      </w:tr>
    </w:tbl>
    <w:p w14:paraId="4A7BA239" w14:textId="77777777" w:rsidR="002529E3" w:rsidRPr="00C351DF" w:rsidRDefault="002529E3">
      <w:pPr>
        <w:pStyle w:val="BodyTextIndent3"/>
        <w:ind w:left="737"/>
        <w:rPr>
          <w:rFonts w:ascii="Arial" w:hAnsi="Arial" w:cs="Arial"/>
          <w:b/>
          <w:i/>
          <w:sz w:val="22"/>
          <w:szCs w:val="22"/>
          <w:highlight w:val="green"/>
        </w:rPr>
      </w:pPr>
    </w:p>
    <w:p w14:paraId="4A7BA23B" w14:textId="55DC5EF0" w:rsidR="0058734C" w:rsidRPr="00C351DF" w:rsidRDefault="00B71515">
      <w:pPr>
        <w:pStyle w:val="Heading3"/>
      </w:pPr>
      <w:r w:rsidRPr="00C351DF">
        <w:t xml:space="preserve">The mark achieved in response to a question will entitle the Potential Provider to receive a score which will be a </w:t>
      </w:r>
      <w:r w:rsidR="00D54E0A" w:rsidRPr="00C351DF">
        <w:t xml:space="preserve">percentage </w:t>
      </w:r>
      <w:r w:rsidRPr="00C351DF">
        <w:t>of the Maximum Score Available for that question</w:t>
      </w:r>
      <w:r w:rsidR="00AB7BB3" w:rsidRPr="00C351DF">
        <w:t>.</w:t>
      </w:r>
      <w:r w:rsidR="00687015">
        <w:t xml:space="preserve"> </w:t>
      </w:r>
      <w:r w:rsidRPr="00C351DF">
        <w:t xml:space="preserve">For example if a Potential Provider achieved a mark of 50 out of 100 for </w:t>
      </w:r>
      <w:r w:rsidR="00806DCB" w:rsidRPr="00C351DF">
        <w:t>a q</w:t>
      </w:r>
      <w:r w:rsidRPr="00C351DF">
        <w:t>uestion, it would equate to 50%</w:t>
      </w:r>
      <w:r w:rsidR="00763FE4" w:rsidRPr="00C351DF">
        <w:t xml:space="preserve">; so, </w:t>
      </w:r>
      <w:r w:rsidR="00D54E0A" w:rsidRPr="00C351DF">
        <w:t xml:space="preserve">where </w:t>
      </w:r>
      <w:r w:rsidRPr="00C351DF">
        <w:t xml:space="preserve">the Maximum Score Available </w:t>
      </w:r>
      <w:r w:rsidR="00D54E0A" w:rsidRPr="00C351DF">
        <w:t xml:space="preserve">is 2, the </w:t>
      </w:r>
      <w:r w:rsidRPr="00C351DF">
        <w:t>Potential Provider would therefore score 1 for that question.</w:t>
      </w:r>
    </w:p>
    <w:p w14:paraId="4A7BA2AE" w14:textId="759F984B" w:rsidR="0058734C" w:rsidRPr="00AE1028" w:rsidRDefault="0058734C" w:rsidP="00AE1028">
      <w:pPr>
        <w:pStyle w:val="Heading3"/>
      </w:pPr>
      <w:bookmarkStart w:id="50" w:name="_Ref285712268"/>
      <w:r w:rsidRPr="00C351DF">
        <w:t xml:space="preserve">When the score for each question has been determined they will be added together to determine </w:t>
      </w:r>
      <w:r w:rsidR="00AE1028">
        <w:t>an overall score for the Non-financial</w:t>
      </w:r>
      <w:r w:rsidRPr="00C351DF">
        <w:t xml:space="preserve"> Evaluation (“</w:t>
      </w:r>
      <w:r w:rsidRPr="00C351DF">
        <w:rPr>
          <w:b/>
        </w:rPr>
        <w:t>Quality Score</w:t>
      </w:r>
      <w:r w:rsidRPr="00C351DF">
        <w:t>”).</w:t>
      </w:r>
      <w:bookmarkEnd w:id="50"/>
    </w:p>
    <w:p w14:paraId="4A7BA2AF" w14:textId="77777777" w:rsidR="0058734C" w:rsidRPr="00C351DF" w:rsidRDefault="0058734C" w:rsidP="007D6A4F">
      <w:pPr>
        <w:pStyle w:val="Heading2"/>
        <w:rPr>
          <w:rFonts w:cs="Arial"/>
          <w:sz w:val="22"/>
          <w:szCs w:val="22"/>
        </w:rPr>
      </w:pPr>
      <w:r w:rsidRPr="00C351DF">
        <w:rPr>
          <w:rFonts w:cs="Arial"/>
          <w:sz w:val="22"/>
          <w:szCs w:val="22"/>
        </w:rPr>
        <w:t>Price Evaluation Process</w:t>
      </w:r>
    </w:p>
    <w:p w14:paraId="4A7BA2B2" w14:textId="6FF4789B" w:rsidR="0058734C" w:rsidRPr="00C351DF" w:rsidRDefault="00F449EB">
      <w:pPr>
        <w:pStyle w:val="Heading3"/>
      </w:pPr>
      <w:r w:rsidRPr="00C351DF">
        <w:t>You</w:t>
      </w:r>
      <w:r w:rsidR="0058734C" w:rsidRPr="00C351DF">
        <w:t xml:space="preserve"> are required to submit a price for </w:t>
      </w:r>
      <w:r w:rsidR="0058734C" w:rsidRPr="00CE7E92">
        <w:t xml:space="preserve">each </w:t>
      </w:r>
      <w:r w:rsidR="00A2048D" w:rsidRPr="00CE7E92">
        <w:t>l</w:t>
      </w:r>
      <w:r w:rsidR="006859B2" w:rsidRPr="00CE7E92">
        <w:t xml:space="preserve">ist </w:t>
      </w:r>
      <w:r w:rsidR="00A2048D" w:rsidRPr="00CE7E92">
        <w:t>pricing i</w:t>
      </w:r>
      <w:r w:rsidR="006859B2" w:rsidRPr="00CE7E92">
        <w:t>tem</w:t>
      </w:r>
      <w:r w:rsidR="0058734C" w:rsidRPr="00CE7E92">
        <w:t xml:space="preserve">, </w:t>
      </w:r>
      <w:r w:rsidR="00DF4B56" w:rsidRPr="00CE7E92">
        <w:t>included</w:t>
      </w:r>
      <w:r w:rsidR="00CE7E92">
        <w:t xml:space="preserve"> in the Financial Evaluation (Bidders Pricing Matrix) – Appendix 6</w:t>
      </w:r>
      <w:r w:rsidR="0058734C" w:rsidRPr="00C351DF">
        <w:t>.</w:t>
      </w:r>
    </w:p>
    <w:p w14:paraId="4A7BA2D9" w14:textId="77777777" w:rsidR="0058734C" w:rsidRPr="00C351DF" w:rsidRDefault="0058734C" w:rsidP="00251AE6">
      <w:pPr>
        <w:pStyle w:val="Heading2"/>
        <w:rPr>
          <w:rFonts w:cs="Arial"/>
          <w:sz w:val="22"/>
          <w:szCs w:val="22"/>
        </w:rPr>
      </w:pPr>
      <w:r w:rsidRPr="00C351DF">
        <w:rPr>
          <w:rFonts w:cs="Arial"/>
          <w:sz w:val="22"/>
          <w:szCs w:val="22"/>
        </w:rPr>
        <w:t>Price Evaluation methodology</w:t>
      </w:r>
    </w:p>
    <w:p w14:paraId="4A7BA2DA" w14:textId="3FC0E7C1" w:rsidR="0058734C" w:rsidRPr="00C351DF" w:rsidRDefault="002A6C07" w:rsidP="00AA1BD9">
      <w:pPr>
        <w:pStyle w:val="Heading3"/>
      </w:pPr>
      <w:r w:rsidRPr="00C351DF">
        <w:t>The Price Evaluation p</w:t>
      </w:r>
      <w:r w:rsidR="0058734C" w:rsidRPr="00C351DF">
        <w:t>rocess will be undertaken by different evaluators to those individuals involv</w:t>
      </w:r>
      <w:r w:rsidR="00CE7E92">
        <w:t>ed with the Non-financial</w:t>
      </w:r>
      <w:r w:rsidRPr="00C351DF">
        <w:t xml:space="preserve"> Evaluation p</w:t>
      </w:r>
      <w:r w:rsidR="0058734C" w:rsidRPr="00C351DF">
        <w:t>rocess.</w:t>
      </w:r>
    </w:p>
    <w:p w14:paraId="4A7BA2DB" w14:textId="77777777" w:rsidR="0058734C" w:rsidRPr="00C351DF" w:rsidRDefault="0058734C">
      <w:pPr>
        <w:pStyle w:val="Heading3"/>
      </w:pPr>
      <w:bookmarkStart w:id="51" w:name="_Ref373315614"/>
      <w:r w:rsidRPr="00C351DF">
        <w:lastRenderedPageBreak/>
        <w:t>The Price Evaluatio</w:t>
      </w:r>
      <w:r w:rsidR="002A6C07" w:rsidRPr="00C351DF">
        <w:t>n p</w:t>
      </w:r>
      <w:r w:rsidR="000E076D" w:rsidRPr="00C351DF">
        <w:t>rocess and resultant ranking</w:t>
      </w:r>
      <w:r w:rsidRPr="00C351DF">
        <w:t xml:space="preserve"> of </w:t>
      </w:r>
      <w:r w:rsidRPr="00C351DF">
        <w:rPr>
          <w:lang w:val="en-US"/>
        </w:rPr>
        <w:t>Potential Provider</w:t>
      </w:r>
      <w:r w:rsidR="000E076D" w:rsidRPr="00C351DF">
        <w:rPr>
          <w:lang w:val="en-US"/>
        </w:rPr>
        <w:t>s</w:t>
      </w:r>
      <w:r w:rsidRPr="00C351DF">
        <w:rPr>
          <w:lang w:val="en-US"/>
        </w:rPr>
        <w:t xml:space="preserve"> </w:t>
      </w:r>
      <w:r w:rsidRPr="00C351DF">
        <w:t>(along with the marks awarded) will be independently checked and verified by individual(s) not previously involved in th</w:t>
      </w:r>
      <w:r w:rsidR="006F03E6">
        <w:t>is</w:t>
      </w:r>
      <w:r w:rsidRPr="00C351DF">
        <w:t xml:space="preserve"> Procurement process.</w:t>
      </w:r>
      <w:bookmarkEnd w:id="51"/>
    </w:p>
    <w:p w14:paraId="4A7BA2DC" w14:textId="343B0AD6" w:rsidR="002529E3" w:rsidRPr="00C351DF" w:rsidRDefault="00566C83">
      <w:pPr>
        <w:pStyle w:val="Heading3"/>
      </w:pPr>
      <w:r w:rsidRPr="00C351DF">
        <w:t xml:space="preserve">If </w:t>
      </w:r>
      <w:r w:rsidR="0074685E" w:rsidRPr="00CE7E92">
        <w:t>a</w:t>
      </w:r>
      <w:r w:rsidRPr="00CE7E92">
        <w:t xml:space="preserve"> </w:t>
      </w:r>
      <w:r w:rsidR="0074685E" w:rsidRPr="00CE7E92">
        <w:t>list pricing item</w:t>
      </w:r>
      <w:r w:rsidRPr="00CE7E92">
        <w:t xml:space="preserve"> you</w:t>
      </w:r>
      <w:r w:rsidRPr="00C351DF">
        <w:t xml:space="preserve"> have provided is abnormally low the Authority may reject your </w:t>
      </w:r>
      <w:r w:rsidR="003A05B1">
        <w:t>Tender</w:t>
      </w:r>
      <w:r w:rsidRPr="00C351DF">
        <w:t>.  The steps the Authority will take in this event are as follows:</w:t>
      </w:r>
    </w:p>
    <w:p w14:paraId="4A7BA2DD" w14:textId="32F9AB7A" w:rsidR="002529E3" w:rsidRPr="00C351DF" w:rsidRDefault="003510F5">
      <w:pPr>
        <w:pStyle w:val="Heading4"/>
      </w:pPr>
      <w:r>
        <w:t>t</w:t>
      </w:r>
      <w:r w:rsidR="00566C83" w:rsidRPr="00C351DF">
        <w:t xml:space="preserve">o </w:t>
      </w:r>
      <w:r w:rsidR="00566C83" w:rsidRPr="00CE7E92">
        <w:t xml:space="preserve">request in writing an explanation of the abnormally low </w:t>
      </w:r>
      <w:r w:rsidR="0074685E" w:rsidRPr="00CE7E92">
        <w:t>list pricing item</w:t>
      </w:r>
      <w:r w:rsidR="00566C83" w:rsidRPr="00CE7E92">
        <w:t>,</w:t>
      </w:r>
      <w:r w:rsidR="0074685E" w:rsidRPr="00C351DF">
        <w:t xml:space="preserve"> </w:t>
      </w:r>
      <w:r w:rsidR="00566C83" w:rsidRPr="00C351DF">
        <w:t>which may include explanations of</w:t>
      </w:r>
      <w:r w:rsidR="002B739B" w:rsidRPr="00C351DF">
        <w:t xml:space="preserve"> one or more of the following</w:t>
      </w:r>
      <w:r w:rsidR="00566C83" w:rsidRPr="00C351DF">
        <w:t>;</w:t>
      </w:r>
    </w:p>
    <w:p w14:paraId="4A7BA2DE" w14:textId="6687C076" w:rsidR="002529E3" w:rsidRPr="00AA1BD9" w:rsidRDefault="003510F5" w:rsidP="00AA1BD9">
      <w:pPr>
        <w:pStyle w:val="ListParagraph"/>
        <w:numPr>
          <w:ilvl w:val="0"/>
          <w:numId w:val="33"/>
        </w:numPr>
        <w:ind w:left="2977" w:hanging="425"/>
        <w:rPr>
          <w:sz w:val="22"/>
          <w:szCs w:val="22"/>
        </w:rPr>
      </w:pPr>
      <w:r>
        <w:rPr>
          <w:sz w:val="22"/>
          <w:szCs w:val="22"/>
        </w:rPr>
        <w:t>t</w:t>
      </w:r>
      <w:r w:rsidR="00566C83" w:rsidRPr="00AA1BD9">
        <w:rPr>
          <w:sz w:val="22"/>
          <w:szCs w:val="22"/>
        </w:rPr>
        <w:t xml:space="preserve">he economics </w:t>
      </w:r>
      <w:r w:rsidR="00566C83" w:rsidRPr="00CE7E92">
        <w:rPr>
          <w:sz w:val="22"/>
          <w:szCs w:val="22"/>
        </w:rPr>
        <w:t>of the Services provided;</w:t>
      </w:r>
      <w:r w:rsidR="002B739B" w:rsidRPr="00AA1BD9">
        <w:rPr>
          <w:sz w:val="22"/>
          <w:szCs w:val="22"/>
        </w:rPr>
        <w:t xml:space="preserve">  </w:t>
      </w:r>
    </w:p>
    <w:p w14:paraId="4A7BA2DF" w14:textId="35339C7C" w:rsidR="002529E3" w:rsidRPr="00AA1BD9" w:rsidRDefault="003510F5" w:rsidP="00AA1BD9">
      <w:pPr>
        <w:pStyle w:val="ListParagraph"/>
        <w:numPr>
          <w:ilvl w:val="0"/>
          <w:numId w:val="33"/>
        </w:numPr>
        <w:ind w:left="2977" w:hanging="425"/>
        <w:rPr>
          <w:sz w:val="22"/>
          <w:szCs w:val="22"/>
        </w:rPr>
      </w:pPr>
      <w:r>
        <w:rPr>
          <w:sz w:val="22"/>
          <w:szCs w:val="22"/>
        </w:rPr>
        <w:t>t</w:t>
      </w:r>
      <w:r w:rsidR="00566C83" w:rsidRPr="00AA1BD9">
        <w:rPr>
          <w:sz w:val="22"/>
          <w:szCs w:val="22"/>
        </w:rPr>
        <w:t>he technical solutions suggested by you or the exceptionally favourable conditions a</w:t>
      </w:r>
      <w:r w:rsidR="00CE7E92">
        <w:rPr>
          <w:sz w:val="22"/>
          <w:szCs w:val="22"/>
        </w:rPr>
        <w:t>vailable to you for the provision of Services</w:t>
      </w:r>
      <w:r w:rsidR="00566C83" w:rsidRPr="00AA1BD9">
        <w:rPr>
          <w:sz w:val="22"/>
          <w:szCs w:val="22"/>
        </w:rPr>
        <w:t>;</w:t>
      </w:r>
      <w:r w:rsidR="002B739B" w:rsidRPr="00AA1BD9">
        <w:rPr>
          <w:sz w:val="22"/>
          <w:szCs w:val="22"/>
        </w:rPr>
        <w:t xml:space="preserve">  </w:t>
      </w:r>
    </w:p>
    <w:p w14:paraId="4A7BA2E0" w14:textId="499174B9" w:rsidR="002529E3" w:rsidRPr="00AA1BD9" w:rsidRDefault="003510F5" w:rsidP="00AA1BD9">
      <w:pPr>
        <w:pStyle w:val="ListParagraph"/>
        <w:numPr>
          <w:ilvl w:val="0"/>
          <w:numId w:val="33"/>
        </w:numPr>
        <w:ind w:left="2977" w:hanging="425"/>
        <w:rPr>
          <w:sz w:val="22"/>
          <w:szCs w:val="22"/>
        </w:rPr>
      </w:pPr>
      <w:r>
        <w:rPr>
          <w:sz w:val="22"/>
          <w:szCs w:val="22"/>
        </w:rPr>
        <w:t>t</w:t>
      </w:r>
      <w:r w:rsidR="00566C83" w:rsidRPr="00AA1BD9">
        <w:rPr>
          <w:sz w:val="22"/>
          <w:szCs w:val="22"/>
        </w:rPr>
        <w:t>he orig</w:t>
      </w:r>
      <w:r w:rsidR="00CE7E92">
        <w:rPr>
          <w:sz w:val="22"/>
          <w:szCs w:val="22"/>
        </w:rPr>
        <w:t>inality of the Services</w:t>
      </w:r>
      <w:r w:rsidR="00566C83" w:rsidRPr="00AA1BD9">
        <w:rPr>
          <w:sz w:val="22"/>
          <w:szCs w:val="22"/>
        </w:rPr>
        <w:t>;</w:t>
      </w:r>
      <w:r w:rsidR="002B739B" w:rsidRPr="00AA1BD9">
        <w:rPr>
          <w:sz w:val="22"/>
          <w:szCs w:val="22"/>
        </w:rPr>
        <w:t xml:space="preserve">  </w:t>
      </w:r>
    </w:p>
    <w:p w14:paraId="4A7BA2E1" w14:textId="77777777" w:rsidR="00186EE0" w:rsidRPr="00AA1BD9" w:rsidRDefault="003510F5" w:rsidP="00AA1BD9">
      <w:pPr>
        <w:pStyle w:val="ListParagraph"/>
        <w:numPr>
          <w:ilvl w:val="0"/>
          <w:numId w:val="33"/>
        </w:numPr>
        <w:ind w:left="2977" w:hanging="425"/>
        <w:rPr>
          <w:sz w:val="22"/>
          <w:szCs w:val="22"/>
        </w:rPr>
      </w:pPr>
      <w:r>
        <w:rPr>
          <w:sz w:val="22"/>
          <w:szCs w:val="22"/>
        </w:rPr>
        <w:t>y</w:t>
      </w:r>
      <w:r w:rsidR="00566C83" w:rsidRPr="00AA1BD9">
        <w:rPr>
          <w:sz w:val="22"/>
          <w:szCs w:val="22"/>
        </w:rPr>
        <w:t xml:space="preserve">our compliance with the provisions relating to </w:t>
      </w:r>
      <w:r w:rsidR="00186EE0" w:rsidRPr="00AA1BD9">
        <w:rPr>
          <w:sz w:val="22"/>
          <w:szCs w:val="22"/>
        </w:rPr>
        <w:t>environmental, social, labour laws referred to in regulation 56 (2)</w:t>
      </w:r>
      <w:r>
        <w:rPr>
          <w:sz w:val="22"/>
          <w:szCs w:val="22"/>
        </w:rPr>
        <w:t>;</w:t>
      </w:r>
      <w:r w:rsidR="002B739B" w:rsidRPr="00AA1BD9">
        <w:rPr>
          <w:sz w:val="22"/>
          <w:szCs w:val="22"/>
        </w:rPr>
        <w:t xml:space="preserve">  </w:t>
      </w:r>
    </w:p>
    <w:p w14:paraId="4A7BA2E2" w14:textId="77777777" w:rsidR="002529E3" w:rsidRPr="00AA1BD9" w:rsidRDefault="003510F5" w:rsidP="00AA1BD9">
      <w:pPr>
        <w:pStyle w:val="ListParagraph"/>
        <w:numPr>
          <w:ilvl w:val="0"/>
          <w:numId w:val="33"/>
        </w:numPr>
        <w:ind w:left="2977" w:hanging="425"/>
        <w:rPr>
          <w:sz w:val="22"/>
          <w:szCs w:val="22"/>
        </w:rPr>
      </w:pPr>
      <w:r>
        <w:rPr>
          <w:sz w:val="22"/>
          <w:szCs w:val="22"/>
        </w:rPr>
        <w:t>y</w:t>
      </w:r>
      <w:r w:rsidR="00186EE0" w:rsidRPr="00AA1BD9">
        <w:rPr>
          <w:sz w:val="22"/>
          <w:szCs w:val="22"/>
        </w:rPr>
        <w:t xml:space="preserve">our compliance with the sub-contracting obligations referred to in </w:t>
      </w:r>
      <w:r>
        <w:rPr>
          <w:sz w:val="22"/>
          <w:szCs w:val="22"/>
        </w:rPr>
        <w:t>R</w:t>
      </w:r>
      <w:r w:rsidR="00186EE0" w:rsidRPr="00AA1BD9">
        <w:rPr>
          <w:sz w:val="22"/>
          <w:szCs w:val="22"/>
        </w:rPr>
        <w:t>egulation 71</w:t>
      </w:r>
      <w:r w:rsidR="00566C83" w:rsidRPr="00AA1BD9">
        <w:rPr>
          <w:sz w:val="22"/>
          <w:szCs w:val="22"/>
        </w:rPr>
        <w:t>;</w:t>
      </w:r>
      <w:r w:rsidR="002B739B" w:rsidRPr="00AA1BD9">
        <w:rPr>
          <w:sz w:val="22"/>
          <w:szCs w:val="22"/>
        </w:rPr>
        <w:t xml:space="preserve"> </w:t>
      </w:r>
    </w:p>
    <w:p w14:paraId="4A7BA2E3" w14:textId="77777777" w:rsidR="002529E3" w:rsidRPr="00AA1BD9" w:rsidRDefault="003510F5" w:rsidP="00AA1BD9">
      <w:pPr>
        <w:pStyle w:val="ListParagraph"/>
        <w:numPr>
          <w:ilvl w:val="0"/>
          <w:numId w:val="33"/>
        </w:numPr>
        <w:ind w:left="2977" w:hanging="425"/>
        <w:rPr>
          <w:sz w:val="22"/>
          <w:szCs w:val="22"/>
        </w:rPr>
      </w:pPr>
      <w:r>
        <w:rPr>
          <w:sz w:val="22"/>
          <w:szCs w:val="22"/>
        </w:rPr>
        <w:t>t</w:t>
      </w:r>
      <w:r w:rsidR="00566C83" w:rsidRPr="00AA1BD9">
        <w:rPr>
          <w:sz w:val="22"/>
          <w:szCs w:val="22"/>
        </w:rPr>
        <w:t xml:space="preserve">he possibility of you obtaining </w:t>
      </w:r>
      <w:r>
        <w:rPr>
          <w:sz w:val="22"/>
          <w:szCs w:val="22"/>
        </w:rPr>
        <w:t>s</w:t>
      </w:r>
      <w:r w:rsidR="00566C83" w:rsidRPr="00AA1BD9">
        <w:rPr>
          <w:sz w:val="22"/>
          <w:szCs w:val="22"/>
        </w:rPr>
        <w:t>tate aid;</w:t>
      </w:r>
    </w:p>
    <w:p w14:paraId="4A7BA2E4" w14:textId="77777777" w:rsidR="002529E3" w:rsidRPr="00C351DF" w:rsidRDefault="003510F5">
      <w:pPr>
        <w:pStyle w:val="Heading4"/>
      </w:pPr>
      <w:r>
        <w:t>t</w:t>
      </w:r>
      <w:r w:rsidR="00566C83" w:rsidRPr="00C351DF">
        <w:t xml:space="preserve">o take account of the evidence provided </w:t>
      </w:r>
      <w:r w:rsidR="002B739B" w:rsidRPr="00C351DF">
        <w:t xml:space="preserve">by the Potential Provider </w:t>
      </w:r>
      <w:r w:rsidR="00566C83" w:rsidRPr="00C351DF">
        <w:t>in response; and</w:t>
      </w:r>
    </w:p>
    <w:p w14:paraId="4A7BA2E5" w14:textId="1228DDE2" w:rsidR="002529E3" w:rsidRPr="00C351DF" w:rsidRDefault="003510F5">
      <w:pPr>
        <w:pStyle w:val="Heading4"/>
      </w:pPr>
      <w:r>
        <w:t>t</w:t>
      </w:r>
      <w:r w:rsidR="00566C83" w:rsidRPr="00C351DF">
        <w:t xml:space="preserve">o subsequently verify with </w:t>
      </w:r>
      <w:r w:rsidR="00C351DF" w:rsidRPr="00C351DF">
        <w:t>them</w:t>
      </w:r>
      <w:r w:rsidR="00566C83" w:rsidRPr="00C351DF">
        <w:t xml:space="preserve"> </w:t>
      </w:r>
      <w:r w:rsidR="00566C83" w:rsidRPr="002E0412">
        <w:t>the</w:t>
      </w:r>
      <w:r w:rsidR="00A906E4" w:rsidRPr="002E0412">
        <w:t xml:space="preserve"> </w:t>
      </w:r>
      <w:r w:rsidR="0074685E" w:rsidRPr="002E0412">
        <w:t xml:space="preserve">list pricing item </w:t>
      </w:r>
      <w:r w:rsidR="002E0412">
        <w:t>bei</w:t>
      </w:r>
      <w:r w:rsidR="00566C83" w:rsidRPr="00C351DF">
        <w:t xml:space="preserve"> abnormally low.</w:t>
      </w:r>
    </w:p>
    <w:p w14:paraId="4A7BA2E6" w14:textId="54367CE2" w:rsidR="009A1C1A" w:rsidRPr="00C351DF" w:rsidRDefault="002E0412" w:rsidP="00AA1BD9">
      <w:pPr>
        <w:pStyle w:val="Heading3"/>
      </w:pPr>
      <w:bookmarkStart w:id="52" w:name="_Ref373316110"/>
      <w:r>
        <w:t>When the score</w:t>
      </w:r>
      <w:r w:rsidR="009A1C1A" w:rsidRPr="00C351DF">
        <w:t xml:space="preserve"> has been </w:t>
      </w:r>
      <w:r w:rsidR="009A1C1A" w:rsidRPr="002E0412">
        <w:t>determined it will become the overall</w:t>
      </w:r>
      <w:r>
        <w:t xml:space="preserve"> score for the Financial</w:t>
      </w:r>
      <w:r w:rsidR="009A1C1A" w:rsidRPr="00C351DF">
        <w:t xml:space="preserve"> Evaluation (“</w:t>
      </w:r>
      <w:r w:rsidR="009A1C1A" w:rsidRPr="00C351DF">
        <w:rPr>
          <w:b/>
        </w:rPr>
        <w:t>Price Score</w:t>
      </w:r>
      <w:r w:rsidR="009A1C1A" w:rsidRPr="00C351DF">
        <w:t>”).</w:t>
      </w:r>
      <w:bookmarkEnd w:id="52"/>
    </w:p>
    <w:p w14:paraId="4A7BA2ED" w14:textId="77777777" w:rsidR="0079033B" w:rsidRDefault="0079033B">
      <w:pPr>
        <w:rPr>
          <w:rFonts w:ascii="Arial" w:eastAsia="STZhongsong" w:hAnsi="Arial" w:cs="Times New Roman"/>
          <w:b/>
          <w:caps/>
          <w:sz w:val="20"/>
          <w:szCs w:val="20"/>
          <w:lang w:eastAsia="zh-CN"/>
        </w:rPr>
      </w:pPr>
      <w:bookmarkStart w:id="53" w:name="_Ref372797423"/>
      <w:r>
        <w:br w:type="page"/>
      </w:r>
    </w:p>
    <w:p w14:paraId="4A7BA2EE" w14:textId="77777777" w:rsidR="0058734C" w:rsidRPr="00C351DF" w:rsidRDefault="0058734C" w:rsidP="0058734C">
      <w:pPr>
        <w:pStyle w:val="Heading1"/>
        <w:rPr>
          <w:rFonts w:cs="Arial"/>
          <w:sz w:val="22"/>
          <w:szCs w:val="22"/>
        </w:rPr>
      </w:pPr>
      <w:bookmarkStart w:id="54" w:name="_Toc458691545"/>
      <w:r w:rsidRPr="00C351DF">
        <w:rPr>
          <w:rFonts w:cs="Arial"/>
          <w:sz w:val="22"/>
          <w:szCs w:val="22"/>
        </w:rPr>
        <w:lastRenderedPageBreak/>
        <w:t>FINAL DECISION TO Award</w:t>
      </w:r>
      <w:bookmarkEnd w:id="53"/>
      <w:bookmarkEnd w:id="54"/>
    </w:p>
    <w:p w14:paraId="4A7BA2EF" w14:textId="2732B01D"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091631">
        <w:rPr>
          <w:rFonts w:cs="Arial"/>
          <w:sz w:val="22"/>
          <w:szCs w:val="22"/>
        </w:rPr>
        <w:t>ocess set out in this ITT, the Potential Provider</w:t>
      </w:r>
      <w:r w:rsidRPr="00C351DF">
        <w:rPr>
          <w:rFonts w:cs="Arial"/>
          <w:sz w:val="22"/>
          <w:szCs w:val="22"/>
        </w:rPr>
        <w:t xml:space="preserve"> who offer</w:t>
      </w:r>
      <w:r w:rsidR="00091631">
        <w:rPr>
          <w:rFonts w:cs="Arial"/>
          <w:sz w:val="22"/>
          <w:szCs w:val="22"/>
        </w:rPr>
        <w:t>s</w:t>
      </w:r>
      <w:r w:rsidRPr="00C351DF">
        <w:rPr>
          <w:rFonts w:cs="Arial"/>
          <w:sz w:val="22"/>
          <w:szCs w:val="22"/>
        </w:rPr>
        <w:t xml:space="preserve"> the most economically advantageous Tenders will be awarded a Framework Agreement.</w:t>
      </w:r>
    </w:p>
    <w:p w14:paraId="4A7BA2F0" w14:textId="3C669C87" w:rsidR="0058734C" w:rsidRPr="00091631" w:rsidRDefault="0058734C" w:rsidP="00251AE6">
      <w:pPr>
        <w:pStyle w:val="Heading2"/>
        <w:rPr>
          <w:rFonts w:cs="Arial"/>
          <w:sz w:val="22"/>
          <w:szCs w:val="22"/>
        </w:rPr>
      </w:pPr>
      <w:r w:rsidRPr="00091631">
        <w:rPr>
          <w:rFonts w:cs="Arial"/>
          <w:sz w:val="22"/>
          <w:szCs w:val="22"/>
        </w:rPr>
        <w:t>The most e</w:t>
      </w:r>
      <w:r w:rsidR="00091631">
        <w:rPr>
          <w:rFonts w:cs="Arial"/>
          <w:sz w:val="22"/>
          <w:szCs w:val="22"/>
        </w:rPr>
        <w:t>conomically advantageous Tender</w:t>
      </w:r>
      <w:r w:rsidRPr="00091631">
        <w:rPr>
          <w:rFonts w:cs="Arial"/>
          <w:sz w:val="22"/>
          <w:szCs w:val="22"/>
        </w:rPr>
        <w:t xml:space="preserve"> will be the </w:t>
      </w:r>
      <w:r w:rsidR="00091631">
        <w:rPr>
          <w:rFonts w:cs="Arial"/>
          <w:sz w:val="22"/>
          <w:szCs w:val="22"/>
        </w:rPr>
        <w:t>top scoring Potential Provider</w:t>
      </w:r>
      <w:r w:rsidRPr="00091631">
        <w:rPr>
          <w:rFonts w:cs="Arial"/>
          <w:sz w:val="22"/>
          <w:szCs w:val="22"/>
        </w:rPr>
        <w:t xml:space="preserve"> scoring th</w:t>
      </w:r>
      <w:r w:rsidR="00091631">
        <w:rPr>
          <w:rFonts w:cs="Arial"/>
          <w:sz w:val="22"/>
          <w:szCs w:val="22"/>
        </w:rPr>
        <w:t>e highest ranking Final Score</w:t>
      </w:r>
      <w:r w:rsidRPr="00091631">
        <w:rPr>
          <w:rFonts w:cs="Arial"/>
          <w:sz w:val="22"/>
          <w:szCs w:val="22"/>
        </w:rPr>
        <w:t xml:space="preserve">. </w:t>
      </w:r>
    </w:p>
    <w:p w14:paraId="4A7BA2F1" w14:textId="7A57386A" w:rsidR="0058734C" w:rsidRPr="00D1644A" w:rsidRDefault="0058734C" w:rsidP="00251AE6">
      <w:pPr>
        <w:pStyle w:val="Heading2"/>
        <w:rPr>
          <w:rFonts w:cs="Arial"/>
          <w:sz w:val="22"/>
          <w:szCs w:val="22"/>
        </w:rPr>
      </w:pPr>
      <w:r w:rsidRPr="00C351DF">
        <w:rPr>
          <w:rFonts w:cs="Arial"/>
          <w:sz w:val="22"/>
          <w:szCs w:val="22"/>
        </w:rPr>
        <w:t xml:space="preserve">Where </w:t>
      </w:r>
      <w:r w:rsidRPr="00091631">
        <w:rPr>
          <w:rFonts w:cs="Arial"/>
          <w:sz w:val="22"/>
          <w:szCs w:val="22"/>
        </w:rPr>
        <w:t>the Final Score</w:t>
      </w:r>
      <w:r w:rsidR="00822613" w:rsidRPr="00091631">
        <w:rPr>
          <w:rFonts w:cs="Arial"/>
          <w:sz w:val="22"/>
          <w:szCs w:val="22"/>
        </w:rPr>
        <w:t xml:space="preserve"> </w:t>
      </w:r>
      <w:r w:rsidRPr="00091631">
        <w:rPr>
          <w:rFonts w:cs="Arial"/>
          <w:sz w:val="22"/>
          <w:szCs w:val="22"/>
        </w:rPr>
        <w:t>achieved</w:t>
      </w:r>
      <w:r w:rsidRPr="00C351DF">
        <w:rPr>
          <w:rFonts w:cs="Arial"/>
          <w:sz w:val="22"/>
          <w:szCs w:val="22"/>
        </w:rPr>
        <w:t xml:space="preserve"> by multiple Potential</w:t>
      </w:r>
      <w:r w:rsidR="00091631">
        <w:rPr>
          <w:rFonts w:cs="Arial"/>
          <w:sz w:val="22"/>
          <w:szCs w:val="22"/>
        </w:rPr>
        <w:t xml:space="preserve"> Providers ranks them in equal </w:t>
      </w:r>
      <w:r w:rsidR="00091631" w:rsidRPr="00091631">
        <w:rPr>
          <w:rFonts w:cs="Arial"/>
          <w:sz w:val="22"/>
          <w:szCs w:val="22"/>
        </w:rPr>
        <w:t>1st position</w:t>
      </w:r>
      <w:r w:rsidR="00091631">
        <w:rPr>
          <w:rFonts w:cs="Arial"/>
          <w:sz w:val="22"/>
          <w:szCs w:val="22"/>
        </w:rPr>
        <w:t xml:space="preserve"> then the Potential Provider with the highest </w:t>
      </w:r>
      <w:r w:rsidR="00091631" w:rsidRPr="00D1644A">
        <w:rPr>
          <w:rFonts w:cs="Arial"/>
          <w:sz w:val="22"/>
          <w:szCs w:val="22"/>
        </w:rPr>
        <w:t xml:space="preserve">scoring </w:t>
      </w:r>
      <w:r w:rsidR="00D1644A" w:rsidRPr="00D1644A">
        <w:rPr>
          <w:rFonts w:cs="Arial"/>
          <w:sz w:val="22"/>
          <w:szCs w:val="22"/>
        </w:rPr>
        <w:t>Non-financial Evaluation</w:t>
      </w:r>
      <w:r w:rsidR="00091631" w:rsidRPr="00D1644A">
        <w:rPr>
          <w:rFonts w:cs="Arial"/>
          <w:sz w:val="22"/>
          <w:szCs w:val="22"/>
        </w:rPr>
        <w:t xml:space="preserve"> element  </w:t>
      </w:r>
      <w:r w:rsidRPr="00D1644A">
        <w:rPr>
          <w:rFonts w:cs="Arial"/>
          <w:sz w:val="22"/>
          <w:szCs w:val="22"/>
        </w:rPr>
        <w:t xml:space="preserve"> will be awarded a Framework Agreement. </w:t>
      </w:r>
    </w:p>
    <w:p w14:paraId="4A7BA2F2" w14:textId="77777777" w:rsidR="00D76C40" w:rsidRPr="00C351DF" w:rsidRDefault="00D76C40" w:rsidP="00D76C40">
      <w:pPr>
        <w:pStyle w:val="Heading2"/>
        <w:rPr>
          <w:rFonts w:cs="Arial"/>
          <w:sz w:val="22"/>
          <w:szCs w:val="22"/>
        </w:rPr>
      </w:pPr>
      <w:r w:rsidRPr="00C351DF">
        <w:rPr>
          <w:rFonts w:cs="Arial"/>
          <w:sz w:val="22"/>
          <w:szCs w:val="22"/>
        </w:rPr>
        <w:t>The Authority will inform you, along with all other Potential Providers via the e-Sourcing Suite of its intention to award a Framework Agreement.</w:t>
      </w:r>
    </w:p>
    <w:p w14:paraId="4A7BA2F3" w14:textId="0A8CD3A5" w:rsidR="00D76C40" w:rsidRPr="00C351DF" w:rsidRDefault="00CB7EAA" w:rsidP="00D76C40">
      <w:pPr>
        <w:pStyle w:val="Heading2"/>
        <w:rPr>
          <w:rFonts w:cs="Arial"/>
          <w:sz w:val="22"/>
          <w:szCs w:val="22"/>
        </w:rPr>
      </w:pPr>
      <w:r>
        <w:rPr>
          <w:rFonts w:cs="Arial"/>
          <w:sz w:val="22"/>
          <w:szCs w:val="22"/>
        </w:rPr>
        <w:t>Should the Potential Provider with the top ranked overall score</w:t>
      </w:r>
      <w:r w:rsidR="00D76C40" w:rsidRPr="00C351DF">
        <w:rPr>
          <w:rFonts w:cs="Arial"/>
          <w:sz w:val="22"/>
          <w:szCs w:val="22"/>
        </w:rPr>
        <w:t xml:space="preserve"> decline to accept a Framework Agreement, then it will be offered to the next ranked Potential Provider, until it has been accepted.</w:t>
      </w:r>
    </w:p>
    <w:p w14:paraId="4A7BA2F4" w14:textId="662E4232" w:rsidR="0058734C" w:rsidRPr="00C351DF" w:rsidRDefault="0058734C" w:rsidP="00251AE6">
      <w:pPr>
        <w:pStyle w:val="Heading2"/>
        <w:rPr>
          <w:rFonts w:cs="Arial"/>
          <w:sz w:val="22"/>
          <w:szCs w:val="22"/>
        </w:rPr>
      </w:pPr>
      <w:r w:rsidRPr="00C351DF">
        <w:rPr>
          <w:rFonts w:cs="Arial"/>
          <w:sz w:val="22"/>
          <w:szCs w:val="22"/>
        </w:rPr>
        <w:t xml:space="preserve">Following a Standstill Period of 10 </w:t>
      </w:r>
      <w:r w:rsidR="007776D8">
        <w:rPr>
          <w:rFonts w:cs="Arial"/>
          <w:sz w:val="22"/>
          <w:szCs w:val="22"/>
        </w:rPr>
        <w:t>calendar days</w:t>
      </w:r>
      <w:r w:rsidRPr="00C351DF">
        <w:rPr>
          <w:rFonts w:cs="Arial"/>
          <w:sz w:val="22"/>
          <w:szCs w:val="22"/>
        </w:rPr>
        <w:t xml:space="preserve">, a Framework Agreement will be formally awarded, subject to contract, to the </w:t>
      </w:r>
      <w:r w:rsidR="007776D8">
        <w:rPr>
          <w:rFonts w:cs="Arial"/>
          <w:sz w:val="22"/>
          <w:szCs w:val="22"/>
        </w:rPr>
        <w:t>successful Potential Provider</w:t>
      </w:r>
      <w:r w:rsidRPr="00C351DF">
        <w:rPr>
          <w:rFonts w:cs="Arial"/>
          <w:sz w:val="22"/>
          <w:szCs w:val="22"/>
        </w:rPr>
        <w:t>.</w:t>
      </w:r>
    </w:p>
    <w:p w14:paraId="4A7BA2F6" w14:textId="77777777" w:rsidR="0058734C" w:rsidRDefault="0058734C" w:rsidP="00251AE6">
      <w:pPr>
        <w:pStyle w:val="Heading2"/>
        <w:rPr>
          <w:rFonts w:cs="Arial"/>
          <w:sz w:val="22"/>
          <w:szCs w:val="22"/>
        </w:rPr>
      </w:pPr>
      <w:bookmarkStart w:id="55" w:name="_Ref373321004"/>
      <w:r w:rsidRPr="00C351DF">
        <w:rPr>
          <w:rFonts w:cs="Arial"/>
          <w:sz w:val="22"/>
          <w:szCs w:val="22"/>
        </w:rPr>
        <w:t xml:space="preserve">The term Standstill Period is set out in Regulation </w:t>
      </w:r>
      <w:r w:rsidR="00AE1749" w:rsidRPr="00C351DF">
        <w:rPr>
          <w:rFonts w:cs="Arial"/>
          <w:sz w:val="22"/>
          <w:szCs w:val="22"/>
        </w:rPr>
        <w:t>87</w:t>
      </w:r>
      <w:r w:rsidR="00E43A83">
        <w:rPr>
          <w:rFonts w:cs="Arial"/>
          <w:sz w:val="22"/>
          <w:szCs w:val="22"/>
        </w:rPr>
        <w:t xml:space="preserve"> </w:t>
      </w:r>
      <w:r w:rsidR="00FB67F3" w:rsidRPr="00C351DF">
        <w:rPr>
          <w:rFonts w:cs="Arial"/>
          <w:sz w:val="22"/>
          <w:szCs w:val="22"/>
        </w:rPr>
        <w:t>(</w:t>
      </w:r>
      <w:r w:rsidR="00E43A83">
        <w:rPr>
          <w:rFonts w:cs="Arial"/>
          <w:sz w:val="22"/>
          <w:szCs w:val="22"/>
        </w:rPr>
        <w:t>2)</w:t>
      </w:r>
      <w:r w:rsidR="00FB67F3" w:rsidRPr="00C351DF">
        <w:rPr>
          <w:rFonts w:cs="Arial"/>
          <w:sz w:val="22"/>
          <w:szCs w:val="22"/>
        </w:rPr>
        <w:t xml:space="preserve"> </w:t>
      </w:r>
      <w:r w:rsidRPr="00C351DF">
        <w:rPr>
          <w:rFonts w:cs="Arial"/>
          <w:sz w:val="22"/>
          <w:szCs w:val="22"/>
        </w:rPr>
        <w:t xml:space="preserve">and, in summary, is a period of ten calendar days following the </w:t>
      </w:r>
      <w:r w:rsidR="00E43A83">
        <w:rPr>
          <w:rFonts w:cs="Arial"/>
          <w:sz w:val="22"/>
          <w:szCs w:val="22"/>
        </w:rPr>
        <w:t>sending</w:t>
      </w:r>
      <w:r w:rsidRPr="00C351DF">
        <w:rPr>
          <w:rFonts w:cs="Arial"/>
          <w:sz w:val="22"/>
          <w:szCs w:val="22"/>
        </w:rPr>
        <w:t xml:space="preserve"> </w:t>
      </w:r>
      <w:r w:rsidR="00E43A83">
        <w:rPr>
          <w:rFonts w:cs="Arial"/>
          <w:sz w:val="22"/>
          <w:szCs w:val="22"/>
        </w:rPr>
        <w:t xml:space="preserve">by the Authority (in this instance by electronic means) </w:t>
      </w:r>
      <w:r w:rsidRPr="00C351DF">
        <w:rPr>
          <w:rFonts w:cs="Arial"/>
          <w:sz w:val="22"/>
          <w:szCs w:val="22"/>
        </w:rPr>
        <w:t xml:space="preserve">of </w:t>
      </w:r>
      <w:r w:rsidR="00E43A83">
        <w:rPr>
          <w:rFonts w:cs="Arial"/>
          <w:sz w:val="22"/>
          <w:szCs w:val="22"/>
        </w:rPr>
        <w:t>the Authority’s notice of decision</w:t>
      </w:r>
      <w:r w:rsidRPr="00C351DF">
        <w:rPr>
          <w:rFonts w:cs="Arial"/>
          <w:sz w:val="22"/>
          <w:szCs w:val="22"/>
        </w:rPr>
        <w:t xml:space="preserve"> to</w:t>
      </w:r>
      <w:r w:rsidR="00E43A83">
        <w:rPr>
          <w:rFonts w:cs="Arial"/>
          <w:sz w:val="22"/>
          <w:szCs w:val="22"/>
        </w:rPr>
        <w:t xml:space="preserve"> conclude</w:t>
      </w:r>
      <w:r w:rsidRPr="00C351DF">
        <w:rPr>
          <w:rFonts w:cs="Arial"/>
          <w:sz w:val="22"/>
          <w:szCs w:val="22"/>
        </w:rPr>
        <w:t xml:space="preserve"> </w:t>
      </w:r>
      <w:r w:rsidR="00FD31C2">
        <w:rPr>
          <w:rFonts w:cs="Arial"/>
          <w:sz w:val="22"/>
          <w:szCs w:val="22"/>
        </w:rPr>
        <w:t>the</w:t>
      </w:r>
      <w:r w:rsidRPr="00C351DF">
        <w:rPr>
          <w:rFonts w:cs="Arial"/>
          <w:sz w:val="22"/>
          <w:szCs w:val="22"/>
        </w:rPr>
        <w:t xml:space="preserve"> </w:t>
      </w:r>
      <w:r w:rsidR="00FD31C2">
        <w:rPr>
          <w:rFonts w:cs="Arial"/>
          <w:sz w:val="22"/>
          <w:szCs w:val="22"/>
        </w:rPr>
        <w:t>F</w:t>
      </w:r>
      <w:r w:rsidR="009C78D9" w:rsidRPr="00C351DF">
        <w:rPr>
          <w:rFonts w:cs="Arial"/>
          <w:sz w:val="22"/>
          <w:szCs w:val="22"/>
        </w:rPr>
        <w:t xml:space="preserve">ramework </w:t>
      </w:r>
      <w:r w:rsidR="00FD31C2">
        <w:rPr>
          <w:rFonts w:cs="Arial"/>
          <w:sz w:val="22"/>
          <w:szCs w:val="22"/>
        </w:rPr>
        <w:t>A</w:t>
      </w:r>
      <w:r w:rsidR="009C78D9" w:rsidRPr="00C351DF">
        <w:rPr>
          <w:rFonts w:cs="Arial"/>
          <w:sz w:val="22"/>
          <w:szCs w:val="22"/>
        </w:rPr>
        <w:t>greem</w:t>
      </w:r>
      <w:r w:rsidR="00E43A83">
        <w:rPr>
          <w:rFonts w:cs="Arial"/>
          <w:sz w:val="22"/>
          <w:szCs w:val="22"/>
        </w:rPr>
        <w:t xml:space="preserve">ent </w:t>
      </w:r>
      <w:r w:rsidRPr="00C351DF">
        <w:rPr>
          <w:rFonts w:cs="Arial"/>
          <w:sz w:val="22"/>
          <w:szCs w:val="22"/>
        </w:rPr>
        <w:t>tendered via the Official Journal of the European Union, during which the Authority must not conclude the</w:t>
      </w:r>
      <w:r w:rsidR="009C78D9" w:rsidRPr="00C351DF">
        <w:rPr>
          <w:rFonts w:cs="Arial"/>
          <w:sz w:val="22"/>
          <w:szCs w:val="22"/>
        </w:rPr>
        <w:t xml:space="preserve"> </w:t>
      </w:r>
      <w:r w:rsidR="00144CB3" w:rsidRPr="00C351DF">
        <w:rPr>
          <w:rFonts w:cs="Arial"/>
          <w:sz w:val="22"/>
          <w:szCs w:val="22"/>
        </w:rPr>
        <w:t xml:space="preserve">Framework Agreement </w:t>
      </w:r>
      <w:r w:rsidRPr="00C351DF">
        <w:rPr>
          <w:rFonts w:cs="Arial"/>
          <w:sz w:val="22"/>
          <w:szCs w:val="22"/>
        </w:rPr>
        <w:t>with the successful Supplier(s). It allows unsuccessful bidders the opportunity to raise any questions with the Authority that relate to the decision to award before the</w:t>
      </w:r>
      <w:r w:rsidR="00F074A5" w:rsidRPr="00C351DF">
        <w:rPr>
          <w:rFonts w:cs="Arial"/>
          <w:sz w:val="22"/>
          <w:szCs w:val="22"/>
        </w:rPr>
        <w:t xml:space="preserve"> </w:t>
      </w:r>
      <w:r w:rsidR="00144CB3" w:rsidRPr="00C351DF">
        <w:rPr>
          <w:rFonts w:cs="Arial"/>
          <w:sz w:val="22"/>
          <w:szCs w:val="22"/>
        </w:rPr>
        <w:t xml:space="preserve">Framework Agreement </w:t>
      </w:r>
      <w:r w:rsidR="0001207E">
        <w:rPr>
          <w:rFonts w:cs="Arial"/>
          <w:sz w:val="22"/>
          <w:szCs w:val="22"/>
        </w:rPr>
        <w:t>is concluded</w:t>
      </w:r>
      <w:r w:rsidRPr="00C351DF">
        <w:rPr>
          <w:rFonts w:cs="Arial"/>
          <w:sz w:val="22"/>
          <w:szCs w:val="22"/>
        </w:rPr>
        <w:t>. The Authority cannot provide advice to</w:t>
      </w:r>
      <w:r w:rsidR="000E076D" w:rsidRPr="00C351DF">
        <w:rPr>
          <w:rFonts w:cs="Arial"/>
          <w:sz w:val="22"/>
          <w:szCs w:val="22"/>
        </w:rPr>
        <w:t xml:space="preserve"> unsuccessful</w:t>
      </w:r>
      <w:r w:rsidRPr="00C351DF">
        <w:rPr>
          <w:rFonts w:cs="Arial"/>
          <w:sz w:val="22"/>
          <w:szCs w:val="22"/>
        </w:rPr>
        <w:t xml:space="preserve"> Potential Providers of the steps they should take and, if they have not already done so, Potential Providers should always seek independent legal advice, where appropriate.</w:t>
      </w:r>
      <w:bookmarkEnd w:id="55"/>
    </w:p>
    <w:p w14:paraId="4A7BA2F7" w14:textId="77777777"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Framework Agreement is subject to contract</w:t>
      </w:r>
      <w:r w:rsidR="0001207E">
        <w:rPr>
          <w:rFonts w:cs="Arial"/>
          <w:sz w:val="22"/>
          <w:szCs w:val="22"/>
        </w:rPr>
        <w:t xml:space="preserve"> (including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 xml:space="preserve">‘certificates, statements and other means of proof’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77777777" w:rsidR="0079033B" w:rsidRPr="00C351DF" w:rsidRDefault="0079033B">
      <w:pPr>
        <w:rPr>
          <w:rFonts w:ascii="Arial" w:eastAsia="STZhongsong" w:hAnsi="Arial" w:cs="Arial"/>
          <w:b/>
          <w:caps/>
          <w:lang w:eastAsia="zh-CN"/>
        </w:rPr>
      </w:pPr>
      <w:bookmarkStart w:id="56" w:name="_Ref372795758"/>
      <w:r w:rsidRPr="00C351DF">
        <w:rPr>
          <w:rFonts w:ascii="Arial" w:hAnsi="Arial" w:cs="Arial"/>
        </w:rPr>
        <w:br w:type="page"/>
      </w:r>
    </w:p>
    <w:p w14:paraId="4A7BA2F9" w14:textId="77777777" w:rsidR="00437F0A" w:rsidRPr="00C351DF" w:rsidRDefault="00437F0A" w:rsidP="00437F0A">
      <w:pPr>
        <w:pStyle w:val="Heading1"/>
        <w:rPr>
          <w:rFonts w:cs="Arial"/>
          <w:sz w:val="22"/>
          <w:szCs w:val="22"/>
        </w:rPr>
      </w:pPr>
      <w:bookmarkStart w:id="57" w:name="_Toc458691546"/>
      <w:r w:rsidRPr="00C351DF">
        <w:rPr>
          <w:rFonts w:cs="Arial"/>
          <w:sz w:val="22"/>
          <w:szCs w:val="22"/>
        </w:rPr>
        <w:lastRenderedPageBreak/>
        <w:t>GLOSSARY</w:t>
      </w:r>
      <w:bookmarkEnd w:id="57"/>
    </w:p>
    <w:bookmarkEnd w:id="56"/>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E55A9" w:rsidRPr="00C351DF" w14:paraId="4A7BA2FD" w14:textId="77777777" w:rsidTr="00BC6741">
        <w:trPr>
          <w:cantSplit/>
        </w:trPr>
        <w:tc>
          <w:tcPr>
            <w:tcW w:w="2552" w:type="dxa"/>
            <w:vAlign w:val="center"/>
          </w:tcPr>
          <w:p w14:paraId="4A7BA2FB" w14:textId="5BC80832" w:rsidR="002E55A9" w:rsidRPr="00C351DF" w:rsidRDefault="009B1D18" w:rsidP="00204552">
            <w:pPr>
              <w:pStyle w:val="MarginText"/>
              <w:jc w:val="left"/>
              <w:rPr>
                <w:rFonts w:cs="Arial"/>
                <w:sz w:val="22"/>
                <w:szCs w:val="22"/>
              </w:rPr>
            </w:pPr>
            <w:r>
              <w:rPr>
                <w:rFonts w:cs="Arial"/>
                <w:sz w:val="22"/>
                <w:szCs w:val="22"/>
              </w:rPr>
              <w:t>Appendix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2E55A9" w:rsidRPr="00C351DF" w14:paraId="4A7BA300" w14:textId="77777777" w:rsidTr="00BC6741">
        <w:trPr>
          <w:cantSplit/>
        </w:trPr>
        <w:tc>
          <w:tcPr>
            <w:tcW w:w="2552" w:type="dxa"/>
            <w:vAlign w:val="center"/>
          </w:tcPr>
          <w:p w14:paraId="4A7BA2FE" w14:textId="77777777" w:rsidR="002E55A9" w:rsidRPr="000922CD" w:rsidRDefault="002E55A9" w:rsidP="00204552">
            <w:pPr>
              <w:pStyle w:val="MarginText"/>
              <w:jc w:val="left"/>
              <w:rPr>
                <w:rFonts w:cs="Arial"/>
                <w:sz w:val="22"/>
                <w:szCs w:val="22"/>
              </w:rPr>
            </w:pPr>
            <w:r w:rsidRPr="000922CD">
              <w:rPr>
                <w:rFonts w:cs="Arial"/>
                <w:sz w:val="22"/>
                <w:szCs w:val="22"/>
              </w:rPr>
              <w:t>Authority</w:t>
            </w:r>
          </w:p>
        </w:tc>
        <w:tc>
          <w:tcPr>
            <w:tcW w:w="6015" w:type="dxa"/>
          </w:tcPr>
          <w:p w14:paraId="4A7BA2FF" w14:textId="6D6047F0" w:rsidR="002E55A9" w:rsidRPr="000922CD" w:rsidRDefault="002E55A9" w:rsidP="00204552">
            <w:pPr>
              <w:pStyle w:val="MarginText"/>
              <w:jc w:val="left"/>
              <w:rPr>
                <w:rFonts w:cs="Arial"/>
                <w:sz w:val="22"/>
                <w:szCs w:val="22"/>
              </w:rPr>
            </w:pPr>
            <w:r w:rsidRPr="000922CD">
              <w:rPr>
                <w:rFonts w:cs="Arial"/>
                <w:sz w:val="22"/>
                <w:szCs w:val="22"/>
              </w:rPr>
              <w:t>means the Minister for the Cabinet Office (“</w:t>
            </w:r>
            <w:r w:rsidRPr="000922CD">
              <w:rPr>
                <w:rFonts w:cs="Arial"/>
                <w:b/>
                <w:sz w:val="22"/>
                <w:szCs w:val="22"/>
              </w:rPr>
              <w:t>Cabinet Office</w:t>
            </w:r>
            <w:r w:rsidR="00905246" w:rsidRPr="000922CD">
              <w:rPr>
                <w:rFonts w:cs="Arial"/>
                <w:sz w:val="22"/>
                <w:szCs w:val="22"/>
              </w:rPr>
              <w:t xml:space="preserve">”) </w:t>
            </w:r>
          </w:p>
        </w:tc>
      </w:tr>
      <w:tr w:rsidR="002E55A9" w:rsidRPr="00C351DF" w14:paraId="4A7BA303" w14:textId="77777777" w:rsidTr="00BC6741">
        <w:trPr>
          <w:cantSplit/>
        </w:trPr>
        <w:tc>
          <w:tcPr>
            <w:tcW w:w="2552" w:type="dxa"/>
            <w:vAlign w:val="center"/>
          </w:tcPr>
          <w:p w14:paraId="4A7BA301" w14:textId="11037175" w:rsidR="002E55A9" w:rsidRPr="00C351DF" w:rsidRDefault="009B1D18" w:rsidP="00204552">
            <w:pPr>
              <w:pStyle w:val="MarginText"/>
              <w:jc w:val="left"/>
              <w:rPr>
                <w:rFonts w:cs="Arial"/>
                <w:sz w:val="22"/>
                <w:szCs w:val="22"/>
              </w:rPr>
            </w:pPr>
            <w:r>
              <w:rPr>
                <w:rFonts w:cs="Arial"/>
                <w:sz w:val="22"/>
                <w:szCs w:val="22"/>
              </w:rPr>
              <w:t>Non-financial Evaluation</w:t>
            </w:r>
          </w:p>
        </w:tc>
        <w:tc>
          <w:tcPr>
            <w:tcW w:w="6015" w:type="dxa"/>
          </w:tcPr>
          <w:p w14:paraId="4A7BA302" w14:textId="29FED51A" w:rsidR="002E55A9" w:rsidRPr="00C351DF" w:rsidRDefault="009B1D18" w:rsidP="00A37F16">
            <w:pPr>
              <w:pStyle w:val="MarginText"/>
              <w:jc w:val="left"/>
              <w:rPr>
                <w:rFonts w:cs="Arial"/>
                <w:sz w:val="22"/>
                <w:szCs w:val="22"/>
              </w:rPr>
            </w:pPr>
            <w:r>
              <w:rPr>
                <w:rFonts w:cs="Arial"/>
                <w:sz w:val="22"/>
                <w:szCs w:val="22"/>
              </w:rPr>
              <w:t>means the quality questionnaire</w:t>
            </w:r>
            <w:r w:rsidR="002E55A9" w:rsidRPr="00C351DF">
              <w:rPr>
                <w:rFonts w:cs="Arial"/>
                <w:sz w:val="22"/>
                <w:szCs w:val="22"/>
              </w:rPr>
              <w:t xml:space="preserve"> </w:t>
            </w:r>
            <w:r w:rsidR="00DC0C25" w:rsidRPr="00C351DF">
              <w:rPr>
                <w:rFonts w:cs="Arial"/>
                <w:sz w:val="22"/>
                <w:szCs w:val="22"/>
              </w:rPr>
              <w:t>a cop</w:t>
            </w:r>
            <w:r w:rsidR="00A37F16" w:rsidRPr="00C351DF">
              <w:rPr>
                <w:rFonts w:cs="Arial"/>
                <w:sz w:val="22"/>
                <w:szCs w:val="22"/>
              </w:rPr>
              <w:t>y</w:t>
            </w:r>
            <w:r w:rsidR="00DC0C25" w:rsidRPr="00C351DF">
              <w:rPr>
                <w:rFonts w:cs="Arial"/>
                <w:sz w:val="22"/>
                <w:szCs w:val="22"/>
              </w:rPr>
              <w:t xml:space="preserve"> of</w:t>
            </w:r>
            <w:r>
              <w:rPr>
                <w:rFonts w:cs="Arial"/>
                <w:sz w:val="22"/>
                <w:szCs w:val="22"/>
              </w:rPr>
              <w:t xml:space="preserve"> which is provided at Appendix 5</w:t>
            </w:r>
            <w:r w:rsidR="002E55A9" w:rsidRPr="00C351DF">
              <w:rPr>
                <w:rFonts w:cs="Arial"/>
                <w:sz w:val="22"/>
                <w:szCs w:val="22"/>
              </w:rPr>
              <w:t>;</w:t>
            </w:r>
          </w:p>
        </w:tc>
      </w:tr>
      <w:tr w:rsidR="002E55A9" w:rsidRPr="00C351DF" w14:paraId="4A7BA306" w14:textId="77777777" w:rsidTr="00BC6741">
        <w:trPr>
          <w:cantSplit/>
        </w:trPr>
        <w:tc>
          <w:tcPr>
            <w:tcW w:w="2552" w:type="dxa"/>
            <w:vAlign w:val="center"/>
          </w:tcPr>
          <w:p w14:paraId="4A7BA304" w14:textId="77777777" w:rsidR="002E55A9" w:rsidRPr="00C351DF" w:rsidRDefault="002E55A9" w:rsidP="00204552">
            <w:pPr>
              <w:pStyle w:val="MarginText"/>
              <w:jc w:val="left"/>
              <w:rPr>
                <w:rFonts w:cs="Arial"/>
                <w:sz w:val="22"/>
                <w:szCs w:val="22"/>
              </w:rPr>
            </w:pPr>
            <w:r w:rsidRPr="00C351DF">
              <w:rPr>
                <w:rFonts w:cs="Arial"/>
                <w:sz w:val="22"/>
                <w:szCs w:val="22"/>
              </w:rPr>
              <w:t>Award Stage</w:t>
            </w:r>
          </w:p>
        </w:tc>
        <w:tc>
          <w:tcPr>
            <w:tcW w:w="6015" w:type="dxa"/>
          </w:tcPr>
          <w:p w14:paraId="4A7BA305" w14:textId="26680FF5" w:rsidR="002E55A9" w:rsidRPr="00C351DF" w:rsidRDefault="002E55A9" w:rsidP="009B1D18">
            <w:pPr>
              <w:pStyle w:val="MarginText"/>
              <w:jc w:val="left"/>
              <w:rPr>
                <w:rFonts w:cs="Arial"/>
                <w:sz w:val="22"/>
                <w:szCs w:val="22"/>
              </w:rPr>
            </w:pPr>
            <w:r w:rsidRPr="00C351DF">
              <w:rPr>
                <w:rFonts w:cs="Arial"/>
                <w:sz w:val="22"/>
                <w:szCs w:val="22"/>
              </w:rPr>
              <w:t xml:space="preserve">means the part of the evaluation process described in </w:t>
            </w:r>
            <w:r w:rsidRPr="009B1D18">
              <w:rPr>
                <w:rFonts w:cs="Arial"/>
                <w:sz w:val="22"/>
                <w:szCs w:val="22"/>
              </w:rPr>
              <w:t xml:space="preserve">paragraph </w:t>
            </w:r>
            <w:r w:rsidR="009B1D18" w:rsidRPr="009B1D18">
              <w:rPr>
                <w:rFonts w:cs="Arial"/>
                <w:sz w:val="22"/>
                <w:szCs w:val="22"/>
              </w:rPr>
              <w:t>10</w:t>
            </w:r>
            <w:r w:rsidRPr="009B1D18">
              <w:rPr>
                <w:rFonts w:cs="Arial"/>
                <w:sz w:val="22"/>
                <w:szCs w:val="22"/>
              </w:rPr>
              <w:t>;</w:t>
            </w:r>
          </w:p>
        </w:tc>
      </w:tr>
      <w:tr w:rsidR="00735B24" w:rsidRPr="00C351DF" w14:paraId="4A7BA309" w14:textId="77777777" w:rsidTr="00BC6741">
        <w:trPr>
          <w:cantSplit/>
        </w:trPr>
        <w:tc>
          <w:tcPr>
            <w:tcW w:w="2552" w:type="dxa"/>
            <w:vAlign w:val="center"/>
          </w:tcPr>
          <w:p w14:paraId="4A7BA307" w14:textId="77777777" w:rsidR="00735B24" w:rsidRPr="00C351DF" w:rsidRDefault="00735B24" w:rsidP="00204552">
            <w:pPr>
              <w:pStyle w:val="MarginText"/>
              <w:jc w:val="left"/>
              <w:rPr>
                <w:rFonts w:cs="Arial"/>
                <w:sz w:val="22"/>
                <w:szCs w:val="22"/>
              </w:rPr>
            </w:pPr>
            <w:r w:rsidRPr="00C351DF">
              <w:rPr>
                <w:rFonts w:cs="Arial"/>
                <w:sz w:val="22"/>
                <w:szCs w:val="22"/>
              </w:rPr>
              <w:t>Bid Fields</w:t>
            </w:r>
          </w:p>
        </w:tc>
        <w:tc>
          <w:tcPr>
            <w:tcW w:w="6015" w:type="dxa"/>
          </w:tcPr>
          <w:p w14:paraId="4A7BA308" w14:textId="77777777" w:rsidR="00735B24" w:rsidRPr="00C351DF" w:rsidRDefault="00735B24" w:rsidP="00204552">
            <w:pPr>
              <w:pStyle w:val="MarginText"/>
              <w:jc w:val="left"/>
              <w:rPr>
                <w:rFonts w:cs="Arial"/>
                <w:sz w:val="22"/>
                <w:szCs w:val="22"/>
              </w:rPr>
            </w:pPr>
            <w:r w:rsidRPr="00C351DF">
              <w:rPr>
                <w:rFonts w:cs="Arial"/>
                <w:sz w:val="22"/>
                <w:szCs w:val="22"/>
              </w:rPr>
              <w:t xml:space="preserve">mean the bid fields set out in the </w:t>
            </w:r>
            <w:r w:rsidR="00DC0C25" w:rsidRPr="00C351DF">
              <w:rPr>
                <w:rFonts w:cs="Arial"/>
                <w:sz w:val="22"/>
                <w:szCs w:val="22"/>
              </w:rPr>
              <w:t xml:space="preserve">on line </w:t>
            </w:r>
            <w:r w:rsidRPr="00C351DF">
              <w:rPr>
                <w:rFonts w:cs="Arial"/>
                <w:sz w:val="22"/>
                <w:szCs w:val="22"/>
              </w:rPr>
              <w:t>e-Sourcing Suite;</w:t>
            </w:r>
          </w:p>
        </w:tc>
      </w:tr>
      <w:tr w:rsidR="002E55A9" w:rsidRPr="00C351DF" w14:paraId="4A7BA30F" w14:textId="77777777" w:rsidTr="00BC6741">
        <w:trPr>
          <w:cantSplit/>
        </w:trPr>
        <w:tc>
          <w:tcPr>
            <w:tcW w:w="2552" w:type="dxa"/>
            <w:vAlign w:val="center"/>
          </w:tcPr>
          <w:p w14:paraId="4A7BA30D" w14:textId="77777777" w:rsidR="002E55A9" w:rsidRPr="00C351DF" w:rsidRDefault="002E55A9" w:rsidP="00204552">
            <w:pPr>
              <w:pStyle w:val="MarginText"/>
              <w:jc w:val="left"/>
              <w:rPr>
                <w:rFonts w:cs="Arial"/>
                <w:sz w:val="22"/>
                <w:szCs w:val="22"/>
              </w:rPr>
            </w:pPr>
            <w:r w:rsidRPr="00C351DF">
              <w:rPr>
                <w:rFonts w:cs="Arial"/>
                <w:sz w:val="22"/>
                <w:szCs w:val="22"/>
              </w:rPr>
              <w:t>Consensus Marking Procedure</w:t>
            </w:r>
          </w:p>
        </w:tc>
        <w:tc>
          <w:tcPr>
            <w:tcW w:w="6015" w:type="dxa"/>
          </w:tcPr>
          <w:p w14:paraId="4A7BA30E" w14:textId="3A50D9B2" w:rsidR="002E55A9" w:rsidRPr="00C351DF" w:rsidRDefault="002E55A9" w:rsidP="009B1D18">
            <w:pPr>
              <w:pStyle w:val="MarginText"/>
              <w:jc w:val="left"/>
              <w:rPr>
                <w:rFonts w:cs="Arial"/>
                <w:sz w:val="22"/>
                <w:szCs w:val="22"/>
              </w:rPr>
            </w:pPr>
            <w:r w:rsidRPr="00C351DF">
              <w:rPr>
                <w:rFonts w:cs="Arial"/>
                <w:sz w:val="22"/>
                <w:szCs w:val="22"/>
              </w:rPr>
              <w:t xml:space="preserve">means the evaluation procedure described in paragraph </w:t>
            </w:r>
            <w:r w:rsidR="009B1D18" w:rsidRPr="009B1D18">
              <w:rPr>
                <w:rFonts w:cs="Arial"/>
                <w:sz w:val="22"/>
                <w:szCs w:val="22"/>
              </w:rPr>
              <w:t>10.4</w:t>
            </w:r>
            <w:r w:rsidRPr="009B1D18">
              <w:rPr>
                <w:rFonts w:cs="Arial"/>
                <w:sz w:val="22"/>
                <w:szCs w:val="22"/>
              </w:rPr>
              <w:t>;</w:t>
            </w:r>
          </w:p>
        </w:tc>
      </w:tr>
      <w:tr w:rsidR="004173D9" w:rsidRPr="00C351DF" w14:paraId="4A7BA312" w14:textId="77777777" w:rsidTr="00BC6741">
        <w:trPr>
          <w:cantSplit/>
        </w:trPr>
        <w:tc>
          <w:tcPr>
            <w:tcW w:w="2552" w:type="dxa"/>
            <w:vAlign w:val="center"/>
          </w:tcPr>
          <w:p w14:paraId="4A7BA310" w14:textId="77777777" w:rsidR="004173D9" w:rsidRPr="00C351DF" w:rsidRDefault="006D17A1" w:rsidP="00204552">
            <w:pPr>
              <w:pStyle w:val="MarginText"/>
              <w:jc w:val="left"/>
              <w:rPr>
                <w:rFonts w:cs="Arial"/>
                <w:sz w:val="22"/>
                <w:szCs w:val="22"/>
              </w:rPr>
            </w:pPr>
            <w:r w:rsidRPr="00C351DF">
              <w:rPr>
                <w:rFonts w:cs="Arial"/>
                <w:sz w:val="22"/>
                <w:szCs w:val="22"/>
              </w:rPr>
              <w:t>Contracting Authority</w:t>
            </w:r>
          </w:p>
        </w:tc>
        <w:tc>
          <w:tcPr>
            <w:tcW w:w="6015" w:type="dxa"/>
          </w:tcPr>
          <w:p w14:paraId="4A7BA311" w14:textId="77777777" w:rsidR="004173D9" w:rsidRPr="00C351DF" w:rsidRDefault="004173D9" w:rsidP="00204552">
            <w:pPr>
              <w:pStyle w:val="MarginText"/>
              <w:jc w:val="left"/>
              <w:rPr>
                <w:rFonts w:cs="Arial"/>
                <w:sz w:val="22"/>
                <w:szCs w:val="22"/>
              </w:rPr>
            </w:pPr>
            <w:r w:rsidRPr="00C351DF">
              <w:rPr>
                <w:rFonts w:cs="Arial"/>
                <w:sz w:val="22"/>
                <w:szCs w:val="22"/>
              </w:rPr>
              <w:t xml:space="preserve">means the Authority and/or any other </w:t>
            </w:r>
            <w:r w:rsidR="00075735">
              <w:rPr>
                <w:rFonts w:cs="Arial"/>
                <w:sz w:val="22"/>
                <w:szCs w:val="22"/>
              </w:rPr>
              <w:t>c</w:t>
            </w:r>
            <w:r w:rsidR="006D17A1" w:rsidRPr="00C351DF">
              <w:rPr>
                <w:rFonts w:cs="Arial"/>
                <w:sz w:val="22"/>
                <w:szCs w:val="22"/>
              </w:rPr>
              <w:t xml:space="preserve">ontracting </w:t>
            </w:r>
            <w:r w:rsidR="00075735">
              <w:rPr>
                <w:rFonts w:cs="Arial"/>
                <w:sz w:val="22"/>
                <w:szCs w:val="22"/>
              </w:rPr>
              <w:t>a</w:t>
            </w:r>
            <w:r w:rsidR="006D17A1" w:rsidRPr="00C351DF">
              <w:rPr>
                <w:rFonts w:cs="Arial"/>
                <w:sz w:val="22"/>
                <w:szCs w:val="22"/>
              </w:rPr>
              <w:t>uthorities</w:t>
            </w:r>
            <w:r w:rsidRPr="00C351DF">
              <w:rPr>
                <w:rFonts w:cs="Arial"/>
                <w:sz w:val="22"/>
                <w:szCs w:val="22"/>
              </w:rPr>
              <w:t xml:space="preserve"> </w:t>
            </w:r>
            <w:r w:rsidR="00075735">
              <w:rPr>
                <w:rFonts w:cs="Arial"/>
                <w:sz w:val="22"/>
                <w:szCs w:val="22"/>
              </w:rPr>
              <w:t xml:space="preserve">(within the meaning of the Regulations) </w:t>
            </w:r>
            <w:r w:rsidRPr="00C351DF">
              <w:rPr>
                <w:rFonts w:cs="Arial"/>
                <w:sz w:val="22"/>
                <w:szCs w:val="22"/>
              </w:rPr>
              <w:t>described in the OJEU Contract Notice;</w:t>
            </w:r>
          </w:p>
        </w:tc>
      </w:tr>
      <w:tr w:rsidR="004173D9" w:rsidRPr="00C351DF" w14:paraId="4A7BA318" w14:textId="77777777" w:rsidTr="00BC6741">
        <w:trPr>
          <w:cantSplit/>
        </w:trPr>
        <w:tc>
          <w:tcPr>
            <w:tcW w:w="2552" w:type="dxa"/>
            <w:vAlign w:val="center"/>
          </w:tcPr>
          <w:p w14:paraId="4A7BA316" w14:textId="77777777" w:rsidR="004173D9" w:rsidRPr="00C351DF" w:rsidRDefault="004173D9" w:rsidP="00204552">
            <w:pPr>
              <w:pStyle w:val="MarginText"/>
              <w:jc w:val="left"/>
              <w:rPr>
                <w:rFonts w:cs="Arial"/>
                <w:sz w:val="22"/>
                <w:szCs w:val="22"/>
              </w:rPr>
            </w:pPr>
            <w:r w:rsidRPr="00C351DF">
              <w:rPr>
                <w:rFonts w:cs="Arial"/>
                <w:sz w:val="22"/>
                <w:szCs w:val="22"/>
              </w:rPr>
              <w:t>e-Sourcing Suite</w:t>
            </w:r>
          </w:p>
        </w:tc>
        <w:tc>
          <w:tcPr>
            <w:tcW w:w="6015" w:type="dxa"/>
          </w:tcPr>
          <w:p w14:paraId="4A7BA317" w14:textId="77777777" w:rsidR="004173D9" w:rsidRPr="00C351DF" w:rsidRDefault="004173D9" w:rsidP="00204552">
            <w:pPr>
              <w:pStyle w:val="MarginText"/>
              <w:jc w:val="left"/>
              <w:rPr>
                <w:rFonts w:cs="Arial"/>
                <w:sz w:val="22"/>
                <w:szCs w:val="22"/>
              </w:rPr>
            </w:pPr>
            <w:r w:rsidRPr="00C351DF">
              <w:rPr>
                <w:rFonts w:cs="Arial"/>
                <w:sz w:val="22"/>
                <w:szCs w:val="22"/>
              </w:rPr>
              <w:t>means the online tender management and administration system used by the Authority;</w:t>
            </w:r>
          </w:p>
        </w:tc>
      </w:tr>
      <w:tr w:rsidR="004173D9" w:rsidRPr="00C351DF" w14:paraId="4A7BA31B" w14:textId="77777777" w:rsidTr="00BC6741">
        <w:trPr>
          <w:cantSplit/>
        </w:trPr>
        <w:tc>
          <w:tcPr>
            <w:tcW w:w="2552" w:type="dxa"/>
            <w:vAlign w:val="center"/>
          </w:tcPr>
          <w:p w14:paraId="4A7BA319" w14:textId="77777777" w:rsidR="004173D9" w:rsidRPr="00C351DF" w:rsidRDefault="004173D9" w:rsidP="00204552">
            <w:pPr>
              <w:pStyle w:val="MarginText"/>
              <w:jc w:val="left"/>
              <w:rPr>
                <w:rFonts w:cs="Arial"/>
                <w:sz w:val="22"/>
                <w:szCs w:val="22"/>
              </w:rPr>
            </w:pPr>
            <w:r w:rsidRPr="00C351DF">
              <w:rPr>
                <w:rFonts w:cs="Arial"/>
                <w:sz w:val="22"/>
                <w:szCs w:val="22"/>
              </w:rPr>
              <w:t>Final Score</w:t>
            </w:r>
          </w:p>
        </w:tc>
        <w:tc>
          <w:tcPr>
            <w:tcW w:w="6015" w:type="dxa"/>
          </w:tcPr>
          <w:p w14:paraId="4A7BA31A" w14:textId="49BB4681" w:rsidR="004173D9" w:rsidRPr="00C351DF" w:rsidRDefault="004173D9" w:rsidP="009B1D18">
            <w:pPr>
              <w:pStyle w:val="MarginText"/>
              <w:jc w:val="left"/>
              <w:rPr>
                <w:rFonts w:cs="Arial"/>
                <w:sz w:val="22"/>
                <w:szCs w:val="22"/>
              </w:rPr>
            </w:pPr>
            <w:r w:rsidRPr="00C351DF">
              <w:rPr>
                <w:rFonts w:cs="Arial"/>
                <w:sz w:val="22"/>
                <w:szCs w:val="22"/>
              </w:rPr>
              <w:t xml:space="preserve">means the score achieved by a Tender at the conclusion of the Award Stage evaluation calculated in accordance with paragraph </w:t>
            </w:r>
            <w:r w:rsidR="009B1D18" w:rsidRPr="009B1D18">
              <w:rPr>
                <w:rFonts w:cs="Arial"/>
                <w:sz w:val="22"/>
                <w:szCs w:val="22"/>
              </w:rPr>
              <w:t>11.2</w:t>
            </w:r>
            <w:r w:rsidRPr="009B1D18">
              <w:rPr>
                <w:rFonts w:cs="Arial"/>
                <w:sz w:val="22"/>
                <w:szCs w:val="22"/>
              </w:rPr>
              <w:t>;</w:t>
            </w:r>
          </w:p>
        </w:tc>
      </w:tr>
      <w:tr w:rsidR="004173D9" w:rsidRPr="00C351DF" w14:paraId="4A7BA31E" w14:textId="77777777" w:rsidTr="00BC6741">
        <w:trPr>
          <w:cantSplit/>
          <w:trHeight w:val="989"/>
        </w:trPr>
        <w:tc>
          <w:tcPr>
            <w:tcW w:w="2552" w:type="dxa"/>
            <w:vAlign w:val="center"/>
          </w:tcPr>
          <w:p w14:paraId="4A7BA31C" w14:textId="77777777" w:rsidR="004173D9" w:rsidRPr="00C351DF" w:rsidRDefault="004173D9" w:rsidP="00204552">
            <w:pPr>
              <w:pStyle w:val="MarginText"/>
              <w:jc w:val="left"/>
              <w:rPr>
                <w:rFonts w:cs="Arial"/>
                <w:sz w:val="22"/>
                <w:szCs w:val="22"/>
              </w:rPr>
            </w:pPr>
            <w:r w:rsidRPr="00C351DF">
              <w:rPr>
                <w:rFonts w:cs="Arial"/>
                <w:sz w:val="22"/>
                <w:szCs w:val="22"/>
              </w:rPr>
              <w:t>Framework Agreement</w:t>
            </w:r>
          </w:p>
        </w:tc>
        <w:tc>
          <w:tcPr>
            <w:tcW w:w="6015" w:type="dxa"/>
          </w:tcPr>
          <w:p w14:paraId="4A7BA31D" w14:textId="2FA6A5F9" w:rsidR="004173D9" w:rsidRPr="00C351DF" w:rsidRDefault="004173D9" w:rsidP="00204552">
            <w:pPr>
              <w:pStyle w:val="MarginText"/>
              <w:jc w:val="left"/>
              <w:rPr>
                <w:rFonts w:cs="Arial"/>
                <w:sz w:val="22"/>
                <w:szCs w:val="22"/>
              </w:rPr>
            </w:pPr>
            <w:r w:rsidRPr="00C351DF">
              <w:rPr>
                <w:rFonts w:cs="Arial"/>
                <w:sz w:val="22"/>
                <w:szCs w:val="22"/>
              </w:rPr>
              <w:t xml:space="preserve">means the contractually-binding terms and </w:t>
            </w:r>
            <w:r w:rsidR="00D33ADB">
              <w:rPr>
                <w:rFonts w:cs="Arial"/>
                <w:sz w:val="22"/>
                <w:szCs w:val="22"/>
              </w:rPr>
              <w:t xml:space="preserve">conditions set out at </w:t>
            </w:r>
            <w:r w:rsidR="00D33ADB" w:rsidRPr="00D33ADB">
              <w:rPr>
                <w:rFonts w:cs="Arial"/>
                <w:sz w:val="22"/>
                <w:szCs w:val="22"/>
              </w:rPr>
              <w:t>Appendix</w:t>
            </w:r>
            <w:r w:rsidRPr="00D33ADB">
              <w:rPr>
                <w:rFonts w:cs="Arial"/>
                <w:sz w:val="22"/>
                <w:szCs w:val="22"/>
              </w:rPr>
              <w:t xml:space="preserve"> </w:t>
            </w:r>
            <w:r w:rsidR="00D33ADB" w:rsidRPr="00D33ADB">
              <w:rPr>
                <w:rFonts w:cs="Arial"/>
                <w:sz w:val="22"/>
                <w:szCs w:val="22"/>
              </w:rPr>
              <w:t>3</w:t>
            </w:r>
            <w:r w:rsidRPr="00D33ADB">
              <w:rPr>
                <w:rFonts w:cs="Arial"/>
                <w:sz w:val="22"/>
                <w:szCs w:val="22"/>
              </w:rPr>
              <w:t xml:space="preserve"> of</w:t>
            </w:r>
            <w:r w:rsidRPr="00C351DF">
              <w:rPr>
                <w:rFonts w:cs="Arial"/>
                <w:sz w:val="22"/>
                <w:szCs w:val="22"/>
              </w:rPr>
              <w:t xml:space="preserve"> this ITT to be entered into between the Authority and the successful Potential Provider(s) at the conclusion of this Procurement;</w:t>
            </w:r>
          </w:p>
        </w:tc>
      </w:tr>
      <w:tr w:rsidR="00A77F87" w:rsidRPr="00C351DF" w14:paraId="4A7BA321" w14:textId="77777777" w:rsidTr="00BC6741">
        <w:trPr>
          <w:cantSplit/>
        </w:trPr>
        <w:tc>
          <w:tcPr>
            <w:tcW w:w="2552" w:type="dxa"/>
            <w:vAlign w:val="center"/>
          </w:tcPr>
          <w:p w14:paraId="4A7BA31F" w14:textId="77777777" w:rsidR="00A77F87" w:rsidRPr="00C351DF" w:rsidRDefault="00A77F87" w:rsidP="003F0FE7">
            <w:pPr>
              <w:pStyle w:val="MarginText"/>
              <w:jc w:val="left"/>
              <w:rPr>
                <w:rFonts w:cs="Arial"/>
                <w:sz w:val="22"/>
                <w:szCs w:val="22"/>
              </w:rPr>
            </w:pPr>
            <w:r w:rsidRPr="00C351DF">
              <w:rPr>
                <w:rFonts w:cs="Arial"/>
                <w:sz w:val="22"/>
                <w:szCs w:val="22"/>
              </w:rPr>
              <w:t>Framework Guarantee</w:t>
            </w:r>
          </w:p>
        </w:tc>
        <w:tc>
          <w:tcPr>
            <w:tcW w:w="6015" w:type="dxa"/>
          </w:tcPr>
          <w:p w14:paraId="4A7BA320" w14:textId="77777777" w:rsidR="00A77F87" w:rsidRPr="00C351DF" w:rsidRDefault="00A77F87" w:rsidP="003F0FE7">
            <w:pPr>
              <w:pStyle w:val="MarginText"/>
              <w:jc w:val="left"/>
              <w:rPr>
                <w:rFonts w:cs="Arial"/>
                <w:sz w:val="22"/>
                <w:szCs w:val="22"/>
              </w:rPr>
            </w:pPr>
            <w:r w:rsidRPr="00C351DF">
              <w:rPr>
                <w:rFonts w:cs="Arial"/>
                <w:sz w:val="22"/>
                <w:szCs w:val="22"/>
              </w:rPr>
              <w:t xml:space="preserve">means a deed of guarantee in favour of the Authority in the form set out in Framework Schedule </w:t>
            </w:r>
            <w:r w:rsidRPr="00C351DF">
              <w:rPr>
                <w:rFonts w:cs="Arial"/>
                <w:sz w:val="22"/>
                <w:szCs w:val="22"/>
                <w:highlight w:val="yellow"/>
              </w:rPr>
              <w:t>[13]</w:t>
            </w:r>
            <w:r w:rsidRPr="00C351DF">
              <w:rPr>
                <w:rFonts w:cs="Arial"/>
                <w:sz w:val="22"/>
                <w:szCs w:val="22"/>
              </w:rPr>
              <w:t xml:space="preserve"> (Framework Guarantee) granted pursuant to Clause </w:t>
            </w:r>
            <w:r w:rsidRPr="00C351DF">
              <w:rPr>
                <w:rFonts w:cs="Arial"/>
                <w:sz w:val="22"/>
                <w:szCs w:val="22"/>
                <w:highlight w:val="yellow"/>
              </w:rPr>
              <w:t>[</w:t>
            </w:r>
            <w:r w:rsidR="00726115">
              <w:rPr>
                <w:rFonts w:cs="Arial"/>
                <w:sz w:val="22"/>
                <w:szCs w:val="22"/>
                <w:highlight w:val="yellow"/>
              </w:rPr>
              <w:t>8</w:t>
            </w:r>
            <w:r w:rsidRPr="00C351DF">
              <w:rPr>
                <w:rFonts w:cs="Arial"/>
                <w:sz w:val="22"/>
                <w:szCs w:val="22"/>
                <w:highlight w:val="yellow"/>
              </w:rPr>
              <w:t>]</w:t>
            </w:r>
            <w:r w:rsidRPr="00C351DF">
              <w:rPr>
                <w:rFonts w:cs="Arial"/>
                <w:sz w:val="22"/>
                <w:szCs w:val="22"/>
              </w:rPr>
              <w:t xml:space="preserve"> </w:t>
            </w:r>
            <w:r w:rsidR="00726115">
              <w:rPr>
                <w:rFonts w:cs="Arial"/>
                <w:sz w:val="22"/>
                <w:szCs w:val="22"/>
              </w:rPr>
              <w:t xml:space="preserve">of the Framework Agreement </w:t>
            </w:r>
            <w:r w:rsidRPr="00C351DF">
              <w:rPr>
                <w:rFonts w:cs="Arial"/>
                <w:sz w:val="22"/>
                <w:szCs w:val="22"/>
              </w:rPr>
              <w:t>(Guarantee);</w:t>
            </w:r>
          </w:p>
        </w:tc>
      </w:tr>
      <w:tr w:rsidR="00CF165E" w:rsidRPr="00C351DF" w14:paraId="4A7BA324" w14:textId="77777777" w:rsidTr="00BC6741">
        <w:trPr>
          <w:cantSplit/>
        </w:trPr>
        <w:tc>
          <w:tcPr>
            <w:tcW w:w="2552" w:type="dxa"/>
            <w:vAlign w:val="center"/>
          </w:tcPr>
          <w:p w14:paraId="4A7BA322" w14:textId="77777777" w:rsidR="00CF165E" w:rsidRPr="00C351DF" w:rsidRDefault="00CF165E" w:rsidP="003F0FE7">
            <w:pPr>
              <w:pStyle w:val="MarginText"/>
              <w:jc w:val="left"/>
              <w:rPr>
                <w:rFonts w:cs="Arial"/>
                <w:sz w:val="22"/>
                <w:szCs w:val="22"/>
              </w:rPr>
            </w:pPr>
            <w:r>
              <w:rPr>
                <w:rFonts w:cs="Arial"/>
                <w:sz w:val="22"/>
                <w:szCs w:val="22"/>
              </w:rPr>
              <w:t xml:space="preserve">Framework </w:t>
            </w:r>
            <w:r w:rsidRPr="00C351DF">
              <w:rPr>
                <w:rFonts w:cs="Arial"/>
                <w:sz w:val="22"/>
                <w:szCs w:val="22"/>
              </w:rPr>
              <w:t>Guarantor</w:t>
            </w:r>
          </w:p>
        </w:tc>
        <w:tc>
          <w:tcPr>
            <w:tcW w:w="6015" w:type="dxa"/>
          </w:tcPr>
          <w:p w14:paraId="4A7BA323" w14:textId="77777777" w:rsidR="00CF165E" w:rsidRPr="00C351DF" w:rsidRDefault="00CF165E" w:rsidP="003F0FE7">
            <w:pPr>
              <w:pStyle w:val="MarginText"/>
              <w:jc w:val="left"/>
              <w:rPr>
                <w:rFonts w:cs="Arial"/>
                <w:sz w:val="22"/>
                <w:szCs w:val="22"/>
              </w:rPr>
            </w:pPr>
            <w:r w:rsidRPr="00C351DF">
              <w:rPr>
                <w:rFonts w:cs="Arial"/>
                <w:sz w:val="22"/>
                <w:szCs w:val="22"/>
              </w:rPr>
              <w:t>means any person acceptable to the Authority to give a Framework Guarantee;</w:t>
            </w:r>
          </w:p>
        </w:tc>
      </w:tr>
      <w:tr w:rsidR="004173D9" w:rsidRPr="00C351DF" w14:paraId="4A7BA327" w14:textId="77777777" w:rsidTr="00BC6741">
        <w:trPr>
          <w:cantSplit/>
        </w:trPr>
        <w:tc>
          <w:tcPr>
            <w:tcW w:w="2552" w:type="dxa"/>
            <w:vAlign w:val="center"/>
          </w:tcPr>
          <w:p w14:paraId="4A7BA325" w14:textId="77777777" w:rsidR="004173D9" w:rsidRPr="00C351DF" w:rsidRDefault="004173D9" w:rsidP="00204552">
            <w:pPr>
              <w:pStyle w:val="MarginText"/>
              <w:jc w:val="left"/>
              <w:rPr>
                <w:rFonts w:cs="Arial"/>
                <w:sz w:val="22"/>
                <w:szCs w:val="22"/>
              </w:rPr>
            </w:pPr>
            <w:r w:rsidRPr="00C351DF">
              <w:rPr>
                <w:rFonts w:cs="Arial"/>
                <w:sz w:val="22"/>
                <w:szCs w:val="22"/>
              </w:rPr>
              <w:t>Framework Schedule</w:t>
            </w:r>
          </w:p>
        </w:tc>
        <w:tc>
          <w:tcPr>
            <w:tcW w:w="6015" w:type="dxa"/>
          </w:tcPr>
          <w:p w14:paraId="4A7BA326" w14:textId="77777777" w:rsidR="004173D9" w:rsidRPr="00C351DF" w:rsidRDefault="004173D9" w:rsidP="00204552">
            <w:pPr>
              <w:pStyle w:val="MarginText"/>
              <w:jc w:val="left"/>
              <w:rPr>
                <w:rFonts w:cs="Arial"/>
                <w:sz w:val="22"/>
                <w:szCs w:val="22"/>
              </w:rPr>
            </w:pPr>
            <w:r w:rsidRPr="00C351DF">
              <w:rPr>
                <w:rFonts w:cs="Arial"/>
                <w:sz w:val="22"/>
                <w:szCs w:val="22"/>
              </w:rPr>
              <w:t>means a schedule to the Framework Agreement;</w:t>
            </w:r>
          </w:p>
        </w:tc>
      </w:tr>
      <w:tr w:rsidR="00E87584" w:rsidRPr="00C351DF" w14:paraId="4A7BA32B" w14:textId="77777777" w:rsidTr="00BC6741">
        <w:trPr>
          <w:cantSplit/>
        </w:trPr>
        <w:tc>
          <w:tcPr>
            <w:tcW w:w="2552" w:type="dxa"/>
            <w:vAlign w:val="center"/>
          </w:tcPr>
          <w:p w14:paraId="4A7BA328" w14:textId="0992BE4F" w:rsidR="00E87584" w:rsidRPr="00D33ADB" w:rsidRDefault="00E87584" w:rsidP="00204552">
            <w:pPr>
              <w:pStyle w:val="MarginText"/>
              <w:jc w:val="left"/>
              <w:rPr>
                <w:rFonts w:cs="Arial"/>
                <w:sz w:val="22"/>
                <w:szCs w:val="22"/>
              </w:rPr>
            </w:pPr>
            <w:r w:rsidRPr="00D33ADB">
              <w:rPr>
                <w:rFonts w:cs="Arial"/>
                <w:sz w:val="22"/>
                <w:szCs w:val="22"/>
              </w:rPr>
              <w:t>Services</w:t>
            </w:r>
          </w:p>
        </w:tc>
        <w:tc>
          <w:tcPr>
            <w:tcW w:w="6015" w:type="dxa"/>
          </w:tcPr>
          <w:p w14:paraId="4A7BA329" w14:textId="2A9BF64E" w:rsidR="00E87584" w:rsidRPr="00C351DF" w:rsidRDefault="00E87584" w:rsidP="00204552">
            <w:pPr>
              <w:pStyle w:val="MarginText"/>
              <w:jc w:val="left"/>
              <w:rPr>
                <w:rFonts w:cs="Arial"/>
                <w:sz w:val="22"/>
                <w:szCs w:val="22"/>
              </w:rPr>
            </w:pPr>
            <w:r w:rsidRPr="00C351DF">
              <w:rPr>
                <w:rFonts w:cs="Arial"/>
                <w:sz w:val="22"/>
                <w:szCs w:val="22"/>
              </w:rPr>
              <w:t xml:space="preserve">means </w:t>
            </w:r>
            <w:r w:rsidRPr="00D33ADB">
              <w:rPr>
                <w:rFonts w:cs="Arial"/>
                <w:sz w:val="22"/>
                <w:szCs w:val="22"/>
              </w:rPr>
              <w:t>the services that</w:t>
            </w:r>
            <w:r w:rsidRPr="00C351DF">
              <w:rPr>
                <w:rFonts w:cs="Arial"/>
                <w:sz w:val="22"/>
                <w:szCs w:val="22"/>
              </w:rPr>
              <w:t xml:space="preserve"> may be provided by Suppliers, </w:t>
            </w:r>
            <w:r w:rsidR="00D33ADB">
              <w:rPr>
                <w:rFonts w:cs="Arial"/>
                <w:sz w:val="22"/>
                <w:szCs w:val="22"/>
              </w:rPr>
              <w:t xml:space="preserve">as set out at </w:t>
            </w:r>
            <w:r w:rsidR="00D33ADB" w:rsidRPr="00D33ADB">
              <w:rPr>
                <w:rFonts w:cs="Arial"/>
                <w:sz w:val="22"/>
                <w:szCs w:val="22"/>
              </w:rPr>
              <w:t>Appendix</w:t>
            </w:r>
            <w:r w:rsidRPr="00D33ADB">
              <w:rPr>
                <w:rFonts w:cs="Arial"/>
                <w:sz w:val="22"/>
                <w:szCs w:val="22"/>
              </w:rPr>
              <w:t xml:space="preserve"> </w:t>
            </w:r>
            <w:r w:rsidR="00D33ADB" w:rsidRPr="00D33ADB">
              <w:rPr>
                <w:rFonts w:cs="Arial"/>
                <w:sz w:val="22"/>
                <w:szCs w:val="22"/>
              </w:rPr>
              <w:t>2</w:t>
            </w:r>
            <w:r w:rsidRPr="00D33ADB">
              <w:rPr>
                <w:rFonts w:cs="Arial"/>
                <w:sz w:val="22"/>
                <w:szCs w:val="22"/>
              </w:rPr>
              <w:t>;</w:t>
            </w:r>
          </w:p>
          <w:p w14:paraId="4A7BA32A" w14:textId="13D53AEB" w:rsidR="00E87584" w:rsidRPr="00C351DF" w:rsidRDefault="00E87584" w:rsidP="00204552">
            <w:pPr>
              <w:pStyle w:val="MarginText"/>
              <w:jc w:val="left"/>
              <w:rPr>
                <w:rFonts w:cs="Arial"/>
                <w:sz w:val="22"/>
                <w:szCs w:val="22"/>
              </w:rPr>
            </w:pPr>
          </w:p>
        </w:tc>
      </w:tr>
      <w:tr w:rsidR="004173D9" w:rsidRPr="00C351DF" w14:paraId="4A7BA32E" w14:textId="77777777" w:rsidTr="00BC6741">
        <w:trPr>
          <w:cantSplit/>
        </w:trPr>
        <w:tc>
          <w:tcPr>
            <w:tcW w:w="2552" w:type="dxa"/>
            <w:vAlign w:val="center"/>
          </w:tcPr>
          <w:p w14:paraId="4A7BA32C" w14:textId="77777777" w:rsidR="004173D9" w:rsidRPr="00C351DF" w:rsidRDefault="004173D9" w:rsidP="00204552">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4173D9" w:rsidRPr="00C351DF" w:rsidRDefault="004173D9" w:rsidP="00204552">
            <w:pPr>
              <w:pStyle w:val="MarginText"/>
              <w:jc w:val="left"/>
              <w:rPr>
                <w:rFonts w:cs="Arial"/>
                <w:sz w:val="22"/>
                <w:szCs w:val="22"/>
              </w:rPr>
            </w:pPr>
            <w:r w:rsidRPr="00C351DF">
              <w:rPr>
                <w:rFonts w:cs="Arial"/>
                <w:sz w:val="22"/>
                <w:szCs w:val="22"/>
              </w:rPr>
              <w:t xml:space="preserve">means in relation to a company, that company, any subsidiary or holding company from time to time of that company, and any subsidiary from time to time of a holding company of that company. Holding company and subsidiary shall mean a "holding company" and "subsidiary" </w:t>
            </w:r>
            <w:r w:rsidR="006C5771" w:rsidRPr="00C351DF">
              <w:rPr>
                <w:rFonts w:cs="Arial"/>
                <w:sz w:val="22"/>
                <w:szCs w:val="22"/>
              </w:rPr>
              <w:t>that latter term being</w:t>
            </w:r>
            <w:r w:rsidRPr="00C351DF">
              <w:rPr>
                <w:rFonts w:cs="Arial"/>
                <w:sz w:val="22"/>
                <w:szCs w:val="22"/>
              </w:rPr>
              <w:t xml:space="preserve"> defined in section 1159 of the Companies Act 2006;</w:t>
            </w:r>
          </w:p>
        </w:tc>
      </w:tr>
      <w:tr w:rsidR="00047DFF" w:rsidRPr="00C351DF" w14:paraId="4A7BA331" w14:textId="77777777" w:rsidTr="00BC6741">
        <w:trPr>
          <w:cantSplit/>
        </w:trPr>
        <w:tc>
          <w:tcPr>
            <w:tcW w:w="2552" w:type="dxa"/>
            <w:vAlign w:val="center"/>
          </w:tcPr>
          <w:p w14:paraId="4A7BA32F" w14:textId="77777777" w:rsidR="00047DFF" w:rsidRPr="00C351DF" w:rsidRDefault="00047DFF" w:rsidP="00204552">
            <w:pPr>
              <w:pStyle w:val="MarginText"/>
              <w:jc w:val="left"/>
              <w:rPr>
                <w:rFonts w:cs="Arial"/>
                <w:sz w:val="22"/>
                <w:szCs w:val="22"/>
              </w:rPr>
            </w:pPr>
            <w:r w:rsidRPr="00C351DF">
              <w:rPr>
                <w:rFonts w:cs="Arial"/>
                <w:sz w:val="22"/>
                <w:szCs w:val="22"/>
              </w:rPr>
              <w:t xml:space="preserve">Group of </w:t>
            </w:r>
            <w:r w:rsidR="00E87584" w:rsidRPr="00C351DF">
              <w:rPr>
                <w:rFonts w:cs="Arial"/>
                <w:sz w:val="22"/>
                <w:szCs w:val="22"/>
              </w:rPr>
              <w:t>E</w:t>
            </w:r>
            <w:r w:rsidRPr="00C351DF">
              <w:rPr>
                <w:rFonts w:cs="Arial"/>
                <w:sz w:val="22"/>
                <w:szCs w:val="22"/>
              </w:rPr>
              <w:t xml:space="preserve">conomic </w:t>
            </w:r>
            <w:r w:rsidR="00E87584" w:rsidRPr="00C351DF">
              <w:rPr>
                <w:rFonts w:cs="Arial"/>
                <w:sz w:val="22"/>
                <w:szCs w:val="22"/>
              </w:rPr>
              <w:t>O</w:t>
            </w:r>
            <w:r w:rsidRPr="00C351DF">
              <w:rPr>
                <w:rFonts w:cs="Arial"/>
                <w:sz w:val="22"/>
                <w:szCs w:val="22"/>
              </w:rPr>
              <w:t>perators</w:t>
            </w:r>
          </w:p>
        </w:tc>
        <w:tc>
          <w:tcPr>
            <w:tcW w:w="6015" w:type="dxa"/>
          </w:tcPr>
          <w:p w14:paraId="4A7BA330" w14:textId="6743D4FA" w:rsidR="00047DFF" w:rsidRPr="00C351DF" w:rsidRDefault="00047DFF" w:rsidP="00204552">
            <w:pPr>
              <w:pStyle w:val="MarginText"/>
              <w:jc w:val="left"/>
              <w:rPr>
                <w:rFonts w:cs="Arial"/>
                <w:sz w:val="22"/>
                <w:szCs w:val="22"/>
              </w:rPr>
            </w:pPr>
            <w:r w:rsidRPr="00C351DF">
              <w:rPr>
                <w:rFonts w:cs="Arial"/>
                <w:sz w:val="22"/>
                <w:szCs w:val="22"/>
              </w:rPr>
              <w:t xml:space="preserve">means a group of economic operators acting jointly and severally to provide </w:t>
            </w:r>
            <w:r w:rsidRPr="005E7EAF">
              <w:rPr>
                <w:rFonts w:cs="Arial"/>
                <w:sz w:val="22"/>
                <w:szCs w:val="22"/>
              </w:rPr>
              <w:t>the Services;</w:t>
            </w:r>
          </w:p>
        </w:tc>
      </w:tr>
      <w:tr w:rsidR="004173D9" w:rsidRPr="00C351DF" w14:paraId="4A7BA334" w14:textId="77777777" w:rsidTr="00BC6741">
        <w:trPr>
          <w:cantSplit/>
        </w:trPr>
        <w:tc>
          <w:tcPr>
            <w:tcW w:w="2552" w:type="dxa"/>
            <w:vAlign w:val="center"/>
          </w:tcPr>
          <w:p w14:paraId="4A7BA332" w14:textId="77777777" w:rsidR="004173D9" w:rsidRPr="00C351DF" w:rsidRDefault="004173D9" w:rsidP="00204552">
            <w:pPr>
              <w:pStyle w:val="MarginText"/>
              <w:jc w:val="left"/>
              <w:rPr>
                <w:rFonts w:cs="Arial"/>
                <w:sz w:val="22"/>
                <w:szCs w:val="22"/>
              </w:rPr>
            </w:pPr>
            <w:r w:rsidRPr="00C351DF">
              <w:rPr>
                <w:rFonts w:cs="Arial"/>
                <w:sz w:val="22"/>
                <w:szCs w:val="22"/>
              </w:rPr>
              <w:lastRenderedPageBreak/>
              <w:t>Invitation to Tender or ITT</w:t>
            </w:r>
          </w:p>
        </w:tc>
        <w:tc>
          <w:tcPr>
            <w:tcW w:w="6015" w:type="dxa"/>
          </w:tcPr>
          <w:p w14:paraId="4A7BA333" w14:textId="1A700446" w:rsidR="004173D9" w:rsidRPr="00C351DF" w:rsidRDefault="004173D9" w:rsidP="00204552">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w:t>
            </w:r>
            <w:r w:rsidR="006C5771" w:rsidRPr="00C351DF">
              <w:rPr>
                <w:rFonts w:cs="Arial"/>
                <w:sz w:val="22"/>
                <w:szCs w:val="22"/>
              </w:rPr>
              <w:t xml:space="preserve">together with </w:t>
            </w:r>
            <w:r w:rsidR="005E7EAF">
              <w:rPr>
                <w:rFonts w:cs="Arial"/>
                <w:sz w:val="22"/>
                <w:szCs w:val="22"/>
              </w:rPr>
              <w:t>its Appendices</w:t>
            </w:r>
            <w:r w:rsidRPr="00C351DF">
              <w:rPr>
                <w:rFonts w:cs="Arial"/>
                <w:sz w:val="22"/>
                <w:szCs w:val="22"/>
              </w:rPr>
              <w:t>, published by the Authority in relation to this Procurement;</w:t>
            </w:r>
          </w:p>
        </w:tc>
      </w:tr>
      <w:tr w:rsidR="004173D9" w:rsidRPr="00C351DF" w14:paraId="4A7BA337" w14:textId="77777777" w:rsidTr="00BC6741">
        <w:trPr>
          <w:cantSplit/>
        </w:trPr>
        <w:tc>
          <w:tcPr>
            <w:tcW w:w="2552" w:type="dxa"/>
            <w:vAlign w:val="center"/>
          </w:tcPr>
          <w:p w14:paraId="4A7BA335" w14:textId="77777777" w:rsidR="004173D9" w:rsidRPr="00C351DF" w:rsidRDefault="004173D9" w:rsidP="00204552">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4173D9" w:rsidRPr="00C351DF" w:rsidRDefault="004173D9" w:rsidP="00204552">
            <w:pPr>
              <w:pStyle w:val="MarginText"/>
              <w:jc w:val="left"/>
              <w:rPr>
                <w:rFonts w:cs="Arial"/>
                <w:sz w:val="22"/>
                <w:szCs w:val="22"/>
              </w:rPr>
            </w:pPr>
            <w:r w:rsidRPr="00C351DF">
              <w:rPr>
                <w:rFonts w:cs="Arial"/>
                <w:sz w:val="22"/>
                <w:szCs w:val="22"/>
              </w:rPr>
              <w:t xml:space="preserve">means the member of the </w:t>
            </w:r>
            <w:r w:rsidR="005011AF" w:rsidRPr="00C351DF">
              <w:rPr>
                <w:rFonts w:cs="Arial"/>
                <w:sz w:val="22"/>
                <w:szCs w:val="22"/>
              </w:rPr>
              <w:t>Group of Economic Operators</w:t>
            </w:r>
            <w:r w:rsidRPr="00C351DF">
              <w:rPr>
                <w:rFonts w:cs="Arial"/>
                <w:sz w:val="22"/>
                <w:szCs w:val="22"/>
              </w:rPr>
              <w:t xml:space="preserve"> who is authorised in writing by each of the other members to that </w:t>
            </w:r>
            <w:r w:rsidR="005011AF" w:rsidRPr="00C351DF">
              <w:rPr>
                <w:rFonts w:cs="Arial"/>
                <w:sz w:val="22"/>
                <w:szCs w:val="22"/>
              </w:rPr>
              <w:t>Group of Economic Operators</w:t>
            </w:r>
            <w:r w:rsidRPr="00C351DF">
              <w:rPr>
                <w:rFonts w:cs="Arial"/>
                <w:sz w:val="22"/>
                <w:szCs w:val="22"/>
              </w:rPr>
              <w:t xml:space="preserve"> to provide </w:t>
            </w:r>
            <w:r w:rsidR="004C786D">
              <w:rPr>
                <w:rFonts w:cs="Arial"/>
                <w:sz w:val="22"/>
                <w:szCs w:val="22"/>
              </w:rPr>
              <w:t xml:space="preserve">the Tender (including </w:t>
            </w:r>
            <w:r w:rsidRPr="00C351DF">
              <w:rPr>
                <w:rFonts w:cs="Arial"/>
                <w:sz w:val="22"/>
                <w:szCs w:val="22"/>
              </w:rPr>
              <w:t xml:space="preserve">the responses to the Selection </w:t>
            </w:r>
            <w:r w:rsidR="004C786D">
              <w:rPr>
                <w:rFonts w:cs="Arial"/>
                <w:sz w:val="22"/>
                <w:szCs w:val="22"/>
              </w:rPr>
              <w:t xml:space="preserve">Questionnaire and the </w:t>
            </w:r>
            <w:r w:rsidRPr="00C351DF">
              <w:rPr>
                <w:rFonts w:cs="Arial"/>
                <w:sz w:val="22"/>
                <w:szCs w:val="22"/>
              </w:rPr>
              <w:t>Award Questionnaire</w:t>
            </w:r>
            <w:r w:rsidR="004C786D">
              <w:rPr>
                <w:rFonts w:cs="Arial"/>
                <w:sz w:val="22"/>
                <w:szCs w:val="22"/>
              </w:rPr>
              <w:t>)</w:t>
            </w:r>
            <w:r w:rsidR="00167874" w:rsidRPr="00C351DF">
              <w:rPr>
                <w:rFonts w:cs="Arial"/>
                <w:sz w:val="22"/>
                <w:szCs w:val="22"/>
              </w:rPr>
              <w:t xml:space="preserve"> </w:t>
            </w:r>
          </w:p>
        </w:tc>
      </w:tr>
      <w:tr w:rsidR="004173D9" w:rsidRPr="00C351DF" w14:paraId="4A7BA33D" w14:textId="77777777" w:rsidTr="00BC6741">
        <w:trPr>
          <w:cantSplit/>
        </w:trPr>
        <w:tc>
          <w:tcPr>
            <w:tcW w:w="2552" w:type="dxa"/>
            <w:vAlign w:val="center"/>
          </w:tcPr>
          <w:p w14:paraId="4A7BA33B" w14:textId="77777777" w:rsidR="004173D9" w:rsidRPr="00C351DF" w:rsidRDefault="004173D9" w:rsidP="00204552">
            <w:pPr>
              <w:pStyle w:val="MarginText"/>
              <w:jc w:val="left"/>
              <w:rPr>
                <w:rFonts w:cs="Arial"/>
                <w:sz w:val="22"/>
                <w:szCs w:val="22"/>
              </w:rPr>
            </w:pPr>
            <w:r w:rsidRPr="00C351DF">
              <w:rPr>
                <w:rFonts w:cs="Arial"/>
                <w:sz w:val="22"/>
                <w:szCs w:val="22"/>
              </w:rPr>
              <w:t>Management Charge</w:t>
            </w:r>
          </w:p>
        </w:tc>
        <w:tc>
          <w:tcPr>
            <w:tcW w:w="6015" w:type="dxa"/>
          </w:tcPr>
          <w:p w14:paraId="4A7BA33C" w14:textId="46E5BB01" w:rsidR="004173D9" w:rsidRPr="00C351DF" w:rsidRDefault="004173D9" w:rsidP="00204552">
            <w:pPr>
              <w:pStyle w:val="MarginText"/>
              <w:jc w:val="left"/>
              <w:rPr>
                <w:rFonts w:cs="Arial"/>
                <w:sz w:val="22"/>
                <w:szCs w:val="22"/>
                <w:highlight w:val="yellow"/>
              </w:rPr>
            </w:pPr>
            <w:r w:rsidRPr="00C351DF">
              <w:rPr>
                <w:rFonts w:cs="Arial"/>
                <w:sz w:val="22"/>
                <w:szCs w:val="22"/>
              </w:rPr>
              <w:t>means the sum paid by the Supplier to the Authority being an amount of [</w:t>
            </w:r>
            <w:r w:rsidRPr="00C351DF">
              <w:rPr>
                <w:rFonts w:cs="Arial"/>
                <w:sz w:val="22"/>
                <w:szCs w:val="22"/>
                <w:highlight w:val="yellow"/>
              </w:rPr>
              <w:t>x</w:t>
            </w:r>
            <w:r w:rsidRPr="00C351DF">
              <w:rPr>
                <w:rFonts w:cs="Arial"/>
                <w:sz w:val="22"/>
                <w:szCs w:val="22"/>
              </w:rPr>
              <w:t>] per c</w:t>
            </w:r>
            <w:r w:rsidR="005E7EAF">
              <w:rPr>
                <w:rFonts w:cs="Arial"/>
                <w:sz w:val="22"/>
                <w:szCs w:val="22"/>
              </w:rPr>
              <w:t>ent (x%) of all charges for the</w:t>
            </w:r>
            <w:r w:rsidR="00167874" w:rsidRPr="00C351DF">
              <w:rPr>
                <w:rFonts w:cs="Arial"/>
                <w:sz w:val="22"/>
                <w:szCs w:val="22"/>
              </w:rPr>
              <w:t xml:space="preserve"> </w:t>
            </w:r>
            <w:r w:rsidR="005E7EAF">
              <w:rPr>
                <w:rFonts w:cs="Arial"/>
                <w:sz w:val="22"/>
                <w:szCs w:val="22"/>
              </w:rPr>
              <w:t xml:space="preserve"> </w:t>
            </w:r>
            <w:r w:rsidRPr="00C351DF">
              <w:rPr>
                <w:rFonts w:cs="Arial"/>
                <w:sz w:val="22"/>
                <w:szCs w:val="22"/>
              </w:rPr>
              <w:t xml:space="preserve">services invoiced to </w:t>
            </w:r>
            <w:r w:rsidR="006D17A1" w:rsidRPr="00C351DF">
              <w:rPr>
                <w:rFonts w:cs="Arial"/>
                <w:sz w:val="22"/>
                <w:szCs w:val="22"/>
              </w:rPr>
              <w:t>Contracting Authorities</w:t>
            </w:r>
            <w:r w:rsidRPr="00C351DF">
              <w:rPr>
                <w:rFonts w:cs="Arial"/>
                <w:sz w:val="22"/>
                <w:szCs w:val="22"/>
              </w:rPr>
              <w:t xml:space="preserve"> (net of VAT) in each month throughout the term and thereafter until the expiry or earlier termination of any Call-Off Contract;</w:t>
            </w:r>
          </w:p>
        </w:tc>
      </w:tr>
      <w:tr w:rsidR="004173D9" w:rsidRPr="00C351DF" w14:paraId="4A7BA340" w14:textId="77777777" w:rsidTr="00BC6741">
        <w:trPr>
          <w:cantSplit/>
        </w:trPr>
        <w:tc>
          <w:tcPr>
            <w:tcW w:w="2552" w:type="dxa"/>
            <w:vAlign w:val="center"/>
          </w:tcPr>
          <w:p w14:paraId="4A7BA33E" w14:textId="77777777" w:rsidR="004173D9" w:rsidRPr="00C351DF" w:rsidRDefault="004173D9" w:rsidP="00204552">
            <w:pPr>
              <w:pStyle w:val="MarginText"/>
              <w:jc w:val="left"/>
              <w:rPr>
                <w:rFonts w:cs="Arial"/>
                <w:sz w:val="22"/>
                <w:szCs w:val="22"/>
              </w:rPr>
            </w:pPr>
            <w:r w:rsidRPr="00C351DF">
              <w:rPr>
                <w:rFonts w:cs="Arial"/>
                <w:sz w:val="22"/>
                <w:szCs w:val="22"/>
              </w:rPr>
              <w:t>Management Information or MI</w:t>
            </w:r>
          </w:p>
        </w:tc>
        <w:tc>
          <w:tcPr>
            <w:tcW w:w="6015" w:type="dxa"/>
          </w:tcPr>
          <w:p w14:paraId="4A7BA33F" w14:textId="77777777" w:rsidR="004173D9" w:rsidRPr="00C351DF" w:rsidRDefault="004173D9" w:rsidP="00204552">
            <w:pPr>
              <w:pStyle w:val="MarginText"/>
              <w:jc w:val="left"/>
              <w:rPr>
                <w:rFonts w:cs="Arial"/>
                <w:sz w:val="22"/>
                <w:szCs w:val="22"/>
              </w:rPr>
            </w:pPr>
            <w:r w:rsidRPr="00C351DF">
              <w:rPr>
                <w:rFonts w:cs="Arial"/>
                <w:sz w:val="22"/>
                <w:szCs w:val="22"/>
              </w:rPr>
              <w:t>means the management information specified in Framework Schedule [</w:t>
            </w:r>
            <w:r w:rsidRPr="00C351DF">
              <w:rPr>
                <w:rFonts w:cs="Arial"/>
                <w:sz w:val="22"/>
                <w:szCs w:val="22"/>
                <w:highlight w:val="yellow"/>
              </w:rPr>
              <w:t>9</w:t>
            </w:r>
            <w:r w:rsidRPr="00C351DF">
              <w:rPr>
                <w:rFonts w:cs="Arial"/>
                <w:sz w:val="22"/>
                <w:szCs w:val="22"/>
              </w:rPr>
              <w:t>];</w:t>
            </w:r>
          </w:p>
        </w:tc>
      </w:tr>
      <w:tr w:rsidR="004173D9" w:rsidRPr="00C351DF" w14:paraId="4A7BA343" w14:textId="77777777" w:rsidTr="00BC6741">
        <w:trPr>
          <w:cantSplit/>
        </w:trPr>
        <w:tc>
          <w:tcPr>
            <w:tcW w:w="2552" w:type="dxa"/>
            <w:vAlign w:val="center"/>
          </w:tcPr>
          <w:p w14:paraId="4A7BA341" w14:textId="77777777" w:rsidR="004173D9" w:rsidRPr="00C351DF" w:rsidRDefault="004173D9" w:rsidP="00204552">
            <w:pPr>
              <w:pStyle w:val="MarginText"/>
              <w:jc w:val="left"/>
              <w:rPr>
                <w:rFonts w:cs="Arial"/>
                <w:sz w:val="22"/>
                <w:szCs w:val="22"/>
              </w:rPr>
            </w:pPr>
            <w:r w:rsidRPr="00C351DF">
              <w:rPr>
                <w:rFonts w:cs="Arial"/>
                <w:sz w:val="22"/>
                <w:szCs w:val="22"/>
              </w:rPr>
              <w:t>Marking Scheme</w:t>
            </w:r>
          </w:p>
        </w:tc>
        <w:tc>
          <w:tcPr>
            <w:tcW w:w="6015" w:type="dxa"/>
          </w:tcPr>
          <w:p w14:paraId="4A7BA342" w14:textId="1A1680F2" w:rsidR="004173D9" w:rsidRPr="00C351DF" w:rsidRDefault="004173D9" w:rsidP="00204552">
            <w:pPr>
              <w:pStyle w:val="MarginText"/>
              <w:jc w:val="left"/>
              <w:rPr>
                <w:rFonts w:cs="Arial"/>
                <w:sz w:val="22"/>
                <w:szCs w:val="22"/>
              </w:rPr>
            </w:pPr>
            <w:r w:rsidRPr="00C351DF">
              <w:rPr>
                <w:rFonts w:cs="Arial"/>
                <w:sz w:val="22"/>
                <w:szCs w:val="22"/>
              </w:rPr>
              <w:t xml:space="preserve">means the range of marks that may be given to a Potential Provider </w:t>
            </w:r>
            <w:r w:rsidR="00167874" w:rsidRPr="00C351DF">
              <w:rPr>
                <w:rFonts w:cs="Arial"/>
                <w:sz w:val="22"/>
                <w:szCs w:val="22"/>
              </w:rPr>
              <w:t xml:space="preserve">by the Authority according to </w:t>
            </w:r>
            <w:r w:rsidR="005E7EAF">
              <w:rPr>
                <w:rFonts w:cs="Arial"/>
                <w:sz w:val="22"/>
                <w:szCs w:val="22"/>
              </w:rPr>
              <w:t>Appendix 5 – Non-financial Evaluation, and Appendix 6</w:t>
            </w:r>
            <w:r w:rsidRPr="00C351DF">
              <w:rPr>
                <w:rFonts w:cs="Arial"/>
                <w:sz w:val="22"/>
                <w:szCs w:val="22"/>
              </w:rPr>
              <w:t xml:space="preserve"> </w:t>
            </w:r>
            <w:r w:rsidR="005E7EAF">
              <w:rPr>
                <w:rFonts w:cs="Arial"/>
                <w:sz w:val="22"/>
                <w:szCs w:val="22"/>
              </w:rPr>
              <w:t>–</w:t>
            </w:r>
            <w:r w:rsidRPr="00C351DF">
              <w:rPr>
                <w:rFonts w:cs="Arial"/>
                <w:sz w:val="22"/>
                <w:szCs w:val="22"/>
              </w:rPr>
              <w:t xml:space="preserve"> </w:t>
            </w:r>
            <w:r w:rsidR="005E7EAF">
              <w:rPr>
                <w:rFonts w:cs="Arial"/>
                <w:sz w:val="22"/>
                <w:szCs w:val="22"/>
              </w:rPr>
              <w:t>Financial Evaluation</w:t>
            </w:r>
            <w:r w:rsidRPr="00C351DF">
              <w:rPr>
                <w:rFonts w:cs="Arial"/>
                <w:sz w:val="22"/>
                <w:szCs w:val="22"/>
              </w:rPr>
              <w:t>;</w:t>
            </w:r>
          </w:p>
        </w:tc>
      </w:tr>
      <w:tr w:rsidR="004173D9" w:rsidRPr="00C351DF" w14:paraId="4A7BA346" w14:textId="77777777" w:rsidTr="00BC6741">
        <w:trPr>
          <w:cantSplit/>
        </w:trPr>
        <w:tc>
          <w:tcPr>
            <w:tcW w:w="2552" w:type="dxa"/>
            <w:vAlign w:val="center"/>
          </w:tcPr>
          <w:p w14:paraId="4A7BA344" w14:textId="77777777" w:rsidR="004173D9" w:rsidRPr="00C351DF" w:rsidRDefault="004173D9" w:rsidP="00204552">
            <w:pPr>
              <w:pStyle w:val="MarginText"/>
              <w:jc w:val="left"/>
              <w:rPr>
                <w:rFonts w:cs="Arial"/>
                <w:sz w:val="22"/>
                <w:szCs w:val="22"/>
              </w:rPr>
            </w:pPr>
            <w:r w:rsidRPr="00C351DF">
              <w:rPr>
                <w:rFonts w:cs="Arial"/>
                <w:sz w:val="22"/>
                <w:szCs w:val="22"/>
              </w:rPr>
              <w:t>Maximum Score Available</w:t>
            </w:r>
          </w:p>
        </w:tc>
        <w:tc>
          <w:tcPr>
            <w:tcW w:w="6015" w:type="dxa"/>
          </w:tcPr>
          <w:p w14:paraId="4A7BA345" w14:textId="3710A28D" w:rsidR="004173D9" w:rsidRPr="00C351DF" w:rsidRDefault="004173D9" w:rsidP="00204552">
            <w:pPr>
              <w:pStyle w:val="MarginText"/>
              <w:jc w:val="left"/>
              <w:rPr>
                <w:rFonts w:cs="Arial"/>
                <w:b/>
                <w:sz w:val="22"/>
                <w:szCs w:val="22"/>
              </w:rPr>
            </w:pPr>
            <w:r w:rsidRPr="00C351DF">
              <w:rPr>
                <w:rFonts w:cs="Arial"/>
                <w:sz w:val="22"/>
                <w:szCs w:val="22"/>
              </w:rPr>
              <w:t>means the maximum potential score</w:t>
            </w:r>
            <w:r w:rsidR="00AE0DC2">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D54FC8">
              <w:rPr>
                <w:rFonts w:cs="Arial"/>
                <w:sz w:val="22"/>
                <w:szCs w:val="22"/>
              </w:rPr>
              <w:t>10.4.2</w:t>
            </w:r>
            <w:r w:rsidRPr="00C351DF">
              <w:rPr>
                <w:rFonts w:cs="Arial"/>
                <w:sz w:val="22"/>
                <w:szCs w:val="22"/>
              </w:rPr>
              <w:t>;</w:t>
            </w:r>
          </w:p>
        </w:tc>
      </w:tr>
      <w:tr w:rsidR="00DB5CC0" w:rsidRPr="00C351DF" w14:paraId="4A7BA34D" w14:textId="77777777" w:rsidTr="00BC6741">
        <w:trPr>
          <w:cantSplit/>
        </w:trPr>
        <w:tc>
          <w:tcPr>
            <w:tcW w:w="2552" w:type="dxa"/>
            <w:vAlign w:val="center"/>
          </w:tcPr>
          <w:p w14:paraId="4A7BA347" w14:textId="77777777" w:rsidR="00DB5CC0" w:rsidRPr="00C351DF" w:rsidRDefault="00DB5CC0" w:rsidP="00204552">
            <w:pPr>
              <w:pStyle w:val="MarginText"/>
              <w:jc w:val="left"/>
              <w:rPr>
                <w:rFonts w:cs="Arial"/>
                <w:sz w:val="22"/>
                <w:szCs w:val="22"/>
              </w:rPr>
            </w:pPr>
            <w:r w:rsidRPr="00DB5CC0">
              <w:rPr>
                <w:rFonts w:cs="Arial"/>
                <w:sz w:val="22"/>
                <w:szCs w:val="22"/>
              </w:rPr>
              <w:t>Occasion of Tax Non-Compliance</w:t>
            </w:r>
          </w:p>
        </w:tc>
        <w:tc>
          <w:tcPr>
            <w:tcW w:w="6015" w:type="dxa"/>
          </w:tcPr>
          <w:p w14:paraId="4A7BA348" w14:textId="77777777" w:rsidR="00DB5CC0" w:rsidRPr="00DB5CC0" w:rsidRDefault="00DB5CC0" w:rsidP="00DB5CC0">
            <w:pPr>
              <w:spacing w:after="160" w:line="259" w:lineRule="auto"/>
              <w:rPr>
                <w:rFonts w:ascii="Arial" w:hAnsi="Arial" w:cs="Arial"/>
                <w:sz w:val="22"/>
                <w:szCs w:val="22"/>
              </w:rPr>
            </w:pPr>
            <w:r w:rsidRPr="00DB5CC0">
              <w:rPr>
                <w:rFonts w:ascii="Arial" w:hAnsi="Arial" w:cs="Arial"/>
                <w:sz w:val="22"/>
                <w:szCs w:val="22"/>
              </w:rPr>
              <w:t xml:space="preserve">means: </w:t>
            </w:r>
          </w:p>
          <w:p w14:paraId="4A7BA349" w14:textId="77777777" w:rsidR="00DB5CC0" w:rsidRPr="00DB5CC0" w:rsidRDefault="00DB5CC0" w:rsidP="00DB5CC0">
            <w:pPr>
              <w:spacing w:after="160" w:line="259" w:lineRule="auto"/>
              <w:ind w:left="720"/>
              <w:rPr>
                <w:rFonts w:ascii="Arial" w:hAnsi="Arial" w:cs="Arial"/>
                <w:sz w:val="22"/>
                <w:szCs w:val="22"/>
              </w:rPr>
            </w:pPr>
            <w:r w:rsidRPr="00DB5CC0">
              <w:rPr>
                <w:rFonts w:ascii="Arial" w:hAnsi="Arial" w:cs="Arial"/>
                <w:sz w:val="22"/>
                <w:szCs w:val="22"/>
              </w:rPr>
              <w:t>(a)</w:t>
            </w:r>
            <w:r w:rsidRPr="00DB5CC0">
              <w:rPr>
                <w:rFonts w:ascii="Arial" w:hAnsi="Arial" w:cs="Arial"/>
                <w:sz w:val="22"/>
                <w:szCs w:val="22"/>
              </w:rPr>
              <w:tab/>
              <w:t xml:space="preserve">any tax return of the Supplier submitted to a Relevant Tax Authority on or after 1 October 2012 is found to be incorrect as a result of: </w:t>
            </w:r>
          </w:p>
          <w:p w14:paraId="4A7BA34A" w14:textId="77777777" w:rsidR="00DB5CC0" w:rsidRPr="00DB5CC0" w:rsidRDefault="00DB5CC0" w:rsidP="00DB5CC0">
            <w:pPr>
              <w:spacing w:after="160" w:line="259" w:lineRule="auto"/>
              <w:ind w:left="1440"/>
              <w:rPr>
                <w:rFonts w:ascii="Arial" w:hAnsi="Arial" w:cs="Arial"/>
                <w:sz w:val="22"/>
                <w:szCs w:val="22"/>
              </w:rPr>
            </w:pPr>
            <w:r w:rsidRPr="00DB5CC0">
              <w:rPr>
                <w:rFonts w:ascii="Arial" w:hAnsi="Arial" w:cs="Arial"/>
                <w:sz w:val="22"/>
                <w:szCs w:val="22"/>
              </w:rPr>
              <w:t>1.</w:t>
            </w:r>
            <w:r w:rsidRPr="00DB5CC0">
              <w:rPr>
                <w:rFonts w:ascii="Arial" w:hAnsi="Arial" w:cs="Arial"/>
                <w:sz w:val="22"/>
                <w:szCs w:val="22"/>
              </w:rPr>
              <w:tab/>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A7BA34B" w14:textId="77777777" w:rsidR="00DB5CC0" w:rsidRPr="00DB5CC0" w:rsidRDefault="00DB5CC0" w:rsidP="00DB5CC0">
            <w:pPr>
              <w:spacing w:after="160" w:line="259" w:lineRule="auto"/>
              <w:ind w:left="1440"/>
              <w:rPr>
                <w:rFonts w:ascii="Arial" w:hAnsi="Arial" w:cs="Arial"/>
                <w:sz w:val="22"/>
                <w:szCs w:val="22"/>
              </w:rPr>
            </w:pPr>
            <w:r w:rsidRPr="00DB5CC0">
              <w:rPr>
                <w:rFonts w:ascii="Arial" w:hAnsi="Arial" w:cs="Arial"/>
                <w:sz w:val="22"/>
                <w:szCs w:val="22"/>
              </w:rPr>
              <w:t>2.</w:t>
            </w:r>
            <w:r w:rsidRPr="00DB5CC0">
              <w:rPr>
                <w:rFonts w:ascii="Arial" w:hAnsi="Arial" w:cs="Arial"/>
                <w:sz w:val="22"/>
                <w:szCs w:val="22"/>
              </w:rPr>
              <w:tab/>
              <w:t xml:space="preserve">the failure of an avoidance scheme which the Supplier was involved in, and which was, or should have been, notified to a Relevant Tax Authority under the DOTAS or any equivalent or similar regime; and/or </w:t>
            </w:r>
          </w:p>
          <w:p w14:paraId="4A7BA34C" w14:textId="77777777" w:rsidR="00DB5CC0" w:rsidRPr="00C351DF" w:rsidRDefault="00DB5CC0" w:rsidP="00DB5CC0">
            <w:pPr>
              <w:pStyle w:val="MarginText"/>
              <w:ind w:left="720"/>
              <w:jc w:val="left"/>
              <w:rPr>
                <w:rFonts w:cs="Arial"/>
                <w:sz w:val="22"/>
                <w:szCs w:val="22"/>
              </w:rPr>
            </w:pPr>
            <w:r w:rsidRPr="00DB5CC0">
              <w:rPr>
                <w:rFonts w:cs="Arial"/>
                <w:sz w:val="22"/>
                <w:szCs w:val="22"/>
              </w:rPr>
              <w:t>(b)</w:t>
            </w:r>
            <w:r w:rsidRPr="00DB5CC0">
              <w:rPr>
                <w:rFonts w:cs="Arial"/>
                <w:sz w:val="22"/>
                <w:szCs w:val="22"/>
              </w:rPr>
              <w:tab/>
              <w:t>the Supplier’s tax affairs give rise on or after 1 April 2013 to a criminal conviction in any jurisdiction for tax related offences which is not spent at the Effective Date or to a penalty for civil fraud or evasion</w:t>
            </w:r>
            <w:r>
              <w:rPr>
                <w:rFonts w:cs="Arial"/>
                <w:sz w:val="22"/>
                <w:szCs w:val="22"/>
              </w:rPr>
              <w:t>.</w:t>
            </w:r>
          </w:p>
        </w:tc>
      </w:tr>
      <w:tr w:rsidR="004173D9" w:rsidRPr="00C351DF" w14:paraId="4A7BA350" w14:textId="77777777" w:rsidTr="00BC6741">
        <w:trPr>
          <w:cantSplit/>
        </w:trPr>
        <w:tc>
          <w:tcPr>
            <w:tcW w:w="2552" w:type="dxa"/>
            <w:vAlign w:val="center"/>
          </w:tcPr>
          <w:p w14:paraId="4A7BA34E" w14:textId="77777777" w:rsidR="004173D9" w:rsidRPr="00C351DF" w:rsidRDefault="004173D9" w:rsidP="00204552">
            <w:pPr>
              <w:pStyle w:val="MarginText"/>
              <w:jc w:val="left"/>
              <w:rPr>
                <w:rFonts w:cs="Arial"/>
                <w:sz w:val="22"/>
                <w:szCs w:val="22"/>
              </w:rPr>
            </w:pPr>
            <w:r w:rsidRPr="00C351DF">
              <w:rPr>
                <w:rFonts w:cs="Arial"/>
                <w:sz w:val="22"/>
                <w:szCs w:val="22"/>
              </w:rPr>
              <w:t>OJEU Contract Notice</w:t>
            </w:r>
          </w:p>
        </w:tc>
        <w:tc>
          <w:tcPr>
            <w:tcW w:w="6015" w:type="dxa"/>
          </w:tcPr>
          <w:p w14:paraId="4A7BA34F" w14:textId="77777777" w:rsidR="004173D9" w:rsidRPr="00C351DF" w:rsidRDefault="004173D9" w:rsidP="00204552">
            <w:pPr>
              <w:pStyle w:val="MarginText"/>
              <w:jc w:val="left"/>
              <w:rPr>
                <w:rFonts w:cs="Arial"/>
                <w:b/>
                <w:sz w:val="22"/>
                <w:szCs w:val="22"/>
              </w:rPr>
            </w:pPr>
            <w:r w:rsidRPr="00C351DF">
              <w:rPr>
                <w:rFonts w:cs="Arial"/>
                <w:sz w:val="22"/>
                <w:szCs w:val="22"/>
              </w:rPr>
              <w:t>means the advertisement for this Procurement issued in the Official Journal of the European Union;</w:t>
            </w:r>
          </w:p>
        </w:tc>
      </w:tr>
      <w:tr w:rsidR="004173D9" w:rsidRPr="00C351DF" w14:paraId="4A7BA353" w14:textId="77777777" w:rsidTr="00BC6741">
        <w:trPr>
          <w:cantSplit/>
        </w:trPr>
        <w:tc>
          <w:tcPr>
            <w:tcW w:w="2552" w:type="dxa"/>
            <w:vAlign w:val="center"/>
          </w:tcPr>
          <w:p w14:paraId="4A7BA351" w14:textId="77777777" w:rsidR="004173D9" w:rsidRPr="00C351DF" w:rsidRDefault="004173D9" w:rsidP="00204552">
            <w:pPr>
              <w:pStyle w:val="MarginText"/>
              <w:jc w:val="left"/>
              <w:rPr>
                <w:rFonts w:cs="Arial"/>
                <w:sz w:val="22"/>
                <w:szCs w:val="22"/>
              </w:rPr>
            </w:pPr>
            <w:r w:rsidRPr="00C351DF">
              <w:rPr>
                <w:rFonts w:cs="Arial"/>
                <w:sz w:val="22"/>
                <w:szCs w:val="22"/>
              </w:rPr>
              <w:t>Potential Provider</w:t>
            </w:r>
          </w:p>
        </w:tc>
        <w:tc>
          <w:tcPr>
            <w:tcW w:w="6015" w:type="dxa"/>
          </w:tcPr>
          <w:p w14:paraId="4A7BA352" w14:textId="1E1EC1B9" w:rsidR="004173D9" w:rsidRPr="00C351DF" w:rsidRDefault="00D54FC8" w:rsidP="00065ECA">
            <w:pPr>
              <w:pStyle w:val="MarginText"/>
              <w:jc w:val="left"/>
              <w:rPr>
                <w:rFonts w:cs="Arial"/>
                <w:sz w:val="22"/>
                <w:szCs w:val="22"/>
              </w:rPr>
            </w:pPr>
            <w:r>
              <w:rPr>
                <w:rFonts w:cs="Arial"/>
                <w:sz w:val="22"/>
                <w:szCs w:val="22"/>
              </w:rPr>
              <w:t xml:space="preserve">has the meaning in </w:t>
            </w:r>
            <w:r w:rsidRPr="00D54FC8">
              <w:rPr>
                <w:rFonts w:cs="Arial"/>
                <w:sz w:val="22"/>
                <w:szCs w:val="22"/>
              </w:rPr>
              <w:t xml:space="preserve">paragraph </w:t>
            </w:r>
            <w:r w:rsidR="00065ECA" w:rsidRPr="00D54FC8">
              <w:rPr>
                <w:rFonts w:cs="Arial"/>
                <w:sz w:val="22"/>
                <w:szCs w:val="22"/>
              </w:rPr>
              <w:fldChar w:fldCharType="begin"/>
            </w:r>
            <w:r w:rsidR="00065ECA" w:rsidRPr="00D54FC8">
              <w:rPr>
                <w:rFonts w:cs="Arial"/>
                <w:sz w:val="22"/>
                <w:szCs w:val="22"/>
              </w:rPr>
              <w:instrText xml:space="preserve"> REF _Ref414958893 \r \h  \* MERGEFORMAT </w:instrText>
            </w:r>
            <w:r w:rsidR="00065ECA" w:rsidRPr="00D54FC8">
              <w:rPr>
                <w:rFonts w:cs="Arial"/>
                <w:sz w:val="22"/>
                <w:szCs w:val="22"/>
              </w:rPr>
            </w:r>
            <w:r w:rsidR="00065ECA" w:rsidRPr="00D54FC8">
              <w:rPr>
                <w:rFonts w:cs="Arial"/>
                <w:sz w:val="22"/>
                <w:szCs w:val="22"/>
              </w:rPr>
              <w:fldChar w:fldCharType="separate"/>
            </w:r>
            <w:r w:rsidR="00FD51A8" w:rsidRPr="00D54FC8">
              <w:rPr>
                <w:rFonts w:cs="Arial"/>
                <w:sz w:val="22"/>
                <w:szCs w:val="22"/>
              </w:rPr>
              <w:t>6.3</w:t>
            </w:r>
            <w:r w:rsidR="00065ECA" w:rsidRPr="00D54FC8">
              <w:rPr>
                <w:rFonts w:cs="Arial"/>
                <w:sz w:val="22"/>
                <w:szCs w:val="22"/>
              </w:rPr>
              <w:fldChar w:fldCharType="end"/>
            </w:r>
            <w:r w:rsidR="004173D9" w:rsidRPr="00C351DF">
              <w:rPr>
                <w:rFonts w:cs="Arial"/>
                <w:sz w:val="22"/>
                <w:szCs w:val="22"/>
              </w:rPr>
              <w:t>;</w:t>
            </w:r>
          </w:p>
        </w:tc>
      </w:tr>
      <w:tr w:rsidR="004173D9" w:rsidRPr="00C351DF" w14:paraId="4A7BA356" w14:textId="77777777" w:rsidTr="00BC6741">
        <w:trPr>
          <w:cantSplit/>
        </w:trPr>
        <w:tc>
          <w:tcPr>
            <w:tcW w:w="2552" w:type="dxa"/>
            <w:vAlign w:val="center"/>
          </w:tcPr>
          <w:p w14:paraId="4A7BA354" w14:textId="77777777" w:rsidR="004173D9" w:rsidRPr="00C351DF" w:rsidRDefault="004173D9" w:rsidP="00204552">
            <w:pPr>
              <w:pStyle w:val="MarginText"/>
              <w:jc w:val="left"/>
              <w:rPr>
                <w:rFonts w:cs="Arial"/>
                <w:sz w:val="22"/>
                <w:szCs w:val="22"/>
              </w:rPr>
            </w:pPr>
            <w:r w:rsidRPr="00C351DF">
              <w:rPr>
                <w:rFonts w:cs="Arial"/>
                <w:sz w:val="22"/>
                <w:szCs w:val="22"/>
              </w:rPr>
              <w:lastRenderedPageBreak/>
              <w:t>Price Evaluation</w:t>
            </w:r>
          </w:p>
        </w:tc>
        <w:tc>
          <w:tcPr>
            <w:tcW w:w="6015" w:type="dxa"/>
          </w:tcPr>
          <w:p w14:paraId="4A7BA355" w14:textId="77777777" w:rsidR="004173D9" w:rsidRPr="00C351DF" w:rsidRDefault="004173D9" w:rsidP="00204552">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4173D9" w:rsidRPr="00C351DF" w14:paraId="4A7BA359" w14:textId="77777777" w:rsidTr="00BC6741">
        <w:trPr>
          <w:cantSplit/>
        </w:trPr>
        <w:tc>
          <w:tcPr>
            <w:tcW w:w="2552" w:type="dxa"/>
            <w:vAlign w:val="center"/>
          </w:tcPr>
          <w:p w14:paraId="4A7BA357" w14:textId="77777777" w:rsidR="004173D9" w:rsidRPr="00C351DF" w:rsidRDefault="004173D9" w:rsidP="00204552">
            <w:pPr>
              <w:pStyle w:val="MarginText"/>
              <w:jc w:val="left"/>
              <w:rPr>
                <w:rFonts w:cs="Arial"/>
                <w:sz w:val="22"/>
                <w:szCs w:val="22"/>
              </w:rPr>
            </w:pPr>
            <w:r w:rsidRPr="00C351DF">
              <w:rPr>
                <w:rFonts w:cs="Arial"/>
                <w:sz w:val="22"/>
                <w:szCs w:val="22"/>
              </w:rPr>
              <w:t>Price Score</w:t>
            </w:r>
          </w:p>
        </w:tc>
        <w:tc>
          <w:tcPr>
            <w:tcW w:w="6015" w:type="dxa"/>
          </w:tcPr>
          <w:p w14:paraId="4A7BA358" w14:textId="3C7EE1A9" w:rsidR="004173D9" w:rsidRPr="00C351DF" w:rsidRDefault="00437F0A" w:rsidP="00D54FC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Pr="00D54FC8">
              <w:rPr>
                <w:rFonts w:cs="Arial"/>
                <w:sz w:val="22"/>
                <w:szCs w:val="22"/>
              </w:rPr>
              <w:t xml:space="preserve">paragraph </w:t>
            </w:r>
            <w:r w:rsidRPr="00D54FC8" w:rsidDel="00437F0A">
              <w:rPr>
                <w:rFonts w:cs="Arial"/>
                <w:sz w:val="22"/>
                <w:szCs w:val="22"/>
              </w:rPr>
              <w:t xml:space="preserve"> </w:t>
            </w:r>
            <w:r w:rsidR="00D54FC8" w:rsidRPr="00D54FC8">
              <w:rPr>
                <w:rFonts w:cs="Arial"/>
                <w:sz w:val="22"/>
                <w:szCs w:val="22"/>
              </w:rPr>
              <w:t>10.6.4</w:t>
            </w:r>
            <w:r w:rsidR="004173D9" w:rsidRPr="00D54FC8">
              <w:rPr>
                <w:rFonts w:cs="Arial"/>
                <w:sz w:val="22"/>
                <w:szCs w:val="22"/>
              </w:rPr>
              <w:t>;</w:t>
            </w:r>
          </w:p>
        </w:tc>
      </w:tr>
      <w:tr w:rsidR="004173D9" w:rsidRPr="00C351DF" w14:paraId="4A7BA35C" w14:textId="77777777" w:rsidTr="00BC6741">
        <w:trPr>
          <w:cantSplit/>
        </w:trPr>
        <w:tc>
          <w:tcPr>
            <w:tcW w:w="2552" w:type="dxa"/>
            <w:vAlign w:val="center"/>
          </w:tcPr>
          <w:p w14:paraId="4A7BA35A" w14:textId="77777777" w:rsidR="004173D9" w:rsidRPr="00C351DF" w:rsidRDefault="004173D9" w:rsidP="00204552">
            <w:pPr>
              <w:pStyle w:val="MarginText"/>
              <w:jc w:val="left"/>
              <w:rPr>
                <w:rFonts w:cs="Arial"/>
                <w:sz w:val="22"/>
                <w:szCs w:val="22"/>
              </w:rPr>
            </w:pPr>
            <w:r w:rsidRPr="00C351DF">
              <w:rPr>
                <w:rFonts w:cs="Arial"/>
                <w:sz w:val="22"/>
                <w:szCs w:val="22"/>
              </w:rPr>
              <w:t>Procurement</w:t>
            </w:r>
          </w:p>
        </w:tc>
        <w:tc>
          <w:tcPr>
            <w:tcW w:w="6015" w:type="dxa"/>
          </w:tcPr>
          <w:p w14:paraId="4A7BA35B" w14:textId="4DC9C73D" w:rsidR="004173D9" w:rsidRPr="00C351DF" w:rsidRDefault="004173D9" w:rsidP="00204552">
            <w:pPr>
              <w:pStyle w:val="MarginText"/>
              <w:jc w:val="left"/>
              <w:rPr>
                <w:rFonts w:cs="Arial"/>
                <w:sz w:val="22"/>
                <w:szCs w:val="22"/>
              </w:rPr>
            </w:pPr>
            <w:r w:rsidRPr="00C351DF">
              <w:rPr>
                <w:rFonts w:cs="Arial"/>
                <w:sz w:val="22"/>
                <w:szCs w:val="22"/>
              </w:rPr>
              <w:t xml:space="preserve">means the process used to establish a Framework Agreement that facilitates the supply of </w:t>
            </w:r>
            <w:r w:rsidRPr="002217B0">
              <w:rPr>
                <w:rFonts w:cs="Arial"/>
                <w:sz w:val="22"/>
                <w:szCs w:val="22"/>
              </w:rPr>
              <w:t>the Services</w:t>
            </w:r>
            <w:r w:rsidRPr="00C351DF">
              <w:rPr>
                <w:rFonts w:cs="Arial"/>
                <w:sz w:val="22"/>
                <w:szCs w:val="22"/>
              </w:rPr>
              <w:t xml:space="preserve"> to </w:t>
            </w:r>
            <w:r w:rsidR="006D17A1" w:rsidRPr="00C351DF">
              <w:rPr>
                <w:rFonts w:cs="Arial"/>
                <w:sz w:val="22"/>
                <w:szCs w:val="22"/>
              </w:rPr>
              <w:t>Contracting Authorities</w:t>
            </w:r>
            <w:r w:rsidRPr="00C351DF">
              <w:rPr>
                <w:rFonts w:cs="Arial"/>
                <w:sz w:val="22"/>
                <w:szCs w:val="22"/>
              </w:rPr>
              <w:t xml:space="preserve"> as described in the OJEU Contract Notice;</w:t>
            </w:r>
          </w:p>
        </w:tc>
      </w:tr>
      <w:tr w:rsidR="00C94952" w:rsidRPr="00C351DF" w14:paraId="4A7BA35F" w14:textId="77777777" w:rsidTr="00BC6741">
        <w:trPr>
          <w:cantSplit/>
        </w:trPr>
        <w:tc>
          <w:tcPr>
            <w:tcW w:w="2552" w:type="dxa"/>
            <w:vAlign w:val="center"/>
          </w:tcPr>
          <w:p w14:paraId="4A7BA35D" w14:textId="77777777" w:rsidR="00C94952" w:rsidRPr="00C351DF" w:rsidRDefault="00C94952" w:rsidP="00204552">
            <w:pPr>
              <w:pStyle w:val="MarginText"/>
              <w:jc w:val="left"/>
              <w:rPr>
                <w:rFonts w:cs="Arial"/>
                <w:sz w:val="22"/>
                <w:szCs w:val="22"/>
              </w:rPr>
            </w:pPr>
            <w:r>
              <w:rPr>
                <w:rFonts w:cs="Arial"/>
                <w:sz w:val="22"/>
                <w:szCs w:val="22"/>
              </w:rPr>
              <w:t>Public Contracts Directive</w:t>
            </w:r>
          </w:p>
        </w:tc>
        <w:tc>
          <w:tcPr>
            <w:tcW w:w="6015" w:type="dxa"/>
          </w:tcPr>
          <w:p w14:paraId="4A7BA35E" w14:textId="77777777" w:rsidR="00C94952" w:rsidRPr="00C351DF" w:rsidRDefault="00C94952" w:rsidP="00C94952">
            <w:pPr>
              <w:pStyle w:val="MarginText"/>
              <w:jc w:val="left"/>
              <w:rPr>
                <w:rFonts w:cs="Arial"/>
                <w:sz w:val="22"/>
                <w:szCs w:val="22"/>
              </w:rPr>
            </w:pPr>
            <w:r>
              <w:rPr>
                <w:rFonts w:cs="Arial"/>
                <w:sz w:val="22"/>
                <w:szCs w:val="22"/>
              </w:rPr>
              <w:t>means Directive 2014/24/EU of the European Parliament and of the Council;</w:t>
            </w:r>
          </w:p>
        </w:tc>
      </w:tr>
      <w:tr w:rsidR="004173D9" w:rsidRPr="00C351DF" w14:paraId="4A7BA362" w14:textId="77777777" w:rsidTr="00BC6741">
        <w:trPr>
          <w:cantSplit/>
        </w:trPr>
        <w:tc>
          <w:tcPr>
            <w:tcW w:w="2552" w:type="dxa"/>
            <w:vAlign w:val="center"/>
          </w:tcPr>
          <w:p w14:paraId="4A7BA360" w14:textId="77777777" w:rsidR="004173D9" w:rsidRPr="00C351DF" w:rsidRDefault="004173D9" w:rsidP="00204552">
            <w:pPr>
              <w:pStyle w:val="MarginText"/>
              <w:jc w:val="left"/>
              <w:rPr>
                <w:rFonts w:cs="Arial"/>
                <w:sz w:val="22"/>
                <w:szCs w:val="22"/>
              </w:rPr>
            </w:pPr>
            <w:r w:rsidRPr="00C351DF">
              <w:rPr>
                <w:rFonts w:cs="Arial"/>
                <w:sz w:val="22"/>
                <w:szCs w:val="22"/>
              </w:rPr>
              <w:t>Quality Evaluation</w:t>
            </w:r>
          </w:p>
        </w:tc>
        <w:tc>
          <w:tcPr>
            <w:tcW w:w="6015" w:type="dxa"/>
          </w:tcPr>
          <w:p w14:paraId="4A7BA361" w14:textId="77777777" w:rsidR="004173D9" w:rsidRPr="00C351DF" w:rsidRDefault="004173D9" w:rsidP="00204552">
            <w:pPr>
              <w:pStyle w:val="MarginText"/>
              <w:jc w:val="left"/>
              <w:rPr>
                <w:rFonts w:cs="Arial"/>
                <w:sz w:val="22"/>
                <w:szCs w:val="22"/>
              </w:rPr>
            </w:pPr>
            <w:r w:rsidRPr="00C351DF">
              <w:rPr>
                <w:rFonts w:cs="Arial"/>
                <w:sz w:val="22"/>
                <w:szCs w:val="22"/>
              </w:rPr>
              <w:t>means the qualitative evaluation of a Tender undertaken during the Award Stage;</w:t>
            </w:r>
          </w:p>
        </w:tc>
      </w:tr>
      <w:tr w:rsidR="004173D9" w:rsidRPr="00C351DF" w14:paraId="4A7BA365" w14:textId="77777777" w:rsidTr="00BC6741">
        <w:trPr>
          <w:cantSplit/>
        </w:trPr>
        <w:tc>
          <w:tcPr>
            <w:tcW w:w="2552" w:type="dxa"/>
            <w:vAlign w:val="center"/>
          </w:tcPr>
          <w:p w14:paraId="4A7BA363" w14:textId="77777777" w:rsidR="004173D9" w:rsidRPr="00C351DF" w:rsidRDefault="004173D9" w:rsidP="00204552">
            <w:pPr>
              <w:pStyle w:val="MarginText"/>
              <w:jc w:val="left"/>
              <w:rPr>
                <w:rFonts w:cs="Arial"/>
                <w:sz w:val="22"/>
                <w:szCs w:val="22"/>
              </w:rPr>
            </w:pPr>
            <w:r w:rsidRPr="00C351DF">
              <w:rPr>
                <w:rFonts w:cs="Arial"/>
                <w:sz w:val="22"/>
                <w:szCs w:val="22"/>
              </w:rPr>
              <w:t>Quality Score</w:t>
            </w:r>
          </w:p>
        </w:tc>
        <w:tc>
          <w:tcPr>
            <w:tcW w:w="6015" w:type="dxa"/>
          </w:tcPr>
          <w:p w14:paraId="4A7BA364" w14:textId="191FD244" w:rsidR="004173D9" w:rsidRPr="00C351DF" w:rsidRDefault="004173D9" w:rsidP="002217B0">
            <w:pPr>
              <w:pStyle w:val="MarginText"/>
              <w:jc w:val="left"/>
              <w:rPr>
                <w:rFonts w:cs="Arial"/>
                <w:sz w:val="22"/>
                <w:szCs w:val="22"/>
              </w:rPr>
            </w:pPr>
            <w:r w:rsidRPr="00C351DF">
              <w:rPr>
                <w:rFonts w:cs="Arial"/>
                <w:sz w:val="22"/>
                <w:szCs w:val="22"/>
              </w:rPr>
              <w:t>means the score awarded to a Potential Provider at the conclusion of the Quality Evaluation process calculate</w:t>
            </w:r>
            <w:r w:rsidR="002217B0">
              <w:rPr>
                <w:rFonts w:cs="Arial"/>
                <w:sz w:val="22"/>
                <w:szCs w:val="22"/>
              </w:rPr>
              <w:t>d in accordance with paragraph 10.4</w:t>
            </w:r>
            <w:r w:rsidRPr="00C351DF">
              <w:rPr>
                <w:rFonts w:cs="Arial"/>
                <w:sz w:val="22"/>
                <w:szCs w:val="22"/>
              </w:rPr>
              <w:t>;</w:t>
            </w:r>
          </w:p>
        </w:tc>
      </w:tr>
      <w:tr w:rsidR="004173D9" w:rsidRPr="00C351DF" w14:paraId="4A7BA36A" w14:textId="77777777" w:rsidTr="00BC6741">
        <w:trPr>
          <w:cantSplit/>
        </w:trPr>
        <w:tc>
          <w:tcPr>
            <w:tcW w:w="2552" w:type="dxa"/>
            <w:vAlign w:val="center"/>
          </w:tcPr>
          <w:p w14:paraId="4A7BA366" w14:textId="77777777" w:rsidR="004173D9" w:rsidRPr="00C351DF" w:rsidRDefault="004173D9" w:rsidP="00204552">
            <w:pPr>
              <w:pStyle w:val="MarginText"/>
              <w:jc w:val="left"/>
              <w:rPr>
                <w:rFonts w:cs="Arial"/>
                <w:sz w:val="22"/>
                <w:szCs w:val="22"/>
              </w:rPr>
            </w:pPr>
            <w:r w:rsidRPr="00C351DF">
              <w:rPr>
                <w:rFonts w:cs="Arial"/>
                <w:sz w:val="22"/>
                <w:szCs w:val="22"/>
              </w:rPr>
              <w:t>Regulations</w:t>
            </w:r>
          </w:p>
        </w:tc>
        <w:tc>
          <w:tcPr>
            <w:tcW w:w="6015" w:type="dxa"/>
          </w:tcPr>
          <w:p w14:paraId="4A7BA367" w14:textId="77777777" w:rsidR="00065ECA" w:rsidRDefault="004173D9" w:rsidP="00204552">
            <w:pPr>
              <w:pStyle w:val="MarginText"/>
              <w:jc w:val="left"/>
              <w:rPr>
                <w:rFonts w:cs="Arial"/>
                <w:sz w:val="22"/>
                <w:szCs w:val="22"/>
              </w:rPr>
            </w:pPr>
            <w:r w:rsidRPr="00C351DF">
              <w:rPr>
                <w:rFonts w:cs="Arial"/>
                <w:sz w:val="22"/>
                <w:szCs w:val="22"/>
              </w:rPr>
              <w:t>means the Public Contracts Regulations</w:t>
            </w:r>
            <w:r w:rsidR="00167874" w:rsidRPr="00C351DF">
              <w:rPr>
                <w:rFonts w:cs="Arial"/>
                <w:sz w:val="22"/>
                <w:szCs w:val="22"/>
              </w:rPr>
              <w:t xml:space="preserve"> 2015</w:t>
            </w:r>
            <w:r w:rsidR="00065ECA">
              <w:rPr>
                <w:rFonts w:cs="Arial"/>
                <w:sz w:val="22"/>
                <w:szCs w:val="22"/>
              </w:rPr>
              <w:t xml:space="preserve"> (</w:t>
            </w:r>
            <w:hyperlink r:id="rId12" w:history="1">
              <w:r w:rsidR="00065ECA" w:rsidRPr="00B01C9C">
                <w:rPr>
                  <w:rStyle w:val="Hyperlink"/>
                  <w:rFonts w:cs="Arial"/>
                  <w:sz w:val="22"/>
                  <w:szCs w:val="22"/>
                </w:rPr>
                <w:t>http://www.legislation.gov.uk/uksi/2015/102/contents/made</w:t>
              </w:r>
            </w:hyperlink>
          </w:p>
          <w:p w14:paraId="4A7BA368" w14:textId="3BDF621C" w:rsidR="004173D9" w:rsidRPr="00C351DF" w:rsidRDefault="00065ECA" w:rsidP="00204552">
            <w:pPr>
              <w:pStyle w:val="MarginText"/>
              <w:jc w:val="left"/>
              <w:rPr>
                <w:rFonts w:cs="Arial"/>
                <w:sz w:val="22"/>
                <w:szCs w:val="22"/>
              </w:rPr>
            </w:pPr>
            <w:r>
              <w:rPr>
                <w:rFonts w:cs="Arial"/>
                <w:sz w:val="22"/>
                <w:szCs w:val="22"/>
              </w:rPr>
              <w:t>)</w:t>
            </w:r>
            <w:r w:rsidRPr="00065ECA" w:rsidDel="00065ECA">
              <w:rPr>
                <w:rFonts w:cs="Arial"/>
                <w:sz w:val="22"/>
                <w:szCs w:val="22"/>
              </w:rPr>
              <w:t xml:space="preserve"> </w:t>
            </w:r>
            <w:r w:rsidR="004173D9" w:rsidRPr="002217B0">
              <w:rPr>
                <w:rFonts w:cs="Arial"/>
                <w:sz w:val="22"/>
                <w:szCs w:val="22"/>
              </w:rPr>
              <w:t xml:space="preserve">and the Public Contracts (Scotland) Regulations </w:t>
            </w:r>
            <w:r w:rsidRPr="002217B0">
              <w:rPr>
                <w:rFonts w:cs="Arial"/>
                <w:sz w:val="22"/>
                <w:szCs w:val="22"/>
              </w:rPr>
              <w:t>2012, as amended from time to time;</w:t>
            </w:r>
          </w:p>
          <w:p w14:paraId="4A7BA369" w14:textId="0A2F3666" w:rsidR="004173D9" w:rsidRPr="00C351DF" w:rsidRDefault="004173D9" w:rsidP="00204552">
            <w:pPr>
              <w:pStyle w:val="MarginText"/>
              <w:jc w:val="left"/>
              <w:rPr>
                <w:rFonts w:cs="Arial"/>
                <w:sz w:val="22"/>
                <w:szCs w:val="22"/>
              </w:rPr>
            </w:pPr>
          </w:p>
        </w:tc>
      </w:tr>
      <w:tr w:rsidR="00135468" w:rsidRPr="00C351DF" w14:paraId="4A7BA36D" w14:textId="77777777" w:rsidTr="00BC6741">
        <w:trPr>
          <w:cantSplit/>
        </w:trPr>
        <w:tc>
          <w:tcPr>
            <w:tcW w:w="2552" w:type="dxa"/>
            <w:vAlign w:val="center"/>
          </w:tcPr>
          <w:p w14:paraId="4A7BA36B" w14:textId="77777777" w:rsidR="00135468" w:rsidRPr="00C351DF" w:rsidRDefault="00135468" w:rsidP="00204552">
            <w:pPr>
              <w:pStyle w:val="MarginText"/>
              <w:jc w:val="left"/>
              <w:rPr>
                <w:rFonts w:cs="Arial"/>
                <w:sz w:val="22"/>
                <w:szCs w:val="22"/>
              </w:rPr>
            </w:pPr>
            <w:r w:rsidRPr="00C351DF">
              <w:rPr>
                <w:rFonts w:cs="Arial"/>
                <w:sz w:val="22"/>
                <w:szCs w:val="22"/>
              </w:rPr>
              <w:t>Selection Questionnaire</w:t>
            </w:r>
          </w:p>
        </w:tc>
        <w:tc>
          <w:tcPr>
            <w:tcW w:w="6015" w:type="dxa"/>
          </w:tcPr>
          <w:p w14:paraId="4A7BA36C" w14:textId="3E340D08" w:rsidR="00135468" w:rsidRPr="00C351DF" w:rsidRDefault="00135468" w:rsidP="00204552">
            <w:pPr>
              <w:pStyle w:val="MarginText"/>
              <w:jc w:val="left"/>
              <w:rPr>
                <w:rFonts w:cs="Arial"/>
                <w:b/>
                <w:sz w:val="22"/>
                <w:szCs w:val="22"/>
              </w:rPr>
            </w:pPr>
            <w:r w:rsidRPr="00C351DF">
              <w:rPr>
                <w:rFonts w:cs="Arial"/>
                <w:sz w:val="22"/>
                <w:szCs w:val="22"/>
              </w:rPr>
              <w:t>means the selection questionnaire</w:t>
            </w:r>
            <w:r w:rsidR="002217B0">
              <w:rPr>
                <w:rFonts w:cs="Arial"/>
                <w:sz w:val="22"/>
                <w:szCs w:val="22"/>
              </w:rPr>
              <w:t xml:space="preserve"> set out at Appendix 1</w:t>
            </w:r>
            <w:r w:rsidRPr="00C351DF">
              <w:rPr>
                <w:rFonts w:cs="Arial"/>
                <w:sz w:val="22"/>
                <w:szCs w:val="22"/>
              </w:rPr>
              <w:t>;</w:t>
            </w:r>
          </w:p>
        </w:tc>
      </w:tr>
      <w:tr w:rsidR="00135468" w:rsidRPr="00C351DF" w14:paraId="4A7BA370" w14:textId="77777777" w:rsidTr="00BC6741">
        <w:trPr>
          <w:cantSplit/>
        </w:trPr>
        <w:tc>
          <w:tcPr>
            <w:tcW w:w="2552" w:type="dxa"/>
            <w:vAlign w:val="center"/>
          </w:tcPr>
          <w:p w14:paraId="4A7BA36E" w14:textId="77777777" w:rsidR="00135468" w:rsidRPr="00C351DF" w:rsidRDefault="00135468" w:rsidP="00204552">
            <w:pPr>
              <w:pStyle w:val="MarginText"/>
              <w:jc w:val="left"/>
              <w:rPr>
                <w:rFonts w:cs="Arial"/>
                <w:sz w:val="22"/>
                <w:szCs w:val="22"/>
              </w:rPr>
            </w:pPr>
            <w:r w:rsidRPr="00C351DF">
              <w:rPr>
                <w:rFonts w:cs="Arial"/>
                <w:sz w:val="22"/>
                <w:szCs w:val="22"/>
              </w:rPr>
              <w:t>Selection Stage</w:t>
            </w:r>
          </w:p>
        </w:tc>
        <w:tc>
          <w:tcPr>
            <w:tcW w:w="6015" w:type="dxa"/>
          </w:tcPr>
          <w:p w14:paraId="4A7BA36F" w14:textId="0C06C9B0" w:rsidR="00135468" w:rsidRPr="00C351DF" w:rsidRDefault="00F910FA" w:rsidP="00F910FA">
            <w:pPr>
              <w:pStyle w:val="MarginText"/>
              <w:jc w:val="left"/>
              <w:rPr>
                <w:rFonts w:cs="Arial"/>
                <w:sz w:val="22"/>
                <w:szCs w:val="22"/>
              </w:rPr>
            </w:pPr>
            <w:r>
              <w:rPr>
                <w:rFonts w:cs="Arial"/>
                <w:sz w:val="22"/>
                <w:szCs w:val="22"/>
              </w:rPr>
              <w:t>has the meaning in paragraph 9.1</w:t>
            </w:r>
            <w:r w:rsidR="00135468" w:rsidRPr="00C351DF">
              <w:rPr>
                <w:rFonts w:cs="Arial"/>
                <w:sz w:val="22"/>
                <w:szCs w:val="22"/>
              </w:rPr>
              <w:t>;</w:t>
            </w:r>
          </w:p>
        </w:tc>
      </w:tr>
      <w:tr w:rsidR="00135468" w:rsidRPr="00C351DF" w14:paraId="4A7BA376" w14:textId="77777777" w:rsidTr="00BC6741">
        <w:trPr>
          <w:cantSplit/>
        </w:trPr>
        <w:tc>
          <w:tcPr>
            <w:tcW w:w="2552" w:type="dxa"/>
            <w:vAlign w:val="center"/>
          </w:tcPr>
          <w:p w14:paraId="4A7BA374" w14:textId="77777777" w:rsidR="00135468" w:rsidRPr="00C351DF" w:rsidRDefault="00135468" w:rsidP="000F32E7">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77777777" w:rsidR="00204552" w:rsidRPr="00C351DF" w:rsidRDefault="00204552" w:rsidP="008D61B1">
            <w:pPr>
              <w:pStyle w:val="MarginText"/>
              <w:jc w:val="left"/>
              <w:rPr>
                <w:rFonts w:cs="Arial"/>
                <w:sz w:val="22"/>
                <w:szCs w:val="22"/>
              </w:rPr>
            </w:pPr>
            <w:r w:rsidRPr="00C351DF">
              <w:rPr>
                <w:rFonts w:cs="Arial"/>
                <w:sz w:val="22"/>
                <w:szCs w:val="22"/>
              </w:rPr>
              <w:t xml:space="preserve">means an </w:t>
            </w:r>
            <w:r w:rsidR="008D61B1">
              <w:rPr>
                <w:rFonts w:cs="Arial"/>
                <w:sz w:val="22"/>
                <w:szCs w:val="22"/>
              </w:rPr>
              <w:t xml:space="preserve">economic organisation </w:t>
            </w:r>
            <w:r w:rsidRPr="00C351DF">
              <w:rPr>
                <w:rFonts w:cs="Arial"/>
                <w:sz w:val="22"/>
                <w:szCs w:val="22"/>
              </w:rPr>
              <w:t xml:space="preserve"> falling within the category of micro, small and medium-sized enterprises defined by the Commission Recommendation of 6 May 2003. See </w:t>
            </w:r>
            <w:r w:rsidR="004C686F" w:rsidRPr="00C351DF">
              <w:rPr>
                <w:rFonts w:cs="Arial"/>
                <w:sz w:val="22"/>
                <w:szCs w:val="22"/>
              </w:rPr>
              <w:t xml:space="preserve">also </w:t>
            </w:r>
            <w:hyperlink r:id="rId13"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4173D9" w:rsidRPr="00C351DF" w14:paraId="4A7BA379" w14:textId="77777777" w:rsidTr="00BC6741">
        <w:trPr>
          <w:cantSplit/>
        </w:trPr>
        <w:tc>
          <w:tcPr>
            <w:tcW w:w="2552" w:type="dxa"/>
            <w:vAlign w:val="center"/>
          </w:tcPr>
          <w:p w14:paraId="4A7BA377" w14:textId="77777777" w:rsidR="004173D9" w:rsidRPr="00C351DF" w:rsidRDefault="004173D9" w:rsidP="00204552">
            <w:pPr>
              <w:pStyle w:val="MarginText"/>
              <w:jc w:val="left"/>
              <w:rPr>
                <w:rFonts w:cs="Arial"/>
                <w:sz w:val="22"/>
                <w:szCs w:val="22"/>
              </w:rPr>
            </w:pPr>
            <w:r w:rsidRPr="00C351DF">
              <w:rPr>
                <w:rFonts w:cs="Arial"/>
                <w:sz w:val="22"/>
                <w:szCs w:val="22"/>
              </w:rPr>
              <w:t>Standstill Period</w:t>
            </w:r>
          </w:p>
        </w:tc>
        <w:tc>
          <w:tcPr>
            <w:tcW w:w="6015" w:type="dxa"/>
          </w:tcPr>
          <w:p w14:paraId="4A7BA378" w14:textId="6B993BAD" w:rsidR="004173D9" w:rsidRPr="00C351DF" w:rsidRDefault="004173D9" w:rsidP="00F910FA">
            <w:pPr>
              <w:pStyle w:val="MarginText"/>
              <w:jc w:val="left"/>
              <w:rPr>
                <w:rFonts w:cs="Arial"/>
                <w:sz w:val="22"/>
                <w:szCs w:val="22"/>
              </w:rPr>
            </w:pPr>
            <w:r w:rsidRPr="00C351DF">
              <w:rPr>
                <w:rFonts w:cs="Arial"/>
                <w:sz w:val="22"/>
                <w:szCs w:val="22"/>
              </w:rPr>
              <w:t xml:space="preserve">has the meaning as set out in </w:t>
            </w:r>
            <w:r w:rsidRPr="00F910FA">
              <w:rPr>
                <w:rFonts w:cs="Arial"/>
                <w:sz w:val="22"/>
                <w:szCs w:val="22"/>
              </w:rPr>
              <w:t xml:space="preserve">paragraph </w:t>
            </w:r>
            <w:r w:rsidR="00F910FA" w:rsidRPr="00F910FA">
              <w:rPr>
                <w:rFonts w:cs="Arial"/>
                <w:sz w:val="22"/>
                <w:szCs w:val="22"/>
              </w:rPr>
              <w:t>11.7</w:t>
            </w:r>
            <w:r w:rsidRPr="00F910FA">
              <w:rPr>
                <w:rFonts w:cs="Arial"/>
                <w:sz w:val="22"/>
                <w:szCs w:val="22"/>
              </w:rPr>
              <w:t>;</w:t>
            </w:r>
          </w:p>
        </w:tc>
      </w:tr>
      <w:tr w:rsidR="003F0FE7" w:rsidRPr="00C351DF" w14:paraId="4A7BA380" w14:textId="77777777" w:rsidTr="00BC6741">
        <w:trPr>
          <w:cantSplit/>
        </w:trPr>
        <w:tc>
          <w:tcPr>
            <w:tcW w:w="2552" w:type="dxa"/>
            <w:vAlign w:val="center"/>
          </w:tcPr>
          <w:p w14:paraId="4A7BA37A" w14:textId="77777777" w:rsidR="003F0FE7" w:rsidRPr="00C351DF" w:rsidRDefault="003F0FE7" w:rsidP="00204552">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3F0FE7" w:rsidRPr="00C351DF" w:rsidRDefault="003F0FE7" w:rsidP="003F0FE7">
            <w:pPr>
              <w:pStyle w:val="MarginText"/>
              <w:rPr>
                <w:rFonts w:cs="Arial"/>
                <w:sz w:val="22"/>
                <w:szCs w:val="22"/>
              </w:rPr>
            </w:pPr>
            <w:r w:rsidRPr="00C351DF">
              <w:rPr>
                <w:rFonts w:cs="Arial"/>
                <w:sz w:val="22"/>
                <w:szCs w:val="22"/>
              </w:rPr>
              <w:t xml:space="preserve">means a third party which: </w:t>
            </w:r>
          </w:p>
          <w:p w14:paraId="4A7BA37C" w14:textId="77777777" w:rsidR="003F0FE7" w:rsidRPr="00AA1BD9" w:rsidRDefault="003F0FE7" w:rsidP="00AA1BD9">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3F0FE7" w:rsidRPr="00AA1BD9" w:rsidRDefault="003F0FE7" w:rsidP="00AA1BD9">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3F0FE7" w:rsidRPr="00AA1BD9" w:rsidRDefault="003F0FE7" w:rsidP="00AA1BD9">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77777777" w:rsidR="003F0FE7" w:rsidRPr="00C351DF" w:rsidRDefault="003F0FE7" w:rsidP="003F0FE7">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sidRPr="00157B70">
              <w:rPr>
                <w:rFonts w:cs="Arial"/>
                <w:sz w:val="22"/>
                <w:szCs w:val="22"/>
              </w:rPr>
              <w:t xml:space="preserve">the </w:t>
            </w:r>
            <w:r w:rsidRPr="00AA1BD9">
              <w:rPr>
                <w:rFonts w:cs="Arial"/>
                <w:sz w:val="22"/>
                <w:szCs w:val="22"/>
              </w:rPr>
              <w:t>Framework Agreement</w:t>
            </w:r>
            <w:r w:rsidR="00157B70" w:rsidRPr="00AA1BD9">
              <w:rPr>
                <w:rFonts w:cs="Arial"/>
                <w:sz w:val="22"/>
                <w:szCs w:val="22"/>
              </w:rPr>
              <w:t xml:space="preserve"> or a Call Off Contract</w:t>
            </w:r>
            <w:r w:rsidR="00157B70">
              <w:rPr>
                <w:rFonts w:cs="Arial"/>
                <w:sz w:val="22"/>
                <w:szCs w:val="22"/>
              </w:rPr>
              <w:t>;</w:t>
            </w:r>
          </w:p>
        </w:tc>
      </w:tr>
      <w:tr w:rsidR="004173D9" w:rsidRPr="00C351DF" w14:paraId="4A7BA383" w14:textId="77777777" w:rsidTr="00BC6741">
        <w:trPr>
          <w:cantSplit/>
        </w:trPr>
        <w:tc>
          <w:tcPr>
            <w:tcW w:w="2552" w:type="dxa"/>
            <w:vAlign w:val="center"/>
          </w:tcPr>
          <w:p w14:paraId="4A7BA381" w14:textId="77777777" w:rsidR="004173D9" w:rsidRPr="00C351DF" w:rsidRDefault="004173D9" w:rsidP="00204552">
            <w:pPr>
              <w:pStyle w:val="MarginText"/>
              <w:jc w:val="left"/>
              <w:rPr>
                <w:rFonts w:cs="Arial"/>
                <w:sz w:val="22"/>
                <w:szCs w:val="22"/>
              </w:rPr>
            </w:pPr>
            <w:r w:rsidRPr="00C351DF">
              <w:rPr>
                <w:rFonts w:cs="Arial"/>
                <w:sz w:val="22"/>
                <w:szCs w:val="22"/>
              </w:rPr>
              <w:t>Supplier</w:t>
            </w:r>
          </w:p>
        </w:tc>
        <w:tc>
          <w:tcPr>
            <w:tcW w:w="6015" w:type="dxa"/>
          </w:tcPr>
          <w:p w14:paraId="4A7BA382" w14:textId="77777777" w:rsidR="004173D9" w:rsidRPr="00C351DF" w:rsidRDefault="004173D9" w:rsidP="00204552">
            <w:pPr>
              <w:pStyle w:val="MarginText"/>
              <w:jc w:val="left"/>
              <w:rPr>
                <w:rFonts w:cs="Arial"/>
                <w:sz w:val="22"/>
                <w:szCs w:val="22"/>
              </w:rPr>
            </w:pPr>
            <w:r w:rsidRPr="00C351DF">
              <w:rPr>
                <w:rFonts w:cs="Arial"/>
                <w:sz w:val="22"/>
                <w:szCs w:val="22"/>
              </w:rPr>
              <w:t>means a Potential Provider with whom the Authority has concluded a Framework Agreement;</w:t>
            </w:r>
          </w:p>
        </w:tc>
      </w:tr>
      <w:tr w:rsidR="004173D9" w:rsidRPr="00C351DF" w14:paraId="4A7BA386" w14:textId="77777777" w:rsidTr="00BC6741">
        <w:trPr>
          <w:cantSplit/>
        </w:trPr>
        <w:tc>
          <w:tcPr>
            <w:tcW w:w="2552" w:type="dxa"/>
            <w:vAlign w:val="center"/>
          </w:tcPr>
          <w:p w14:paraId="4A7BA384" w14:textId="77777777" w:rsidR="004173D9" w:rsidRPr="00C351DF" w:rsidRDefault="004173D9" w:rsidP="00204552">
            <w:pPr>
              <w:pStyle w:val="MarginText"/>
              <w:jc w:val="left"/>
              <w:rPr>
                <w:rFonts w:cs="Arial"/>
                <w:sz w:val="22"/>
                <w:szCs w:val="22"/>
              </w:rPr>
            </w:pPr>
            <w:r w:rsidRPr="00C351DF">
              <w:rPr>
                <w:rFonts w:cs="Arial"/>
                <w:sz w:val="22"/>
                <w:szCs w:val="22"/>
              </w:rPr>
              <w:lastRenderedPageBreak/>
              <w:t>Tender</w:t>
            </w:r>
          </w:p>
        </w:tc>
        <w:tc>
          <w:tcPr>
            <w:tcW w:w="6015" w:type="dxa"/>
          </w:tcPr>
          <w:p w14:paraId="4A7BA385" w14:textId="77777777" w:rsidR="004173D9" w:rsidRPr="00C351DF" w:rsidRDefault="004173D9" w:rsidP="00204552">
            <w:pPr>
              <w:pStyle w:val="MarginText"/>
              <w:jc w:val="left"/>
              <w:rPr>
                <w:rFonts w:cs="Arial"/>
                <w:b/>
                <w:sz w:val="22"/>
                <w:szCs w:val="22"/>
              </w:rPr>
            </w:pPr>
            <w:r w:rsidRPr="00C351DF">
              <w:rPr>
                <w:rFonts w:cs="Arial"/>
                <w:sz w:val="22"/>
                <w:szCs w:val="22"/>
              </w:rPr>
              <w:t>means the Potential Provider’s formal offer in respo</w:t>
            </w:r>
            <w:r w:rsidR="003F0FE7" w:rsidRPr="00C351DF">
              <w:rPr>
                <w:rFonts w:cs="Arial"/>
                <w:sz w:val="22"/>
                <w:szCs w:val="22"/>
              </w:rPr>
              <w:t>nse to the Invitation to Tender;</w:t>
            </w:r>
          </w:p>
        </w:tc>
      </w:tr>
      <w:tr w:rsidR="004173D9" w:rsidRPr="00C351DF" w14:paraId="4A7BA389" w14:textId="77777777" w:rsidTr="00BC6741">
        <w:trPr>
          <w:cantSplit/>
        </w:trPr>
        <w:tc>
          <w:tcPr>
            <w:tcW w:w="2552" w:type="dxa"/>
            <w:vAlign w:val="center"/>
          </w:tcPr>
          <w:p w14:paraId="4A7BA387" w14:textId="77777777" w:rsidR="004173D9" w:rsidRPr="00C351DF" w:rsidRDefault="004173D9" w:rsidP="00204552">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2E7211DE" w:rsidR="004173D9" w:rsidRPr="00C351DF" w:rsidRDefault="004173D9" w:rsidP="00157B70">
            <w:pPr>
              <w:pStyle w:val="MarginText"/>
              <w:jc w:val="left"/>
              <w:rPr>
                <w:rFonts w:cs="Arial"/>
                <w:sz w:val="22"/>
                <w:szCs w:val="22"/>
              </w:rPr>
            </w:pPr>
            <w:r w:rsidRPr="00C351DF">
              <w:rPr>
                <w:rFonts w:cs="Arial"/>
                <w:sz w:val="22"/>
                <w:szCs w:val="22"/>
              </w:rPr>
              <w:t xml:space="preserve">means the time and date set out in </w:t>
            </w:r>
            <w:r w:rsidRPr="00F910FA">
              <w:rPr>
                <w:rFonts w:cs="Arial"/>
                <w:sz w:val="22"/>
                <w:szCs w:val="22"/>
              </w:rPr>
              <w:t xml:space="preserve">paragraph </w:t>
            </w:r>
            <w:r w:rsidR="00157B70" w:rsidRPr="00F910FA">
              <w:rPr>
                <w:rFonts w:cs="Arial"/>
                <w:sz w:val="22"/>
                <w:szCs w:val="22"/>
              </w:rPr>
              <w:fldChar w:fldCharType="begin"/>
            </w:r>
            <w:r w:rsidR="00157B70" w:rsidRPr="00F910FA">
              <w:rPr>
                <w:rFonts w:cs="Arial"/>
                <w:sz w:val="22"/>
                <w:szCs w:val="22"/>
              </w:rPr>
              <w:instrText xml:space="preserve"> REF _Ref414960847 \r \h </w:instrText>
            </w:r>
            <w:r w:rsidR="00F910FA">
              <w:rPr>
                <w:rFonts w:cs="Arial"/>
                <w:sz w:val="22"/>
                <w:szCs w:val="22"/>
              </w:rPr>
              <w:instrText xml:space="preserve"> \* MERGEFORMAT </w:instrText>
            </w:r>
            <w:r w:rsidR="00157B70" w:rsidRPr="00F910FA">
              <w:rPr>
                <w:rFonts w:cs="Arial"/>
                <w:sz w:val="22"/>
                <w:szCs w:val="22"/>
              </w:rPr>
            </w:r>
            <w:r w:rsidR="00157B70" w:rsidRPr="00F910FA">
              <w:rPr>
                <w:rFonts w:cs="Arial"/>
                <w:sz w:val="22"/>
                <w:szCs w:val="22"/>
              </w:rPr>
              <w:fldChar w:fldCharType="separate"/>
            </w:r>
            <w:r w:rsidR="00FD51A8" w:rsidRPr="00F910FA">
              <w:rPr>
                <w:rFonts w:cs="Arial"/>
                <w:sz w:val="22"/>
                <w:szCs w:val="22"/>
              </w:rPr>
              <w:t>4.2</w:t>
            </w:r>
            <w:r w:rsidR="00157B70" w:rsidRPr="00F910FA">
              <w:rPr>
                <w:rFonts w:cs="Arial"/>
                <w:sz w:val="22"/>
                <w:szCs w:val="22"/>
              </w:rPr>
              <w:fldChar w:fldCharType="end"/>
            </w:r>
            <w:r w:rsidRPr="00F910FA">
              <w:rPr>
                <w:rFonts w:cs="Arial"/>
                <w:sz w:val="22"/>
                <w:szCs w:val="22"/>
              </w:rPr>
              <w:t xml:space="preserve"> for the latest submission of clarification questions;</w:t>
            </w:r>
          </w:p>
        </w:tc>
      </w:tr>
      <w:tr w:rsidR="004173D9" w:rsidRPr="00C351DF" w14:paraId="4A7BA38C" w14:textId="77777777" w:rsidTr="00BC6741">
        <w:trPr>
          <w:cantSplit/>
        </w:trPr>
        <w:tc>
          <w:tcPr>
            <w:tcW w:w="2552" w:type="dxa"/>
            <w:vAlign w:val="center"/>
          </w:tcPr>
          <w:p w14:paraId="4A7BA38A" w14:textId="77777777" w:rsidR="004173D9" w:rsidRPr="00C351DF" w:rsidRDefault="004173D9" w:rsidP="00204552">
            <w:pPr>
              <w:pStyle w:val="MarginText"/>
              <w:jc w:val="left"/>
              <w:rPr>
                <w:rFonts w:cs="Arial"/>
                <w:sz w:val="22"/>
                <w:szCs w:val="22"/>
              </w:rPr>
            </w:pPr>
            <w:r w:rsidRPr="00C351DF">
              <w:rPr>
                <w:rFonts w:cs="Arial"/>
                <w:sz w:val="22"/>
                <w:szCs w:val="22"/>
              </w:rPr>
              <w:t>Tender Submission Deadline</w:t>
            </w:r>
          </w:p>
        </w:tc>
        <w:tc>
          <w:tcPr>
            <w:tcW w:w="6015" w:type="dxa"/>
          </w:tcPr>
          <w:p w14:paraId="4A7BA38B" w14:textId="41315B08" w:rsidR="004173D9" w:rsidRPr="00C351DF" w:rsidRDefault="004173D9" w:rsidP="00157B70">
            <w:pPr>
              <w:pStyle w:val="MarginText"/>
              <w:jc w:val="left"/>
              <w:rPr>
                <w:rFonts w:cs="Arial"/>
                <w:b/>
                <w:sz w:val="22"/>
                <w:szCs w:val="22"/>
              </w:rPr>
            </w:pPr>
            <w:r w:rsidRPr="00C351DF">
              <w:rPr>
                <w:rFonts w:cs="Arial"/>
                <w:sz w:val="22"/>
                <w:szCs w:val="22"/>
              </w:rPr>
              <w:t xml:space="preserve">means the time and date set out in </w:t>
            </w:r>
            <w:r w:rsidRPr="00F910FA">
              <w:rPr>
                <w:rFonts w:cs="Arial"/>
                <w:sz w:val="22"/>
                <w:szCs w:val="22"/>
              </w:rPr>
              <w:t xml:space="preserve">paragraph </w:t>
            </w:r>
            <w:r w:rsidR="00157B70" w:rsidRPr="00F910FA">
              <w:rPr>
                <w:rFonts w:cs="Arial"/>
                <w:sz w:val="22"/>
                <w:szCs w:val="22"/>
              </w:rPr>
              <w:fldChar w:fldCharType="begin"/>
            </w:r>
            <w:r w:rsidR="00157B70" w:rsidRPr="00F910FA">
              <w:rPr>
                <w:rFonts w:cs="Arial"/>
                <w:sz w:val="22"/>
                <w:szCs w:val="22"/>
              </w:rPr>
              <w:instrText xml:space="preserve"> REF _Ref414960847 \r \h </w:instrText>
            </w:r>
            <w:r w:rsidR="00F910FA">
              <w:rPr>
                <w:rFonts w:cs="Arial"/>
                <w:sz w:val="22"/>
                <w:szCs w:val="22"/>
              </w:rPr>
              <w:instrText xml:space="preserve"> \* MERGEFORMAT </w:instrText>
            </w:r>
            <w:r w:rsidR="00157B70" w:rsidRPr="00F910FA">
              <w:rPr>
                <w:rFonts w:cs="Arial"/>
                <w:sz w:val="22"/>
                <w:szCs w:val="22"/>
              </w:rPr>
            </w:r>
            <w:r w:rsidR="00157B70" w:rsidRPr="00F910FA">
              <w:rPr>
                <w:rFonts w:cs="Arial"/>
                <w:sz w:val="22"/>
                <w:szCs w:val="22"/>
              </w:rPr>
              <w:fldChar w:fldCharType="separate"/>
            </w:r>
            <w:r w:rsidR="00FD51A8" w:rsidRPr="00F910FA">
              <w:rPr>
                <w:rFonts w:cs="Arial"/>
                <w:sz w:val="22"/>
                <w:szCs w:val="22"/>
              </w:rPr>
              <w:t>4.2</w:t>
            </w:r>
            <w:r w:rsidR="00157B70" w:rsidRPr="00F910FA">
              <w:rPr>
                <w:rFonts w:cs="Arial"/>
                <w:sz w:val="22"/>
                <w:szCs w:val="22"/>
              </w:rPr>
              <w:fldChar w:fldCharType="end"/>
            </w:r>
            <w:r w:rsidRPr="00F910FA">
              <w:rPr>
                <w:rFonts w:cs="Arial"/>
                <w:sz w:val="22"/>
                <w:szCs w:val="22"/>
              </w:rPr>
              <w:t xml:space="preserve"> for</w:t>
            </w:r>
            <w:r w:rsidRPr="00C351DF">
              <w:rPr>
                <w:rFonts w:cs="Arial"/>
                <w:sz w:val="22"/>
                <w:szCs w:val="22"/>
              </w:rPr>
              <w:t xml:space="preserve"> the latest uploading of Tenders; and</w:t>
            </w:r>
          </w:p>
        </w:tc>
      </w:tr>
      <w:tr w:rsidR="00204552" w:rsidRPr="00C351DF" w14:paraId="4A7BA38F" w14:textId="77777777" w:rsidTr="00BC6741">
        <w:trPr>
          <w:cantSplit/>
        </w:trPr>
        <w:tc>
          <w:tcPr>
            <w:tcW w:w="2552" w:type="dxa"/>
            <w:vAlign w:val="center"/>
          </w:tcPr>
          <w:p w14:paraId="4A7BA38D" w14:textId="77777777" w:rsidR="00204552" w:rsidRPr="00C351DF" w:rsidRDefault="00204552" w:rsidP="00204552">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204552" w:rsidRPr="00C351DF" w:rsidRDefault="00204552" w:rsidP="00204552">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0" w14:textId="77777777" w:rsidR="002E55A9" w:rsidRPr="00C351DF" w:rsidRDefault="002E55A9" w:rsidP="002E55A9">
      <w:pPr>
        <w:pStyle w:val="MarginText"/>
        <w:rPr>
          <w:rFonts w:cs="Arial"/>
          <w:sz w:val="22"/>
          <w:szCs w:val="22"/>
        </w:rPr>
      </w:pPr>
      <w:r w:rsidRPr="00C351DF">
        <w:rPr>
          <w:rFonts w:cs="Arial"/>
          <w:sz w:val="22"/>
          <w:szCs w:val="22"/>
        </w:rPr>
        <w:t xml:space="preserve"> </w:t>
      </w:r>
    </w:p>
    <w:p w14:paraId="4A7BA391" w14:textId="77777777" w:rsidR="002E55A9" w:rsidRPr="00C351DF" w:rsidRDefault="002E55A9" w:rsidP="002E55A9">
      <w:pPr>
        <w:pStyle w:val="Heading1"/>
        <w:numPr>
          <w:ilvl w:val="0"/>
          <w:numId w:val="0"/>
        </w:numPr>
        <w:rPr>
          <w:rFonts w:cs="Arial"/>
          <w:sz w:val="22"/>
          <w:szCs w:val="22"/>
        </w:rPr>
      </w:pPr>
    </w:p>
    <w:sectPr w:rsidR="002E55A9" w:rsidRPr="00C351DF" w:rsidSect="00FE3FA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7CF70" w14:textId="77777777" w:rsidR="008605BD" w:rsidRPr="00AE4296" w:rsidRDefault="008605BD" w:rsidP="00AE4296">
      <w:pPr>
        <w:spacing w:after="0" w:line="240" w:lineRule="auto"/>
      </w:pPr>
      <w:r>
        <w:separator/>
      </w:r>
    </w:p>
  </w:endnote>
  <w:endnote w:type="continuationSeparator" w:id="0">
    <w:p w14:paraId="7BC5D989" w14:textId="77777777" w:rsidR="008605BD" w:rsidRPr="00AE4296" w:rsidRDefault="008605BD"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A399" w14:textId="77777777" w:rsidR="00E62DDA" w:rsidRDefault="00E62DDA" w:rsidP="00AE4296">
    <w:pPr>
      <w:pStyle w:val="Footer"/>
      <w:pBdr>
        <w:top w:val="single" w:sz="6" w:space="1" w:color="auto"/>
      </w:pBdr>
      <w:tabs>
        <w:tab w:val="right" w:pos="8647"/>
      </w:tabs>
      <w:rPr>
        <w:rFonts w:ascii="Arial" w:hAnsi="Arial" w:cs="Arial"/>
        <w:sz w:val="16"/>
        <w:szCs w:val="16"/>
        <w:highlight w:val="yellow"/>
      </w:rPr>
    </w:pPr>
  </w:p>
  <w:p w14:paraId="4A7BA39A" w14:textId="4CD6DFDF" w:rsidR="00E62DDA" w:rsidRPr="00AE4296" w:rsidRDefault="00E62DDA" w:rsidP="00AE4296">
    <w:pPr>
      <w:pStyle w:val="Footer"/>
      <w:pBdr>
        <w:top w:val="single" w:sz="6" w:space="1" w:color="auto"/>
      </w:pBdr>
      <w:tabs>
        <w:tab w:val="right" w:pos="8647"/>
      </w:tabs>
      <w:rPr>
        <w:rFonts w:ascii="Arial" w:hAnsi="Arial" w:cs="Arial"/>
        <w:sz w:val="16"/>
        <w:szCs w:val="16"/>
      </w:rPr>
    </w:pPr>
    <w:r w:rsidRPr="00DD1F5D">
      <w:rPr>
        <w:rFonts w:ascii="Arial" w:hAnsi="Arial" w:cs="Arial"/>
        <w:sz w:val="16"/>
        <w:szCs w:val="16"/>
      </w:rPr>
      <w:t>Civil Service Pensions Scheme Medical Advice Contract</w:t>
    </w:r>
    <w:r>
      <w:rPr>
        <w:rFonts w:ascii="Arial" w:hAnsi="Arial" w:cs="Arial"/>
        <w:sz w:val="16"/>
        <w:szCs w:val="16"/>
      </w:rPr>
      <w:tab/>
    </w:r>
    <w:r w:rsidRPr="00A61B3F">
      <w:rPr>
        <w:rFonts w:ascii="Arial" w:hAnsi="Arial" w:cs="Arial"/>
        <w:sz w:val="16"/>
        <w:szCs w:val="16"/>
      </w:rPr>
      <w:fldChar w:fldCharType="begin"/>
    </w:r>
    <w:r w:rsidRPr="00A61B3F">
      <w:rPr>
        <w:rFonts w:ascii="Arial" w:hAnsi="Arial" w:cs="Arial"/>
        <w:sz w:val="16"/>
        <w:szCs w:val="16"/>
      </w:rPr>
      <w:instrText xml:space="preserve"> PAGE   \* MERGEFORMAT </w:instrText>
    </w:r>
    <w:r w:rsidRPr="00A61B3F">
      <w:rPr>
        <w:rFonts w:ascii="Arial" w:hAnsi="Arial" w:cs="Arial"/>
        <w:sz w:val="16"/>
        <w:szCs w:val="16"/>
      </w:rPr>
      <w:fldChar w:fldCharType="separate"/>
    </w:r>
    <w:r w:rsidR="001D2919">
      <w:rPr>
        <w:rFonts w:ascii="Arial" w:hAnsi="Arial" w:cs="Arial"/>
        <w:noProof/>
        <w:sz w:val="16"/>
        <w:szCs w:val="16"/>
      </w:rPr>
      <w:t>3</w:t>
    </w:r>
    <w:r w:rsidRPr="00A61B3F">
      <w:rPr>
        <w:rFonts w:ascii="Arial" w:hAnsi="Arial" w:cs="Arial"/>
        <w:noProof/>
        <w:sz w:val="16"/>
        <w:szCs w:val="16"/>
      </w:rPr>
      <w:fldChar w:fldCharType="end"/>
    </w:r>
  </w:p>
  <w:p w14:paraId="4A7BA39B" w14:textId="77777777" w:rsidR="00E62DDA" w:rsidRPr="00AE4296" w:rsidRDefault="00E62DDA" w:rsidP="00AE4296">
    <w:pPr>
      <w:pStyle w:val="Footer"/>
      <w:pBdr>
        <w:top w:val="single" w:sz="6" w:space="1" w:color="auto"/>
      </w:pBdr>
      <w:tabs>
        <w:tab w:val="right" w:pos="8647"/>
      </w:tabs>
      <w:rPr>
        <w:rFonts w:ascii="Arial" w:hAnsi="Arial" w:cs="Arial"/>
        <w:sz w:val="16"/>
        <w:szCs w:val="16"/>
      </w:rPr>
    </w:pPr>
    <w:r w:rsidRPr="00AE4296">
      <w:rPr>
        <w:rFonts w:ascii="Arial" w:hAnsi="Arial" w:cs="Arial"/>
        <w:sz w:val="16"/>
        <w:szCs w:val="16"/>
      </w:rPr>
      <w:t>Invitation to Tender</w:t>
    </w:r>
  </w:p>
  <w:p w14:paraId="4A7BA39C" w14:textId="77777777" w:rsidR="00E62DDA" w:rsidRPr="00AE4296" w:rsidRDefault="00E62DDA" w:rsidP="00AE4296">
    <w:pPr>
      <w:pStyle w:val="Footer"/>
      <w:pBdr>
        <w:top w:val="single" w:sz="6" w:space="1" w:color="auto"/>
      </w:pBdr>
      <w:tabs>
        <w:tab w:val="right" w:pos="8647"/>
      </w:tabs>
      <w:rPr>
        <w:rFonts w:ascii="Arial" w:hAnsi="Arial" w:cs="Arial"/>
        <w:sz w:val="16"/>
        <w:szCs w:val="16"/>
      </w:rPr>
    </w:pPr>
    <w:r w:rsidRPr="00AE4296">
      <w:rPr>
        <w:rFonts w:ascii="Arial" w:hAnsi="Arial" w:cs="Arial"/>
        <w:sz w:val="16"/>
        <w:szCs w:val="16"/>
      </w:rPr>
      <w:t xml:space="preserve">Attachment </w:t>
    </w:r>
    <w:r>
      <w:rPr>
        <w:rFonts w:ascii="Arial" w:hAnsi="Arial" w:cs="Arial"/>
        <w:sz w:val="16"/>
        <w:szCs w:val="16"/>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79949" w14:textId="77777777" w:rsidR="008605BD" w:rsidRPr="00AE4296" w:rsidRDefault="008605BD" w:rsidP="00AE4296">
      <w:pPr>
        <w:spacing w:after="0" w:line="240" w:lineRule="auto"/>
      </w:pPr>
      <w:r>
        <w:separator/>
      </w:r>
    </w:p>
  </w:footnote>
  <w:footnote w:type="continuationSeparator" w:id="0">
    <w:p w14:paraId="514810B3" w14:textId="77777777" w:rsidR="008605BD" w:rsidRPr="00AE4296" w:rsidRDefault="008605BD"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A398" w14:textId="666F7F3B" w:rsidR="00E62DDA" w:rsidRPr="00C45508" w:rsidRDefault="00E62DDA" w:rsidP="00C45508">
    <w:pPr>
      <w:pStyle w:val="Header"/>
      <w:rPr>
        <w:rFonts w:ascii="Arial" w:hAnsi="Arial" w:cs="Arial"/>
        <w:sz w:val="16"/>
        <w:szCs w:val="16"/>
      </w:rPr>
    </w:pPr>
    <w:r w:rsidRPr="00C45508">
      <w:rPr>
        <w:rFonts w:ascii="Arial" w:hAnsi="Arial" w:cs="Arial"/>
        <w:sz w:val="16"/>
        <w:szCs w:val="16"/>
      </w:rPr>
      <w:tab/>
    </w:r>
    <w:r w:rsidRPr="00C45508">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94200FE0"/>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0"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0"/>
  </w:num>
  <w:num w:numId="4">
    <w:abstractNumId w:val="4"/>
  </w:num>
  <w:num w:numId="5">
    <w:abstractNumId w:val="4"/>
  </w:num>
  <w:num w:numId="6">
    <w:abstractNumId w:val="4"/>
  </w:num>
  <w:num w:numId="7">
    <w:abstractNumId w:val="9"/>
  </w:num>
  <w:num w:numId="8">
    <w:abstractNumId w:val="11"/>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207E"/>
    <w:rsid w:val="00012232"/>
    <w:rsid w:val="0001319E"/>
    <w:rsid w:val="000139DB"/>
    <w:rsid w:val="00015C17"/>
    <w:rsid w:val="000230C3"/>
    <w:rsid w:val="0003026B"/>
    <w:rsid w:val="000339AF"/>
    <w:rsid w:val="00036684"/>
    <w:rsid w:val="0003689B"/>
    <w:rsid w:val="00040763"/>
    <w:rsid w:val="00041C8D"/>
    <w:rsid w:val="000430E9"/>
    <w:rsid w:val="00043B85"/>
    <w:rsid w:val="000465C7"/>
    <w:rsid w:val="00046AD0"/>
    <w:rsid w:val="00047DFF"/>
    <w:rsid w:val="000500B2"/>
    <w:rsid w:val="00052389"/>
    <w:rsid w:val="000630CF"/>
    <w:rsid w:val="00065ECA"/>
    <w:rsid w:val="000675EB"/>
    <w:rsid w:val="00072863"/>
    <w:rsid w:val="0007504E"/>
    <w:rsid w:val="00075735"/>
    <w:rsid w:val="000763E3"/>
    <w:rsid w:val="00082A30"/>
    <w:rsid w:val="000854C2"/>
    <w:rsid w:val="000863B0"/>
    <w:rsid w:val="00086A1A"/>
    <w:rsid w:val="00091631"/>
    <w:rsid w:val="0009178C"/>
    <w:rsid w:val="000922CD"/>
    <w:rsid w:val="00092CA1"/>
    <w:rsid w:val="0009677D"/>
    <w:rsid w:val="00097AE7"/>
    <w:rsid w:val="000A1E77"/>
    <w:rsid w:val="000A5896"/>
    <w:rsid w:val="000B67F6"/>
    <w:rsid w:val="000B6BFA"/>
    <w:rsid w:val="000C0281"/>
    <w:rsid w:val="000C4620"/>
    <w:rsid w:val="000D3A3B"/>
    <w:rsid w:val="000D7C27"/>
    <w:rsid w:val="000E076D"/>
    <w:rsid w:val="000E1369"/>
    <w:rsid w:val="000E1CB7"/>
    <w:rsid w:val="000E5B4D"/>
    <w:rsid w:val="000F32E7"/>
    <w:rsid w:val="000F3512"/>
    <w:rsid w:val="000F7D62"/>
    <w:rsid w:val="000F7FA8"/>
    <w:rsid w:val="00123E0C"/>
    <w:rsid w:val="0012584F"/>
    <w:rsid w:val="00135468"/>
    <w:rsid w:val="00136EE6"/>
    <w:rsid w:val="001372E5"/>
    <w:rsid w:val="00137CD3"/>
    <w:rsid w:val="0014051D"/>
    <w:rsid w:val="00144CB3"/>
    <w:rsid w:val="00146868"/>
    <w:rsid w:val="00151F49"/>
    <w:rsid w:val="00152B47"/>
    <w:rsid w:val="00155B09"/>
    <w:rsid w:val="00157B70"/>
    <w:rsid w:val="00157EEC"/>
    <w:rsid w:val="001638AC"/>
    <w:rsid w:val="00163E18"/>
    <w:rsid w:val="00167874"/>
    <w:rsid w:val="001700D4"/>
    <w:rsid w:val="001728DB"/>
    <w:rsid w:val="00184911"/>
    <w:rsid w:val="0018536D"/>
    <w:rsid w:val="00185572"/>
    <w:rsid w:val="00186EE0"/>
    <w:rsid w:val="00187832"/>
    <w:rsid w:val="001878FA"/>
    <w:rsid w:val="0019042C"/>
    <w:rsid w:val="00194B3D"/>
    <w:rsid w:val="00196735"/>
    <w:rsid w:val="001A16D0"/>
    <w:rsid w:val="001A1B3A"/>
    <w:rsid w:val="001A1BF8"/>
    <w:rsid w:val="001B2733"/>
    <w:rsid w:val="001B534B"/>
    <w:rsid w:val="001C05F9"/>
    <w:rsid w:val="001C43F5"/>
    <w:rsid w:val="001C5FD5"/>
    <w:rsid w:val="001D02FB"/>
    <w:rsid w:val="001D2919"/>
    <w:rsid w:val="001D3D7D"/>
    <w:rsid w:val="001D6004"/>
    <w:rsid w:val="001E12E0"/>
    <w:rsid w:val="001E7924"/>
    <w:rsid w:val="001F0C3A"/>
    <w:rsid w:val="001F1C27"/>
    <w:rsid w:val="001F5202"/>
    <w:rsid w:val="001F7DF1"/>
    <w:rsid w:val="00200D55"/>
    <w:rsid w:val="00201279"/>
    <w:rsid w:val="00201B32"/>
    <w:rsid w:val="0020219D"/>
    <w:rsid w:val="002043F0"/>
    <w:rsid w:val="00204552"/>
    <w:rsid w:val="00211044"/>
    <w:rsid w:val="002138FB"/>
    <w:rsid w:val="00214032"/>
    <w:rsid w:val="0021440A"/>
    <w:rsid w:val="0021666E"/>
    <w:rsid w:val="00217D3A"/>
    <w:rsid w:val="002217B0"/>
    <w:rsid w:val="00226EA9"/>
    <w:rsid w:val="00230905"/>
    <w:rsid w:val="00236FBB"/>
    <w:rsid w:val="00247FD2"/>
    <w:rsid w:val="00251AE6"/>
    <w:rsid w:val="002529E3"/>
    <w:rsid w:val="0025638E"/>
    <w:rsid w:val="002571B0"/>
    <w:rsid w:val="00257344"/>
    <w:rsid w:val="0026797D"/>
    <w:rsid w:val="00273361"/>
    <w:rsid w:val="0028092A"/>
    <w:rsid w:val="00280DAC"/>
    <w:rsid w:val="00283512"/>
    <w:rsid w:val="0028377D"/>
    <w:rsid w:val="002920E5"/>
    <w:rsid w:val="002A2319"/>
    <w:rsid w:val="002A399A"/>
    <w:rsid w:val="002A4D8E"/>
    <w:rsid w:val="002A5365"/>
    <w:rsid w:val="002A5EE2"/>
    <w:rsid w:val="002A6C07"/>
    <w:rsid w:val="002B3F57"/>
    <w:rsid w:val="002B739B"/>
    <w:rsid w:val="002C36F2"/>
    <w:rsid w:val="002C4CF7"/>
    <w:rsid w:val="002C6622"/>
    <w:rsid w:val="002D0C28"/>
    <w:rsid w:val="002D4C69"/>
    <w:rsid w:val="002D75B4"/>
    <w:rsid w:val="002E0412"/>
    <w:rsid w:val="002E0625"/>
    <w:rsid w:val="002E55A9"/>
    <w:rsid w:val="002F63EA"/>
    <w:rsid w:val="003068ED"/>
    <w:rsid w:val="00312348"/>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4882"/>
    <w:rsid w:val="00365ED9"/>
    <w:rsid w:val="003704C8"/>
    <w:rsid w:val="00370CEF"/>
    <w:rsid w:val="003746A7"/>
    <w:rsid w:val="003801D8"/>
    <w:rsid w:val="00387FB6"/>
    <w:rsid w:val="00396DD7"/>
    <w:rsid w:val="003979E5"/>
    <w:rsid w:val="003A05B1"/>
    <w:rsid w:val="003A50EC"/>
    <w:rsid w:val="003A7F98"/>
    <w:rsid w:val="003B1AE1"/>
    <w:rsid w:val="003B1F13"/>
    <w:rsid w:val="003B7836"/>
    <w:rsid w:val="003C0934"/>
    <w:rsid w:val="003C2C12"/>
    <w:rsid w:val="003C2FE5"/>
    <w:rsid w:val="003C6822"/>
    <w:rsid w:val="003C6DDC"/>
    <w:rsid w:val="003D1592"/>
    <w:rsid w:val="003E7537"/>
    <w:rsid w:val="003F0FE7"/>
    <w:rsid w:val="003F1887"/>
    <w:rsid w:val="003F6F1C"/>
    <w:rsid w:val="00401557"/>
    <w:rsid w:val="00404419"/>
    <w:rsid w:val="0040452E"/>
    <w:rsid w:val="004050D0"/>
    <w:rsid w:val="00405EFE"/>
    <w:rsid w:val="00410D69"/>
    <w:rsid w:val="004173D9"/>
    <w:rsid w:val="00421979"/>
    <w:rsid w:val="00421B87"/>
    <w:rsid w:val="00421DCA"/>
    <w:rsid w:val="00422F8D"/>
    <w:rsid w:val="00423923"/>
    <w:rsid w:val="004255BC"/>
    <w:rsid w:val="00425CE5"/>
    <w:rsid w:val="004273ED"/>
    <w:rsid w:val="0043091F"/>
    <w:rsid w:val="00435A26"/>
    <w:rsid w:val="00437F0A"/>
    <w:rsid w:val="0044617C"/>
    <w:rsid w:val="0045014B"/>
    <w:rsid w:val="004538FC"/>
    <w:rsid w:val="004547B7"/>
    <w:rsid w:val="00456421"/>
    <w:rsid w:val="00457CCB"/>
    <w:rsid w:val="0046084F"/>
    <w:rsid w:val="00461495"/>
    <w:rsid w:val="00465587"/>
    <w:rsid w:val="004657AF"/>
    <w:rsid w:val="004664D7"/>
    <w:rsid w:val="0047142D"/>
    <w:rsid w:val="00471A69"/>
    <w:rsid w:val="0047452D"/>
    <w:rsid w:val="00476BB8"/>
    <w:rsid w:val="0048192A"/>
    <w:rsid w:val="00493DC0"/>
    <w:rsid w:val="00495F1B"/>
    <w:rsid w:val="004974A8"/>
    <w:rsid w:val="004A23D3"/>
    <w:rsid w:val="004A5407"/>
    <w:rsid w:val="004B7912"/>
    <w:rsid w:val="004C2B2C"/>
    <w:rsid w:val="004C686F"/>
    <w:rsid w:val="004C6C4C"/>
    <w:rsid w:val="004C786D"/>
    <w:rsid w:val="004C7FB0"/>
    <w:rsid w:val="004D26E7"/>
    <w:rsid w:val="004D5117"/>
    <w:rsid w:val="004D65D8"/>
    <w:rsid w:val="004D687A"/>
    <w:rsid w:val="004E1986"/>
    <w:rsid w:val="004E1EAA"/>
    <w:rsid w:val="004F0745"/>
    <w:rsid w:val="004F0CF3"/>
    <w:rsid w:val="004F4FD6"/>
    <w:rsid w:val="004F63C2"/>
    <w:rsid w:val="004F7E11"/>
    <w:rsid w:val="005011AF"/>
    <w:rsid w:val="0050187F"/>
    <w:rsid w:val="005043D7"/>
    <w:rsid w:val="0050487C"/>
    <w:rsid w:val="00504EB3"/>
    <w:rsid w:val="00510182"/>
    <w:rsid w:val="00513DF5"/>
    <w:rsid w:val="005148E7"/>
    <w:rsid w:val="005163B1"/>
    <w:rsid w:val="00516DB3"/>
    <w:rsid w:val="005236AC"/>
    <w:rsid w:val="005258AE"/>
    <w:rsid w:val="00532837"/>
    <w:rsid w:val="00541614"/>
    <w:rsid w:val="005456F0"/>
    <w:rsid w:val="00545A8E"/>
    <w:rsid w:val="00552486"/>
    <w:rsid w:val="005547CD"/>
    <w:rsid w:val="00556E8E"/>
    <w:rsid w:val="0056272F"/>
    <w:rsid w:val="00566C83"/>
    <w:rsid w:val="00572248"/>
    <w:rsid w:val="00576C62"/>
    <w:rsid w:val="005777E7"/>
    <w:rsid w:val="00577A16"/>
    <w:rsid w:val="005856B9"/>
    <w:rsid w:val="0058734C"/>
    <w:rsid w:val="005960B4"/>
    <w:rsid w:val="005A4ECF"/>
    <w:rsid w:val="005B545B"/>
    <w:rsid w:val="005C32AF"/>
    <w:rsid w:val="005C4680"/>
    <w:rsid w:val="005C599F"/>
    <w:rsid w:val="005C7FDC"/>
    <w:rsid w:val="005D097F"/>
    <w:rsid w:val="005D1A78"/>
    <w:rsid w:val="005D1A7A"/>
    <w:rsid w:val="005D2846"/>
    <w:rsid w:val="005D58E6"/>
    <w:rsid w:val="005D6B57"/>
    <w:rsid w:val="005D78C9"/>
    <w:rsid w:val="005D7CFB"/>
    <w:rsid w:val="005E7EAF"/>
    <w:rsid w:val="005F1771"/>
    <w:rsid w:val="006014B9"/>
    <w:rsid w:val="0062053C"/>
    <w:rsid w:val="00624B0F"/>
    <w:rsid w:val="006261CF"/>
    <w:rsid w:val="00627CEE"/>
    <w:rsid w:val="00630D4F"/>
    <w:rsid w:val="00633D3A"/>
    <w:rsid w:val="006411D4"/>
    <w:rsid w:val="006441F3"/>
    <w:rsid w:val="006461C3"/>
    <w:rsid w:val="006504BD"/>
    <w:rsid w:val="006523E9"/>
    <w:rsid w:val="00653A8C"/>
    <w:rsid w:val="00653B85"/>
    <w:rsid w:val="006607CA"/>
    <w:rsid w:val="00664785"/>
    <w:rsid w:val="00664852"/>
    <w:rsid w:val="00664D40"/>
    <w:rsid w:val="006859B2"/>
    <w:rsid w:val="00685A4D"/>
    <w:rsid w:val="00687015"/>
    <w:rsid w:val="0069087A"/>
    <w:rsid w:val="00691A63"/>
    <w:rsid w:val="00691B80"/>
    <w:rsid w:val="00696C71"/>
    <w:rsid w:val="006A1F15"/>
    <w:rsid w:val="006A4829"/>
    <w:rsid w:val="006A4DB5"/>
    <w:rsid w:val="006A57A3"/>
    <w:rsid w:val="006A77BD"/>
    <w:rsid w:val="006B099E"/>
    <w:rsid w:val="006B547D"/>
    <w:rsid w:val="006B7757"/>
    <w:rsid w:val="006B7BAA"/>
    <w:rsid w:val="006C2BE6"/>
    <w:rsid w:val="006C34D2"/>
    <w:rsid w:val="006C5771"/>
    <w:rsid w:val="006D17A1"/>
    <w:rsid w:val="006D35A5"/>
    <w:rsid w:val="006D3BC9"/>
    <w:rsid w:val="006D4CCF"/>
    <w:rsid w:val="006E36BA"/>
    <w:rsid w:val="006E624F"/>
    <w:rsid w:val="006E6BAB"/>
    <w:rsid w:val="006F03E6"/>
    <w:rsid w:val="006F1877"/>
    <w:rsid w:val="006F18B9"/>
    <w:rsid w:val="007050F2"/>
    <w:rsid w:val="00706CC1"/>
    <w:rsid w:val="007148FB"/>
    <w:rsid w:val="007237F7"/>
    <w:rsid w:val="00723DB0"/>
    <w:rsid w:val="00726115"/>
    <w:rsid w:val="00727E28"/>
    <w:rsid w:val="00733EC2"/>
    <w:rsid w:val="00735B24"/>
    <w:rsid w:val="00736161"/>
    <w:rsid w:val="00742D60"/>
    <w:rsid w:val="0074524C"/>
    <w:rsid w:val="0074685E"/>
    <w:rsid w:val="007509FD"/>
    <w:rsid w:val="007519C6"/>
    <w:rsid w:val="00760427"/>
    <w:rsid w:val="00763FE4"/>
    <w:rsid w:val="00771451"/>
    <w:rsid w:val="007735A9"/>
    <w:rsid w:val="00775F1F"/>
    <w:rsid w:val="0077659A"/>
    <w:rsid w:val="007766A8"/>
    <w:rsid w:val="007776D8"/>
    <w:rsid w:val="00777869"/>
    <w:rsid w:val="00780634"/>
    <w:rsid w:val="00781ECC"/>
    <w:rsid w:val="00787F59"/>
    <w:rsid w:val="0079033B"/>
    <w:rsid w:val="00790CAD"/>
    <w:rsid w:val="00793590"/>
    <w:rsid w:val="00794E1C"/>
    <w:rsid w:val="00794FDB"/>
    <w:rsid w:val="007A155C"/>
    <w:rsid w:val="007A3E72"/>
    <w:rsid w:val="007A4CE4"/>
    <w:rsid w:val="007A5B77"/>
    <w:rsid w:val="007A6596"/>
    <w:rsid w:val="007B3287"/>
    <w:rsid w:val="007C19E7"/>
    <w:rsid w:val="007C3F94"/>
    <w:rsid w:val="007C708C"/>
    <w:rsid w:val="007D6A4F"/>
    <w:rsid w:val="007E6966"/>
    <w:rsid w:val="007E6E16"/>
    <w:rsid w:val="007E710F"/>
    <w:rsid w:val="007F49AC"/>
    <w:rsid w:val="007F50EB"/>
    <w:rsid w:val="007F6C1A"/>
    <w:rsid w:val="007F7869"/>
    <w:rsid w:val="00801B21"/>
    <w:rsid w:val="008029E5"/>
    <w:rsid w:val="00804C05"/>
    <w:rsid w:val="00806AE2"/>
    <w:rsid w:val="00806DCB"/>
    <w:rsid w:val="00807181"/>
    <w:rsid w:val="008073E4"/>
    <w:rsid w:val="0081474C"/>
    <w:rsid w:val="00815B34"/>
    <w:rsid w:val="008208AD"/>
    <w:rsid w:val="00821C24"/>
    <w:rsid w:val="00822613"/>
    <w:rsid w:val="0082577C"/>
    <w:rsid w:val="0083573D"/>
    <w:rsid w:val="0083744C"/>
    <w:rsid w:val="008405F4"/>
    <w:rsid w:val="00841242"/>
    <w:rsid w:val="00846C8B"/>
    <w:rsid w:val="0085176E"/>
    <w:rsid w:val="008555C6"/>
    <w:rsid w:val="008605BD"/>
    <w:rsid w:val="00861BC5"/>
    <w:rsid w:val="00864044"/>
    <w:rsid w:val="008657D3"/>
    <w:rsid w:val="00870105"/>
    <w:rsid w:val="00871EEB"/>
    <w:rsid w:val="00877A14"/>
    <w:rsid w:val="00880EB4"/>
    <w:rsid w:val="00883898"/>
    <w:rsid w:val="008A13F9"/>
    <w:rsid w:val="008A36FC"/>
    <w:rsid w:val="008A757F"/>
    <w:rsid w:val="008B00D0"/>
    <w:rsid w:val="008B0153"/>
    <w:rsid w:val="008B3BDC"/>
    <w:rsid w:val="008C0D19"/>
    <w:rsid w:val="008C27F8"/>
    <w:rsid w:val="008C529E"/>
    <w:rsid w:val="008C5B84"/>
    <w:rsid w:val="008D61B1"/>
    <w:rsid w:val="008D6941"/>
    <w:rsid w:val="008F2163"/>
    <w:rsid w:val="00901DF4"/>
    <w:rsid w:val="0090372A"/>
    <w:rsid w:val="00905246"/>
    <w:rsid w:val="0091350D"/>
    <w:rsid w:val="009158EF"/>
    <w:rsid w:val="00920949"/>
    <w:rsid w:val="00926E97"/>
    <w:rsid w:val="009275BB"/>
    <w:rsid w:val="00933216"/>
    <w:rsid w:val="00945B92"/>
    <w:rsid w:val="00955445"/>
    <w:rsid w:val="00957790"/>
    <w:rsid w:val="00960A79"/>
    <w:rsid w:val="009619EF"/>
    <w:rsid w:val="0096229D"/>
    <w:rsid w:val="00971919"/>
    <w:rsid w:val="009726F6"/>
    <w:rsid w:val="00972E79"/>
    <w:rsid w:val="00982327"/>
    <w:rsid w:val="009827CA"/>
    <w:rsid w:val="0098284A"/>
    <w:rsid w:val="00983BF7"/>
    <w:rsid w:val="00985708"/>
    <w:rsid w:val="0098602E"/>
    <w:rsid w:val="00994593"/>
    <w:rsid w:val="009A08F0"/>
    <w:rsid w:val="009A1C1A"/>
    <w:rsid w:val="009B0331"/>
    <w:rsid w:val="009B1299"/>
    <w:rsid w:val="009B1D18"/>
    <w:rsid w:val="009C78D9"/>
    <w:rsid w:val="009C7984"/>
    <w:rsid w:val="009D30E5"/>
    <w:rsid w:val="009D3B50"/>
    <w:rsid w:val="009D588D"/>
    <w:rsid w:val="009D5CA1"/>
    <w:rsid w:val="009E157B"/>
    <w:rsid w:val="009E6709"/>
    <w:rsid w:val="009F219D"/>
    <w:rsid w:val="00A005CF"/>
    <w:rsid w:val="00A01EA8"/>
    <w:rsid w:val="00A0768C"/>
    <w:rsid w:val="00A12354"/>
    <w:rsid w:val="00A12B00"/>
    <w:rsid w:val="00A138C8"/>
    <w:rsid w:val="00A14B8A"/>
    <w:rsid w:val="00A16E95"/>
    <w:rsid w:val="00A17812"/>
    <w:rsid w:val="00A17913"/>
    <w:rsid w:val="00A2048D"/>
    <w:rsid w:val="00A2254A"/>
    <w:rsid w:val="00A22D37"/>
    <w:rsid w:val="00A24C1A"/>
    <w:rsid w:val="00A25E0C"/>
    <w:rsid w:val="00A32222"/>
    <w:rsid w:val="00A326A6"/>
    <w:rsid w:val="00A35B54"/>
    <w:rsid w:val="00A370DF"/>
    <w:rsid w:val="00A37F16"/>
    <w:rsid w:val="00A4268A"/>
    <w:rsid w:val="00A436B1"/>
    <w:rsid w:val="00A53715"/>
    <w:rsid w:val="00A540E3"/>
    <w:rsid w:val="00A546B3"/>
    <w:rsid w:val="00A5678D"/>
    <w:rsid w:val="00A60099"/>
    <w:rsid w:val="00A610DD"/>
    <w:rsid w:val="00A61B3F"/>
    <w:rsid w:val="00A64E16"/>
    <w:rsid w:val="00A66BBE"/>
    <w:rsid w:val="00A708D4"/>
    <w:rsid w:val="00A70F9F"/>
    <w:rsid w:val="00A7413B"/>
    <w:rsid w:val="00A77F87"/>
    <w:rsid w:val="00A8588F"/>
    <w:rsid w:val="00A86401"/>
    <w:rsid w:val="00A906E4"/>
    <w:rsid w:val="00A94867"/>
    <w:rsid w:val="00AA1BD9"/>
    <w:rsid w:val="00AA26F8"/>
    <w:rsid w:val="00AA6A52"/>
    <w:rsid w:val="00AA6DA7"/>
    <w:rsid w:val="00AA7F31"/>
    <w:rsid w:val="00AB18AB"/>
    <w:rsid w:val="00AB352C"/>
    <w:rsid w:val="00AB4C2D"/>
    <w:rsid w:val="00AB571A"/>
    <w:rsid w:val="00AB6352"/>
    <w:rsid w:val="00AB7BB3"/>
    <w:rsid w:val="00AD4A4F"/>
    <w:rsid w:val="00AE0369"/>
    <w:rsid w:val="00AE044C"/>
    <w:rsid w:val="00AE0DC2"/>
    <w:rsid w:val="00AE1028"/>
    <w:rsid w:val="00AE1749"/>
    <w:rsid w:val="00AE391F"/>
    <w:rsid w:val="00AE4296"/>
    <w:rsid w:val="00AE7805"/>
    <w:rsid w:val="00AF0C4A"/>
    <w:rsid w:val="00AF0D1F"/>
    <w:rsid w:val="00AF101E"/>
    <w:rsid w:val="00AF2BC0"/>
    <w:rsid w:val="00AF3320"/>
    <w:rsid w:val="00AF3AD4"/>
    <w:rsid w:val="00B0735D"/>
    <w:rsid w:val="00B16DD8"/>
    <w:rsid w:val="00B21B47"/>
    <w:rsid w:val="00B232AE"/>
    <w:rsid w:val="00B27920"/>
    <w:rsid w:val="00B30744"/>
    <w:rsid w:val="00B3457F"/>
    <w:rsid w:val="00B37622"/>
    <w:rsid w:val="00B508A9"/>
    <w:rsid w:val="00B5350C"/>
    <w:rsid w:val="00B55BE0"/>
    <w:rsid w:val="00B63957"/>
    <w:rsid w:val="00B7002F"/>
    <w:rsid w:val="00B71515"/>
    <w:rsid w:val="00B73CDE"/>
    <w:rsid w:val="00B776D7"/>
    <w:rsid w:val="00B82464"/>
    <w:rsid w:val="00B82F88"/>
    <w:rsid w:val="00B840D8"/>
    <w:rsid w:val="00B91DD8"/>
    <w:rsid w:val="00B923B9"/>
    <w:rsid w:val="00BA0C42"/>
    <w:rsid w:val="00BA0E58"/>
    <w:rsid w:val="00BA39F3"/>
    <w:rsid w:val="00BA514C"/>
    <w:rsid w:val="00BA7728"/>
    <w:rsid w:val="00BB060C"/>
    <w:rsid w:val="00BB56D7"/>
    <w:rsid w:val="00BB7972"/>
    <w:rsid w:val="00BC2F5C"/>
    <w:rsid w:val="00BC6741"/>
    <w:rsid w:val="00BD272C"/>
    <w:rsid w:val="00BE0A6D"/>
    <w:rsid w:val="00BE4D8D"/>
    <w:rsid w:val="00BE508C"/>
    <w:rsid w:val="00BE6D1F"/>
    <w:rsid w:val="00BE7A7A"/>
    <w:rsid w:val="00BE7BED"/>
    <w:rsid w:val="00BF0995"/>
    <w:rsid w:val="00BF21C9"/>
    <w:rsid w:val="00BF2CFB"/>
    <w:rsid w:val="00BF31A6"/>
    <w:rsid w:val="00BF6C46"/>
    <w:rsid w:val="00C04AEB"/>
    <w:rsid w:val="00C067B8"/>
    <w:rsid w:val="00C1286C"/>
    <w:rsid w:val="00C131DC"/>
    <w:rsid w:val="00C13C0C"/>
    <w:rsid w:val="00C14FD4"/>
    <w:rsid w:val="00C1754A"/>
    <w:rsid w:val="00C23A6B"/>
    <w:rsid w:val="00C3130F"/>
    <w:rsid w:val="00C332F0"/>
    <w:rsid w:val="00C351DF"/>
    <w:rsid w:val="00C3737F"/>
    <w:rsid w:val="00C433C6"/>
    <w:rsid w:val="00C45508"/>
    <w:rsid w:val="00C50851"/>
    <w:rsid w:val="00C54E76"/>
    <w:rsid w:val="00C57281"/>
    <w:rsid w:val="00C618C0"/>
    <w:rsid w:val="00C62AD5"/>
    <w:rsid w:val="00C649E4"/>
    <w:rsid w:val="00C65A4C"/>
    <w:rsid w:val="00C666A4"/>
    <w:rsid w:val="00C67EDD"/>
    <w:rsid w:val="00C71192"/>
    <w:rsid w:val="00C739CD"/>
    <w:rsid w:val="00C760DD"/>
    <w:rsid w:val="00C76D3B"/>
    <w:rsid w:val="00C849D0"/>
    <w:rsid w:val="00C94952"/>
    <w:rsid w:val="00CA1007"/>
    <w:rsid w:val="00CA2175"/>
    <w:rsid w:val="00CA4667"/>
    <w:rsid w:val="00CA476A"/>
    <w:rsid w:val="00CA7415"/>
    <w:rsid w:val="00CB2224"/>
    <w:rsid w:val="00CB7EAA"/>
    <w:rsid w:val="00CD14A5"/>
    <w:rsid w:val="00CD39EA"/>
    <w:rsid w:val="00CD5777"/>
    <w:rsid w:val="00CD7015"/>
    <w:rsid w:val="00CE13D1"/>
    <w:rsid w:val="00CE7E92"/>
    <w:rsid w:val="00CF117F"/>
    <w:rsid w:val="00CF144D"/>
    <w:rsid w:val="00CF165E"/>
    <w:rsid w:val="00CF2F3C"/>
    <w:rsid w:val="00CF5E00"/>
    <w:rsid w:val="00CF77C0"/>
    <w:rsid w:val="00D129DB"/>
    <w:rsid w:val="00D130FA"/>
    <w:rsid w:val="00D14005"/>
    <w:rsid w:val="00D15C44"/>
    <w:rsid w:val="00D1644A"/>
    <w:rsid w:val="00D171DC"/>
    <w:rsid w:val="00D176B8"/>
    <w:rsid w:val="00D22BE7"/>
    <w:rsid w:val="00D22EF6"/>
    <w:rsid w:val="00D23666"/>
    <w:rsid w:val="00D25CAC"/>
    <w:rsid w:val="00D26A42"/>
    <w:rsid w:val="00D33ADB"/>
    <w:rsid w:val="00D34895"/>
    <w:rsid w:val="00D410F3"/>
    <w:rsid w:val="00D50619"/>
    <w:rsid w:val="00D54960"/>
    <w:rsid w:val="00D54966"/>
    <w:rsid w:val="00D54E0A"/>
    <w:rsid w:val="00D54FC8"/>
    <w:rsid w:val="00D60606"/>
    <w:rsid w:val="00D62B3B"/>
    <w:rsid w:val="00D66239"/>
    <w:rsid w:val="00D71970"/>
    <w:rsid w:val="00D76C40"/>
    <w:rsid w:val="00D82CE6"/>
    <w:rsid w:val="00D8677A"/>
    <w:rsid w:val="00D9161C"/>
    <w:rsid w:val="00D91CD8"/>
    <w:rsid w:val="00D9660D"/>
    <w:rsid w:val="00D96ABA"/>
    <w:rsid w:val="00DA2075"/>
    <w:rsid w:val="00DA2AF5"/>
    <w:rsid w:val="00DB0528"/>
    <w:rsid w:val="00DB1A4B"/>
    <w:rsid w:val="00DB5A80"/>
    <w:rsid w:val="00DB5CC0"/>
    <w:rsid w:val="00DB6EAF"/>
    <w:rsid w:val="00DC0C25"/>
    <w:rsid w:val="00DC2189"/>
    <w:rsid w:val="00DD1F5D"/>
    <w:rsid w:val="00DD3C7A"/>
    <w:rsid w:val="00DD6B9C"/>
    <w:rsid w:val="00DE49C1"/>
    <w:rsid w:val="00DF4B56"/>
    <w:rsid w:val="00E01232"/>
    <w:rsid w:val="00E013F0"/>
    <w:rsid w:val="00E032C9"/>
    <w:rsid w:val="00E12962"/>
    <w:rsid w:val="00E221B6"/>
    <w:rsid w:val="00E22D56"/>
    <w:rsid w:val="00E27050"/>
    <w:rsid w:val="00E31659"/>
    <w:rsid w:val="00E33F81"/>
    <w:rsid w:val="00E3612F"/>
    <w:rsid w:val="00E413F3"/>
    <w:rsid w:val="00E43A83"/>
    <w:rsid w:val="00E44D7C"/>
    <w:rsid w:val="00E50117"/>
    <w:rsid w:val="00E50241"/>
    <w:rsid w:val="00E5300D"/>
    <w:rsid w:val="00E53F5D"/>
    <w:rsid w:val="00E558FB"/>
    <w:rsid w:val="00E55F7D"/>
    <w:rsid w:val="00E57B81"/>
    <w:rsid w:val="00E628C7"/>
    <w:rsid w:val="00E62DDA"/>
    <w:rsid w:val="00E653E0"/>
    <w:rsid w:val="00E656EF"/>
    <w:rsid w:val="00E676DF"/>
    <w:rsid w:val="00E718D6"/>
    <w:rsid w:val="00E73269"/>
    <w:rsid w:val="00E76AEA"/>
    <w:rsid w:val="00E806B0"/>
    <w:rsid w:val="00E82445"/>
    <w:rsid w:val="00E87584"/>
    <w:rsid w:val="00E907EE"/>
    <w:rsid w:val="00E90DEA"/>
    <w:rsid w:val="00E940AE"/>
    <w:rsid w:val="00E9541E"/>
    <w:rsid w:val="00EB45FC"/>
    <w:rsid w:val="00EB747F"/>
    <w:rsid w:val="00EC238C"/>
    <w:rsid w:val="00EC2BF0"/>
    <w:rsid w:val="00EC3DFE"/>
    <w:rsid w:val="00EC3E78"/>
    <w:rsid w:val="00ED380A"/>
    <w:rsid w:val="00ED3CD6"/>
    <w:rsid w:val="00ED47E3"/>
    <w:rsid w:val="00ED4D5D"/>
    <w:rsid w:val="00ED6692"/>
    <w:rsid w:val="00ED7D03"/>
    <w:rsid w:val="00EE5AFC"/>
    <w:rsid w:val="00EE61FE"/>
    <w:rsid w:val="00EE6DD4"/>
    <w:rsid w:val="00EF5C13"/>
    <w:rsid w:val="00EF60E3"/>
    <w:rsid w:val="00F0555F"/>
    <w:rsid w:val="00F05BAE"/>
    <w:rsid w:val="00F06003"/>
    <w:rsid w:val="00F069E1"/>
    <w:rsid w:val="00F074A5"/>
    <w:rsid w:val="00F10AC9"/>
    <w:rsid w:val="00F11923"/>
    <w:rsid w:val="00F1645A"/>
    <w:rsid w:val="00F20CC9"/>
    <w:rsid w:val="00F22517"/>
    <w:rsid w:val="00F2595A"/>
    <w:rsid w:val="00F25BFF"/>
    <w:rsid w:val="00F27F41"/>
    <w:rsid w:val="00F3323B"/>
    <w:rsid w:val="00F34F19"/>
    <w:rsid w:val="00F40764"/>
    <w:rsid w:val="00F42490"/>
    <w:rsid w:val="00F44561"/>
    <w:rsid w:val="00F449EB"/>
    <w:rsid w:val="00F4723D"/>
    <w:rsid w:val="00F517B1"/>
    <w:rsid w:val="00F54549"/>
    <w:rsid w:val="00F5776F"/>
    <w:rsid w:val="00F7532E"/>
    <w:rsid w:val="00F75D6B"/>
    <w:rsid w:val="00F80672"/>
    <w:rsid w:val="00F80C32"/>
    <w:rsid w:val="00F86972"/>
    <w:rsid w:val="00F910FA"/>
    <w:rsid w:val="00FA0457"/>
    <w:rsid w:val="00FA7357"/>
    <w:rsid w:val="00FA7E24"/>
    <w:rsid w:val="00FB67F3"/>
    <w:rsid w:val="00FC0FFB"/>
    <w:rsid w:val="00FC14D7"/>
    <w:rsid w:val="00FC37FC"/>
    <w:rsid w:val="00FD0AEF"/>
    <w:rsid w:val="00FD1216"/>
    <w:rsid w:val="00FD15A7"/>
    <w:rsid w:val="00FD31C2"/>
    <w:rsid w:val="00FD51A8"/>
    <w:rsid w:val="00FE070B"/>
    <w:rsid w:val="00FE3FA1"/>
    <w:rsid w:val="00FF06CA"/>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545AC948-8361-447C-8BA3-F9ED69AF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basedOn w:val="Normal"/>
    <w:next w:val="Normal"/>
    <w:link w:val="Heading5Char"/>
    <w:uiPriority w:val="9"/>
    <w:semiHidden/>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nterprise/policies/sme/facts-figures-analysis/sme-defini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5/102/contents/m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E19E5E34-D036-48BB-8E3B-AD53597F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6398</Words>
  <Characters>36470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42783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dc:creator>
  <dc:description>This set of documents contains many improvements and must be used as your starting point in all procurements. As you use them, please give your comments and feedback to Cheryl Joyce, Marie Clarke and Rob Croft.</dc:description>
  <cp:lastModifiedBy>Nick Bibby</cp:lastModifiedBy>
  <cp:revision>5</cp:revision>
  <cp:lastPrinted>2016-07-26T14:22:00Z</cp:lastPrinted>
  <dcterms:created xsi:type="dcterms:W3CDTF">2016-08-17T12:36:00Z</dcterms:created>
  <dcterms:modified xsi:type="dcterms:W3CDTF">2016-08-23T08:03:00Z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