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72F" w:rsidRDefault="00317BF0">
      <w:pPr>
        <w:spacing w:after="228"/>
        <w:ind w:left="195" w:right="156" w:hanging="10"/>
        <w:jc w:val="center"/>
      </w:pPr>
      <w:r>
        <w:rPr>
          <w:rFonts w:ascii="Arial" w:eastAsia="Arial" w:hAnsi="Arial" w:cs="Arial"/>
          <w:b/>
        </w:rPr>
        <w:t xml:space="preserve">CONTRACT ORDER FORM </w:t>
      </w:r>
    </w:p>
    <w:p w:rsidR="0096072F" w:rsidRDefault="0096072F">
      <w:pPr>
        <w:spacing w:after="0" w:line="256" w:lineRule="auto"/>
        <w:ind w:left="34"/>
        <w:rPr>
          <w:rFonts w:ascii="Arial" w:eastAsia="Arial" w:hAnsi="Arial" w:cs="Arial"/>
        </w:rPr>
      </w:pPr>
    </w:p>
    <w:p w:rsidR="0096072F" w:rsidRDefault="00317BF0">
      <w:pPr>
        <w:spacing w:after="0"/>
        <w:ind w:left="42" w:right="52"/>
      </w:pPr>
      <w:r>
        <w:rPr>
          <w:rFonts w:ascii="Arial" w:eastAsia="Arial" w:hAnsi="Arial" w:cs="Arial"/>
        </w:rPr>
        <w:t xml:space="preserve">This Contract Order Form is issued in accordance with the provisions of the Apprenticeship Training Provider Dynamic Marketplace (DMP) Agreement for the provision of </w:t>
      </w:r>
      <w:r>
        <w:rPr>
          <w:rFonts w:ascii="Arial" w:eastAsia="Arial" w:hAnsi="Arial" w:cs="Arial"/>
          <w:b/>
        </w:rPr>
        <w:t xml:space="preserve">Level 4 Apprenticeship Provider. </w:t>
      </w:r>
      <w:r>
        <w:rPr>
          <w:rFonts w:ascii="Arial" w:eastAsia="Arial" w:hAnsi="Arial" w:cs="Arial"/>
        </w:rPr>
        <w:t xml:space="preserve">Dated [ 13/03/2023].  </w:t>
      </w:r>
    </w:p>
    <w:p w:rsidR="0096072F" w:rsidRDefault="0096072F">
      <w:pPr>
        <w:spacing w:after="0" w:line="256" w:lineRule="auto"/>
        <w:ind w:left="34"/>
        <w:rPr>
          <w:rFonts w:ascii="Arial" w:eastAsia="Arial" w:hAnsi="Arial" w:cs="Arial"/>
        </w:rPr>
      </w:pPr>
    </w:p>
    <w:p w:rsidR="0096072F" w:rsidRDefault="00317BF0">
      <w:pPr>
        <w:spacing w:after="0"/>
        <w:ind w:left="42" w:right="52"/>
        <w:rPr>
          <w:rFonts w:ascii="Arial" w:eastAsia="Arial" w:hAnsi="Arial" w:cs="Arial"/>
        </w:rPr>
      </w:pPr>
      <w:r>
        <w:rPr>
          <w:rFonts w:ascii="Arial" w:eastAsia="Arial" w:hAnsi="Arial" w:cs="Arial"/>
        </w:rPr>
        <w:t xml:space="preserve">The Supplier agrees to supply the Services specified below on and subject to the terms of this Contract.  </w:t>
      </w:r>
    </w:p>
    <w:p w:rsidR="0096072F" w:rsidRDefault="00317BF0">
      <w:pPr>
        <w:spacing w:after="0" w:line="256" w:lineRule="auto"/>
        <w:ind w:left="34"/>
        <w:rPr>
          <w:rFonts w:ascii="Arial" w:eastAsia="Arial" w:hAnsi="Arial" w:cs="Arial"/>
        </w:rPr>
      </w:pPr>
      <w:r>
        <w:rPr>
          <w:rFonts w:ascii="Arial" w:eastAsia="Arial" w:hAnsi="Arial" w:cs="Arial"/>
        </w:rPr>
        <w:t xml:space="preserve"> </w:t>
      </w:r>
    </w:p>
    <w:p w:rsidR="0096072F" w:rsidRDefault="00317BF0">
      <w:pPr>
        <w:spacing w:after="0"/>
        <w:ind w:left="42" w:right="52"/>
        <w:rPr>
          <w:rFonts w:ascii="Arial" w:eastAsia="Arial" w:hAnsi="Arial" w:cs="Arial"/>
        </w:rPr>
      </w:pPr>
      <w:r>
        <w:rPr>
          <w:rFonts w:ascii="Arial" w:eastAsia="Arial" w:hAnsi="Arial" w:cs="Arial"/>
        </w:rPr>
        <w:t xml:space="preserve">For the avoidance of doubt this Contract consists of the terms set out in this Contract Order Form and the Contract Terms </w:t>
      </w:r>
    </w:p>
    <w:p w:rsidR="0096072F" w:rsidRDefault="0096072F">
      <w:pPr>
        <w:rPr>
          <w:rFonts w:ascii="Arial" w:eastAsia="Arial" w:hAnsi="Arial" w:cs="Arial"/>
        </w:rPr>
      </w:pPr>
    </w:p>
    <w:tbl>
      <w:tblPr>
        <w:tblStyle w:val="af5"/>
        <w:tblW w:w="9242" w:type="dxa"/>
        <w:tblLayout w:type="fixed"/>
        <w:tblLook w:val="0400" w:firstRow="0" w:lastRow="0" w:firstColumn="0" w:lastColumn="0" w:noHBand="0" w:noVBand="1"/>
      </w:tblPr>
      <w:tblGrid>
        <w:gridCol w:w="2518"/>
        <w:gridCol w:w="6724"/>
      </w:tblGrid>
      <w:tr w:rsidR="0096072F">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56" w:lineRule="auto"/>
              <w:ind w:left="108" w:right="43"/>
              <w:rPr>
                <w:rFonts w:ascii="Arial" w:eastAsia="Arial" w:hAnsi="Arial" w:cs="Arial"/>
                <w:b w:val="0"/>
                <w:color w:val="000000"/>
              </w:rPr>
            </w:pPr>
            <w:r>
              <w:rPr>
                <w:rFonts w:ascii="Arial" w:eastAsia="Arial" w:hAnsi="Arial" w:cs="Arial"/>
                <w:b w:val="0"/>
                <w:color w:val="000000"/>
              </w:rPr>
              <w:t xml:space="preserve">Order Number </w:t>
            </w: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CCDE23A01</w:t>
            </w:r>
          </w:p>
        </w:tc>
      </w:tr>
      <w:tr w:rsidR="0096072F">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56" w:lineRule="auto"/>
              <w:ind w:left="108"/>
              <w:rPr>
                <w:rFonts w:ascii="Arial" w:eastAsia="Arial" w:hAnsi="Arial" w:cs="Arial"/>
                <w:b w:val="0"/>
                <w:color w:val="000000"/>
              </w:rPr>
            </w:pPr>
            <w:r>
              <w:rPr>
                <w:rFonts w:ascii="Arial" w:eastAsia="Arial" w:hAnsi="Arial" w:cs="Arial"/>
                <w:b w:val="0"/>
                <w:color w:val="000000"/>
              </w:rPr>
              <w:t xml:space="preserve">From </w:t>
            </w: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GOVERNMENT SECURITY PROFESSION (part of government security group)</w:t>
            </w: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 (“Customer”)</w:t>
            </w:r>
          </w:p>
        </w:tc>
      </w:tr>
      <w:tr w:rsidR="0096072F">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56" w:lineRule="auto"/>
              <w:ind w:left="108"/>
              <w:rPr>
                <w:rFonts w:ascii="Arial" w:eastAsia="Arial" w:hAnsi="Arial" w:cs="Arial"/>
                <w:b w:val="0"/>
                <w:color w:val="000000"/>
              </w:rPr>
            </w:pPr>
            <w:r>
              <w:rPr>
                <w:rFonts w:ascii="Arial" w:eastAsia="Arial" w:hAnsi="Arial" w:cs="Arial"/>
                <w:b w:val="0"/>
                <w:color w:val="000000"/>
              </w:rPr>
              <w:t xml:space="preserve">To </w:t>
            </w: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Cranfield University (“Supplier”)</w:t>
            </w:r>
          </w:p>
        </w:tc>
      </w:tr>
    </w:tbl>
    <w:p w:rsidR="0096072F" w:rsidRDefault="0096072F">
      <w:pPr>
        <w:rPr>
          <w:rFonts w:ascii="Arial" w:eastAsia="Arial" w:hAnsi="Arial" w:cs="Arial"/>
        </w:rPr>
      </w:pPr>
      <w:bookmarkStart w:id="0" w:name="_heading=h.gjdgxs" w:colFirst="0" w:colLast="0"/>
      <w:bookmarkEnd w:id="0"/>
    </w:p>
    <w:p w:rsidR="0096072F" w:rsidRDefault="00317BF0">
      <w:pPr>
        <w:rPr>
          <w:rFonts w:ascii="Arial" w:eastAsia="Arial" w:hAnsi="Arial" w:cs="Arial"/>
        </w:rPr>
      </w:pPr>
      <w:r>
        <w:rPr>
          <w:rFonts w:ascii="Arial" w:eastAsia="Arial" w:hAnsi="Arial" w:cs="Arial"/>
        </w:rPr>
        <w:t>1. CONTRACT PERIOD</w:t>
      </w:r>
    </w:p>
    <w:tbl>
      <w:tblPr>
        <w:tblStyle w:val="af6"/>
        <w:tblW w:w="9016" w:type="dxa"/>
        <w:tblLayout w:type="fixed"/>
        <w:tblLook w:val="0400" w:firstRow="0" w:lastRow="0" w:firstColumn="0" w:lastColumn="0" w:noHBand="0" w:noVBand="1"/>
      </w:tblPr>
      <w:tblGrid>
        <w:gridCol w:w="669"/>
        <w:gridCol w:w="3068"/>
        <w:gridCol w:w="5279"/>
      </w:tblGrid>
      <w:tr w:rsidR="0096072F">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1.1</w:t>
            </w:r>
          </w:p>
        </w:tc>
        <w:tc>
          <w:tcPr>
            <w:tcW w:w="3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Commencement Date</w:t>
            </w:r>
          </w:p>
        </w:tc>
        <w:tc>
          <w:tcPr>
            <w:tcW w:w="5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28/03/2023</w:t>
            </w:r>
          </w:p>
        </w:tc>
      </w:tr>
      <w:tr w:rsidR="0096072F">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1.2</w:t>
            </w:r>
          </w:p>
        </w:tc>
        <w:tc>
          <w:tcPr>
            <w:tcW w:w="3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56" w:lineRule="auto"/>
              <w:rPr>
                <w:rFonts w:ascii="Arial" w:eastAsia="Arial" w:hAnsi="Arial" w:cs="Arial"/>
                <w:b w:val="0"/>
                <w:color w:val="000000"/>
              </w:rPr>
            </w:pPr>
            <w:r>
              <w:rPr>
                <w:rFonts w:ascii="Arial" w:eastAsia="Arial" w:hAnsi="Arial" w:cs="Arial"/>
                <w:b w:val="0"/>
                <w:color w:val="000000"/>
              </w:rPr>
              <w:t xml:space="preserve">Expiry Date </w:t>
            </w: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27/03/2027</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The Buyer reserves the option to extend the call-off contract by one period of up to 12 months subject to further budgetary approval. </w:t>
            </w:r>
          </w:p>
        </w:tc>
      </w:tr>
    </w:tbl>
    <w:p w:rsidR="0096072F" w:rsidRDefault="0096072F">
      <w:pPr>
        <w:rPr>
          <w:rFonts w:ascii="Arial" w:eastAsia="Arial" w:hAnsi="Arial" w:cs="Arial"/>
        </w:rPr>
      </w:pPr>
    </w:p>
    <w:p w:rsidR="0096072F" w:rsidRDefault="00317BF0">
      <w:pPr>
        <w:rPr>
          <w:rFonts w:ascii="Arial" w:eastAsia="Arial" w:hAnsi="Arial" w:cs="Arial"/>
        </w:rPr>
      </w:pPr>
      <w:r>
        <w:rPr>
          <w:rFonts w:ascii="Arial" w:eastAsia="Arial" w:hAnsi="Arial" w:cs="Arial"/>
        </w:rPr>
        <w:t>2. SERVICES REQUIRED</w:t>
      </w:r>
    </w:p>
    <w:tbl>
      <w:tblPr>
        <w:tblStyle w:val="af7"/>
        <w:tblW w:w="9016" w:type="dxa"/>
        <w:tblLayout w:type="fixed"/>
        <w:tblLook w:val="0400" w:firstRow="0" w:lastRow="0" w:firstColumn="0" w:lastColumn="0" w:noHBand="0" w:noVBand="1"/>
      </w:tblPr>
      <w:tblGrid>
        <w:gridCol w:w="668"/>
        <w:gridCol w:w="3083"/>
        <w:gridCol w:w="5265"/>
      </w:tblGrid>
      <w:tr w:rsidR="0096072F">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2.1</w:t>
            </w:r>
          </w:p>
        </w:tc>
        <w:tc>
          <w:tcPr>
            <w:tcW w:w="3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Services Required. </w:t>
            </w: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 </w:t>
            </w: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APPRENTICESHIP TRAINING PROVIDER SERVICES / END POINT ASSESSOR SERVICES / BOTH. </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LOCATION</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APPRENTICESHIP TYPE AND SPECIFIC APPICABLE INSTITUTE FOR APPRENTICESHIPS STANDARD</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NUMBER OF STUDENTS</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CLASS BASED</w:t>
            </w:r>
          </w:p>
          <w:p w:rsidR="0096072F" w:rsidRDefault="0096072F">
            <w:pPr>
              <w:spacing w:after="0" w:line="240" w:lineRule="auto"/>
              <w:rPr>
                <w:rFonts w:ascii="Arial" w:eastAsia="Arial" w:hAnsi="Arial" w:cs="Arial"/>
                <w:b w:val="0"/>
                <w:color w:val="000000"/>
              </w:rPr>
            </w:pPr>
          </w:p>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lastRenderedPageBreak/>
              <w:t>ADDITIONAL SERVICES</w:t>
            </w:r>
          </w:p>
          <w:p w:rsidR="0096072F" w:rsidRDefault="0096072F">
            <w:pPr>
              <w:spacing w:after="0" w:line="240" w:lineRule="auto"/>
              <w:rPr>
                <w:rFonts w:ascii="Arial" w:eastAsia="Arial" w:hAnsi="Arial" w:cs="Arial"/>
                <w:b w:val="0"/>
                <w:color w:val="000000"/>
              </w:rPr>
            </w:pP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lastRenderedPageBreak/>
              <w:t>The requirement is to provide and deliver training against the Level 6 Cyber Security Technical Professional (Integrated Degree)</w:t>
            </w:r>
            <w:r>
              <w:rPr>
                <w:b w:val="0"/>
                <w:color w:val="000000"/>
                <w:sz w:val="24"/>
                <w:szCs w:val="24"/>
              </w:rPr>
              <w:t xml:space="preserve">. </w:t>
            </w:r>
            <w:r>
              <w:rPr>
                <w:rFonts w:ascii="Arial" w:eastAsia="Arial" w:hAnsi="Arial" w:cs="Arial"/>
                <w:b w:val="0"/>
                <w:color w:val="000000"/>
              </w:rPr>
              <w:t>Please refer to Annex A – Statement of Requirements and Annex B – Supplier Proposal</w:t>
            </w:r>
          </w:p>
          <w:p w:rsidR="0096072F" w:rsidRDefault="0096072F">
            <w:pPr>
              <w:spacing w:after="0" w:line="240" w:lineRule="auto"/>
              <w:ind w:left="720"/>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Both.</w:t>
            </w:r>
          </w:p>
          <w:p w:rsidR="0096072F" w:rsidRDefault="0096072F">
            <w:pPr>
              <w:spacing w:after="111" w:line="240" w:lineRule="auto"/>
              <w:ind w:left="720" w:hanging="7"/>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 xml:space="preserve">To be carried out at the University site. But across England if there is scope. </w:t>
            </w:r>
          </w:p>
          <w:p w:rsidR="0096072F" w:rsidRDefault="0096072F">
            <w:pPr>
              <w:spacing w:after="111" w:line="240" w:lineRule="auto"/>
              <w:ind w:left="720" w:hanging="7"/>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ST0409</w:t>
            </w:r>
          </w:p>
          <w:p w:rsidR="0096072F" w:rsidRDefault="0096072F">
            <w:pPr>
              <w:spacing w:after="111" w:line="240" w:lineRule="auto"/>
              <w:ind w:left="720" w:hanging="7"/>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10</w:t>
            </w:r>
          </w:p>
          <w:p w:rsidR="0096072F" w:rsidRDefault="0096072F">
            <w:pPr>
              <w:spacing w:after="111" w:line="240" w:lineRule="auto"/>
              <w:ind w:left="720" w:hanging="7"/>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Mix of face-to-face and online training which can be delivered at a pre-specified location. ​</w:t>
            </w:r>
            <w:r>
              <w:rPr>
                <w:rFonts w:ascii="Arial" w:eastAsia="Arial" w:hAnsi="Arial" w:cs="Arial"/>
                <w:b w:val="0"/>
                <w:color w:val="000000"/>
              </w:rPr>
              <w:lastRenderedPageBreak/>
              <w:t>A number of platforms may need to be provided to allow individuals ac</w:t>
            </w:r>
            <w:r>
              <w:rPr>
                <w:rFonts w:ascii="Arial" w:eastAsia="Arial" w:hAnsi="Arial" w:cs="Arial"/>
                <w:b w:val="0"/>
                <w:color w:val="000000"/>
              </w:rPr>
              <w:t>ross government to participate without difficulty.</w:t>
            </w:r>
          </w:p>
          <w:p w:rsidR="0096072F" w:rsidRDefault="0096072F">
            <w:pPr>
              <w:spacing w:after="111" w:line="240" w:lineRule="auto"/>
              <w:ind w:left="720" w:hanging="7"/>
              <w:rPr>
                <w:rFonts w:ascii="Arial" w:eastAsia="Arial" w:hAnsi="Arial" w:cs="Arial"/>
                <w:b w:val="0"/>
                <w:color w:val="000000"/>
              </w:rPr>
            </w:pPr>
          </w:p>
          <w:p w:rsidR="0096072F" w:rsidRDefault="00317BF0">
            <w:pPr>
              <w:numPr>
                <w:ilvl w:val="0"/>
                <w:numId w:val="1"/>
              </w:numPr>
              <w:spacing w:after="0" w:line="240" w:lineRule="auto"/>
              <w:rPr>
                <w:rFonts w:ascii="Arial" w:eastAsia="Arial" w:hAnsi="Arial" w:cs="Arial"/>
                <w:b w:val="0"/>
                <w:color w:val="000000"/>
              </w:rPr>
            </w:pPr>
            <w:r>
              <w:rPr>
                <w:rFonts w:ascii="Arial" w:eastAsia="Arial" w:hAnsi="Arial" w:cs="Arial"/>
                <w:b w:val="0"/>
                <w:color w:val="000000"/>
              </w:rPr>
              <w:t>No additional services required.</w:t>
            </w:r>
          </w:p>
        </w:tc>
      </w:tr>
    </w:tbl>
    <w:p w:rsidR="0096072F" w:rsidRDefault="0096072F">
      <w:pPr>
        <w:rPr>
          <w:rFonts w:ascii="Arial" w:eastAsia="Arial" w:hAnsi="Arial" w:cs="Arial"/>
        </w:rPr>
      </w:pPr>
    </w:p>
    <w:p w:rsidR="0096072F" w:rsidRDefault="0096072F">
      <w:pPr>
        <w:rPr>
          <w:rFonts w:ascii="Arial" w:eastAsia="Arial" w:hAnsi="Arial" w:cs="Arial"/>
        </w:rPr>
      </w:pPr>
    </w:p>
    <w:p w:rsidR="0096072F" w:rsidRDefault="00317BF0">
      <w:pPr>
        <w:rPr>
          <w:rFonts w:ascii="Arial" w:eastAsia="Arial" w:hAnsi="Arial" w:cs="Arial"/>
        </w:rPr>
      </w:pPr>
      <w:r>
        <w:rPr>
          <w:rFonts w:ascii="Arial" w:eastAsia="Arial" w:hAnsi="Arial" w:cs="Arial"/>
        </w:rPr>
        <w:t>3. CONTRACT PERFORMANCE</w:t>
      </w:r>
    </w:p>
    <w:tbl>
      <w:tblPr>
        <w:tblStyle w:val="af8"/>
        <w:tblW w:w="9016" w:type="dxa"/>
        <w:tblLayout w:type="fixed"/>
        <w:tblLook w:val="0400" w:firstRow="0" w:lastRow="0" w:firstColumn="0" w:lastColumn="0" w:noHBand="0" w:noVBand="1"/>
      </w:tblPr>
      <w:tblGrid>
        <w:gridCol w:w="669"/>
        <w:gridCol w:w="3063"/>
        <w:gridCol w:w="5284"/>
      </w:tblGrid>
      <w:tr w:rsidR="0096072F">
        <w:trPr>
          <w:trHeight w:val="540"/>
        </w:trPr>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3.1</w:t>
            </w:r>
          </w:p>
        </w:tc>
        <w:tc>
          <w:tcPr>
            <w:tcW w:w="3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Required Apprenticeship Standard</w:t>
            </w:r>
          </w:p>
        </w:tc>
        <w:tc>
          <w:tcPr>
            <w:tcW w:w="5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Level 6 Cyber Security Technical Professional (Integrated Degree) - </w:t>
            </w:r>
            <w:hyperlink r:id="rId6">
              <w:r>
                <w:rPr>
                  <w:rFonts w:ascii="Arial" w:eastAsia="Arial" w:hAnsi="Arial" w:cs="Arial"/>
                  <w:b w:val="0"/>
                  <w:color w:val="1155CC"/>
                  <w:u w:val="single"/>
                </w:rPr>
                <w:t>ST0 409</w:t>
              </w:r>
            </w:hyperlink>
          </w:p>
        </w:tc>
      </w:tr>
    </w:tbl>
    <w:p w:rsidR="0096072F" w:rsidRDefault="0096072F">
      <w:pPr>
        <w:rPr>
          <w:rFonts w:ascii="Arial" w:eastAsia="Arial" w:hAnsi="Arial" w:cs="Arial"/>
        </w:rPr>
      </w:pPr>
    </w:p>
    <w:tbl>
      <w:tblPr>
        <w:tblStyle w:val="af9"/>
        <w:tblW w:w="9016" w:type="dxa"/>
        <w:tblLayout w:type="fixed"/>
        <w:tblLook w:val="0400" w:firstRow="0" w:lastRow="0" w:firstColumn="0" w:lastColumn="0" w:noHBand="0" w:noVBand="1"/>
      </w:tblPr>
      <w:tblGrid>
        <w:gridCol w:w="664"/>
        <w:gridCol w:w="2982"/>
        <w:gridCol w:w="5370"/>
      </w:tblGrid>
      <w:tr w:rsidR="0096072F">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3.1</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Quality Standards</w:t>
            </w:r>
          </w:p>
        </w:tc>
        <w:tc>
          <w:tcPr>
            <w:tcW w:w="5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pBdr>
                <w:top w:val="nil"/>
                <w:left w:val="nil"/>
                <w:bottom w:val="nil"/>
                <w:right w:val="nil"/>
                <w:between w:val="nil"/>
              </w:pBdr>
              <w:spacing w:after="0" w:line="256" w:lineRule="auto"/>
              <w:ind w:left="468"/>
              <w:jc w:val="left"/>
              <w:rPr>
                <w:rFonts w:ascii="Arial" w:eastAsia="Arial" w:hAnsi="Arial" w:cs="Arial"/>
                <w:b w:val="0"/>
                <w:color w:val="000000"/>
              </w:rPr>
            </w:pPr>
            <w:r>
              <w:rPr>
                <w:rFonts w:ascii="Arial" w:eastAsia="Arial" w:hAnsi="Arial" w:cs="Arial"/>
                <w:b w:val="0"/>
                <w:color w:val="000000"/>
              </w:rPr>
              <w:t>Continued adherence to the relevant Institute for Apprenticeships industry standard. (</w:t>
            </w:r>
            <w:hyperlink r:id="rId7">
              <w:r>
                <w:rPr>
                  <w:rFonts w:ascii="Arial" w:eastAsia="Arial" w:hAnsi="Arial" w:cs="Arial"/>
                  <w:b w:val="0"/>
                  <w:color w:val="000000"/>
                  <w:u w:val="single"/>
                </w:rPr>
                <w:t>www.instituteforapprenticeships.org/</w:t>
              </w:r>
            </w:hyperlink>
            <w:r>
              <w:rPr>
                <w:rFonts w:ascii="Arial" w:eastAsia="Arial" w:hAnsi="Arial" w:cs="Arial"/>
                <w:b w:val="0"/>
                <w:color w:val="000000"/>
              </w:rPr>
              <w:t>)</w:t>
            </w:r>
          </w:p>
          <w:p w:rsidR="0096072F" w:rsidRDefault="00317BF0">
            <w:pPr>
              <w:pBdr>
                <w:top w:val="nil"/>
                <w:left w:val="nil"/>
                <w:bottom w:val="nil"/>
                <w:right w:val="nil"/>
                <w:between w:val="nil"/>
              </w:pBdr>
              <w:spacing w:after="0" w:line="256" w:lineRule="auto"/>
              <w:ind w:left="468"/>
              <w:jc w:val="left"/>
              <w:rPr>
                <w:rFonts w:ascii="Arial" w:eastAsia="Arial" w:hAnsi="Arial" w:cs="Arial"/>
                <w:b w:val="0"/>
                <w:color w:val="000000"/>
              </w:rPr>
            </w:pPr>
            <w:r>
              <w:rPr>
                <w:rFonts w:ascii="Arial" w:eastAsia="Arial" w:hAnsi="Arial" w:cs="Arial"/>
                <w:b w:val="0"/>
                <w:color w:val="000000"/>
              </w:rPr>
              <w:t>Maintained ESFA registration and accreditation.</w:t>
            </w:r>
          </w:p>
          <w:p w:rsidR="0096072F" w:rsidRDefault="00317BF0">
            <w:pPr>
              <w:pBdr>
                <w:top w:val="nil"/>
                <w:left w:val="nil"/>
                <w:bottom w:val="nil"/>
                <w:right w:val="nil"/>
                <w:between w:val="nil"/>
              </w:pBdr>
              <w:spacing w:after="0" w:line="256" w:lineRule="auto"/>
              <w:ind w:left="468"/>
              <w:jc w:val="left"/>
              <w:rPr>
                <w:rFonts w:ascii="Arial" w:eastAsia="Arial" w:hAnsi="Arial" w:cs="Arial"/>
                <w:b w:val="0"/>
                <w:color w:val="000000"/>
              </w:rPr>
            </w:pPr>
            <w:r>
              <w:rPr>
                <w:rFonts w:ascii="Arial" w:eastAsia="Arial" w:hAnsi="Arial" w:cs="Arial"/>
                <w:b w:val="0"/>
                <w:color w:val="000000"/>
              </w:rPr>
              <w:t>General industry good</w:t>
            </w:r>
            <w:r>
              <w:rPr>
                <w:rFonts w:ascii="Arial" w:eastAsia="Arial" w:hAnsi="Arial" w:cs="Arial"/>
                <w:b w:val="0"/>
                <w:color w:val="000000"/>
              </w:rPr>
              <w:t xml:space="preserve"> practice  </w:t>
            </w:r>
          </w:p>
          <w:p w:rsidR="0096072F" w:rsidRDefault="0096072F">
            <w:pPr>
              <w:spacing w:after="0" w:line="240" w:lineRule="auto"/>
              <w:rPr>
                <w:rFonts w:ascii="Arial" w:eastAsia="Arial" w:hAnsi="Arial" w:cs="Arial"/>
                <w:color w:val="000000"/>
              </w:rPr>
            </w:pPr>
          </w:p>
        </w:tc>
      </w:tr>
    </w:tbl>
    <w:p w:rsidR="0096072F" w:rsidRDefault="0096072F">
      <w:pPr>
        <w:rPr>
          <w:rFonts w:ascii="Arial" w:eastAsia="Arial" w:hAnsi="Arial" w:cs="Arial"/>
        </w:rPr>
      </w:pPr>
    </w:p>
    <w:p w:rsidR="0096072F" w:rsidRDefault="00317BF0">
      <w:pPr>
        <w:rPr>
          <w:rFonts w:ascii="Arial" w:eastAsia="Arial" w:hAnsi="Arial" w:cs="Arial"/>
        </w:rPr>
      </w:pPr>
      <w:r>
        <w:rPr>
          <w:rFonts w:ascii="Arial" w:eastAsia="Arial" w:hAnsi="Arial" w:cs="Arial"/>
        </w:rPr>
        <w:t>4. PAYMENT</w:t>
      </w:r>
    </w:p>
    <w:tbl>
      <w:tblPr>
        <w:tblStyle w:val="afa"/>
        <w:tblW w:w="9016" w:type="dxa"/>
        <w:tblLayout w:type="fixed"/>
        <w:tblLook w:val="0400" w:firstRow="0" w:lastRow="0" w:firstColumn="0" w:lastColumn="0" w:noHBand="0" w:noVBand="1"/>
      </w:tblPr>
      <w:tblGrid>
        <w:gridCol w:w="669"/>
        <w:gridCol w:w="3052"/>
        <w:gridCol w:w="5295"/>
      </w:tblGrid>
      <w:tr w:rsidR="0096072F">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4.1</w:t>
            </w: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Contract Charges</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The total contract value shall be £240,000.00 ex VAT. The Buyer reserves the option to extend the call-off contract by one period of up to 12 months subject to further budgetary approval. </w:t>
            </w:r>
          </w:p>
          <w:p w:rsidR="0096072F" w:rsidRDefault="0096072F">
            <w:pPr>
              <w:spacing w:after="115" w:line="242" w:lineRule="auto"/>
              <w:ind w:left="1"/>
              <w:rPr>
                <w:rFonts w:ascii="Arial" w:eastAsia="Arial" w:hAnsi="Arial" w:cs="Arial"/>
                <w:b w:val="0"/>
                <w:color w:val="000000"/>
              </w:rPr>
            </w:pPr>
          </w:p>
        </w:tc>
      </w:tr>
      <w:tr w:rsidR="0096072F">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4.2</w:t>
            </w: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Payment terms/Profile</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120" w:line="240" w:lineRule="auto"/>
              <w:ind w:left="1"/>
              <w:rPr>
                <w:rFonts w:ascii="Arial" w:eastAsia="Arial" w:hAnsi="Arial" w:cs="Arial"/>
                <w:b w:val="0"/>
                <w:color w:val="000000"/>
              </w:rPr>
            </w:pPr>
            <w:r>
              <w:rPr>
                <w:rFonts w:ascii="Arial" w:eastAsia="Arial" w:hAnsi="Arial" w:cs="Arial"/>
                <w:b w:val="0"/>
                <w:color w:val="000000"/>
              </w:rPr>
              <w:t xml:space="preserve">Payment to be made in accordance with the current in force ESFA funding rules.  </w:t>
            </w:r>
          </w:p>
          <w:p w:rsidR="0096072F" w:rsidRDefault="00317BF0">
            <w:pPr>
              <w:spacing w:after="120" w:line="240" w:lineRule="auto"/>
              <w:ind w:left="1"/>
              <w:rPr>
                <w:rFonts w:ascii="Arial" w:eastAsia="Arial" w:hAnsi="Arial" w:cs="Arial"/>
                <w:b w:val="0"/>
                <w:color w:val="000000"/>
              </w:rPr>
            </w:pPr>
            <w:r>
              <w:rPr>
                <w:rFonts w:ascii="Arial" w:eastAsia="Arial" w:hAnsi="Arial" w:cs="Arial"/>
                <w:b w:val="0"/>
                <w:color w:val="000000"/>
              </w:rPr>
              <w:t xml:space="preserve">Further additional terms in Annex 2 of Contract Schedule 3 </w:t>
            </w:r>
          </w:p>
        </w:tc>
      </w:tr>
      <w:tr w:rsidR="0096072F">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4.3</w:t>
            </w:r>
          </w:p>
        </w:tc>
        <w:tc>
          <w:tcPr>
            <w:tcW w:w="3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Customer billing address</w:t>
            </w:r>
          </w:p>
        </w:tc>
        <w:tc>
          <w:tcPr>
            <w:tcW w:w="5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Pr="00317BF0" w:rsidRDefault="00317BF0">
            <w:pPr>
              <w:rPr>
                <w:rFonts w:ascii="Arial" w:eastAsia="Arial" w:hAnsi="Arial" w:cs="Arial"/>
                <w:color w:val="FF0000"/>
              </w:rPr>
            </w:pPr>
            <w:r w:rsidRPr="00317BF0">
              <w:rPr>
                <w:rFonts w:ascii="Arial" w:eastAsia="Arial" w:hAnsi="Arial" w:cs="Arial"/>
                <w:color w:val="FF0000"/>
              </w:rPr>
              <w:t>REDACTED TEXT under FOIA Section 40, Personal Information.</w:t>
            </w:r>
          </w:p>
        </w:tc>
      </w:tr>
    </w:tbl>
    <w:p w:rsidR="0096072F" w:rsidRDefault="0096072F">
      <w:pPr>
        <w:rPr>
          <w:rFonts w:ascii="Arial" w:eastAsia="Arial" w:hAnsi="Arial" w:cs="Arial"/>
        </w:rPr>
      </w:pPr>
    </w:p>
    <w:p w:rsidR="0096072F" w:rsidRDefault="00317BF0">
      <w:pPr>
        <w:rPr>
          <w:rFonts w:ascii="Arial" w:eastAsia="Arial" w:hAnsi="Arial" w:cs="Arial"/>
        </w:rPr>
      </w:pPr>
      <w:r>
        <w:rPr>
          <w:rFonts w:ascii="Arial" w:eastAsia="Arial" w:hAnsi="Arial" w:cs="Arial"/>
        </w:rPr>
        <w:t>5. LIABILITY AND I</w:t>
      </w:r>
      <w:r>
        <w:rPr>
          <w:rFonts w:ascii="Arial" w:eastAsia="Arial" w:hAnsi="Arial" w:cs="Arial"/>
        </w:rPr>
        <w:t>NSURANCE</w:t>
      </w:r>
    </w:p>
    <w:tbl>
      <w:tblPr>
        <w:tblStyle w:val="afb"/>
        <w:tblW w:w="9016" w:type="dxa"/>
        <w:tblLayout w:type="fixed"/>
        <w:tblLook w:val="0400" w:firstRow="0" w:lastRow="0" w:firstColumn="0" w:lastColumn="0" w:noHBand="0" w:noVBand="1"/>
      </w:tblPr>
      <w:tblGrid>
        <w:gridCol w:w="670"/>
        <w:gridCol w:w="3047"/>
        <w:gridCol w:w="5299"/>
      </w:tblGrid>
      <w:tr w:rsidR="0096072F">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5.1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 xml:space="preserve">In Clause 25 of the Contract Terms </w:t>
            </w:r>
          </w:p>
        </w:tc>
      </w:tr>
      <w:tr w:rsidR="0096072F">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5.2</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0" w:line="240" w:lineRule="auto"/>
              <w:rPr>
                <w:rFonts w:ascii="Arial" w:eastAsia="Arial" w:hAnsi="Arial" w:cs="Arial"/>
                <w:b w:val="0"/>
                <w:color w:val="000000"/>
              </w:rPr>
            </w:pPr>
            <w:r>
              <w:rPr>
                <w:rFonts w:ascii="Arial" w:eastAsia="Arial" w:hAnsi="Arial" w:cs="Arial"/>
                <w:b w:val="0"/>
                <w:color w:val="000000"/>
              </w:rPr>
              <w:t>Insurance</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72F" w:rsidRDefault="00317BF0">
            <w:pPr>
              <w:spacing w:after="112" w:line="240" w:lineRule="auto"/>
              <w:rPr>
                <w:rFonts w:ascii="Times New Roman" w:eastAsia="Times New Roman" w:hAnsi="Times New Roman" w:cs="Times New Roman"/>
                <w:b w:val="0"/>
                <w:color w:val="000000"/>
                <w:sz w:val="24"/>
                <w:szCs w:val="24"/>
              </w:rPr>
            </w:pPr>
            <w:r>
              <w:rPr>
                <w:rFonts w:ascii="Arial" w:eastAsia="Arial" w:hAnsi="Arial" w:cs="Arial"/>
                <w:b w:val="0"/>
                <w:color w:val="000000"/>
              </w:rPr>
              <w:t>Professional Indemnity Insurance cover of £1 million any one claim. </w:t>
            </w:r>
          </w:p>
          <w:p w:rsidR="0096072F" w:rsidRDefault="00317BF0">
            <w:pPr>
              <w:spacing w:after="112" w:line="240" w:lineRule="auto"/>
              <w:ind w:left="1"/>
              <w:rPr>
                <w:rFonts w:ascii="Times New Roman" w:eastAsia="Times New Roman" w:hAnsi="Times New Roman" w:cs="Times New Roman"/>
                <w:b w:val="0"/>
                <w:color w:val="000000"/>
                <w:sz w:val="24"/>
                <w:szCs w:val="24"/>
              </w:rPr>
            </w:pPr>
            <w:r>
              <w:rPr>
                <w:rFonts w:ascii="Arial" w:eastAsia="Arial" w:hAnsi="Arial" w:cs="Arial"/>
                <w:b w:val="0"/>
                <w:color w:val="000000"/>
              </w:rPr>
              <w:t>Public Liability Insurance cover of £1 million any one claim. </w:t>
            </w:r>
          </w:p>
          <w:p w:rsidR="0096072F" w:rsidRDefault="00317BF0">
            <w:pPr>
              <w:spacing w:after="112" w:line="242" w:lineRule="auto"/>
              <w:ind w:left="1"/>
              <w:rPr>
                <w:rFonts w:ascii="Arial" w:eastAsia="Arial" w:hAnsi="Arial" w:cs="Arial"/>
                <w:b w:val="0"/>
                <w:color w:val="000000"/>
              </w:rPr>
            </w:pPr>
            <w:r>
              <w:rPr>
                <w:rFonts w:ascii="Arial" w:eastAsia="Arial" w:hAnsi="Arial" w:cs="Arial"/>
                <w:b w:val="0"/>
                <w:color w:val="000000"/>
              </w:rPr>
              <w:t xml:space="preserve">Employers Liability insurance cover of £5 million any one claim. </w:t>
            </w:r>
          </w:p>
        </w:tc>
      </w:tr>
    </w:tbl>
    <w:p w:rsidR="0096072F" w:rsidRDefault="0096072F">
      <w:pPr>
        <w:spacing w:after="234" w:line="246" w:lineRule="auto"/>
        <w:rPr>
          <w:rFonts w:ascii="Arial" w:eastAsia="Arial" w:hAnsi="Arial" w:cs="Arial"/>
        </w:rPr>
      </w:pPr>
    </w:p>
    <w:p w:rsidR="0096072F" w:rsidRDefault="00317BF0">
      <w:pPr>
        <w:spacing w:after="234" w:line="246" w:lineRule="auto"/>
        <w:ind w:left="118" w:hanging="10"/>
        <w:rPr>
          <w:rFonts w:ascii="Arial" w:eastAsia="Arial" w:hAnsi="Arial" w:cs="Arial"/>
          <w:u w:val="single"/>
        </w:rPr>
      </w:pPr>
      <w:r>
        <w:rPr>
          <w:rFonts w:ascii="Arial" w:eastAsia="Arial" w:hAnsi="Arial" w:cs="Arial"/>
          <w:u w:val="single"/>
        </w:rPr>
        <w:lastRenderedPageBreak/>
        <w:t xml:space="preserve">FORMATION OF CONTRACT </w:t>
      </w:r>
    </w:p>
    <w:p w:rsidR="0096072F" w:rsidRDefault="00317BF0">
      <w:pPr>
        <w:spacing w:after="9" w:line="246" w:lineRule="auto"/>
        <w:ind w:left="260" w:hanging="10"/>
        <w:rPr>
          <w:rFonts w:ascii="Arial" w:eastAsia="Arial" w:hAnsi="Arial" w:cs="Arial"/>
        </w:rPr>
      </w:pPr>
      <w:r>
        <w:rPr>
          <w:rFonts w:ascii="Arial" w:eastAsia="Arial" w:hAnsi="Arial" w:cs="Arial"/>
        </w:rPr>
        <w:t xml:space="preserve">By signing and completing this Contract Order Form the Supplier and the Customer agree to enter into a binding contract governed by the terms of this Contract Order Form and the attached terms and conditions.  </w:t>
      </w:r>
    </w:p>
    <w:p w:rsidR="0096072F" w:rsidRDefault="0096072F">
      <w:pPr>
        <w:spacing w:after="9" w:line="246" w:lineRule="auto"/>
        <w:ind w:left="260" w:hanging="10"/>
        <w:rPr>
          <w:rFonts w:ascii="Arial" w:eastAsia="Arial" w:hAnsi="Arial" w:cs="Arial"/>
        </w:rPr>
      </w:pPr>
    </w:p>
    <w:p w:rsidR="0096072F" w:rsidRDefault="0096072F">
      <w:pPr>
        <w:spacing w:after="9" w:line="246" w:lineRule="auto"/>
        <w:ind w:left="260" w:hanging="10"/>
        <w:rPr>
          <w:rFonts w:ascii="Arial" w:eastAsia="Arial" w:hAnsi="Arial" w:cs="Arial"/>
        </w:rPr>
      </w:pPr>
    </w:p>
    <w:p w:rsidR="0096072F" w:rsidRDefault="0096072F">
      <w:pPr>
        <w:spacing w:after="9" w:line="246" w:lineRule="auto"/>
        <w:ind w:left="260" w:hanging="10"/>
        <w:rPr>
          <w:rFonts w:ascii="Arial" w:eastAsia="Arial" w:hAnsi="Arial" w:cs="Arial"/>
        </w:rPr>
      </w:pPr>
    </w:p>
    <w:p w:rsidR="0096072F" w:rsidRDefault="00317BF0">
      <w:pPr>
        <w:spacing w:after="9" w:line="246" w:lineRule="auto"/>
        <w:ind w:left="260" w:hanging="10"/>
        <w:rPr>
          <w:rFonts w:ascii="Arial" w:eastAsia="Arial" w:hAnsi="Arial" w:cs="Arial"/>
        </w:rPr>
      </w:pPr>
      <w:r>
        <w:rPr>
          <w:rFonts w:ascii="Arial" w:eastAsia="Arial" w:hAnsi="Arial" w:cs="Arial"/>
        </w:rPr>
        <w:t xml:space="preserve">For and on behalf of the Supplier: </w:t>
      </w:r>
    </w:p>
    <w:tbl>
      <w:tblPr>
        <w:tblStyle w:val="afc"/>
        <w:tblW w:w="9201" w:type="dxa"/>
        <w:tblLayout w:type="fixed"/>
        <w:tblLook w:val="0400" w:firstRow="0" w:lastRow="0" w:firstColumn="0" w:lastColumn="0" w:noHBand="0" w:noVBand="1"/>
      </w:tblPr>
      <w:tblGrid>
        <w:gridCol w:w="2655"/>
        <w:gridCol w:w="6546"/>
      </w:tblGrid>
      <w:tr w:rsidR="0096072F">
        <w:trPr>
          <w:trHeight w:val="622"/>
        </w:trPr>
        <w:tc>
          <w:tcPr>
            <w:tcW w:w="2655"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Default="00317BF0">
            <w:pPr>
              <w:spacing w:after="0" w:line="256" w:lineRule="auto"/>
              <w:rPr>
                <w:rFonts w:ascii="Arial" w:eastAsia="Arial" w:hAnsi="Arial" w:cs="Arial"/>
                <w:b w:val="0"/>
                <w:color w:val="000000"/>
              </w:rPr>
            </w:pPr>
            <w:r>
              <w:rPr>
                <w:rFonts w:ascii="Arial" w:eastAsia="Arial" w:hAnsi="Arial" w:cs="Arial"/>
                <w:b w:val="0"/>
                <w:color w:val="00000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Pr="00317BF0" w:rsidRDefault="00317BF0">
            <w:pPr>
              <w:spacing w:after="0" w:line="256" w:lineRule="auto"/>
              <w:rPr>
                <w:rFonts w:ascii="Arial" w:eastAsia="Arial" w:hAnsi="Arial" w:cs="Arial"/>
                <w:color w:val="000000"/>
              </w:rPr>
            </w:pPr>
            <w:r>
              <w:rPr>
                <w:rFonts w:ascii="Arial" w:eastAsia="Arial" w:hAnsi="Arial" w:cs="Arial"/>
                <w:b w:val="0"/>
                <w:color w:val="000000"/>
              </w:rPr>
              <w:t xml:space="preserve"> </w:t>
            </w:r>
            <w:r w:rsidRPr="00317BF0">
              <w:rPr>
                <w:rFonts w:ascii="Arial" w:eastAsia="Arial" w:hAnsi="Arial" w:cs="Arial"/>
                <w:color w:val="FF0000"/>
              </w:rPr>
              <w:t>REDACTED TEXT under FOIA Section 40, Personal Information</w:t>
            </w:r>
            <w:r w:rsidRPr="00317BF0">
              <w:rPr>
                <w:rFonts w:ascii="Arial" w:eastAsia="Arial" w:hAnsi="Arial" w:cs="Arial"/>
                <w:color w:val="FF0000"/>
              </w:rPr>
              <w:t>.</w:t>
            </w:r>
          </w:p>
        </w:tc>
      </w:tr>
      <w:tr w:rsidR="0096072F">
        <w:trPr>
          <w:trHeight w:val="622"/>
        </w:trPr>
        <w:tc>
          <w:tcPr>
            <w:tcW w:w="2655"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Default="00317BF0">
            <w:pPr>
              <w:spacing w:after="0" w:line="256" w:lineRule="auto"/>
              <w:rPr>
                <w:rFonts w:ascii="Arial" w:eastAsia="Arial" w:hAnsi="Arial" w:cs="Arial"/>
                <w:b w:val="0"/>
                <w:color w:val="000000"/>
              </w:rPr>
            </w:pPr>
            <w:r>
              <w:rPr>
                <w:rFonts w:ascii="Arial" w:eastAsia="Arial" w:hAnsi="Arial" w:cs="Arial"/>
                <w:b w:val="0"/>
                <w:color w:val="000000"/>
              </w:rPr>
              <w:t xml:space="preserve">Date </w:t>
            </w:r>
          </w:p>
        </w:tc>
        <w:tc>
          <w:tcPr>
            <w:tcW w:w="6546"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Pr="00317BF0" w:rsidRDefault="00317BF0">
            <w:pPr>
              <w:spacing w:after="0" w:line="256" w:lineRule="auto"/>
              <w:rPr>
                <w:rFonts w:ascii="Arial" w:eastAsia="Arial" w:hAnsi="Arial" w:cs="Arial"/>
                <w:color w:val="000000"/>
              </w:rPr>
            </w:pPr>
            <w:r w:rsidRPr="00317BF0">
              <w:rPr>
                <w:rFonts w:ascii="Arial" w:eastAsia="Arial" w:hAnsi="Arial" w:cs="Arial"/>
                <w:color w:val="FF0000"/>
              </w:rPr>
              <w:t xml:space="preserve"> REDACTED TEXT under FOIA Section 40, Personal Information</w:t>
            </w:r>
            <w:r w:rsidRPr="00317BF0">
              <w:rPr>
                <w:rFonts w:ascii="Arial" w:eastAsia="Arial" w:hAnsi="Arial" w:cs="Arial"/>
                <w:color w:val="FF0000"/>
              </w:rPr>
              <w:t>.</w:t>
            </w:r>
          </w:p>
        </w:tc>
      </w:tr>
    </w:tbl>
    <w:p w:rsidR="0096072F" w:rsidRDefault="0096072F">
      <w:pPr>
        <w:spacing w:after="9" w:line="246" w:lineRule="auto"/>
        <w:ind w:left="260" w:hanging="10"/>
        <w:rPr>
          <w:rFonts w:ascii="Arial" w:eastAsia="Arial" w:hAnsi="Arial" w:cs="Arial"/>
        </w:rPr>
      </w:pPr>
    </w:p>
    <w:p w:rsidR="0096072F" w:rsidRDefault="0096072F">
      <w:pPr>
        <w:spacing w:after="9" w:line="246" w:lineRule="auto"/>
        <w:ind w:left="260" w:hanging="10"/>
        <w:rPr>
          <w:rFonts w:ascii="Arial" w:eastAsia="Arial" w:hAnsi="Arial" w:cs="Arial"/>
        </w:rPr>
      </w:pPr>
      <w:bookmarkStart w:id="1" w:name="_heading=h.30j0zll" w:colFirst="0" w:colLast="0"/>
      <w:bookmarkEnd w:id="1"/>
    </w:p>
    <w:p w:rsidR="0096072F" w:rsidRDefault="00317BF0">
      <w:pPr>
        <w:spacing w:after="9" w:line="246" w:lineRule="auto"/>
        <w:ind w:left="260" w:hanging="10"/>
        <w:rPr>
          <w:rFonts w:ascii="Arial" w:eastAsia="Arial" w:hAnsi="Arial" w:cs="Arial"/>
        </w:rPr>
      </w:pPr>
      <w:r>
        <w:rPr>
          <w:rFonts w:ascii="Arial" w:eastAsia="Arial" w:hAnsi="Arial" w:cs="Arial"/>
        </w:rPr>
        <w:t xml:space="preserve">For and on behalf of the Customer: </w:t>
      </w:r>
    </w:p>
    <w:tbl>
      <w:tblPr>
        <w:tblStyle w:val="afd"/>
        <w:tblW w:w="9201" w:type="dxa"/>
        <w:tblLayout w:type="fixed"/>
        <w:tblLook w:val="0400" w:firstRow="0" w:lastRow="0" w:firstColumn="0" w:lastColumn="0" w:noHBand="0" w:noVBand="1"/>
      </w:tblPr>
      <w:tblGrid>
        <w:gridCol w:w="2655"/>
        <w:gridCol w:w="6546"/>
      </w:tblGrid>
      <w:tr w:rsidR="0096072F">
        <w:trPr>
          <w:trHeight w:val="624"/>
        </w:trPr>
        <w:tc>
          <w:tcPr>
            <w:tcW w:w="2655"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Default="00317BF0">
            <w:pPr>
              <w:spacing w:after="0" w:line="256" w:lineRule="auto"/>
              <w:rPr>
                <w:rFonts w:ascii="Arial" w:eastAsia="Arial" w:hAnsi="Arial" w:cs="Arial"/>
                <w:b w:val="0"/>
                <w:color w:val="000000"/>
              </w:rPr>
            </w:pPr>
            <w:r>
              <w:rPr>
                <w:rFonts w:ascii="Arial" w:eastAsia="Arial" w:hAnsi="Arial" w:cs="Arial"/>
                <w:b w:val="0"/>
                <w:color w:val="00000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Pr="00317BF0" w:rsidRDefault="00317BF0">
            <w:pPr>
              <w:spacing w:after="0" w:line="256" w:lineRule="auto"/>
              <w:rPr>
                <w:rFonts w:ascii="Arial" w:eastAsia="Arial" w:hAnsi="Arial" w:cs="Arial"/>
                <w:color w:val="000000"/>
              </w:rPr>
            </w:pPr>
            <w:r>
              <w:rPr>
                <w:rFonts w:ascii="Arial" w:eastAsia="Arial" w:hAnsi="Arial" w:cs="Arial"/>
                <w:b w:val="0"/>
                <w:color w:val="000000"/>
              </w:rPr>
              <w:t xml:space="preserve"> </w:t>
            </w:r>
            <w:r w:rsidRPr="00317BF0">
              <w:rPr>
                <w:rFonts w:ascii="Arial" w:eastAsia="Arial" w:hAnsi="Arial" w:cs="Arial"/>
                <w:color w:val="FF0000"/>
              </w:rPr>
              <w:t>REDACTED TEXT under FOIA Section 40, Personal Information</w:t>
            </w:r>
            <w:r w:rsidRPr="00317BF0">
              <w:rPr>
                <w:rFonts w:ascii="Arial" w:eastAsia="Arial" w:hAnsi="Arial" w:cs="Arial"/>
                <w:color w:val="FF0000"/>
              </w:rPr>
              <w:t>.</w:t>
            </w:r>
          </w:p>
        </w:tc>
      </w:tr>
      <w:tr w:rsidR="0096072F">
        <w:trPr>
          <w:trHeight w:val="50"/>
        </w:trPr>
        <w:tc>
          <w:tcPr>
            <w:tcW w:w="2655"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Default="00317BF0">
            <w:pPr>
              <w:spacing w:after="0" w:line="256" w:lineRule="auto"/>
              <w:rPr>
                <w:rFonts w:ascii="Arial" w:eastAsia="Arial" w:hAnsi="Arial" w:cs="Arial"/>
                <w:b w:val="0"/>
                <w:color w:val="000000"/>
              </w:rPr>
            </w:pPr>
            <w:r>
              <w:rPr>
                <w:rFonts w:ascii="Arial" w:eastAsia="Arial" w:hAnsi="Arial" w:cs="Arial"/>
                <w:b w:val="0"/>
                <w:color w:val="000000"/>
              </w:rPr>
              <w:t xml:space="preserve">Date </w:t>
            </w:r>
          </w:p>
        </w:tc>
        <w:tc>
          <w:tcPr>
            <w:tcW w:w="6546" w:type="dxa"/>
            <w:tcBorders>
              <w:top w:val="single" w:sz="4" w:space="0" w:color="000000"/>
              <w:left w:val="single" w:sz="4" w:space="0" w:color="000000"/>
              <w:bottom w:val="single" w:sz="4" w:space="0" w:color="000000"/>
              <w:right w:val="single" w:sz="4" w:space="0" w:color="000000"/>
            </w:tcBorders>
            <w:tcMar>
              <w:top w:w="0" w:type="dxa"/>
              <w:left w:w="250" w:type="dxa"/>
              <w:bottom w:w="126" w:type="dxa"/>
              <w:right w:w="115" w:type="dxa"/>
            </w:tcMar>
            <w:vAlign w:val="bottom"/>
          </w:tcPr>
          <w:p w:rsidR="0096072F" w:rsidRPr="00317BF0" w:rsidRDefault="00317BF0">
            <w:pPr>
              <w:spacing w:after="0" w:line="256" w:lineRule="auto"/>
              <w:rPr>
                <w:rFonts w:ascii="Arial" w:eastAsia="Arial" w:hAnsi="Arial" w:cs="Arial"/>
                <w:color w:val="000000"/>
              </w:rPr>
            </w:pPr>
            <w:r>
              <w:rPr>
                <w:rFonts w:ascii="Arial" w:eastAsia="Arial" w:hAnsi="Arial" w:cs="Arial"/>
                <w:b w:val="0"/>
                <w:color w:val="000000"/>
              </w:rPr>
              <w:t xml:space="preserve"> </w:t>
            </w:r>
            <w:bookmarkStart w:id="2" w:name="_GoBack"/>
            <w:r w:rsidRPr="00317BF0">
              <w:rPr>
                <w:rFonts w:ascii="Arial" w:eastAsia="Arial" w:hAnsi="Arial" w:cs="Arial"/>
                <w:color w:val="FF0000"/>
              </w:rPr>
              <w:t>REDACTED TEXT under FOIA Section 40, Personal Information</w:t>
            </w:r>
            <w:r w:rsidRPr="00317BF0">
              <w:rPr>
                <w:rFonts w:ascii="Arial" w:eastAsia="Arial" w:hAnsi="Arial" w:cs="Arial"/>
                <w:color w:val="FF0000"/>
              </w:rPr>
              <w:t>.</w:t>
            </w:r>
            <w:bookmarkEnd w:id="2"/>
          </w:p>
        </w:tc>
      </w:tr>
    </w:tbl>
    <w:p w:rsidR="0096072F" w:rsidRDefault="0096072F">
      <w:pPr>
        <w:pBdr>
          <w:top w:val="nil"/>
          <w:left w:val="nil"/>
          <w:bottom w:val="nil"/>
          <w:right w:val="nil"/>
          <w:between w:val="nil"/>
        </w:pBdr>
        <w:spacing w:after="111" w:line="249" w:lineRule="auto"/>
        <w:ind w:left="468"/>
        <w:jc w:val="both"/>
        <w:rPr>
          <w:rFonts w:ascii="Arial" w:eastAsia="Arial" w:hAnsi="Arial" w:cs="Arial"/>
        </w:rPr>
      </w:pPr>
    </w:p>
    <w:p w:rsidR="0096072F" w:rsidRDefault="0096072F">
      <w:pPr>
        <w:pBdr>
          <w:top w:val="nil"/>
          <w:left w:val="nil"/>
          <w:bottom w:val="nil"/>
          <w:right w:val="nil"/>
          <w:between w:val="nil"/>
        </w:pBdr>
        <w:spacing w:after="111" w:line="249" w:lineRule="auto"/>
        <w:jc w:val="both"/>
        <w:rPr>
          <w:rFonts w:ascii="Arial" w:eastAsia="Arial" w:hAnsi="Arial" w:cs="Arial"/>
        </w:rPr>
      </w:pPr>
    </w:p>
    <w:p w:rsidR="0096072F" w:rsidRDefault="00317BF0">
      <w:pPr>
        <w:pBdr>
          <w:top w:val="nil"/>
          <w:left w:val="nil"/>
          <w:bottom w:val="nil"/>
          <w:right w:val="nil"/>
          <w:between w:val="nil"/>
        </w:pBdr>
        <w:spacing w:after="111" w:line="249" w:lineRule="auto"/>
        <w:jc w:val="both"/>
        <w:rPr>
          <w:rFonts w:ascii="Arial" w:eastAsia="Arial" w:hAnsi="Arial" w:cs="Arial"/>
          <w:b/>
          <w:u w:val="single"/>
        </w:rPr>
      </w:pPr>
      <w:r>
        <w:rPr>
          <w:rFonts w:ascii="Arial" w:eastAsia="Arial" w:hAnsi="Arial" w:cs="Arial"/>
          <w:b/>
          <w:u w:val="single"/>
        </w:rPr>
        <w:t>Special Terms - KPIs &amp; SLAs</w:t>
      </w:r>
    </w:p>
    <w:p w:rsidR="0096072F" w:rsidRDefault="00317BF0">
      <w:pPr>
        <w:pBdr>
          <w:top w:val="nil"/>
          <w:left w:val="nil"/>
          <w:bottom w:val="nil"/>
          <w:right w:val="nil"/>
          <w:between w:val="nil"/>
        </w:pBdr>
        <w:spacing w:after="111" w:line="249" w:lineRule="auto"/>
        <w:jc w:val="both"/>
        <w:rPr>
          <w:rFonts w:ascii="Arial" w:eastAsia="Arial" w:hAnsi="Arial" w:cs="Arial"/>
          <w:b/>
          <w:u w:val="single"/>
        </w:rPr>
      </w:pPr>
      <w:r>
        <w:rPr>
          <w:rFonts w:ascii="Arial" w:eastAsia="Arial" w:hAnsi="Arial" w:cs="Arial"/>
          <w:color w:val="000000"/>
        </w:rPr>
        <w:t>The below KPIs and SLAs to supersede or replace the ones mentioned within any of the contract terms.</w:t>
      </w:r>
    </w:p>
    <w:p w:rsidR="0096072F" w:rsidRDefault="0096072F">
      <w:pPr>
        <w:spacing w:after="0"/>
        <w:rPr>
          <w:rFonts w:ascii="Arial" w:eastAsia="Arial" w:hAnsi="Arial" w:cs="Arial"/>
        </w:rPr>
      </w:pPr>
    </w:p>
    <w:tbl>
      <w:tblPr>
        <w:tblStyle w:val="afe"/>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7350"/>
        <w:gridCol w:w="1020"/>
      </w:tblGrid>
      <w:tr w:rsidR="0096072F">
        <w:tc>
          <w:tcPr>
            <w:tcW w:w="795" w:type="dxa"/>
            <w:shd w:val="clear" w:color="auto" w:fill="CFE2F3"/>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KPI</w:t>
            </w:r>
          </w:p>
        </w:tc>
        <w:tc>
          <w:tcPr>
            <w:tcW w:w="7350" w:type="dxa"/>
            <w:shd w:val="clear" w:color="auto" w:fill="CFE2F3"/>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KPI Description</w:t>
            </w:r>
          </w:p>
        </w:tc>
        <w:tc>
          <w:tcPr>
            <w:tcW w:w="1020" w:type="dxa"/>
            <w:shd w:val="clear" w:color="auto" w:fill="CFE2F3"/>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Target</w:t>
            </w:r>
          </w:p>
        </w:tc>
      </w:tr>
      <w:tr w:rsidR="0096072F">
        <w:tc>
          <w:tcPr>
            <w:tcW w:w="795"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KPI 1</w:t>
            </w:r>
          </w:p>
        </w:tc>
        <w:tc>
          <w:tcPr>
            <w:tcW w:w="735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The Supplier to maintain sufficient management information to enable an effective RAG status to be maintained for each apprentice’s development and progress towards completion.</w:t>
            </w:r>
          </w:p>
        </w:tc>
        <w:tc>
          <w:tcPr>
            <w:tcW w:w="102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100%</w:t>
            </w:r>
          </w:p>
        </w:tc>
      </w:tr>
      <w:tr w:rsidR="0096072F">
        <w:tc>
          <w:tcPr>
            <w:tcW w:w="795"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KPI 2</w:t>
            </w:r>
          </w:p>
        </w:tc>
        <w:tc>
          <w:tcPr>
            <w:tcW w:w="735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The RAG status to be shared with Government Security Profession (GSP) and the relevant host department quarterly. GSP will also maintain a RAG status (based on feedback from host departments) for comparison at quarterly review meetings with the Supplier.</w:t>
            </w:r>
          </w:p>
        </w:tc>
        <w:tc>
          <w:tcPr>
            <w:tcW w:w="102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1</w:t>
            </w:r>
            <w:r>
              <w:rPr>
                <w:rFonts w:ascii="Arial" w:eastAsia="Arial" w:hAnsi="Arial" w:cs="Arial"/>
                <w:b w:val="0"/>
                <w:color w:val="000000"/>
              </w:rPr>
              <w:t>00%</w:t>
            </w:r>
          </w:p>
        </w:tc>
      </w:tr>
      <w:tr w:rsidR="0096072F">
        <w:tc>
          <w:tcPr>
            <w:tcW w:w="795"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KPI 3</w:t>
            </w:r>
          </w:p>
        </w:tc>
        <w:tc>
          <w:tcPr>
            <w:tcW w:w="735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An apprentice must not be at ‘Red’ or ‘Amber’ due to an issue with the provision of apprenticeship training or lack of pastoral care from the Supplier. In this eventuality, the supplier should provide evidence to GSP on the cause and the mitigat</w:t>
            </w:r>
            <w:r>
              <w:rPr>
                <w:rFonts w:ascii="Arial" w:eastAsia="Arial" w:hAnsi="Arial" w:cs="Arial"/>
                <w:b w:val="0"/>
                <w:color w:val="000000"/>
              </w:rPr>
              <w:t>ions planned to resolve this. Repeated instances of this KPI not being met will lead to review of the contract.</w:t>
            </w:r>
          </w:p>
        </w:tc>
        <w:tc>
          <w:tcPr>
            <w:tcW w:w="1020" w:type="dxa"/>
            <w:tcMar>
              <w:top w:w="100" w:type="dxa"/>
              <w:left w:w="100" w:type="dxa"/>
              <w:bottom w:w="100" w:type="dxa"/>
              <w:right w:w="100" w:type="dxa"/>
            </w:tcMar>
          </w:tcPr>
          <w:p w:rsidR="0096072F" w:rsidRDefault="00317BF0">
            <w:pPr>
              <w:widowControl w:val="0"/>
              <w:spacing w:after="0" w:line="240" w:lineRule="auto"/>
              <w:rPr>
                <w:rFonts w:ascii="Arial" w:eastAsia="Arial" w:hAnsi="Arial" w:cs="Arial"/>
                <w:b w:val="0"/>
                <w:color w:val="000000"/>
              </w:rPr>
            </w:pPr>
            <w:r>
              <w:rPr>
                <w:rFonts w:ascii="Arial" w:eastAsia="Arial" w:hAnsi="Arial" w:cs="Arial"/>
                <w:b w:val="0"/>
                <w:color w:val="000000"/>
              </w:rPr>
              <w:t>100%</w:t>
            </w:r>
          </w:p>
        </w:tc>
      </w:tr>
    </w:tbl>
    <w:p w:rsidR="0096072F" w:rsidRDefault="0096072F">
      <w:pPr>
        <w:spacing w:after="0" w:line="240" w:lineRule="auto"/>
        <w:rPr>
          <w:rFonts w:ascii="Arial" w:eastAsia="Arial" w:hAnsi="Arial" w:cs="Arial"/>
          <w:sz w:val="20"/>
          <w:szCs w:val="20"/>
        </w:rPr>
      </w:pPr>
    </w:p>
    <w:tbl>
      <w:tblPr>
        <w:tblStyle w:val="aff"/>
        <w:tblW w:w="9240"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60"/>
        <w:gridCol w:w="1470"/>
        <w:gridCol w:w="3420"/>
        <w:gridCol w:w="3390"/>
      </w:tblGrid>
      <w:tr w:rsidR="0096072F">
        <w:tc>
          <w:tcPr>
            <w:tcW w:w="960" w:type="dxa"/>
            <w:tcBorders>
              <w:top w:val="single" w:sz="8" w:space="0" w:color="000000"/>
              <w:left w:val="single" w:sz="8" w:space="0" w:color="000000"/>
            </w:tcBorders>
            <w:shd w:val="clear" w:color="auto" w:fill="B8CCE4"/>
            <w:tcMar>
              <w:top w:w="0" w:type="dxa"/>
              <w:left w:w="115" w:type="dxa"/>
              <w:bottom w:w="0" w:type="dxa"/>
              <w:right w:w="115" w:type="dxa"/>
            </w:tcMar>
          </w:tcPr>
          <w:p w:rsidR="0096072F" w:rsidRDefault="00317BF0">
            <w:pPr>
              <w:spacing w:after="0" w:line="240" w:lineRule="auto"/>
              <w:ind w:right="-330"/>
              <w:rPr>
                <w:rFonts w:ascii="Arial" w:eastAsia="Arial" w:hAnsi="Arial" w:cs="Arial"/>
                <w:b w:val="0"/>
                <w:color w:val="000000"/>
                <w:sz w:val="20"/>
                <w:szCs w:val="20"/>
              </w:rPr>
            </w:pPr>
            <w:r>
              <w:rPr>
                <w:rFonts w:ascii="Arial" w:eastAsia="Arial" w:hAnsi="Arial" w:cs="Arial"/>
                <w:b w:val="0"/>
                <w:color w:val="000000"/>
                <w:sz w:val="20"/>
                <w:szCs w:val="20"/>
              </w:rPr>
              <w:t>SLA</w:t>
            </w:r>
          </w:p>
        </w:tc>
        <w:tc>
          <w:tcPr>
            <w:tcW w:w="1470" w:type="dxa"/>
            <w:tcBorders>
              <w:top w:val="single" w:sz="8" w:space="0" w:color="000000"/>
            </w:tcBorders>
            <w:shd w:val="clear" w:color="auto" w:fill="B8CCE4"/>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Service Area</w:t>
            </w:r>
          </w:p>
        </w:tc>
        <w:tc>
          <w:tcPr>
            <w:tcW w:w="3420" w:type="dxa"/>
            <w:tcBorders>
              <w:top w:val="single" w:sz="8" w:space="0" w:color="000000"/>
            </w:tcBorders>
            <w:shd w:val="clear" w:color="auto" w:fill="B8CCE4"/>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SLA description</w:t>
            </w:r>
          </w:p>
        </w:tc>
        <w:tc>
          <w:tcPr>
            <w:tcW w:w="3390" w:type="dxa"/>
            <w:tcBorders>
              <w:top w:val="single" w:sz="8" w:space="0" w:color="000000"/>
            </w:tcBorders>
            <w:shd w:val="clear" w:color="auto" w:fill="B8CCE4"/>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Target</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Set up</w:t>
            </w:r>
          </w:p>
        </w:tc>
        <w:tc>
          <w:tcPr>
            <w:tcW w:w="3420" w:type="dxa"/>
            <w:tcMar>
              <w:top w:w="0" w:type="dxa"/>
              <w:left w:w="115" w:type="dxa"/>
              <w:bottom w:w="0" w:type="dxa"/>
              <w:right w:w="115" w:type="dxa"/>
            </w:tcMar>
          </w:tcPr>
          <w:p w:rsidR="0096072F" w:rsidRDefault="00317BF0">
            <w:pPr>
              <w:tabs>
                <w:tab w:val="center" w:pos="1509"/>
              </w:tabs>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 xml:space="preserve">Cohort </w:t>
            </w:r>
            <w:proofErr w:type="gramStart"/>
            <w:r>
              <w:rPr>
                <w:rFonts w:ascii="Arial" w:eastAsia="Arial" w:hAnsi="Arial" w:cs="Arial"/>
                <w:b w:val="0"/>
                <w:color w:val="000000"/>
                <w:sz w:val="18"/>
                <w:szCs w:val="18"/>
              </w:rPr>
              <w:t>start</w:t>
            </w:r>
            <w:proofErr w:type="gramEnd"/>
            <w:r>
              <w:rPr>
                <w:rFonts w:ascii="Arial" w:eastAsia="Arial" w:hAnsi="Arial" w:cs="Arial"/>
                <w:b w:val="0"/>
                <w:color w:val="000000"/>
                <w:sz w:val="18"/>
                <w:szCs w:val="18"/>
              </w:rPr>
              <w:t>.</w:t>
            </w:r>
          </w:p>
        </w:tc>
        <w:tc>
          <w:tcPr>
            <w:tcW w:w="3390" w:type="dxa"/>
            <w:tcMar>
              <w:top w:w="0" w:type="dxa"/>
              <w:left w:w="115" w:type="dxa"/>
              <w:bottom w:w="0" w:type="dxa"/>
              <w:right w:w="115" w:type="dxa"/>
            </w:tcMar>
          </w:tcPr>
          <w:p w:rsidR="0096072F" w:rsidRDefault="00317BF0">
            <w:pPr>
              <w:tabs>
                <w:tab w:val="center" w:pos="1509"/>
              </w:tabs>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4 weeks of registration.</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Set up</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Run an induction for new apprentices including: SLA 3</w:t>
            </w:r>
          </w:p>
        </w:tc>
        <w:tc>
          <w:tcPr>
            <w:tcW w:w="3390" w:type="dxa"/>
            <w:tcMar>
              <w:top w:w="0" w:type="dxa"/>
              <w:left w:w="115" w:type="dxa"/>
              <w:bottom w:w="0" w:type="dxa"/>
              <w:right w:w="115" w:type="dxa"/>
            </w:tcMar>
          </w:tcPr>
          <w:p w:rsidR="0096072F" w:rsidRDefault="00317BF0">
            <w:pPr>
              <w:tabs>
                <w:tab w:val="center" w:pos="1509"/>
              </w:tabs>
              <w:spacing w:after="0" w:line="240" w:lineRule="auto"/>
              <w:ind w:hanging="720"/>
              <w:rPr>
                <w:rFonts w:ascii="Arial" w:eastAsia="Arial" w:hAnsi="Arial" w:cs="Arial"/>
                <w:b w:val="0"/>
                <w:color w:val="000000"/>
                <w:sz w:val="18"/>
                <w:szCs w:val="18"/>
              </w:rPr>
            </w:pPr>
            <w:r>
              <w:rPr>
                <w:rFonts w:ascii="Arial" w:eastAsia="Arial" w:hAnsi="Arial" w:cs="Arial"/>
                <w:b w:val="0"/>
                <w:color w:val="000000"/>
                <w:sz w:val="18"/>
                <w:szCs w:val="18"/>
              </w:rPr>
              <w:t>F</w:t>
            </w:r>
            <w:r>
              <w:rPr>
                <w:rFonts w:ascii="Arial" w:eastAsia="Arial" w:hAnsi="Arial" w:cs="Arial"/>
                <w:b w:val="0"/>
                <w:color w:val="000000"/>
                <w:sz w:val="18"/>
                <w:szCs w:val="18"/>
              </w:rPr>
              <w:tab/>
              <w:t>First week of apprenticeship.</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lastRenderedPageBreak/>
              <w:t>SLA 3</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Set up</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Timetable of apprenticeship programme Managers’ Guide</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Timetable of programme’s first year to be given to apprentices at induction.</w:t>
            </w:r>
          </w:p>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Managers’ Guide to be pro</w:t>
            </w:r>
            <w:r>
              <w:rPr>
                <w:rFonts w:ascii="Arial" w:eastAsia="Arial" w:hAnsi="Arial" w:cs="Arial"/>
                <w:b w:val="0"/>
                <w:color w:val="000000"/>
                <w:sz w:val="18"/>
                <w:szCs w:val="18"/>
              </w:rPr>
              <w:t>vided to host departments and GSP one month before induction.</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4</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Governance</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The Supplier to maintain accurate contact information for both GSP and themselves, keeping GSP up to date with any key contact personnel changes.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5</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Governance</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Apprentice Development Review. Meet with GSP to highlight any issues, potential improvements or changes and provide further support where necessary.</w:t>
            </w:r>
          </w:p>
        </w:tc>
        <w:tc>
          <w:tcPr>
            <w:tcW w:w="3390" w:type="dxa"/>
            <w:tcMar>
              <w:top w:w="0" w:type="dxa"/>
              <w:left w:w="115" w:type="dxa"/>
              <w:bottom w:w="0" w:type="dxa"/>
              <w:right w:w="115" w:type="dxa"/>
            </w:tcMar>
          </w:tcPr>
          <w:p w:rsidR="0096072F" w:rsidRDefault="00317BF0">
            <w:pPr>
              <w:tabs>
                <w:tab w:val="left" w:pos="980"/>
              </w:tabs>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Quarterly</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6</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Governance</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 xml:space="preserve">Service Delivery Review. Meet with GSP to review and highlight any key issues, </w:t>
            </w:r>
            <w:r>
              <w:rPr>
                <w:rFonts w:ascii="Arial" w:eastAsia="Arial" w:hAnsi="Arial" w:cs="Arial"/>
                <w:b w:val="0"/>
                <w:color w:val="000000"/>
                <w:sz w:val="18"/>
                <w:szCs w:val="18"/>
              </w:rPr>
              <w:t>changes or activity to prepare for the next 6 months. This will also give the opportunity for senior GSP representatives to contribute if necessary.</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Every 6 months</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7</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Governance</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9"/>
                <w:szCs w:val="19"/>
                <w:highlight w:val="white"/>
              </w:rPr>
              <w:t>The learning provider will provide a named contact with whom GSP can liaise directly, for example, so that urgent issues may be addressed without an intermediary.</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8</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Consistent functionality of Customer Service Support (telephony</w:t>
            </w:r>
            <w:r>
              <w:rPr>
                <w:rFonts w:ascii="Arial" w:eastAsia="Arial" w:hAnsi="Arial" w:cs="Arial"/>
                <w:b w:val="0"/>
                <w:color w:val="000000"/>
                <w:sz w:val="18"/>
                <w:szCs w:val="18"/>
              </w:rPr>
              <w:t>, emails, course booking service)</w:t>
            </w:r>
          </w:p>
          <w:p w:rsidR="0096072F" w:rsidRDefault="0096072F">
            <w:pPr>
              <w:spacing w:after="0" w:line="240" w:lineRule="auto"/>
              <w:rPr>
                <w:rFonts w:ascii="Arial" w:eastAsia="Arial" w:hAnsi="Arial" w:cs="Arial"/>
                <w:b w:val="0"/>
                <w:color w:val="000000"/>
                <w:sz w:val="18"/>
                <w:szCs w:val="18"/>
              </w:rPr>
            </w:pP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Customer service support is contractually required to be operational between the hours of 08:30 and 17:30 on any working weekday (excluding bank holidays).</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9</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Responses to requests from GSP and host departments’ representatives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90% within 48 hours and 100% within 5 days</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10</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Resolution of telephone and email enquiries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95% within 24 hours (working hours) of receipt and 99% within 5 working days of receipt</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11</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Acknowledgement of complaints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24 hours (working hours) of receipt</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12</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Resolution of complaints </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90% within 10 working days of receipt and 100% within 20 days of receipt.</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13</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9"/>
                <w:szCs w:val="19"/>
                <w:highlight w:val="white"/>
              </w:rPr>
              <w:t>All communication with learners should be done through student email, not a combination of VLE notifications, personal email, student email, etc.</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 xml:space="preserve">SLA </w:t>
            </w:r>
            <w:r>
              <w:rPr>
                <w:rFonts w:ascii="Arial" w:eastAsia="Arial" w:hAnsi="Arial" w:cs="Arial"/>
                <w:b w:val="0"/>
                <w:color w:val="000000"/>
                <w:sz w:val="16"/>
                <w:szCs w:val="16"/>
              </w:rPr>
              <w:t>14</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Provision of completion certificates in a prompt and timely manner. </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99% within 8 weeks of completion of the apprenticeship</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15</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Provision of course dates prior to the start of semester</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2 weeks before the start of semester</w:t>
            </w:r>
          </w:p>
        </w:tc>
      </w:tr>
      <w:tr w:rsidR="0096072F">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16</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Administration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 reasonable timeframe for returning drafts to learners to give time to submit the final assessment</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To be agreed between GSP and Supplier</w:t>
            </w:r>
          </w:p>
        </w:tc>
      </w:tr>
      <w:tr w:rsidR="0096072F">
        <w:trPr>
          <w:trHeight w:val="407"/>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17</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Teaching staff</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Notification of change of coach/assessor.</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Notification to apprentice and the customer apprentice lead, if applicable, at least 5 working days’ notice of a planned change before change</w:t>
            </w:r>
          </w:p>
        </w:tc>
      </w:tr>
      <w:tr w:rsidR="0096072F">
        <w:trPr>
          <w:trHeight w:val="1312"/>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18</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18"/>
                <w:szCs w:val="18"/>
              </w:rPr>
              <w:t>Teaching staff</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Replacement of coach/assessor.</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New coach/assessor to be in place no more than 5 working days after previous coach/assessor - apprentice should not be without a coach/assessor for more than 5 working days</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19</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18"/>
                <w:szCs w:val="18"/>
              </w:rPr>
              <w:t>Teaching staff</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Skills coach to meet with learners individually (virtually or face-to-face)</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8 – 10 weeks.</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20</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18"/>
                <w:szCs w:val="18"/>
              </w:rPr>
              <w:t>Teaching staff</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Tutor marking of assignments </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2 weeks of submission deadline</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lastRenderedPageBreak/>
              <w:t>SLA 21</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Timetable of apprenticeship programme</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Apprentice to be notified of any changes to apprenticeship programme timetable at least 3 months before scheduled change </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22</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Acknowledgement of cancellation of workshop / review meeting to individual and line manager</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24 hours (working hours) of receipt</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23</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20"/>
                <w:szCs w:val="20"/>
              </w:rPr>
            </w:pPr>
            <w:r>
              <w:rPr>
                <w:rFonts w:ascii="Arial" w:eastAsia="Arial" w:hAnsi="Arial" w:cs="Arial"/>
                <w:b w:val="0"/>
                <w:color w:val="000000"/>
                <w:sz w:val="20"/>
                <w:szCs w:val="20"/>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All materials are on site and available on day of delivery</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All materials must be delivered to the nominated address supplied by the departmental requestor or host before the start time of the face-to-face event</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24</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Supplier to inform host department of any absence from training.</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4 hours.</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w:t>
            </w:r>
            <w:r>
              <w:rPr>
                <w:rFonts w:ascii="Arial" w:eastAsia="Arial" w:hAnsi="Arial" w:cs="Arial"/>
                <w:b w:val="0"/>
                <w:color w:val="000000"/>
                <w:sz w:val="16"/>
                <w:szCs w:val="16"/>
              </w:rPr>
              <w:t>5</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9"/>
                <w:szCs w:val="19"/>
                <w:highlight w:val="white"/>
              </w:rPr>
              <w:t>The supplier will send copies of the assignment brief to GSP one week prior to the assignment brief being released to learners.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26</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9"/>
                <w:szCs w:val="19"/>
                <w:highlight w:val="white"/>
              </w:rPr>
              <w:t>Learners with reasonable adjustments, for example those with dyslexia, should be granted an extension on all pieces of work as standard, and should not have to apply for a separate extension each semester.</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27</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9"/>
                <w:szCs w:val="19"/>
                <w:highlight w:val="white"/>
              </w:rPr>
            </w:pPr>
            <w:r>
              <w:rPr>
                <w:rFonts w:ascii="Arial" w:eastAsia="Arial" w:hAnsi="Arial" w:cs="Arial"/>
                <w:b w:val="0"/>
                <w:color w:val="000000"/>
                <w:sz w:val="19"/>
                <w:szCs w:val="19"/>
                <w:highlight w:val="white"/>
              </w:rPr>
              <w:t>Extension requests should apply to both draft and final assignment submissions.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Ongoing</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28</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Training</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All taught lessons to be recorded and made available to all apprentices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5 working days of the lesson taking place</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29</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Management Information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Provision of detailed apprentice development reports</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To be agreed between GSP and supplier</w:t>
            </w:r>
          </w:p>
        </w:tc>
      </w:tr>
      <w:tr w:rsidR="0096072F">
        <w:trPr>
          <w:trHeight w:val="240"/>
        </w:trPr>
        <w:tc>
          <w:tcPr>
            <w:tcW w:w="960" w:type="dxa"/>
            <w:tcBorders>
              <w:left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30</w:t>
            </w:r>
          </w:p>
        </w:tc>
        <w:tc>
          <w:tcPr>
            <w:tcW w:w="147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Management Information</w:t>
            </w:r>
          </w:p>
        </w:tc>
        <w:tc>
          <w:tcPr>
            <w:tcW w:w="342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Inform GSP representatives and learner’s line manager of any apprentice’s progression being flagged as ‘red’.</w:t>
            </w:r>
          </w:p>
        </w:tc>
        <w:tc>
          <w:tcPr>
            <w:tcW w:w="3390" w:type="dxa"/>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Within 5 working days o</w:t>
            </w:r>
            <w:r>
              <w:rPr>
                <w:rFonts w:ascii="Arial" w:eastAsia="Arial" w:hAnsi="Arial" w:cs="Arial"/>
                <w:b w:val="0"/>
                <w:color w:val="000000"/>
                <w:sz w:val="18"/>
                <w:szCs w:val="18"/>
              </w:rPr>
              <w:t>f identification. 100% at all times.</w:t>
            </w:r>
          </w:p>
        </w:tc>
      </w:tr>
      <w:tr w:rsidR="0096072F">
        <w:trPr>
          <w:trHeight w:val="240"/>
        </w:trPr>
        <w:tc>
          <w:tcPr>
            <w:tcW w:w="960" w:type="dxa"/>
            <w:tcBorders>
              <w:left w:val="single" w:sz="8" w:space="0" w:color="000000"/>
              <w:bottom w:val="single" w:sz="8" w:space="0" w:color="000000"/>
            </w:tcBorders>
            <w:tcMar>
              <w:top w:w="0" w:type="dxa"/>
              <w:left w:w="115" w:type="dxa"/>
              <w:bottom w:w="0" w:type="dxa"/>
              <w:right w:w="115" w:type="dxa"/>
            </w:tcMar>
          </w:tcPr>
          <w:p w:rsidR="0096072F" w:rsidRDefault="00317BF0">
            <w:pPr>
              <w:spacing w:after="0" w:line="240" w:lineRule="auto"/>
              <w:ind w:right="-318" w:hanging="15"/>
              <w:rPr>
                <w:rFonts w:ascii="Arial" w:eastAsia="Arial" w:hAnsi="Arial" w:cs="Arial"/>
                <w:b w:val="0"/>
                <w:color w:val="000000"/>
                <w:sz w:val="16"/>
                <w:szCs w:val="16"/>
              </w:rPr>
            </w:pPr>
            <w:r>
              <w:rPr>
                <w:rFonts w:ascii="Arial" w:eastAsia="Arial" w:hAnsi="Arial" w:cs="Arial"/>
                <w:b w:val="0"/>
                <w:color w:val="000000"/>
                <w:sz w:val="16"/>
                <w:szCs w:val="16"/>
              </w:rPr>
              <w:t>SLA 31</w:t>
            </w:r>
          </w:p>
        </w:tc>
        <w:tc>
          <w:tcPr>
            <w:tcW w:w="1470" w:type="dxa"/>
            <w:tcBorders>
              <w:bottom w:val="single" w:sz="8" w:space="0" w:color="000000"/>
            </w:tcBorders>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Management Information</w:t>
            </w:r>
          </w:p>
        </w:tc>
        <w:tc>
          <w:tcPr>
            <w:tcW w:w="3420" w:type="dxa"/>
            <w:tcBorders>
              <w:bottom w:val="single" w:sz="8" w:space="0" w:color="000000"/>
            </w:tcBorders>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Relevant apprentice development management information shall be delivered on time to GSP with evidence that data has been quality assured and MI is as accurate as possible.</w:t>
            </w:r>
          </w:p>
        </w:tc>
        <w:tc>
          <w:tcPr>
            <w:tcW w:w="3390" w:type="dxa"/>
            <w:tcBorders>
              <w:bottom w:val="single" w:sz="8" w:space="0" w:color="000000"/>
            </w:tcBorders>
            <w:tcMar>
              <w:top w:w="0" w:type="dxa"/>
              <w:left w:w="115" w:type="dxa"/>
              <w:bottom w:w="0" w:type="dxa"/>
              <w:right w:w="115" w:type="dxa"/>
            </w:tcMar>
          </w:tcPr>
          <w:p w:rsidR="0096072F" w:rsidRDefault="00317BF0">
            <w:pPr>
              <w:spacing w:after="0" w:line="240" w:lineRule="auto"/>
              <w:rPr>
                <w:rFonts w:ascii="Arial" w:eastAsia="Arial" w:hAnsi="Arial" w:cs="Arial"/>
                <w:b w:val="0"/>
                <w:color w:val="000000"/>
                <w:sz w:val="18"/>
                <w:szCs w:val="18"/>
              </w:rPr>
            </w:pPr>
            <w:r>
              <w:rPr>
                <w:rFonts w:ascii="Arial" w:eastAsia="Arial" w:hAnsi="Arial" w:cs="Arial"/>
                <w:b w:val="0"/>
                <w:color w:val="000000"/>
                <w:sz w:val="18"/>
                <w:szCs w:val="18"/>
              </w:rPr>
              <w:t>Monthly; 5th wo</w:t>
            </w:r>
            <w:r>
              <w:rPr>
                <w:rFonts w:ascii="Arial" w:eastAsia="Arial" w:hAnsi="Arial" w:cs="Arial"/>
                <w:b w:val="0"/>
                <w:color w:val="000000"/>
                <w:sz w:val="18"/>
                <w:szCs w:val="18"/>
              </w:rPr>
              <w:t>rking day of the following month</w:t>
            </w:r>
          </w:p>
        </w:tc>
      </w:tr>
    </w:tbl>
    <w:p w:rsidR="0096072F" w:rsidRDefault="0096072F">
      <w:pPr>
        <w:pStyle w:val="Heading2"/>
        <w:keepNext w:val="0"/>
        <w:keepLines w:val="0"/>
        <w:spacing w:before="0" w:after="240" w:line="240" w:lineRule="auto"/>
        <w:ind w:left="720"/>
        <w:jc w:val="both"/>
        <w:rPr>
          <w:rFonts w:ascii="Arial" w:eastAsia="Arial" w:hAnsi="Arial" w:cs="Arial"/>
        </w:rPr>
      </w:pPr>
      <w:bookmarkStart w:id="3" w:name="_heading=h.qmuv8no921q7" w:colFirst="0" w:colLast="0"/>
      <w:bookmarkEnd w:id="3"/>
    </w:p>
    <w:sectPr w:rsidR="0096072F">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177E8"/>
    <w:multiLevelType w:val="multilevel"/>
    <w:tmpl w:val="7E12E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2F"/>
    <w:rsid w:val="00317BF0"/>
    <w:rsid w:val="0096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5CF6"/>
  <w15:docId w15:val="{659B8F6F-51BF-4863-B209-203A5EB6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semiHidden/>
    <w:unhideWhenUsed/>
    <w:rsid w:val="00680964"/>
    <w:rPr>
      <w:sz w:val="16"/>
      <w:szCs w:val="16"/>
    </w:rPr>
  </w:style>
  <w:style w:type="paragraph" w:styleId="CommentText">
    <w:name w:val="annotation text"/>
    <w:basedOn w:val="Normal"/>
    <w:link w:val="CommentTextChar"/>
    <w:uiPriority w:val="99"/>
    <w:semiHidden/>
    <w:unhideWhenUsed/>
    <w:rsid w:val="00680964"/>
    <w:pPr>
      <w:spacing w:line="240" w:lineRule="auto"/>
    </w:pPr>
    <w:rPr>
      <w:sz w:val="20"/>
      <w:szCs w:val="20"/>
    </w:rPr>
  </w:style>
  <w:style w:type="character" w:customStyle="1" w:styleId="CommentTextChar">
    <w:name w:val="Comment Text Char"/>
    <w:basedOn w:val="DefaultParagraphFont"/>
    <w:link w:val="CommentText"/>
    <w:uiPriority w:val="99"/>
    <w:semiHidden/>
    <w:rsid w:val="00680964"/>
    <w:rPr>
      <w:sz w:val="20"/>
      <w:szCs w:val="20"/>
    </w:rPr>
  </w:style>
  <w:style w:type="paragraph" w:styleId="CommentSubject">
    <w:name w:val="annotation subject"/>
    <w:basedOn w:val="CommentText"/>
    <w:next w:val="CommentText"/>
    <w:link w:val="CommentSubjectChar"/>
    <w:uiPriority w:val="99"/>
    <w:semiHidden/>
    <w:unhideWhenUsed/>
    <w:rsid w:val="00680964"/>
    <w:rPr>
      <w:b/>
      <w:bCs/>
    </w:rPr>
  </w:style>
  <w:style w:type="character" w:customStyle="1" w:styleId="CommentSubjectChar">
    <w:name w:val="Comment Subject Char"/>
    <w:basedOn w:val="CommentTextChar"/>
    <w:link w:val="CommentSubject"/>
    <w:uiPriority w:val="99"/>
    <w:semiHidden/>
    <w:rsid w:val="00680964"/>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stituteforapprenticeship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ituteforapprenticeships.org/apprenticeship-standards/cyber-security-technical-professional-integrated-degree-v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X6amTcvGUNviUbRR3lCa3nS7Mw==">AMUW2mVGt3u6weMJ3gp5fh6wCA1jL/TRd1H0M8vJZl4UaPtLCp32PKWKTsXNeed3q+1uYz9euYPYYRB6wOsEDbOcIHLkFMunIonH5lWn7QeU5w3jRd8aD1JftM7AMiyG0D43toxMDmofmgI9rFYrZWPvN1hciPR/zg==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Charlton</dc:creator>
  <cp:lastModifiedBy>Greg Marsh</cp:lastModifiedBy>
  <cp:revision>2</cp:revision>
  <dcterms:created xsi:type="dcterms:W3CDTF">2023-03-22T14:51:00Z</dcterms:created>
  <dcterms:modified xsi:type="dcterms:W3CDTF">2023-04-05T13:56:00Z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EDITION">
    <vt:lpwstr>FM</vt:lpwstr>
  </property>
</Properties>
</file>