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41" w:rsidRPr="007932A3" w:rsidRDefault="00530E41" w:rsidP="008C133C">
      <w:pPr>
        <w:pStyle w:val="ColorfulShading-Accent31"/>
        <w:ind w:left="0"/>
        <w:rPr>
          <w:rFonts w:ascii="Arial" w:hAnsi="Arial" w:cs="Arial"/>
        </w:rPr>
      </w:pPr>
    </w:p>
    <w:p w:rsidR="00530E41" w:rsidRPr="00570F54" w:rsidRDefault="00530E41" w:rsidP="00530E41">
      <w:pPr>
        <w:jc w:val="center"/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Prior Information Notice</w:t>
      </w:r>
    </w:p>
    <w:p w:rsidR="00530E41" w:rsidRPr="00570F54" w:rsidRDefault="00530E41" w:rsidP="00530E41">
      <w:pPr>
        <w:pStyle w:val="Default"/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United Kingdom-London: Radiation protection services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Prior information notice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Services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  <w:u w:val="single"/>
        </w:rPr>
      </w:pPr>
      <w:r w:rsidRPr="00570F54">
        <w:rPr>
          <w:rFonts w:ascii="Arial" w:hAnsi="Arial" w:cs="Arial"/>
          <w:b/>
          <w:sz w:val="22"/>
          <w:szCs w:val="22"/>
          <w:u w:val="single"/>
        </w:rPr>
        <w:t>Section I: Contracting authority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I.1)</w:t>
      </w:r>
      <w:r w:rsidRPr="00570F54">
        <w:rPr>
          <w:rFonts w:ascii="Arial" w:hAnsi="Arial" w:cs="Arial"/>
          <w:b/>
          <w:sz w:val="22"/>
          <w:szCs w:val="22"/>
        </w:rPr>
        <w:tab/>
        <w:t>Name, addresses and contact point(s)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Home Office, 2 Marsham Street, SW1P 4DF London United Kingdom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E-mail: cyclamen.commercial@homeoffice.gsi.gov.uk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Internet address(</w:t>
      </w:r>
      <w:proofErr w:type="spellStart"/>
      <w:r w:rsidRPr="00570F54">
        <w:rPr>
          <w:rFonts w:ascii="Arial" w:hAnsi="Arial" w:cs="Arial"/>
          <w:sz w:val="22"/>
          <w:szCs w:val="22"/>
        </w:rPr>
        <w:t>es</w:t>
      </w:r>
      <w:proofErr w:type="spellEnd"/>
      <w:r w:rsidRPr="00570F54">
        <w:rPr>
          <w:rFonts w:ascii="Arial" w:hAnsi="Arial" w:cs="Arial"/>
          <w:sz w:val="22"/>
          <w:szCs w:val="22"/>
        </w:rPr>
        <w:t xml:space="preserve">):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General address of the contracting authority: https://www.gov.uk/government/organisations/home-office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Further information can be obtained from: The above mentioned contact point(s)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I.2)</w:t>
      </w:r>
      <w:r w:rsidRPr="00570F54">
        <w:rPr>
          <w:rFonts w:ascii="Arial" w:hAnsi="Arial" w:cs="Arial"/>
          <w:b/>
          <w:sz w:val="22"/>
          <w:szCs w:val="22"/>
        </w:rPr>
        <w:tab/>
        <w:t>Type of the contracting authority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Ministry or any other national or federal authority, including their regional or local sub-divisions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I.3)</w:t>
      </w:r>
      <w:r w:rsidRPr="00570F54">
        <w:rPr>
          <w:rFonts w:ascii="Arial" w:hAnsi="Arial" w:cs="Arial"/>
          <w:b/>
          <w:sz w:val="22"/>
          <w:szCs w:val="22"/>
        </w:rPr>
        <w:tab/>
        <w:t>Main activity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General public services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Defence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Public order and safety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Social protection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I.4)</w:t>
      </w:r>
      <w:r w:rsidRPr="00570F54">
        <w:rPr>
          <w:rFonts w:ascii="Arial" w:hAnsi="Arial" w:cs="Arial"/>
          <w:b/>
          <w:sz w:val="22"/>
          <w:szCs w:val="22"/>
        </w:rPr>
        <w:tab/>
        <w:t>Contract award on behalf of other contracting authorities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The contracting authority is purchasing on behalf of other contracting authorities: no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  <w:u w:val="single"/>
        </w:rPr>
      </w:pPr>
      <w:r w:rsidRPr="00570F54">
        <w:rPr>
          <w:rFonts w:ascii="Arial" w:hAnsi="Arial" w:cs="Arial"/>
          <w:b/>
          <w:sz w:val="22"/>
          <w:szCs w:val="22"/>
          <w:u w:val="single"/>
        </w:rPr>
        <w:t>Section II.B: Object of the contract (Supplies or services)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II.1)</w:t>
      </w:r>
      <w:r w:rsidRPr="00570F54">
        <w:rPr>
          <w:rFonts w:ascii="Arial" w:hAnsi="Arial" w:cs="Arial"/>
          <w:b/>
          <w:sz w:val="22"/>
          <w:szCs w:val="22"/>
        </w:rPr>
        <w:tab/>
        <w:t>Title attributed to the contract by the contracting authority: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Provision of </w:t>
      </w:r>
      <w:r w:rsidR="00862D95" w:rsidRPr="00570F54">
        <w:rPr>
          <w:rFonts w:ascii="Arial" w:hAnsi="Arial" w:cs="Arial"/>
          <w:sz w:val="22"/>
          <w:szCs w:val="22"/>
        </w:rPr>
        <w:t xml:space="preserve">testing </w:t>
      </w:r>
      <w:r w:rsidRPr="00570F54">
        <w:rPr>
          <w:rFonts w:ascii="Arial" w:hAnsi="Arial" w:cs="Arial"/>
          <w:sz w:val="22"/>
          <w:szCs w:val="22"/>
        </w:rPr>
        <w:t>facilit</w:t>
      </w:r>
      <w:r w:rsidR="00862D95" w:rsidRPr="00570F54">
        <w:rPr>
          <w:rFonts w:ascii="Arial" w:hAnsi="Arial" w:cs="Arial"/>
          <w:sz w:val="22"/>
          <w:szCs w:val="22"/>
        </w:rPr>
        <w:t>y services</w:t>
      </w:r>
      <w:r w:rsidRPr="00570F54">
        <w:rPr>
          <w:rFonts w:ascii="Arial" w:hAnsi="Arial" w:cs="Arial"/>
          <w:sz w:val="22"/>
          <w:szCs w:val="22"/>
        </w:rPr>
        <w:t xml:space="preserve"> for the testing of Detection</w:t>
      </w:r>
      <w:r w:rsidR="00785A52" w:rsidRPr="00570F54">
        <w:rPr>
          <w:rFonts w:ascii="Arial" w:hAnsi="Arial" w:cs="Arial"/>
          <w:sz w:val="22"/>
          <w:szCs w:val="22"/>
        </w:rPr>
        <w:t xml:space="preserve"> and </w:t>
      </w:r>
      <w:r w:rsidR="00C840B2">
        <w:rPr>
          <w:rFonts w:ascii="Arial" w:hAnsi="Arial" w:cs="Arial"/>
          <w:sz w:val="22"/>
          <w:szCs w:val="22"/>
        </w:rPr>
        <w:t>r</w:t>
      </w:r>
      <w:r w:rsidR="00785A52" w:rsidRPr="00570F54">
        <w:rPr>
          <w:rFonts w:ascii="Arial" w:hAnsi="Arial" w:cs="Arial"/>
          <w:sz w:val="22"/>
          <w:szCs w:val="22"/>
        </w:rPr>
        <w:t>elated</w:t>
      </w:r>
      <w:r w:rsidRPr="00570F54">
        <w:rPr>
          <w:rFonts w:ascii="Arial" w:hAnsi="Arial" w:cs="Arial"/>
          <w:sz w:val="22"/>
          <w:szCs w:val="22"/>
        </w:rPr>
        <w:t xml:space="preserve"> </w:t>
      </w:r>
      <w:r w:rsidR="00C840B2">
        <w:rPr>
          <w:rFonts w:ascii="Arial" w:hAnsi="Arial" w:cs="Arial"/>
          <w:sz w:val="22"/>
          <w:szCs w:val="22"/>
        </w:rPr>
        <w:t>e</w:t>
      </w:r>
      <w:r w:rsidRPr="00570F54">
        <w:rPr>
          <w:rFonts w:ascii="Arial" w:hAnsi="Arial" w:cs="Arial"/>
          <w:sz w:val="22"/>
          <w:szCs w:val="22"/>
        </w:rPr>
        <w:t>quipment includi</w:t>
      </w:r>
      <w:r w:rsidR="003E0F3B">
        <w:rPr>
          <w:rFonts w:ascii="Arial" w:hAnsi="Arial" w:cs="Arial"/>
          <w:sz w:val="22"/>
          <w:szCs w:val="22"/>
        </w:rPr>
        <w:t xml:space="preserve">ng fixed, mobile and hand held radiological and </w:t>
      </w:r>
      <w:r w:rsidR="003E0F3B" w:rsidRPr="00660ECE">
        <w:rPr>
          <w:rFonts w:ascii="Arial" w:hAnsi="Arial" w:cs="Arial"/>
          <w:color w:val="000000" w:themeColor="text1"/>
          <w:sz w:val="22"/>
          <w:szCs w:val="22"/>
        </w:rPr>
        <w:t>n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uclear </w:t>
      </w:r>
      <w:r w:rsidR="00C840B2" w:rsidRPr="00660ECE">
        <w:rPr>
          <w:rFonts w:ascii="Arial" w:hAnsi="Arial" w:cs="Arial"/>
          <w:color w:val="000000" w:themeColor="text1"/>
          <w:sz w:val="22"/>
          <w:szCs w:val="22"/>
        </w:rPr>
        <w:t xml:space="preserve">(RN) </w:t>
      </w:r>
      <w:r w:rsidRPr="00570F54">
        <w:rPr>
          <w:rFonts w:ascii="Arial" w:hAnsi="Arial" w:cs="Arial"/>
          <w:sz w:val="22"/>
          <w:szCs w:val="22"/>
        </w:rPr>
        <w:t>detectors.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II.2)</w:t>
      </w:r>
      <w:r w:rsidRPr="00570F54">
        <w:rPr>
          <w:rFonts w:ascii="Arial" w:hAnsi="Arial" w:cs="Arial"/>
          <w:b/>
          <w:sz w:val="22"/>
          <w:szCs w:val="22"/>
        </w:rPr>
        <w:tab/>
        <w:t>Type of contract and place of delivery or of performance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Service category No 27: Other services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NUTS code UK</w:t>
      </w:r>
      <w:r w:rsidR="003E0F3B">
        <w:rPr>
          <w:rFonts w:ascii="Arial" w:hAnsi="Arial" w:cs="Arial"/>
          <w:sz w:val="22"/>
          <w:szCs w:val="22"/>
        </w:rPr>
        <w:t xml:space="preserve">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II.3)</w:t>
      </w:r>
      <w:r w:rsidRPr="00570F54">
        <w:rPr>
          <w:rFonts w:ascii="Arial" w:hAnsi="Arial" w:cs="Arial"/>
          <w:b/>
          <w:sz w:val="22"/>
          <w:szCs w:val="22"/>
        </w:rPr>
        <w:tab/>
        <w:t>Information on framework agreement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II.4)</w:t>
      </w:r>
      <w:r w:rsidRPr="00570F54">
        <w:rPr>
          <w:rFonts w:ascii="Arial" w:hAnsi="Arial" w:cs="Arial"/>
          <w:b/>
          <w:sz w:val="22"/>
          <w:szCs w:val="22"/>
        </w:rPr>
        <w:tab/>
        <w:t>Short description of nature and quantity or value of supplies or services: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The Home 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Office </w:t>
      </w:r>
      <w:r w:rsidR="00C840B2" w:rsidRPr="00660ECE">
        <w:rPr>
          <w:rFonts w:ascii="Arial" w:hAnsi="Arial" w:cs="Arial"/>
          <w:color w:val="000000" w:themeColor="text1"/>
          <w:sz w:val="22"/>
          <w:szCs w:val="22"/>
        </w:rPr>
        <w:t xml:space="preserve">is seeking 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to enter </w:t>
      </w:r>
      <w:r w:rsidR="00DC0DFA" w:rsidRPr="00660ECE">
        <w:rPr>
          <w:rFonts w:ascii="Arial" w:hAnsi="Arial" w:cs="Arial"/>
          <w:color w:val="000000" w:themeColor="text1"/>
          <w:sz w:val="22"/>
          <w:szCs w:val="22"/>
        </w:rPr>
        <w:t xml:space="preserve">into a 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market engagement exercise </w:t>
      </w:r>
      <w:r w:rsidR="00DC0DFA" w:rsidRPr="00660ECE">
        <w:rPr>
          <w:rFonts w:ascii="Arial" w:hAnsi="Arial" w:cs="Arial"/>
          <w:color w:val="000000" w:themeColor="text1"/>
          <w:sz w:val="22"/>
          <w:szCs w:val="22"/>
        </w:rPr>
        <w:t xml:space="preserve">to inform 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its potential </w:t>
      </w:r>
      <w:r w:rsidR="00DC0DFA" w:rsidRPr="00660ECE">
        <w:rPr>
          <w:rFonts w:ascii="Arial" w:hAnsi="Arial" w:cs="Arial"/>
          <w:color w:val="000000" w:themeColor="text1"/>
          <w:sz w:val="22"/>
          <w:szCs w:val="22"/>
        </w:rPr>
        <w:t xml:space="preserve">service 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requirements for </w:t>
      </w:r>
      <w:r w:rsidRPr="00570F54">
        <w:rPr>
          <w:rFonts w:ascii="Arial" w:hAnsi="Arial" w:cs="Arial"/>
          <w:sz w:val="22"/>
          <w:szCs w:val="22"/>
        </w:rPr>
        <w:t xml:space="preserve">the provision of </w:t>
      </w:r>
      <w:r w:rsidR="00DC0DFA" w:rsidRPr="00570F54">
        <w:rPr>
          <w:rFonts w:ascii="Arial" w:hAnsi="Arial" w:cs="Arial"/>
          <w:sz w:val="22"/>
          <w:szCs w:val="22"/>
        </w:rPr>
        <w:t xml:space="preserve">testing </w:t>
      </w:r>
      <w:r w:rsidRPr="00570F54">
        <w:rPr>
          <w:rFonts w:ascii="Arial" w:hAnsi="Arial" w:cs="Arial"/>
          <w:sz w:val="22"/>
          <w:szCs w:val="22"/>
        </w:rPr>
        <w:t>facilit</w:t>
      </w:r>
      <w:r w:rsidR="00DC0DFA" w:rsidRPr="00570F54">
        <w:rPr>
          <w:rFonts w:ascii="Arial" w:hAnsi="Arial" w:cs="Arial"/>
          <w:sz w:val="22"/>
          <w:szCs w:val="22"/>
        </w:rPr>
        <w:t>y services</w:t>
      </w:r>
      <w:r w:rsidRPr="00570F54">
        <w:rPr>
          <w:rFonts w:ascii="Arial" w:hAnsi="Arial" w:cs="Arial"/>
          <w:sz w:val="22"/>
          <w:szCs w:val="22"/>
        </w:rPr>
        <w:t xml:space="preserve"> for the </w:t>
      </w:r>
      <w:r w:rsidRPr="00570F54">
        <w:rPr>
          <w:rFonts w:ascii="Arial" w:hAnsi="Arial" w:cs="Arial"/>
          <w:sz w:val="22"/>
          <w:szCs w:val="22"/>
        </w:rPr>
        <w:lastRenderedPageBreak/>
        <w:t xml:space="preserve">testing of detection equipment and associated equipment 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>such</w:t>
      </w:r>
      <w:r w:rsidR="00FC12EF" w:rsidRPr="00660ECE">
        <w:rPr>
          <w:rFonts w:ascii="Arial" w:hAnsi="Arial" w:cs="Arial"/>
          <w:color w:val="000000" w:themeColor="text1"/>
          <w:sz w:val="22"/>
          <w:szCs w:val="22"/>
        </w:rPr>
        <w:t xml:space="preserve"> as</w:t>
      </w:r>
      <w:r w:rsidRPr="00570F54">
        <w:rPr>
          <w:rFonts w:ascii="Arial" w:hAnsi="Arial" w:cs="Arial"/>
          <w:sz w:val="22"/>
          <w:szCs w:val="22"/>
        </w:rPr>
        <w:t xml:space="preserve">, but not limited to, information communications technology (ICT) and automatic number plate recognition (ANPR). The primary purpose of the </w:t>
      </w:r>
      <w:r w:rsidR="00DC0DFA" w:rsidRPr="00570F54">
        <w:rPr>
          <w:rFonts w:ascii="Arial" w:hAnsi="Arial" w:cs="Arial"/>
          <w:sz w:val="22"/>
          <w:szCs w:val="22"/>
        </w:rPr>
        <w:t xml:space="preserve">testing </w:t>
      </w:r>
      <w:r w:rsidRPr="00570F54">
        <w:rPr>
          <w:rFonts w:ascii="Arial" w:hAnsi="Arial" w:cs="Arial"/>
          <w:sz w:val="22"/>
          <w:szCs w:val="22"/>
        </w:rPr>
        <w:t xml:space="preserve">facility </w:t>
      </w:r>
      <w:r w:rsidR="00C24C1E">
        <w:rPr>
          <w:rFonts w:ascii="Arial" w:hAnsi="Arial" w:cs="Arial"/>
          <w:sz w:val="22"/>
          <w:szCs w:val="22"/>
        </w:rPr>
        <w:t>is to</w:t>
      </w:r>
      <w:bookmarkStart w:id="0" w:name="_GoBack"/>
      <w:bookmarkEnd w:id="0"/>
      <w:r w:rsidR="00DC0DFA" w:rsidRPr="00570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0F54">
        <w:rPr>
          <w:rFonts w:ascii="Arial" w:hAnsi="Arial" w:cs="Arial"/>
          <w:sz w:val="22"/>
          <w:szCs w:val="22"/>
        </w:rPr>
        <w:t>faciliti</w:t>
      </w:r>
      <w:r w:rsidR="00785A52" w:rsidRPr="00570F54">
        <w:rPr>
          <w:rFonts w:ascii="Arial" w:hAnsi="Arial" w:cs="Arial"/>
          <w:sz w:val="22"/>
          <w:szCs w:val="22"/>
        </w:rPr>
        <w:t>te</w:t>
      </w:r>
      <w:proofErr w:type="spellEnd"/>
      <w:r w:rsidRPr="00570F54">
        <w:rPr>
          <w:rFonts w:ascii="Arial" w:hAnsi="Arial" w:cs="Arial"/>
          <w:sz w:val="22"/>
          <w:szCs w:val="22"/>
        </w:rPr>
        <w:t xml:space="preserve"> the testing of fixed, mobile and portable radiological and nuclear </w:t>
      </w:r>
      <w:r w:rsidRPr="00E639DC">
        <w:rPr>
          <w:rFonts w:ascii="Arial" w:hAnsi="Arial" w:cs="Arial"/>
          <w:sz w:val="22"/>
          <w:szCs w:val="22"/>
        </w:rPr>
        <w:t xml:space="preserve">(RN) </w:t>
      </w:r>
      <w:r w:rsidRPr="00570F54">
        <w:rPr>
          <w:rFonts w:ascii="Arial" w:hAnsi="Arial" w:cs="Arial"/>
          <w:sz w:val="22"/>
          <w:szCs w:val="22"/>
        </w:rPr>
        <w:t>detectors by the Home Office and a number of its partners and suppliers. The facility may also be used for testing other types of detection equipment such as, but not limited to, x-ray scanners.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F007B" w:rsidP="005F007B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The managed, </w:t>
      </w:r>
      <w:r w:rsidR="00530E41" w:rsidRPr="00570F54">
        <w:rPr>
          <w:rFonts w:ascii="Arial" w:hAnsi="Arial" w:cs="Arial"/>
          <w:sz w:val="22"/>
          <w:szCs w:val="22"/>
        </w:rPr>
        <w:t xml:space="preserve">secure, facility or facilities where testing can be carried out by the Home Office </w:t>
      </w:r>
      <w:r w:rsidRPr="00570F54">
        <w:rPr>
          <w:rFonts w:ascii="Arial" w:hAnsi="Arial" w:cs="Arial"/>
          <w:sz w:val="22"/>
          <w:szCs w:val="22"/>
        </w:rPr>
        <w:t xml:space="preserve">and its suppliers and </w:t>
      </w:r>
      <w:r w:rsidR="007932A3" w:rsidRPr="00570F54">
        <w:rPr>
          <w:rFonts w:ascii="Arial" w:hAnsi="Arial" w:cs="Arial"/>
          <w:sz w:val="22"/>
          <w:szCs w:val="22"/>
        </w:rPr>
        <w:t xml:space="preserve">its </w:t>
      </w:r>
      <w:r w:rsidRPr="00570F54">
        <w:rPr>
          <w:rFonts w:ascii="Arial" w:hAnsi="Arial" w:cs="Arial"/>
          <w:sz w:val="22"/>
          <w:szCs w:val="22"/>
        </w:rPr>
        <w:t>partners must:</w:t>
      </w:r>
    </w:p>
    <w:p w:rsidR="00530E41" w:rsidRPr="00570F54" w:rsidRDefault="00530E41" w:rsidP="00570F54">
      <w:pPr>
        <w:pStyle w:val="ListParagraph"/>
        <w:numPr>
          <w:ilvl w:val="0"/>
          <w:numId w:val="12"/>
        </w:numPr>
        <w:rPr>
          <w:sz w:val="22"/>
        </w:rPr>
      </w:pPr>
      <w:r w:rsidRPr="00570F54">
        <w:rPr>
          <w:sz w:val="22"/>
        </w:rPr>
        <w:t>be able to accommodate a number of different types of fixed, mobile and portable</w:t>
      </w:r>
      <w:r w:rsidR="005F007B" w:rsidRPr="00570F54">
        <w:rPr>
          <w:sz w:val="22"/>
        </w:rPr>
        <w:t xml:space="preserve"> detector and all asso</w:t>
      </w:r>
      <w:r w:rsidR="00C840B2">
        <w:rPr>
          <w:sz w:val="22"/>
        </w:rPr>
        <w:t>cia</w:t>
      </w:r>
      <w:r w:rsidR="005F007B" w:rsidRPr="00570F54">
        <w:rPr>
          <w:sz w:val="22"/>
        </w:rPr>
        <w:t>ted ICT;</w:t>
      </w:r>
    </w:p>
    <w:p w:rsidR="00530E41" w:rsidRPr="00570F54" w:rsidRDefault="00530E41" w:rsidP="00570F54">
      <w:pPr>
        <w:pStyle w:val="ListParagraph"/>
        <w:numPr>
          <w:ilvl w:val="0"/>
          <w:numId w:val="12"/>
        </w:numPr>
        <w:rPr>
          <w:sz w:val="22"/>
        </w:rPr>
      </w:pPr>
      <w:r w:rsidRPr="00570F54">
        <w:rPr>
          <w:sz w:val="22"/>
        </w:rPr>
        <w:t>have a building or buildings capable of housing detectors; detector parts; ICT (including PCs, racked computers and networking); and</w:t>
      </w:r>
      <w:r w:rsidR="007932A3" w:rsidRPr="00570F54">
        <w:rPr>
          <w:sz w:val="22"/>
        </w:rPr>
        <w:t xml:space="preserve"> </w:t>
      </w:r>
      <w:r w:rsidRPr="00570F54">
        <w:rPr>
          <w:sz w:val="22"/>
        </w:rPr>
        <w:t>sta</w:t>
      </w:r>
      <w:r w:rsidR="005F007B" w:rsidRPr="00570F54">
        <w:rPr>
          <w:sz w:val="22"/>
        </w:rPr>
        <w:t>ff;</w:t>
      </w:r>
    </w:p>
    <w:p w:rsidR="00530E41" w:rsidRPr="00570F54" w:rsidRDefault="00530E41" w:rsidP="00570F54">
      <w:pPr>
        <w:pStyle w:val="ListParagraph"/>
        <w:numPr>
          <w:ilvl w:val="0"/>
          <w:numId w:val="12"/>
        </w:numPr>
        <w:rPr>
          <w:sz w:val="22"/>
        </w:rPr>
      </w:pPr>
      <w:r w:rsidRPr="00570F54">
        <w:rPr>
          <w:sz w:val="22"/>
        </w:rPr>
        <w:t>facilitate access by car and relatively regular access for HGVs</w:t>
      </w:r>
      <w:r w:rsidR="005F007B" w:rsidRPr="00570F54">
        <w:rPr>
          <w:sz w:val="22"/>
        </w:rPr>
        <w:t>; and</w:t>
      </w:r>
    </w:p>
    <w:p w:rsidR="00530E41" w:rsidRPr="00570F54" w:rsidRDefault="00530E41" w:rsidP="00570F54">
      <w:pPr>
        <w:pStyle w:val="ListParagraph"/>
        <w:numPr>
          <w:ilvl w:val="0"/>
          <w:numId w:val="12"/>
        </w:numPr>
        <w:rPr>
          <w:sz w:val="22"/>
        </w:rPr>
      </w:pPr>
      <w:r w:rsidRPr="00570F54">
        <w:rPr>
          <w:sz w:val="22"/>
        </w:rPr>
        <w:t xml:space="preserve">comply with all </w:t>
      </w:r>
      <w:proofErr w:type="spellStart"/>
      <w:r w:rsidRPr="00570F54">
        <w:rPr>
          <w:sz w:val="22"/>
        </w:rPr>
        <w:t>relavant</w:t>
      </w:r>
      <w:proofErr w:type="spellEnd"/>
      <w:r w:rsidRPr="00570F54">
        <w:rPr>
          <w:sz w:val="22"/>
        </w:rPr>
        <w:t xml:space="preserve"> </w:t>
      </w:r>
      <w:proofErr w:type="spellStart"/>
      <w:r w:rsidRPr="00570F54">
        <w:rPr>
          <w:sz w:val="22"/>
        </w:rPr>
        <w:t>regul</w:t>
      </w:r>
      <w:r w:rsidRPr="00C840B2">
        <w:rPr>
          <w:strike/>
          <w:sz w:val="22"/>
        </w:rPr>
        <w:t>r</w:t>
      </w:r>
      <w:r w:rsidRPr="00570F54">
        <w:rPr>
          <w:sz w:val="22"/>
        </w:rPr>
        <w:t>ation</w:t>
      </w:r>
      <w:proofErr w:type="spellEnd"/>
      <w:r w:rsidRPr="00570F54">
        <w:rPr>
          <w:sz w:val="22"/>
        </w:rPr>
        <w:t xml:space="preserve"> including but not limited to hea</w:t>
      </w:r>
      <w:r w:rsidR="00C840B2" w:rsidRPr="00C840B2">
        <w:rPr>
          <w:color w:val="FF0000"/>
          <w:sz w:val="22"/>
        </w:rPr>
        <w:t>l</w:t>
      </w:r>
      <w:r w:rsidRPr="00570F54">
        <w:rPr>
          <w:sz w:val="22"/>
        </w:rPr>
        <w:t>th and safety and regulations relating to the man</w:t>
      </w:r>
      <w:r w:rsidR="00785A52" w:rsidRPr="00570F54">
        <w:rPr>
          <w:sz w:val="22"/>
        </w:rPr>
        <w:t>a</w:t>
      </w:r>
      <w:r w:rsidRPr="00570F54">
        <w:rPr>
          <w:sz w:val="22"/>
        </w:rPr>
        <w:t>g</w:t>
      </w:r>
      <w:r w:rsidR="00785A52" w:rsidRPr="00570F54">
        <w:rPr>
          <w:sz w:val="22"/>
        </w:rPr>
        <w:t>e</w:t>
      </w:r>
      <w:r w:rsidRPr="00570F54">
        <w:rPr>
          <w:sz w:val="22"/>
        </w:rPr>
        <w:t xml:space="preserve">ment of RN sources. </w:t>
      </w:r>
    </w:p>
    <w:p w:rsidR="00530E41" w:rsidRPr="00570F54" w:rsidRDefault="00530E41" w:rsidP="005F007B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Services provided </w:t>
      </w:r>
      <w:r w:rsidR="00785A52" w:rsidRPr="00570F54">
        <w:rPr>
          <w:rFonts w:ascii="Arial" w:hAnsi="Arial" w:cs="Arial"/>
          <w:sz w:val="22"/>
          <w:szCs w:val="22"/>
        </w:rPr>
        <w:t xml:space="preserve">will likely </w:t>
      </w:r>
      <w:r w:rsidRPr="00570F54">
        <w:rPr>
          <w:rFonts w:ascii="Arial" w:hAnsi="Arial" w:cs="Arial"/>
          <w:sz w:val="22"/>
          <w:szCs w:val="22"/>
        </w:rPr>
        <w:t xml:space="preserve">include, but not be limited to: goods administration; detector and hardware configuration; site access management; and facilities booking.  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  <w:u w:val="single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Lots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This contract is divided into lots: no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II.5)</w:t>
      </w:r>
      <w:r w:rsidRPr="00570F54">
        <w:rPr>
          <w:rFonts w:ascii="Arial" w:hAnsi="Arial" w:cs="Arial"/>
          <w:b/>
          <w:sz w:val="22"/>
          <w:szCs w:val="22"/>
        </w:rPr>
        <w:tab/>
        <w:t>Common procurement vocabulary (CPV)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BE6BDD" w:rsidRPr="00570F54" w:rsidRDefault="00BE6BDD" w:rsidP="00BE6BDD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90721600 Radiation protection services</w:t>
      </w:r>
    </w:p>
    <w:p w:rsidR="00BE6BDD" w:rsidRPr="00570F54" w:rsidRDefault="00BE6BDD" w:rsidP="00BE6BDD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98113100 Nuclear safety services</w:t>
      </w:r>
    </w:p>
    <w:p w:rsidR="00BE6BDD" w:rsidRPr="00570F54" w:rsidRDefault="00BE6BDD" w:rsidP="00BE6BDD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71630000 Technical inspection and testing services</w:t>
      </w:r>
    </w:p>
    <w:p w:rsidR="00BE6BDD" w:rsidRPr="00570F54" w:rsidRDefault="00BE6BDD" w:rsidP="00BE6BDD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72254000 Software testing</w:t>
      </w:r>
    </w:p>
    <w:p w:rsidR="00103C0F" w:rsidRPr="00570F54" w:rsidRDefault="00BE6BDD" w:rsidP="00BE6BDD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71632000 Technical testing services</w:t>
      </w:r>
    </w:p>
    <w:p w:rsidR="00103C0F" w:rsidRPr="00570F54" w:rsidRDefault="00103C0F" w:rsidP="00BE6BDD">
      <w:pPr>
        <w:rPr>
          <w:rFonts w:ascii="Arial" w:hAnsi="Arial" w:cs="Arial"/>
          <w:sz w:val="22"/>
          <w:szCs w:val="22"/>
        </w:rPr>
      </w:pPr>
      <w:proofErr w:type="gramStart"/>
      <w:r w:rsidRPr="00570F54">
        <w:rPr>
          <w:rFonts w:ascii="Arial" w:hAnsi="Arial" w:cs="Arial"/>
          <w:sz w:val="22"/>
          <w:szCs w:val="22"/>
        </w:rPr>
        <w:t>79993100 :</w:t>
      </w:r>
      <w:proofErr w:type="gramEnd"/>
      <w:r w:rsidRPr="00570F54">
        <w:rPr>
          <w:rFonts w:ascii="Arial" w:hAnsi="Arial" w:cs="Arial"/>
          <w:sz w:val="22"/>
          <w:szCs w:val="22"/>
        </w:rPr>
        <w:t xml:space="preserve"> Facilities management services</w:t>
      </w:r>
    </w:p>
    <w:p w:rsidR="00103C0F" w:rsidRPr="00570F54" w:rsidRDefault="00103C0F" w:rsidP="00BE6BDD">
      <w:pPr>
        <w:rPr>
          <w:rFonts w:ascii="Arial" w:hAnsi="Arial" w:cs="Arial"/>
          <w:sz w:val="22"/>
          <w:szCs w:val="22"/>
        </w:rPr>
      </w:pPr>
      <w:proofErr w:type="gramStart"/>
      <w:r w:rsidRPr="00570F54">
        <w:rPr>
          <w:rFonts w:ascii="Arial" w:hAnsi="Arial" w:cs="Arial"/>
          <w:sz w:val="22"/>
          <w:szCs w:val="22"/>
        </w:rPr>
        <w:t>72514100 :</w:t>
      </w:r>
      <w:proofErr w:type="gramEnd"/>
      <w:r w:rsidRPr="00570F54">
        <w:rPr>
          <w:rFonts w:ascii="Arial" w:hAnsi="Arial" w:cs="Arial"/>
          <w:sz w:val="22"/>
          <w:szCs w:val="22"/>
        </w:rPr>
        <w:t xml:space="preserve"> Facilities management services involving computer operation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II.6)</w:t>
      </w:r>
      <w:r w:rsidRPr="00570F54">
        <w:rPr>
          <w:rFonts w:ascii="Arial" w:hAnsi="Arial" w:cs="Arial"/>
          <w:b/>
          <w:sz w:val="22"/>
          <w:szCs w:val="22"/>
        </w:rPr>
        <w:tab/>
        <w:t>Scheduled date for start of award procedures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II.7)</w:t>
      </w:r>
      <w:r w:rsidRPr="00570F54">
        <w:rPr>
          <w:rFonts w:ascii="Arial" w:hAnsi="Arial" w:cs="Arial"/>
          <w:b/>
          <w:sz w:val="22"/>
          <w:szCs w:val="22"/>
        </w:rPr>
        <w:tab/>
        <w:t>Information about Government Procurement Agreement (GPA)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The contract is covered by the Government Procurement Agreement (GPA): yes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II.8)</w:t>
      </w:r>
      <w:r w:rsidRPr="00570F54">
        <w:rPr>
          <w:rFonts w:ascii="Arial" w:hAnsi="Arial" w:cs="Arial"/>
          <w:b/>
          <w:sz w:val="22"/>
          <w:szCs w:val="22"/>
        </w:rPr>
        <w:tab/>
        <w:t>Additional information: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The Home Office seeks to engage with potential providers for their views on the following areas: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Service Requirements 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Rough order of magnitude pricing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Procurement approach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Implementation approach and timescales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In order to express interest in </w:t>
      </w:r>
      <w:proofErr w:type="gramStart"/>
      <w:r w:rsidRPr="00FC12EF">
        <w:rPr>
          <w:rFonts w:ascii="Arial" w:hAnsi="Arial" w:cs="Arial"/>
          <w:strike/>
          <w:sz w:val="22"/>
          <w:szCs w:val="22"/>
        </w:rPr>
        <w:t>our</w:t>
      </w:r>
      <w:r w:rsidRPr="00570F54">
        <w:rPr>
          <w:rFonts w:ascii="Arial" w:hAnsi="Arial" w:cs="Arial"/>
          <w:sz w:val="22"/>
          <w:szCs w:val="22"/>
        </w:rPr>
        <w:t xml:space="preserve"> </w:t>
      </w:r>
      <w:r w:rsidR="00FC12EF">
        <w:rPr>
          <w:rFonts w:ascii="Arial" w:hAnsi="Arial" w:cs="Arial"/>
          <w:sz w:val="22"/>
          <w:szCs w:val="22"/>
        </w:rPr>
        <w:t>this</w:t>
      </w:r>
      <w:proofErr w:type="gramEnd"/>
      <w:r w:rsidR="00FC12EF">
        <w:rPr>
          <w:rFonts w:ascii="Arial" w:hAnsi="Arial" w:cs="Arial"/>
          <w:sz w:val="22"/>
          <w:szCs w:val="22"/>
        </w:rPr>
        <w:t xml:space="preserve"> </w:t>
      </w:r>
      <w:r w:rsidRPr="00570F54">
        <w:rPr>
          <w:rFonts w:ascii="Arial" w:hAnsi="Arial" w:cs="Arial"/>
          <w:sz w:val="22"/>
          <w:szCs w:val="22"/>
        </w:rPr>
        <w:t xml:space="preserve">market engagement exercise, the Home Office invites organisations to registered on the eSourcingSuite.  If you have not already </w:t>
      </w:r>
      <w:r w:rsidRPr="00FC12EF">
        <w:rPr>
          <w:rFonts w:ascii="Arial" w:hAnsi="Arial" w:cs="Arial"/>
          <w:strike/>
          <w:sz w:val="22"/>
          <w:szCs w:val="22"/>
        </w:rPr>
        <w:t>yet</w:t>
      </w:r>
      <w:r w:rsidRPr="00570F54">
        <w:rPr>
          <w:rFonts w:ascii="Arial" w:hAnsi="Arial" w:cs="Arial"/>
          <w:sz w:val="22"/>
          <w:szCs w:val="22"/>
        </w:rPr>
        <w:t xml:space="preserve"> registered on the eSourcing Suite, </w:t>
      </w:r>
      <w:r w:rsidR="00FC12EF">
        <w:rPr>
          <w:rFonts w:ascii="Arial" w:hAnsi="Arial" w:cs="Arial"/>
          <w:sz w:val="22"/>
          <w:szCs w:val="22"/>
        </w:rPr>
        <w:t xml:space="preserve">this can be accessed </w:t>
      </w:r>
      <w:r w:rsidRPr="00570F54">
        <w:rPr>
          <w:rFonts w:ascii="Arial" w:hAnsi="Arial" w:cs="Arial"/>
          <w:sz w:val="22"/>
          <w:szCs w:val="22"/>
        </w:rPr>
        <w:t xml:space="preserve">online at </w:t>
      </w:r>
      <w:r w:rsidRPr="00570F54">
        <w:rPr>
          <w:rFonts w:ascii="Arial" w:hAnsi="Arial" w:cs="Arial"/>
          <w:sz w:val="22"/>
          <w:szCs w:val="22"/>
        </w:rPr>
        <w:lastRenderedPageBreak/>
        <w:t>https://gpsesourcing.cabinetoffice.gov.uk by following the link “Supplier eSourcing Registration”.  Please note that, to register, you must have a valid DUNS number (as provided by Dun and Bradstreet) for the organisation you are registering. Full instructions for registration and use of the system can be found here: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https://www.gov.uk/government/publications/esourcing-tool-guidance-for-suppliers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For technical assistance on use of the eSourcing Suite please contact Crown Commercial Service Helpdesk on 0345 0103503.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 xml:space="preserve">Following </w:t>
      </w:r>
      <w:proofErr w:type="spellStart"/>
      <w:r w:rsidRPr="00660ECE">
        <w:rPr>
          <w:rFonts w:ascii="Arial" w:hAnsi="Arial" w:cs="Arial"/>
          <w:color w:val="000000" w:themeColor="text1"/>
          <w:sz w:val="22"/>
          <w:szCs w:val="22"/>
        </w:rPr>
        <w:t>regist</w:t>
      </w:r>
      <w:r w:rsidR="00FC12EF" w:rsidRPr="00660ECE">
        <w:rPr>
          <w:rFonts w:ascii="Arial" w:hAnsi="Arial" w:cs="Arial"/>
          <w:color w:val="000000" w:themeColor="text1"/>
          <w:sz w:val="22"/>
          <w:szCs w:val="22"/>
        </w:rPr>
        <w:t>ration</w:t>
      </w:r>
      <w:r w:rsidRPr="00660ECE">
        <w:rPr>
          <w:rFonts w:ascii="Arial" w:hAnsi="Arial" w:cs="Arial"/>
          <w:strike/>
          <w:color w:val="000000" w:themeColor="text1"/>
          <w:sz w:val="22"/>
          <w:szCs w:val="22"/>
        </w:rPr>
        <w:t>e</w:t>
      </w:r>
      <w:proofErr w:type="spellEnd"/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660ECE" w:rsidRPr="00660ECE">
        <w:rPr>
          <w:rFonts w:ascii="Arial" w:hAnsi="Arial" w:cs="Arial"/>
          <w:strike/>
          <w:color w:val="000000" w:themeColor="text1"/>
          <w:sz w:val="22"/>
          <w:szCs w:val="22"/>
        </w:rPr>
        <w:t>l</w:t>
      </w:r>
      <w:r w:rsidR="00E639DC" w:rsidRPr="00660ECE">
        <w:rPr>
          <w:rFonts w:ascii="Arial" w:hAnsi="Arial" w:cs="Arial"/>
          <w:color w:val="000000" w:themeColor="text1"/>
          <w:sz w:val="22"/>
          <w:szCs w:val="22"/>
        </w:rPr>
        <w:t>l</w:t>
      </w:r>
      <w:r w:rsidRPr="00660ECE">
        <w:rPr>
          <w:rFonts w:ascii="Arial" w:hAnsi="Arial" w:cs="Arial"/>
          <w:color w:val="000000" w:themeColor="text1"/>
          <w:sz w:val="22"/>
          <w:szCs w:val="22"/>
        </w:rPr>
        <w:t xml:space="preserve"> interest</w:t>
      </w:r>
      <w:r w:rsidR="00E639DC" w:rsidRPr="00660ECE">
        <w:rPr>
          <w:rFonts w:ascii="Arial" w:hAnsi="Arial" w:cs="Arial"/>
          <w:color w:val="000000" w:themeColor="text1"/>
          <w:sz w:val="22"/>
          <w:szCs w:val="22"/>
        </w:rPr>
        <w:t>ed</w:t>
      </w:r>
      <w:r w:rsidR="00785A52" w:rsidRPr="00660E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5A52" w:rsidRPr="00570F54">
        <w:rPr>
          <w:rFonts w:ascii="Arial" w:hAnsi="Arial" w:cs="Arial"/>
          <w:sz w:val="22"/>
          <w:szCs w:val="22"/>
        </w:rPr>
        <w:t>s</w:t>
      </w:r>
      <w:r w:rsidRPr="00570F54">
        <w:rPr>
          <w:rFonts w:ascii="Arial" w:hAnsi="Arial" w:cs="Arial"/>
          <w:sz w:val="22"/>
          <w:szCs w:val="22"/>
        </w:rPr>
        <w:t>uppliers are invited to submit a short summary of their capability in relation to the requirements.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As part of the market engagement exercise, the Home Office intends to invite</w:t>
      </w:r>
      <w:r w:rsidR="00E639DC" w:rsidRPr="00E639DC">
        <w:rPr>
          <w:rFonts w:ascii="Arial" w:hAnsi="Arial" w:cs="Arial"/>
          <w:sz w:val="22"/>
          <w:szCs w:val="22"/>
        </w:rPr>
        <w:t xml:space="preserve"> </w:t>
      </w:r>
      <w:r w:rsidR="00E639DC" w:rsidRPr="00570F54">
        <w:rPr>
          <w:rFonts w:ascii="Arial" w:hAnsi="Arial" w:cs="Arial"/>
          <w:sz w:val="22"/>
          <w:szCs w:val="22"/>
        </w:rPr>
        <w:t>between 1st and 16th February 2018</w:t>
      </w:r>
      <w:proofErr w:type="gramStart"/>
      <w:r w:rsidR="00E639DC">
        <w:rPr>
          <w:rFonts w:ascii="Arial" w:hAnsi="Arial" w:cs="Arial"/>
          <w:sz w:val="22"/>
          <w:szCs w:val="22"/>
        </w:rPr>
        <w:t xml:space="preserve">, </w:t>
      </w:r>
      <w:r w:rsidRPr="00570F54">
        <w:rPr>
          <w:rFonts w:ascii="Arial" w:hAnsi="Arial" w:cs="Arial"/>
          <w:sz w:val="22"/>
          <w:szCs w:val="22"/>
        </w:rPr>
        <w:t xml:space="preserve"> some</w:t>
      </w:r>
      <w:proofErr w:type="gramEnd"/>
      <w:r w:rsidRPr="00570F54">
        <w:rPr>
          <w:rFonts w:ascii="Arial" w:hAnsi="Arial" w:cs="Arial"/>
          <w:sz w:val="22"/>
          <w:szCs w:val="22"/>
        </w:rPr>
        <w:t xml:space="preserve"> potential providers to participate in discussion on topics</w:t>
      </w:r>
      <w:r w:rsidR="00F60A48">
        <w:rPr>
          <w:rFonts w:ascii="Arial" w:hAnsi="Arial" w:cs="Arial"/>
          <w:sz w:val="22"/>
          <w:szCs w:val="22"/>
        </w:rPr>
        <w:t xml:space="preserve"> related to the requirements</w:t>
      </w:r>
      <w:r w:rsidRPr="00570F54">
        <w:rPr>
          <w:rFonts w:ascii="Arial" w:hAnsi="Arial" w:cs="Arial"/>
          <w:sz w:val="22"/>
          <w:szCs w:val="22"/>
        </w:rPr>
        <w:t xml:space="preserve">. 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Registering on the eSourcing Suite, providing a response (or not), or attending a meeting will not affect either negatively or positively your ability to participate in any possible, later procurements for these services.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  <w:u w:val="single"/>
        </w:rPr>
      </w:pPr>
      <w:r w:rsidRPr="00570F54">
        <w:rPr>
          <w:rFonts w:ascii="Arial" w:hAnsi="Arial" w:cs="Arial"/>
          <w:b/>
          <w:sz w:val="22"/>
          <w:szCs w:val="22"/>
          <w:u w:val="single"/>
        </w:rPr>
        <w:t>Section III: Legal, economic, financial and technical information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III.1)</w:t>
      </w:r>
      <w:r w:rsidRPr="00570F54">
        <w:rPr>
          <w:rFonts w:ascii="Arial" w:hAnsi="Arial" w:cs="Arial"/>
          <w:b/>
          <w:sz w:val="22"/>
          <w:szCs w:val="22"/>
        </w:rPr>
        <w:tab/>
        <w:t>Conditions relating to the contract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III.1.1)</w:t>
      </w:r>
      <w:r w:rsidRPr="00570F54">
        <w:rPr>
          <w:rFonts w:ascii="Arial" w:hAnsi="Arial" w:cs="Arial"/>
          <w:b/>
          <w:sz w:val="22"/>
          <w:szCs w:val="22"/>
        </w:rPr>
        <w:tab/>
        <w:t>Main financing conditions and payment arrangements and/or reference to the relevant provisions governing them: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III.2)</w:t>
      </w:r>
      <w:r w:rsidRPr="00570F54">
        <w:rPr>
          <w:rFonts w:ascii="Arial" w:hAnsi="Arial" w:cs="Arial"/>
          <w:b/>
          <w:sz w:val="22"/>
          <w:szCs w:val="22"/>
        </w:rPr>
        <w:tab/>
        <w:t>Conditions for participation</w:t>
      </w:r>
    </w:p>
    <w:p w:rsidR="00530E41" w:rsidRPr="00570F54" w:rsidRDefault="00530E41" w:rsidP="00530E41">
      <w:pPr>
        <w:ind w:left="1560" w:hanging="1560"/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III.2.1)</w:t>
      </w:r>
      <w:r w:rsidRPr="00570F54">
        <w:rPr>
          <w:rFonts w:ascii="Arial" w:hAnsi="Arial" w:cs="Arial"/>
          <w:b/>
          <w:sz w:val="22"/>
          <w:szCs w:val="22"/>
        </w:rPr>
        <w:tab/>
        <w:t>Information about reserved contracts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  <w:u w:val="single"/>
        </w:rPr>
      </w:pPr>
      <w:r w:rsidRPr="00570F54">
        <w:rPr>
          <w:rFonts w:ascii="Arial" w:hAnsi="Arial" w:cs="Arial"/>
          <w:b/>
          <w:sz w:val="22"/>
          <w:szCs w:val="22"/>
          <w:u w:val="single"/>
        </w:rPr>
        <w:t>Section VI: Complementary information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  <w:u w:val="single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VI.1)</w:t>
      </w:r>
      <w:r w:rsidRPr="00570F54">
        <w:rPr>
          <w:rFonts w:ascii="Arial" w:hAnsi="Arial" w:cs="Arial"/>
          <w:b/>
          <w:sz w:val="22"/>
          <w:szCs w:val="22"/>
        </w:rPr>
        <w:tab/>
        <w:t>Information about European Union funds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  <w:r w:rsidRPr="00570F54">
        <w:rPr>
          <w:rFonts w:ascii="Arial" w:hAnsi="Arial" w:cs="Arial"/>
          <w:sz w:val="22"/>
          <w:szCs w:val="22"/>
        </w:rPr>
        <w:t>The contract is related to a project and/or programme financed by European Union funds: no</w:t>
      </w:r>
    </w:p>
    <w:p w:rsidR="00530E41" w:rsidRPr="00570F54" w:rsidRDefault="00530E41" w:rsidP="00530E41">
      <w:pPr>
        <w:rPr>
          <w:rFonts w:ascii="Arial" w:hAnsi="Arial" w:cs="Arial"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VI.2)</w:t>
      </w:r>
      <w:r w:rsidRPr="00570F54">
        <w:rPr>
          <w:rFonts w:ascii="Arial" w:hAnsi="Arial" w:cs="Arial"/>
          <w:b/>
          <w:sz w:val="22"/>
          <w:szCs w:val="22"/>
        </w:rPr>
        <w:tab/>
        <w:t>Additional information: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VI.3)</w:t>
      </w:r>
      <w:r w:rsidRPr="00570F54">
        <w:rPr>
          <w:rFonts w:ascii="Arial" w:hAnsi="Arial" w:cs="Arial"/>
          <w:b/>
          <w:sz w:val="22"/>
          <w:szCs w:val="22"/>
        </w:rPr>
        <w:tab/>
        <w:t>Information on general regulatory framework</w:t>
      </w:r>
    </w:p>
    <w:p w:rsidR="00530E41" w:rsidRPr="00570F54" w:rsidRDefault="00530E41" w:rsidP="00530E41">
      <w:pPr>
        <w:rPr>
          <w:rFonts w:ascii="Arial" w:hAnsi="Arial" w:cs="Arial"/>
          <w:b/>
          <w:sz w:val="22"/>
          <w:szCs w:val="22"/>
        </w:rPr>
      </w:pPr>
      <w:r w:rsidRPr="00570F54">
        <w:rPr>
          <w:rFonts w:ascii="Arial" w:hAnsi="Arial" w:cs="Arial"/>
          <w:b/>
          <w:sz w:val="22"/>
          <w:szCs w:val="22"/>
        </w:rPr>
        <w:t>VI.4)</w:t>
      </w:r>
      <w:r w:rsidRPr="00570F54">
        <w:rPr>
          <w:rFonts w:ascii="Arial" w:hAnsi="Arial" w:cs="Arial"/>
          <w:b/>
          <w:sz w:val="22"/>
          <w:szCs w:val="22"/>
        </w:rPr>
        <w:tab/>
        <w:t>Date of dispatch of this notice:</w:t>
      </w:r>
    </w:p>
    <w:p w:rsidR="00530E41" w:rsidRPr="007932A3" w:rsidRDefault="00530E41" w:rsidP="008C133C">
      <w:pPr>
        <w:pStyle w:val="ColorfulShading-Accent31"/>
        <w:ind w:left="0"/>
        <w:rPr>
          <w:rFonts w:ascii="Arial" w:hAnsi="Arial" w:cs="Arial"/>
        </w:rPr>
      </w:pPr>
    </w:p>
    <w:p w:rsidR="00EA01E3" w:rsidRPr="007932A3" w:rsidRDefault="00EA01E3" w:rsidP="008C133C">
      <w:pPr>
        <w:pStyle w:val="ColorfulShading-Accent31"/>
        <w:ind w:left="0"/>
        <w:rPr>
          <w:rFonts w:ascii="Arial" w:hAnsi="Arial" w:cs="Arial"/>
        </w:rPr>
      </w:pPr>
    </w:p>
    <w:p w:rsidR="0035273F" w:rsidRPr="007932A3" w:rsidRDefault="0035273F" w:rsidP="008C133C">
      <w:pPr>
        <w:pStyle w:val="ColorfulShading-Accent31"/>
        <w:ind w:left="0"/>
        <w:rPr>
          <w:rFonts w:ascii="Arial" w:hAnsi="Arial" w:cs="Arial"/>
        </w:rPr>
      </w:pPr>
    </w:p>
    <w:p w:rsidR="00E2389F" w:rsidRPr="007932A3" w:rsidRDefault="00E2389F" w:rsidP="0035273F">
      <w:pPr>
        <w:rPr>
          <w:rFonts w:ascii="Arial" w:hAnsi="Arial" w:cs="Arial"/>
          <w:b/>
          <w:sz w:val="22"/>
          <w:szCs w:val="22"/>
        </w:rPr>
      </w:pPr>
    </w:p>
    <w:sectPr w:rsidR="00E2389F" w:rsidRPr="007932A3" w:rsidSect="007178F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61" w:rsidRDefault="00345461" w:rsidP="00530E41">
      <w:r>
        <w:separator/>
      </w:r>
    </w:p>
  </w:endnote>
  <w:endnote w:type="continuationSeparator" w:id="0">
    <w:p w:rsidR="00345461" w:rsidRDefault="00345461" w:rsidP="0053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61" w:rsidRDefault="00345461" w:rsidP="00530E41">
      <w:r>
        <w:separator/>
      </w:r>
    </w:p>
  </w:footnote>
  <w:footnote w:type="continuationSeparator" w:id="0">
    <w:p w:rsidR="00345461" w:rsidRDefault="00345461" w:rsidP="00530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0F" w:rsidRDefault="00103C0F" w:rsidP="00530E41">
    <w:pPr>
      <w:pStyle w:val="Header"/>
      <w:ind w:left="0" w:firstLine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Testing </w:t>
    </w:r>
    <w:proofErr w:type="spellStart"/>
    <w:r>
      <w:rPr>
        <w:b/>
        <w:sz w:val="16"/>
        <w:szCs w:val="16"/>
      </w:rPr>
      <w:t>Facilites</w:t>
    </w:r>
    <w:proofErr w:type="spellEnd"/>
    <w:r>
      <w:rPr>
        <w:b/>
        <w:sz w:val="16"/>
        <w:szCs w:val="16"/>
      </w:rPr>
      <w:t xml:space="preserve"> Market Engagement</w:t>
    </w:r>
  </w:p>
  <w:p w:rsidR="00103C0F" w:rsidRPr="000F27D7" w:rsidRDefault="00103C0F" w:rsidP="00530E41">
    <w:pPr>
      <w:pStyle w:val="Header"/>
      <w:ind w:left="0" w:firstLine="0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98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40D37"/>
    <w:multiLevelType w:val="hybridMultilevel"/>
    <w:tmpl w:val="525E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3A8E"/>
    <w:multiLevelType w:val="hybridMultilevel"/>
    <w:tmpl w:val="2798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21FB"/>
    <w:multiLevelType w:val="hybridMultilevel"/>
    <w:tmpl w:val="8D44D9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8545F8"/>
    <w:multiLevelType w:val="multilevel"/>
    <w:tmpl w:val="92A41EA4"/>
    <w:lvl w:ilvl="0">
      <w:start w:val="1"/>
      <w:numFmt w:val="decimal"/>
      <w:lvlText w:val="%1."/>
      <w:lvlJc w:val="left"/>
      <w:pPr>
        <w:tabs>
          <w:tab w:val="num" w:pos="5888"/>
        </w:tabs>
        <w:ind w:left="5755" w:hanging="227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1134"/>
      </w:pPr>
      <w:rPr>
        <w:rFonts w:ascii="Arial" w:hAnsi="Arial" w:cs="Arial" w:hint="default"/>
        <w:b w:val="0"/>
        <w:i w:val="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6A6A6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9"/>
        </w:tabs>
        <w:ind w:left="1559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5">
    <w:nsid w:val="1C010256"/>
    <w:multiLevelType w:val="hybridMultilevel"/>
    <w:tmpl w:val="BD1E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802AB"/>
    <w:multiLevelType w:val="hybridMultilevel"/>
    <w:tmpl w:val="269EC5A8"/>
    <w:lvl w:ilvl="0" w:tplc="4B64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4732"/>
    <w:multiLevelType w:val="hybridMultilevel"/>
    <w:tmpl w:val="2FF63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CE9"/>
    <w:multiLevelType w:val="hybridMultilevel"/>
    <w:tmpl w:val="FC54DACC"/>
    <w:lvl w:ilvl="0" w:tplc="4B64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F0337"/>
    <w:multiLevelType w:val="hybridMultilevel"/>
    <w:tmpl w:val="EA1CB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D82343"/>
    <w:multiLevelType w:val="hybridMultilevel"/>
    <w:tmpl w:val="FE6C111C"/>
    <w:lvl w:ilvl="0" w:tplc="F8C439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26B3"/>
    <w:multiLevelType w:val="hybridMultilevel"/>
    <w:tmpl w:val="B1663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39"/>
    <w:rsid w:val="0000578C"/>
    <w:rsid w:val="00011541"/>
    <w:rsid w:val="00011684"/>
    <w:rsid w:val="000157A2"/>
    <w:rsid w:val="00015CE7"/>
    <w:rsid w:val="000230B5"/>
    <w:rsid w:val="00025B24"/>
    <w:rsid w:val="00033DE1"/>
    <w:rsid w:val="00036428"/>
    <w:rsid w:val="0003653F"/>
    <w:rsid w:val="00053737"/>
    <w:rsid w:val="000554E4"/>
    <w:rsid w:val="00055BAF"/>
    <w:rsid w:val="000615FD"/>
    <w:rsid w:val="0007203D"/>
    <w:rsid w:val="00080C3D"/>
    <w:rsid w:val="00084F77"/>
    <w:rsid w:val="00086888"/>
    <w:rsid w:val="00087666"/>
    <w:rsid w:val="0009172F"/>
    <w:rsid w:val="000D6E83"/>
    <w:rsid w:val="000E7066"/>
    <w:rsid w:val="00100BDD"/>
    <w:rsid w:val="00101E6B"/>
    <w:rsid w:val="00103C0F"/>
    <w:rsid w:val="001107FE"/>
    <w:rsid w:val="0011104F"/>
    <w:rsid w:val="001144DA"/>
    <w:rsid w:val="00116891"/>
    <w:rsid w:val="001236C0"/>
    <w:rsid w:val="0012667F"/>
    <w:rsid w:val="001279BE"/>
    <w:rsid w:val="00130B8B"/>
    <w:rsid w:val="00135F3E"/>
    <w:rsid w:val="0014200E"/>
    <w:rsid w:val="00143159"/>
    <w:rsid w:val="00150C64"/>
    <w:rsid w:val="001544A0"/>
    <w:rsid w:val="0015737B"/>
    <w:rsid w:val="001575EE"/>
    <w:rsid w:val="00162B1E"/>
    <w:rsid w:val="00162CBE"/>
    <w:rsid w:val="00184513"/>
    <w:rsid w:val="001A4463"/>
    <w:rsid w:val="001B1845"/>
    <w:rsid w:val="001B4194"/>
    <w:rsid w:val="001B43E3"/>
    <w:rsid w:val="001B6A93"/>
    <w:rsid w:val="001C3264"/>
    <w:rsid w:val="001C7F0E"/>
    <w:rsid w:val="001E207D"/>
    <w:rsid w:val="001E2B79"/>
    <w:rsid w:val="001E3C4D"/>
    <w:rsid w:val="001E5A7F"/>
    <w:rsid w:val="001E7D59"/>
    <w:rsid w:val="001F33C6"/>
    <w:rsid w:val="001F6F6B"/>
    <w:rsid w:val="00201527"/>
    <w:rsid w:val="002207D1"/>
    <w:rsid w:val="0022515A"/>
    <w:rsid w:val="0022543E"/>
    <w:rsid w:val="0023390F"/>
    <w:rsid w:val="00241C68"/>
    <w:rsid w:val="00243377"/>
    <w:rsid w:val="00243E37"/>
    <w:rsid w:val="002466E4"/>
    <w:rsid w:val="002471A9"/>
    <w:rsid w:val="0025079D"/>
    <w:rsid w:val="00253A65"/>
    <w:rsid w:val="00274158"/>
    <w:rsid w:val="00274AD9"/>
    <w:rsid w:val="0029207B"/>
    <w:rsid w:val="0029603D"/>
    <w:rsid w:val="002A5D03"/>
    <w:rsid w:val="002C10FD"/>
    <w:rsid w:val="002C2DFA"/>
    <w:rsid w:val="002D33F1"/>
    <w:rsid w:val="002D3A24"/>
    <w:rsid w:val="002D4A8A"/>
    <w:rsid w:val="002E4CCD"/>
    <w:rsid w:val="002E5289"/>
    <w:rsid w:val="002F2C8F"/>
    <w:rsid w:val="00304481"/>
    <w:rsid w:val="00304FC0"/>
    <w:rsid w:val="00307686"/>
    <w:rsid w:val="00321AA7"/>
    <w:rsid w:val="00345461"/>
    <w:rsid w:val="0035273F"/>
    <w:rsid w:val="003567F8"/>
    <w:rsid w:val="00361D92"/>
    <w:rsid w:val="0036696A"/>
    <w:rsid w:val="003669AC"/>
    <w:rsid w:val="00371FA8"/>
    <w:rsid w:val="003778BC"/>
    <w:rsid w:val="00384E18"/>
    <w:rsid w:val="00390F40"/>
    <w:rsid w:val="00393D0E"/>
    <w:rsid w:val="003A0D6D"/>
    <w:rsid w:val="003A535C"/>
    <w:rsid w:val="003A726A"/>
    <w:rsid w:val="003B3007"/>
    <w:rsid w:val="003B60AB"/>
    <w:rsid w:val="003B63A2"/>
    <w:rsid w:val="003B7FB6"/>
    <w:rsid w:val="003C1657"/>
    <w:rsid w:val="003D4592"/>
    <w:rsid w:val="003E0F3B"/>
    <w:rsid w:val="003E1EC3"/>
    <w:rsid w:val="003E3A39"/>
    <w:rsid w:val="003F22F3"/>
    <w:rsid w:val="003F6435"/>
    <w:rsid w:val="0040378E"/>
    <w:rsid w:val="004048CD"/>
    <w:rsid w:val="00417DDE"/>
    <w:rsid w:val="004213F1"/>
    <w:rsid w:val="00425B55"/>
    <w:rsid w:val="00435B71"/>
    <w:rsid w:val="00435D41"/>
    <w:rsid w:val="0045251A"/>
    <w:rsid w:val="0047290D"/>
    <w:rsid w:val="00497648"/>
    <w:rsid w:val="004A105A"/>
    <w:rsid w:val="004A49F1"/>
    <w:rsid w:val="004B1A2D"/>
    <w:rsid w:val="004C1E91"/>
    <w:rsid w:val="004C5535"/>
    <w:rsid w:val="004C5C2B"/>
    <w:rsid w:val="004D0BBE"/>
    <w:rsid w:val="004D5B68"/>
    <w:rsid w:val="004D6004"/>
    <w:rsid w:val="004F73E7"/>
    <w:rsid w:val="005014B9"/>
    <w:rsid w:val="00530E41"/>
    <w:rsid w:val="00537E24"/>
    <w:rsid w:val="00542C96"/>
    <w:rsid w:val="00545D9C"/>
    <w:rsid w:val="005546F8"/>
    <w:rsid w:val="0056115C"/>
    <w:rsid w:val="00570F54"/>
    <w:rsid w:val="00587EB6"/>
    <w:rsid w:val="005A2AA1"/>
    <w:rsid w:val="005B493C"/>
    <w:rsid w:val="005B5D78"/>
    <w:rsid w:val="005D1900"/>
    <w:rsid w:val="005E50E0"/>
    <w:rsid w:val="005F007B"/>
    <w:rsid w:val="005F54F2"/>
    <w:rsid w:val="00611D5F"/>
    <w:rsid w:val="00613BC4"/>
    <w:rsid w:val="00627A9E"/>
    <w:rsid w:val="00630E8F"/>
    <w:rsid w:val="00635332"/>
    <w:rsid w:val="0064147D"/>
    <w:rsid w:val="00643AAA"/>
    <w:rsid w:val="0064653B"/>
    <w:rsid w:val="00651B93"/>
    <w:rsid w:val="00652831"/>
    <w:rsid w:val="00655D56"/>
    <w:rsid w:val="006605E2"/>
    <w:rsid w:val="00660ECE"/>
    <w:rsid w:val="006614F7"/>
    <w:rsid w:val="0066597A"/>
    <w:rsid w:val="006739D2"/>
    <w:rsid w:val="00687CB2"/>
    <w:rsid w:val="006A1489"/>
    <w:rsid w:val="006A5F0A"/>
    <w:rsid w:val="006B50F2"/>
    <w:rsid w:val="006B5CE0"/>
    <w:rsid w:val="006E06F8"/>
    <w:rsid w:val="006E22C5"/>
    <w:rsid w:val="006E5CA9"/>
    <w:rsid w:val="007178F4"/>
    <w:rsid w:val="00723532"/>
    <w:rsid w:val="007309B1"/>
    <w:rsid w:val="00732198"/>
    <w:rsid w:val="00733CF7"/>
    <w:rsid w:val="00736DDC"/>
    <w:rsid w:val="00740E4B"/>
    <w:rsid w:val="007432F1"/>
    <w:rsid w:val="00745F3E"/>
    <w:rsid w:val="00751C0C"/>
    <w:rsid w:val="00760650"/>
    <w:rsid w:val="0076226B"/>
    <w:rsid w:val="00762EC1"/>
    <w:rsid w:val="00766417"/>
    <w:rsid w:val="00767C02"/>
    <w:rsid w:val="007714A7"/>
    <w:rsid w:val="00771F0B"/>
    <w:rsid w:val="0078323C"/>
    <w:rsid w:val="00785A52"/>
    <w:rsid w:val="0079208F"/>
    <w:rsid w:val="007932A3"/>
    <w:rsid w:val="00793FE9"/>
    <w:rsid w:val="007B1E9C"/>
    <w:rsid w:val="007C140F"/>
    <w:rsid w:val="007D50DD"/>
    <w:rsid w:val="007F1C2A"/>
    <w:rsid w:val="007F23C2"/>
    <w:rsid w:val="007F4D6A"/>
    <w:rsid w:val="008145CF"/>
    <w:rsid w:val="008264D8"/>
    <w:rsid w:val="008322FA"/>
    <w:rsid w:val="0083596D"/>
    <w:rsid w:val="00844CD5"/>
    <w:rsid w:val="00851C9C"/>
    <w:rsid w:val="00862D95"/>
    <w:rsid w:val="00863E25"/>
    <w:rsid w:val="008656E3"/>
    <w:rsid w:val="00870277"/>
    <w:rsid w:val="008831F6"/>
    <w:rsid w:val="008925FB"/>
    <w:rsid w:val="00892EEF"/>
    <w:rsid w:val="008935E6"/>
    <w:rsid w:val="00895594"/>
    <w:rsid w:val="00895E5F"/>
    <w:rsid w:val="008A4BC5"/>
    <w:rsid w:val="008B1E08"/>
    <w:rsid w:val="008C133C"/>
    <w:rsid w:val="008C752F"/>
    <w:rsid w:val="008C7956"/>
    <w:rsid w:val="008D1C45"/>
    <w:rsid w:val="008D246A"/>
    <w:rsid w:val="008D48BE"/>
    <w:rsid w:val="008D4A67"/>
    <w:rsid w:val="008D53E7"/>
    <w:rsid w:val="008E2D1A"/>
    <w:rsid w:val="008F141C"/>
    <w:rsid w:val="008F44DE"/>
    <w:rsid w:val="008F4CDE"/>
    <w:rsid w:val="008F5023"/>
    <w:rsid w:val="008F6952"/>
    <w:rsid w:val="00914A97"/>
    <w:rsid w:val="00916F49"/>
    <w:rsid w:val="00921F07"/>
    <w:rsid w:val="00923837"/>
    <w:rsid w:val="0093098E"/>
    <w:rsid w:val="009562FD"/>
    <w:rsid w:val="00963D5F"/>
    <w:rsid w:val="00964478"/>
    <w:rsid w:val="00976B79"/>
    <w:rsid w:val="00977A8A"/>
    <w:rsid w:val="0098090C"/>
    <w:rsid w:val="00981C15"/>
    <w:rsid w:val="00984B56"/>
    <w:rsid w:val="00985212"/>
    <w:rsid w:val="009868E6"/>
    <w:rsid w:val="0099081F"/>
    <w:rsid w:val="00990D82"/>
    <w:rsid w:val="009A194B"/>
    <w:rsid w:val="009A2002"/>
    <w:rsid w:val="009A3397"/>
    <w:rsid w:val="009A3CB0"/>
    <w:rsid w:val="009A7D16"/>
    <w:rsid w:val="009C6AD8"/>
    <w:rsid w:val="009E040F"/>
    <w:rsid w:val="009E1E02"/>
    <w:rsid w:val="009F19CB"/>
    <w:rsid w:val="009F6739"/>
    <w:rsid w:val="00A041D7"/>
    <w:rsid w:val="00A045ED"/>
    <w:rsid w:val="00A057F2"/>
    <w:rsid w:val="00A05AA0"/>
    <w:rsid w:val="00A158DA"/>
    <w:rsid w:val="00A27FE2"/>
    <w:rsid w:val="00A347F4"/>
    <w:rsid w:val="00A42569"/>
    <w:rsid w:val="00A440A2"/>
    <w:rsid w:val="00A47DC0"/>
    <w:rsid w:val="00A56650"/>
    <w:rsid w:val="00A62894"/>
    <w:rsid w:val="00A6507A"/>
    <w:rsid w:val="00A76464"/>
    <w:rsid w:val="00A84DEE"/>
    <w:rsid w:val="00A85C25"/>
    <w:rsid w:val="00A928F9"/>
    <w:rsid w:val="00A9624F"/>
    <w:rsid w:val="00AA0648"/>
    <w:rsid w:val="00AA2205"/>
    <w:rsid w:val="00AA4B5E"/>
    <w:rsid w:val="00AB285A"/>
    <w:rsid w:val="00AB47E8"/>
    <w:rsid w:val="00AE4BDB"/>
    <w:rsid w:val="00AF35DF"/>
    <w:rsid w:val="00B03976"/>
    <w:rsid w:val="00B14DCA"/>
    <w:rsid w:val="00B2043C"/>
    <w:rsid w:val="00B251F6"/>
    <w:rsid w:val="00B25EFA"/>
    <w:rsid w:val="00B303B0"/>
    <w:rsid w:val="00B36382"/>
    <w:rsid w:val="00B40670"/>
    <w:rsid w:val="00B418B8"/>
    <w:rsid w:val="00B41A7F"/>
    <w:rsid w:val="00B477D2"/>
    <w:rsid w:val="00B6512C"/>
    <w:rsid w:val="00B67328"/>
    <w:rsid w:val="00B7115D"/>
    <w:rsid w:val="00B71ABC"/>
    <w:rsid w:val="00B72F29"/>
    <w:rsid w:val="00B7487D"/>
    <w:rsid w:val="00B77BC6"/>
    <w:rsid w:val="00B806AD"/>
    <w:rsid w:val="00B81807"/>
    <w:rsid w:val="00B934BD"/>
    <w:rsid w:val="00B93E1B"/>
    <w:rsid w:val="00B96502"/>
    <w:rsid w:val="00B9752E"/>
    <w:rsid w:val="00BA2530"/>
    <w:rsid w:val="00BA2915"/>
    <w:rsid w:val="00BA3800"/>
    <w:rsid w:val="00BB3C6C"/>
    <w:rsid w:val="00BB4EAB"/>
    <w:rsid w:val="00BC392E"/>
    <w:rsid w:val="00BD3592"/>
    <w:rsid w:val="00BD422C"/>
    <w:rsid w:val="00BE117C"/>
    <w:rsid w:val="00BE2EE8"/>
    <w:rsid w:val="00BE3E71"/>
    <w:rsid w:val="00BE6BDD"/>
    <w:rsid w:val="00C029D8"/>
    <w:rsid w:val="00C046BA"/>
    <w:rsid w:val="00C10CDF"/>
    <w:rsid w:val="00C12C67"/>
    <w:rsid w:val="00C15B4A"/>
    <w:rsid w:val="00C15CBB"/>
    <w:rsid w:val="00C16EA9"/>
    <w:rsid w:val="00C24C1E"/>
    <w:rsid w:val="00C260FD"/>
    <w:rsid w:val="00C335C4"/>
    <w:rsid w:val="00C36143"/>
    <w:rsid w:val="00C41883"/>
    <w:rsid w:val="00C62C62"/>
    <w:rsid w:val="00C7376B"/>
    <w:rsid w:val="00C74D43"/>
    <w:rsid w:val="00C76212"/>
    <w:rsid w:val="00C840B2"/>
    <w:rsid w:val="00C870BB"/>
    <w:rsid w:val="00C90C18"/>
    <w:rsid w:val="00C93FFD"/>
    <w:rsid w:val="00CB307B"/>
    <w:rsid w:val="00CB721A"/>
    <w:rsid w:val="00CD7CB0"/>
    <w:rsid w:val="00CE05E6"/>
    <w:rsid w:val="00CE7C34"/>
    <w:rsid w:val="00CF671B"/>
    <w:rsid w:val="00D06ABC"/>
    <w:rsid w:val="00D07F3A"/>
    <w:rsid w:val="00D12535"/>
    <w:rsid w:val="00D15432"/>
    <w:rsid w:val="00D22928"/>
    <w:rsid w:val="00D2411C"/>
    <w:rsid w:val="00D314B0"/>
    <w:rsid w:val="00D32C87"/>
    <w:rsid w:val="00D400ED"/>
    <w:rsid w:val="00D40FA4"/>
    <w:rsid w:val="00D4164A"/>
    <w:rsid w:val="00D558E2"/>
    <w:rsid w:val="00D72F2F"/>
    <w:rsid w:val="00D80357"/>
    <w:rsid w:val="00D811D9"/>
    <w:rsid w:val="00D91D37"/>
    <w:rsid w:val="00D93DCA"/>
    <w:rsid w:val="00D93E6B"/>
    <w:rsid w:val="00DA0688"/>
    <w:rsid w:val="00DB37E1"/>
    <w:rsid w:val="00DC0DFA"/>
    <w:rsid w:val="00DD5C89"/>
    <w:rsid w:val="00DE208B"/>
    <w:rsid w:val="00DE5043"/>
    <w:rsid w:val="00E01A1A"/>
    <w:rsid w:val="00E13FCC"/>
    <w:rsid w:val="00E14706"/>
    <w:rsid w:val="00E22520"/>
    <w:rsid w:val="00E2389F"/>
    <w:rsid w:val="00E360F6"/>
    <w:rsid w:val="00E36BF9"/>
    <w:rsid w:val="00E4467B"/>
    <w:rsid w:val="00E522C4"/>
    <w:rsid w:val="00E5363B"/>
    <w:rsid w:val="00E540EA"/>
    <w:rsid w:val="00E639DC"/>
    <w:rsid w:val="00E717B8"/>
    <w:rsid w:val="00E77C71"/>
    <w:rsid w:val="00E97F49"/>
    <w:rsid w:val="00EA01E3"/>
    <w:rsid w:val="00EA157F"/>
    <w:rsid w:val="00EA46D9"/>
    <w:rsid w:val="00EA69E5"/>
    <w:rsid w:val="00EA72F6"/>
    <w:rsid w:val="00EA7884"/>
    <w:rsid w:val="00EA7AD7"/>
    <w:rsid w:val="00EB5173"/>
    <w:rsid w:val="00ED1CFF"/>
    <w:rsid w:val="00ED5C4D"/>
    <w:rsid w:val="00EF30EB"/>
    <w:rsid w:val="00F01E9A"/>
    <w:rsid w:val="00F04605"/>
    <w:rsid w:val="00F13C43"/>
    <w:rsid w:val="00F14024"/>
    <w:rsid w:val="00F319A4"/>
    <w:rsid w:val="00F31B15"/>
    <w:rsid w:val="00F46D98"/>
    <w:rsid w:val="00F54E70"/>
    <w:rsid w:val="00F56BBB"/>
    <w:rsid w:val="00F57A5D"/>
    <w:rsid w:val="00F60A48"/>
    <w:rsid w:val="00F651FB"/>
    <w:rsid w:val="00F747D3"/>
    <w:rsid w:val="00F828BC"/>
    <w:rsid w:val="00FA0344"/>
    <w:rsid w:val="00FA4D6D"/>
    <w:rsid w:val="00FA5A13"/>
    <w:rsid w:val="00FC12EF"/>
    <w:rsid w:val="00FC3EC2"/>
    <w:rsid w:val="00FC4850"/>
    <w:rsid w:val="00FD258C"/>
    <w:rsid w:val="00FD5DE0"/>
    <w:rsid w:val="00FE6B48"/>
    <w:rsid w:val="00FF1257"/>
    <w:rsid w:val="00FF6B46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7178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487D"/>
    <w:pPr>
      <w:keepNext/>
      <w:keepLines/>
      <w:numPr>
        <w:ilvl w:val="1"/>
        <w:numId w:val="5"/>
      </w:numPr>
      <w:spacing w:after="120"/>
      <w:outlineLvl w:val="1"/>
    </w:pPr>
    <w:rPr>
      <w:rFonts w:ascii="Arial" w:hAnsi="Arial" w:cs="Arial"/>
      <w:b/>
      <w:bCs/>
      <w:iCs/>
      <w:color w:val="5F497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3E3A3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C13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yperlink">
    <w:name w:val="Hyperlink"/>
    <w:uiPriority w:val="99"/>
    <w:unhideWhenUsed/>
    <w:rsid w:val="00D93E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E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6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5B68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7487D"/>
    <w:rPr>
      <w:rFonts w:ascii="Arial" w:hAnsi="Arial" w:cs="Arial"/>
      <w:b/>
      <w:bCs/>
      <w:iCs/>
      <w:color w:val="5F497A"/>
      <w:sz w:val="22"/>
      <w:szCs w:val="22"/>
      <w:lang w:eastAsia="en-US"/>
    </w:rPr>
  </w:style>
  <w:style w:type="paragraph" w:styleId="ListParagraph">
    <w:name w:val="List Paragraph"/>
    <w:aliases w:val="Bullet,F5 List Paragraph,Dot pt,No Spacing1,List Paragraph Char Char Char,Indicator Text,Numbered Para 1,List Paragraph1,Bullet 1,Bullet Points,MAIN CONTENT,List Paragraph12,List Paragraph11,Colorful List - Accent 11,FRS1"/>
    <w:basedOn w:val="Normal"/>
    <w:link w:val="ListParagraphChar"/>
    <w:uiPriority w:val="34"/>
    <w:qFormat/>
    <w:rsid w:val="00B7487D"/>
    <w:pPr>
      <w:tabs>
        <w:tab w:val="left" w:pos="567"/>
      </w:tabs>
      <w:spacing w:after="120"/>
    </w:pPr>
    <w:rPr>
      <w:rFonts w:ascii="Arial" w:hAnsi="Arial" w:cs="Arial"/>
      <w:sz w:val="20"/>
      <w:szCs w:val="22"/>
      <w:lang w:eastAsia="en-US"/>
    </w:rPr>
  </w:style>
  <w:style w:type="character" w:customStyle="1" w:styleId="ListParagraphChar">
    <w:name w:val="List Paragraph Char"/>
    <w:aliases w:val="Bullet Char,F5 List Paragraph Char,Dot pt Char,No Spacing1 Char,List Paragraph Char Char Char Char,Indicator Text Char,Numbered Para 1 Char,List Paragraph1 Char,Bullet 1 Char,Bullet Points Char,MAIN CONTENT Char,List Paragraph12 Char"/>
    <w:basedOn w:val="DefaultParagraphFont"/>
    <w:link w:val="ListParagraph"/>
    <w:uiPriority w:val="34"/>
    <w:qFormat/>
    <w:rsid w:val="00B7487D"/>
    <w:rPr>
      <w:rFonts w:ascii="Arial" w:hAnsi="Arial" w:cs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0E41"/>
    <w:pPr>
      <w:tabs>
        <w:tab w:val="center" w:pos="4513"/>
        <w:tab w:val="right" w:pos="9026"/>
      </w:tabs>
      <w:ind w:left="709" w:hanging="709"/>
    </w:pPr>
  </w:style>
  <w:style w:type="character" w:customStyle="1" w:styleId="HeaderChar">
    <w:name w:val="Header Char"/>
    <w:basedOn w:val="DefaultParagraphFont"/>
    <w:link w:val="Header"/>
    <w:uiPriority w:val="99"/>
    <w:rsid w:val="00530E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0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E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5667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https://www.gov.uk/government/publications/esourcing-tool-guidance-for-suppliers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https://gpsesourcing.cabinetoffice.gov.uk/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Watts</dc:creator>
  <cp:lastModifiedBy>Stephen Charles Butler</cp:lastModifiedBy>
  <cp:revision>2</cp:revision>
  <dcterms:created xsi:type="dcterms:W3CDTF">2018-01-23T10:45:00Z</dcterms:created>
  <dcterms:modified xsi:type="dcterms:W3CDTF">2018-01-23T10:45:00Z</dcterms:modified>
</cp:coreProperties>
</file>