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6 (Direct Award short order form template and Call-Off Schedules) </w:t>
      </w:r>
    </w:p>
    <w:p w:rsidR="00000000" w:rsidDel="00000000" w:rsidP="00000000" w:rsidRDefault="00000000" w:rsidRPr="00000000" w14:paraId="00000002">
      <w:pPr>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w:t>
      </w:r>
    </w:p>
    <w:p w:rsidR="00000000" w:rsidDel="00000000" w:rsidP="00000000" w:rsidRDefault="00000000" w:rsidRPr="00000000" w14:paraId="00000004">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REFERENCE:</w:t>
        <w:tab/>
        <w:tab/>
      </w:r>
      <w:r w:rsidDel="00000000" w:rsidR="00000000" w:rsidRPr="00000000">
        <w:rPr>
          <w:rFonts w:ascii="Arial" w:cs="Arial" w:eastAsia="Arial" w:hAnsi="Arial"/>
          <w:b w:val="1"/>
          <w:color w:val="000000"/>
          <w:sz w:val="24"/>
          <w:szCs w:val="24"/>
          <w:highlight w:val="white"/>
          <w:rtl w:val="0"/>
        </w:rPr>
        <w:t xml:space="preserve">CCHR25A04</w:t>
      </w:r>
      <w:r w:rsidDel="00000000" w:rsidR="00000000" w:rsidRPr="00000000">
        <w:rPr>
          <w:rtl w:val="0"/>
        </w:rPr>
      </w:r>
    </w:p>
    <w:p w:rsidR="00000000" w:rsidDel="00000000" w:rsidP="00000000" w:rsidRDefault="00000000" w:rsidRPr="00000000" w14:paraId="0000000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59" w:lineRule="auto"/>
        <w:rPr>
          <w:rFonts w:ascii="Arial" w:cs="Arial" w:eastAsia="Arial" w:hAnsi="Arial"/>
          <w:b w:val="1"/>
          <w:sz w:val="24"/>
          <w:szCs w:val="24"/>
          <w:highlight w:val="white"/>
        </w:rPr>
      </w:pPr>
      <w:r w:rsidDel="00000000" w:rsidR="00000000" w:rsidRPr="00000000">
        <w:rPr>
          <w:rFonts w:ascii="Arial" w:cs="Arial" w:eastAsia="Arial" w:hAnsi="Arial"/>
          <w:sz w:val="24"/>
          <w:szCs w:val="24"/>
          <w:rtl w:val="0"/>
        </w:rPr>
        <w:t xml:space="preserve">THE BUYER:</w:t>
        <w:tab/>
        <w:tab/>
        <w:tab/>
      </w:r>
      <w:r w:rsidDel="00000000" w:rsidR="00000000" w:rsidRPr="00000000">
        <w:rPr>
          <w:rFonts w:ascii="Arial" w:cs="Arial" w:eastAsia="Arial" w:hAnsi="Arial"/>
          <w:b w:val="1"/>
          <w:sz w:val="24"/>
          <w:szCs w:val="24"/>
          <w:highlight w:val="white"/>
          <w:rtl w:val="0"/>
        </w:rPr>
        <w:t xml:space="preserve">Crown Commercial Service</w:t>
      </w:r>
    </w:p>
    <w:p w:rsidR="00000000" w:rsidDel="00000000" w:rsidP="00000000" w:rsidRDefault="00000000" w:rsidRPr="00000000" w14:paraId="00000008">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spacing w:after="0" w:line="259" w:lineRule="auto"/>
        <w:rPr>
          <w:rFonts w:ascii="Arial" w:cs="Arial" w:eastAsia="Arial" w:hAnsi="Arial"/>
          <w:b w:val="1"/>
          <w:sz w:val="24"/>
          <w:szCs w:val="24"/>
        </w:rPr>
      </w:pPr>
      <w:bookmarkStart w:colFirst="0" w:colLast="0" w:name="_heading=h.fpmpdsd7czxp" w:id="0"/>
      <w:bookmarkEnd w:id="0"/>
      <w:r w:rsidDel="00000000" w:rsidR="00000000" w:rsidRPr="00000000">
        <w:rPr>
          <w:rFonts w:ascii="Arial" w:cs="Arial" w:eastAsia="Arial" w:hAnsi="Arial"/>
          <w:sz w:val="24"/>
          <w:szCs w:val="24"/>
          <w:rtl w:val="0"/>
        </w:rPr>
        <w:t xml:space="preserve">BUYER ADDRESS</w:t>
        <w:tab/>
        <w:tab/>
        <w:tab/>
      </w:r>
      <w:r w:rsidDel="00000000" w:rsidR="00000000" w:rsidRPr="00000000">
        <w:rPr>
          <w:rFonts w:ascii="Arial" w:cs="Arial" w:eastAsia="Arial" w:hAnsi="Arial"/>
          <w:b w:val="1"/>
          <w:color w:val="222222"/>
          <w:sz w:val="24"/>
          <w:szCs w:val="24"/>
          <w:highlight w:val="white"/>
          <w:rtl w:val="0"/>
        </w:rPr>
        <w:t xml:space="preserve">The Capital, Old Hall Street, Liverpool, L3 9PP</w:t>
      </w:r>
      <w:r w:rsidDel="00000000" w:rsidR="00000000" w:rsidRPr="00000000">
        <w:rPr>
          <w:rFonts w:ascii="Arial" w:cs="Arial" w:eastAsia="Arial" w:hAnsi="Arial"/>
          <w:b w:val="1"/>
          <w:color w:val="222222"/>
          <w:sz w:val="16"/>
          <w:szCs w:val="16"/>
          <w:highlight w:val="white"/>
          <w:rtl w:val="0"/>
        </w:rPr>
        <w:t xml:space="preserve"> </w:t>
      </w:r>
      <w:r w:rsidDel="00000000" w:rsidR="00000000" w:rsidRPr="00000000">
        <w:rPr>
          <w:rtl w:val="0"/>
        </w:rPr>
      </w:r>
    </w:p>
    <w:p w:rsidR="00000000" w:rsidDel="00000000" w:rsidP="00000000" w:rsidRDefault="00000000" w:rsidRPr="00000000" w14:paraId="0000000A">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line="240"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THE SUPPLIER: </w:t>
        <w:tab/>
        <w:tab/>
        <w:tab/>
      </w:r>
      <w:r w:rsidDel="00000000" w:rsidR="00000000" w:rsidRPr="00000000">
        <w:rPr>
          <w:rFonts w:ascii="Arial" w:cs="Arial" w:eastAsia="Arial" w:hAnsi="Arial"/>
          <w:b w:val="1"/>
          <w:sz w:val="24"/>
          <w:szCs w:val="24"/>
          <w:rtl w:val="0"/>
        </w:rPr>
        <w:t xml:space="preserve">Global Resourcing Ltd</w:t>
      </w: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tab/>
        <w:t xml:space="preserve">4th Floor Radius House, 51 Clarendon Road,</w:t>
      </w:r>
    </w:p>
    <w:p w:rsidR="00000000" w:rsidDel="00000000" w:rsidP="00000000" w:rsidRDefault="00000000" w:rsidRPr="00000000" w14:paraId="0000000D">
      <w:pPr>
        <w:spacing w:line="240" w:lineRule="auto"/>
        <w:rPr>
          <w:rFonts w:ascii="Arial" w:cs="Arial" w:eastAsia="Arial" w:hAnsi="Arial"/>
          <w:sz w:val="24"/>
          <w:szCs w:val="24"/>
          <w:highlight w:val="yellow"/>
        </w:rPr>
      </w:pPr>
      <w:r w:rsidDel="00000000" w:rsidR="00000000" w:rsidRPr="00000000">
        <w:rPr>
          <w:rFonts w:ascii="Arial" w:cs="Arial" w:eastAsia="Arial" w:hAnsi="Arial"/>
          <w:b w:val="1"/>
          <w:sz w:val="24"/>
          <w:szCs w:val="24"/>
          <w:rtl w:val="0"/>
        </w:rPr>
        <w:tab/>
        <w:tab/>
        <w:tab/>
        <w:tab/>
        <w:tab/>
        <w:t xml:space="preserve">Watford, WD17 1HP   </w:t>
      </w:r>
      <w:r w:rsidDel="00000000" w:rsidR="00000000" w:rsidRPr="00000000">
        <w:rPr>
          <w:rtl w:val="0"/>
        </w:rPr>
      </w:r>
    </w:p>
    <w:p w:rsidR="00000000" w:rsidDel="00000000" w:rsidP="00000000" w:rsidRDefault="00000000" w:rsidRPr="00000000" w14:paraId="0000000E">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color w:val="202124"/>
          <w:highlight w:val="white"/>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0F">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DUNS NUMBER:       </w:t>
        <w:tab/>
        <w:tab/>
      </w:r>
      <w:r w:rsidDel="00000000" w:rsidR="00000000" w:rsidRPr="00000000">
        <w:rPr>
          <w:rFonts w:ascii="Arial" w:cs="Arial" w:eastAsia="Arial" w:hAnsi="Arial"/>
          <w:color w:val="202124"/>
          <w:highlight w:val="white"/>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10">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when completed and executed by both Parties, forms a Call-Off Contract. A Call-Off Contract can be completed and executed using an equivalent document or electronic purchase order system. </w:t>
      </w:r>
    </w:p>
    <w:p w:rsidR="00000000" w:rsidDel="00000000" w:rsidP="00000000" w:rsidRDefault="00000000" w:rsidRPr="00000000" w14:paraId="00000011">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APPLICABLE FRAMEWORK CONTRACT</w:t>
      </w:r>
    </w:p>
    <w:p w:rsidR="00000000" w:rsidDel="00000000" w:rsidP="00000000" w:rsidRDefault="00000000" w:rsidRPr="00000000" w14:paraId="00000013">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59"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This Order Form is for the provision of the Call-Off Deliverables and dated </w:t>
      </w:r>
      <w:r w:rsidDel="00000000" w:rsidR="00000000" w:rsidRPr="00000000">
        <w:rPr>
          <w:rFonts w:ascii="Arial" w:cs="Arial" w:eastAsia="Arial" w:hAnsi="Arial"/>
          <w:sz w:val="24"/>
          <w:szCs w:val="24"/>
          <w:highlight w:val="white"/>
          <w:rtl w:val="0"/>
        </w:rPr>
        <w:t xml:space="preserve">28th August 2025. </w:t>
      </w:r>
    </w:p>
    <w:p w:rsidR="00000000" w:rsidDel="00000000" w:rsidP="00000000" w:rsidRDefault="00000000" w:rsidRPr="00000000" w14:paraId="00000015">
      <w:pP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It’s issued under the Framework Contract with the reference number RM6290 for the provision of Executive &amp; Non Executive Recruitment Services.   </w:t>
      </w:r>
    </w:p>
    <w:p w:rsidR="00000000" w:rsidDel="00000000" w:rsidP="00000000" w:rsidRDefault="00000000" w:rsidRPr="00000000" w14:paraId="00000017">
      <w:pPr>
        <w:tabs>
          <w:tab w:val="left" w:leader="none" w:pos="2257"/>
        </w:tabs>
        <w:spacing w:after="0" w:line="259" w:lineRule="auto"/>
        <w:rPr>
          <w:rFonts w:ascii="Arial" w:cs="Arial" w:eastAsia="Arial" w:hAnsi="Arial"/>
          <w:b w:val="1"/>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18">
      <w:pPr>
        <w:tabs>
          <w:tab w:val="left" w:leader="none" w:pos="2257"/>
        </w:tabs>
        <w:spacing w:after="0" w:line="259"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CALL-OFF LOT(S): </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0" w:before="120" w:line="240" w:lineRule="auto"/>
        <w:ind w:left="709" w:hanging="709"/>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Lot 1 Executive Search - Grade 6, SCS1 &amp; SCS2 (and equivalents)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709" w:firstLine="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709"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1C">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keepNext w:val="1"/>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INCORPORATED TERMS</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1(Definitions and Interpretation) </w:t>
      </w:r>
      <w:r w:rsidDel="00000000" w:rsidR="00000000" w:rsidRPr="00000000">
        <w:rPr>
          <w:rFonts w:ascii="Arial" w:cs="Arial" w:eastAsia="Arial" w:hAnsi="Arial"/>
          <w:b w:val="1"/>
          <w:sz w:val="24"/>
          <w:szCs w:val="24"/>
          <w:rtl w:val="0"/>
        </w:rPr>
        <w:t xml:space="preserve">RM6290</w:t>
      </w:r>
      <w:r w:rsidDel="00000000" w:rsidR="00000000" w:rsidRPr="00000000">
        <w:rPr>
          <w:rtl w:val="0"/>
        </w:rPr>
      </w:r>
    </w:p>
    <w:p w:rsidR="00000000" w:rsidDel="00000000" w:rsidP="00000000" w:rsidRDefault="00000000" w:rsidRPr="00000000" w14:paraId="00000021">
      <w:pPr>
        <w:keepNext w:val="1"/>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Rule="auto"/>
        <w:ind w:left="64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b w:val="1"/>
          <w:sz w:val="24"/>
          <w:szCs w:val="24"/>
          <w:rtl w:val="0"/>
        </w:rPr>
        <w:t xml:space="preserve">RM6290</w:t>
      </w:r>
      <w:r w:rsidDel="00000000" w:rsidR="00000000" w:rsidRPr="00000000">
        <w:rPr>
          <w:rtl w:val="0"/>
        </w:rPr>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spacing w:after="0" w:line="259" w:lineRule="auto"/>
        <w:ind w:left="136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 </w:t>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0" w:line="259" w:lineRule="auto"/>
        <w:ind w:left="136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spacing w:after="0" w:line="259" w:lineRule="auto"/>
        <w:ind w:left="136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after="0" w:line="259" w:lineRule="auto"/>
        <w:ind w:left="136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 </w:t>
        <w:tab/>
        <w:tab/>
        <w:tab/>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after="0" w:line="259" w:lineRule="auto"/>
        <w:ind w:left="136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59" w:lineRule="auto"/>
        <w:ind w:left="136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ab/>
        <w:tab/>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59" w:lineRule="auto"/>
        <w:ind w:left="180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Rule="auto"/>
        <w:ind w:left="64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color w:val="000000"/>
          <w:sz w:val="24"/>
          <w:szCs w:val="24"/>
          <w:rtl w:val="0"/>
        </w:rPr>
        <w:t xml:space="preserve">RM6290</w:t>
        <w:tab/>
      </w: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after="0" w:line="259" w:lineRule="auto"/>
        <w:ind w:left="136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0" w:line="259" w:lineRule="auto"/>
        <w:ind w:left="136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0" w:line="259" w:lineRule="auto"/>
        <w:ind w:left="136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59" w:lineRule="auto"/>
        <w:ind w:left="136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tab/>
        <w:tab/>
        <w:tab/>
        <w:t xml:space="preserve"> </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3.0.11)</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w:t>
      </w:r>
      <w:r w:rsidDel="00000000" w:rsidR="00000000" w:rsidRPr="00000000">
        <w:rPr>
          <w:rFonts w:ascii="Arial" w:cs="Arial" w:eastAsia="Arial" w:hAnsi="Arial"/>
          <w:b w:val="1"/>
          <w:sz w:val="24"/>
          <w:szCs w:val="24"/>
          <w:rtl w:val="0"/>
        </w:rPr>
        <w:t xml:space="preserve">RM6290</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59" w:lineRule="auto"/>
        <w:ind w:left="36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3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34">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5">
      <w:pPr>
        <w:spacing w:after="0" w:line="259"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CALL-OFF START DATE:</w:t>
        <w:tab/>
        <w:tab/>
        <w:tab/>
      </w:r>
      <w:r w:rsidDel="00000000" w:rsidR="00000000" w:rsidRPr="00000000">
        <w:rPr>
          <w:rFonts w:ascii="Arial" w:cs="Arial" w:eastAsia="Arial" w:hAnsi="Arial"/>
          <w:b w:val="1"/>
          <w:sz w:val="24"/>
          <w:szCs w:val="24"/>
          <w:highlight w:val="white"/>
          <w:rtl w:val="0"/>
        </w:rPr>
        <w:t xml:space="preserve">01/09/2025</w:t>
      </w:r>
      <w:r w:rsidDel="00000000" w:rsidR="00000000" w:rsidRPr="00000000">
        <w:rPr>
          <w:rtl w:val="0"/>
        </w:rPr>
      </w:r>
    </w:p>
    <w:p w:rsidR="00000000" w:rsidDel="00000000" w:rsidP="00000000" w:rsidRDefault="00000000" w:rsidRPr="00000000" w14:paraId="0000003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59"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CALL-OFF EXPIRY DATE: </w:t>
        <w:tab/>
        <w:tab/>
      </w:r>
      <w:r w:rsidDel="00000000" w:rsidR="00000000" w:rsidRPr="00000000">
        <w:rPr>
          <w:rFonts w:ascii="Arial" w:cs="Arial" w:eastAsia="Arial" w:hAnsi="Arial"/>
          <w:b w:val="1"/>
          <w:sz w:val="24"/>
          <w:szCs w:val="24"/>
          <w:highlight w:val="white"/>
          <w:rtl w:val="0"/>
        </w:rPr>
        <w:t xml:space="preserve">30/11/2025</w:t>
      </w:r>
      <w:r w:rsidDel="00000000" w:rsidR="00000000" w:rsidRPr="00000000">
        <w:rPr>
          <w:rtl w:val="0"/>
        </w:rPr>
      </w:r>
    </w:p>
    <w:p w:rsidR="00000000" w:rsidDel="00000000" w:rsidP="00000000" w:rsidRDefault="00000000" w:rsidRPr="00000000" w14:paraId="00000038">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GDPR POSITION</w:t>
      </w:r>
    </w:p>
    <w:p w:rsidR="00000000" w:rsidDel="00000000" w:rsidP="00000000" w:rsidRDefault="00000000" w:rsidRPr="00000000" w14:paraId="0000003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Independent Controller (default unless specified); or Controller to Processor; or Joint Controller</w:t>
      </w:r>
    </w:p>
    <w:p w:rsidR="00000000" w:rsidDel="00000000" w:rsidP="00000000" w:rsidRDefault="00000000" w:rsidRPr="00000000" w14:paraId="0000003B">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3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p>
    <w:p w:rsidR="00000000" w:rsidDel="00000000" w:rsidP="00000000" w:rsidRDefault="00000000" w:rsidRPr="00000000" w14:paraId="0000003E">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DELIVERABLES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7307</wp:posOffset>
                </wp:positionH>
                <wp:positionV relativeFrom="paragraph">
                  <wp:posOffset>224473</wp:posOffset>
                </wp:positionV>
                <wp:extent cx="5781040" cy="3607241"/>
                <wp:effectExtent b="0" l="0" r="0" t="0"/>
                <wp:wrapSquare wrapText="bothSides" distB="45720" distT="45720" distL="114300" distR="114300"/>
                <wp:docPr id="220" name=""/>
                <a:graphic>
                  <a:graphicData uri="http://schemas.microsoft.com/office/word/2010/wordprocessingShape">
                    <wps:wsp>
                      <wps:cNvSpPr/>
                      <wps:cNvPr id="2" name="Shape 2"/>
                      <wps:spPr>
                        <a:xfrm>
                          <a:off x="2465250" y="2204100"/>
                          <a:ext cx="5761500" cy="3151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Crown Commercial Service is undertaking this procurement exercise as part of the recruitment process for the following roles: 1 x Lead Data Scientist,  1 x Lead Cyber Security Analyst and 1 x Senior Test Engineer recruitment campaign. Therefore, CCS is seeking to procure the services of a sole supplier with the expertise, specialist knowledge and networks to provide these a high calibre of candidates. The Supplier shall be required to provide candidates and schedule assessments and interviews.</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Crown Commercial Service  are looking for a sole supplier to provide candidates from a niche part of the recruitment market. This role is historically hard to fill hence the need for recruiters with specialist knowledge and pipelines of top talent needed for this high profile role in CCS.</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Crown Commercial Service  do not have the current resources within the recruitment team to headhunt and shortlist candidates. The supplier will be expected to provide a full list of candidates who have applied and for them to be ranked from A-D.</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7307</wp:posOffset>
                </wp:positionH>
                <wp:positionV relativeFrom="paragraph">
                  <wp:posOffset>224473</wp:posOffset>
                </wp:positionV>
                <wp:extent cx="5781040" cy="3607241"/>
                <wp:effectExtent b="0" l="0" r="0" t="0"/>
                <wp:wrapSquare wrapText="bothSides" distB="45720" distT="45720" distL="114300" distR="114300"/>
                <wp:docPr id="2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81040" cy="3607241"/>
                        </a:xfrm>
                        <a:prstGeom prst="rect"/>
                        <a:ln/>
                      </pic:spPr>
                    </pic:pic>
                  </a:graphicData>
                </a:graphic>
              </wp:anchor>
            </w:drawing>
          </mc:Fallback>
        </mc:AlternateContent>
      </w:r>
    </w:p>
    <w:p w:rsidR="00000000" w:rsidDel="00000000" w:rsidP="00000000" w:rsidRDefault="00000000" w:rsidRPr="00000000" w14:paraId="00000040">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CHARGES</w:t>
      </w:r>
    </w:p>
    <w:p w:rsidR="00000000" w:rsidDel="00000000" w:rsidP="00000000" w:rsidRDefault="00000000" w:rsidRPr="00000000" w14:paraId="0000004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£57,000.00 (excluding VAT)</w:t>
      </w:r>
    </w:p>
    <w:p w:rsidR="00000000" w:rsidDel="00000000" w:rsidP="00000000" w:rsidRDefault="00000000" w:rsidRPr="00000000" w14:paraId="00000043">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04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Purchase Order/invoice</w:t>
      </w:r>
    </w:p>
    <w:p w:rsidR="00000000" w:rsidDel="00000000" w:rsidP="00000000" w:rsidRDefault="00000000" w:rsidRPr="00000000" w14:paraId="00000047">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8">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04A">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color w:val="202124"/>
          <w:highlight w:val="white"/>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4B">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w:t>
      </w:r>
    </w:p>
    <w:p w:rsidR="00000000" w:rsidDel="00000000" w:rsidP="00000000" w:rsidRDefault="00000000" w:rsidRPr="00000000" w14:paraId="0000004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color w:val="202124"/>
          <w:highlight w:val="white"/>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4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color w:val="202124"/>
          <w:highlight w:val="white"/>
          <w:rtl w:val="0"/>
        </w:rPr>
        <w:t xml:space="preserve">REDACTED TEXT under FOIA Section 40, Personal Information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F">
      <w:pPr>
        <w:tabs>
          <w:tab w:val="left" w:leader="none" w:pos="2257"/>
        </w:tabs>
        <w:spacing w:after="0" w:line="259" w:lineRule="auto"/>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REDACTED TEXT under FOIA Section 40, Personal Information</w:t>
      </w:r>
    </w:p>
    <w:p w:rsidR="00000000" w:rsidDel="00000000" w:rsidP="00000000" w:rsidRDefault="00000000" w:rsidRPr="00000000" w14:paraId="00000050">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52">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05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color w:val="202124"/>
          <w:highlight w:val="white"/>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5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color w:val="202124"/>
          <w:highlight w:val="white"/>
          <w:rtl w:val="0"/>
        </w:rPr>
        <w:t xml:space="preserve">REDACTED TEXT under FOIA Section 40, Personal Information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6">
      <w:pPr>
        <w:tabs>
          <w:tab w:val="left" w:leader="none" w:pos="2257"/>
        </w:tabs>
        <w:spacing w:after="0" w:line="259" w:lineRule="auto"/>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REDACTED TEXT under FOIA Section 40, Personal Information</w:t>
      </w:r>
    </w:p>
    <w:p w:rsidR="00000000" w:rsidDel="00000000" w:rsidP="00000000" w:rsidRDefault="00000000" w:rsidRPr="00000000" w14:paraId="00000057">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05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color w:val="202124"/>
          <w:highlight w:val="white"/>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5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color w:val="202124"/>
          <w:highlight w:val="white"/>
          <w:rtl w:val="0"/>
        </w:rPr>
        <w:t xml:space="preserve">REDACTED TEXT under FOIA Section 40, Personal Information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C">
      <w:pPr>
        <w:tabs>
          <w:tab w:val="left" w:leader="none" w:pos="2257"/>
        </w:tabs>
        <w:spacing w:after="0" w:line="259" w:lineRule="auto"/>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REDACTED TEXT under FOIA Section 40, Personal Information</w:t>
      </w:r>
    </w:p>
    <w:p w:rsidR="00000000" w:rsidDel="00000000" w:rsidP="00000000" w:rsidRDefault="00000000" w:rsidRPr="00000000" w14:paraId="0000005D">
      <w:pPr>
        <w:shd w:fill="ffffff" w:val="clear"/>
        <w:spacing w:after="0" w:line="240" w:lineRule="auto"/>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5E">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240" w:lineRule="auto"/>
        <w:jc w:val="both"/>
        <w:rPr>
          <w:rFonts w:ascii="Arial" w:cs="Arial" w:eastAsia="Arial" w:hAnsi="Arial"/>
          <w:sz w:val="24"/>
          <w:szCs w:val="24"/>
        </w:rPr>
      </w:pPr>
      <w:r w:rsidDel="00000000" w:rsidR="00000000" w:rsidRPr="00000000">
        <w:rPr>
          <w:rtl w:val="0"/>
        </w:rPr>
      </w:r>
    </w:p>
    <w:tbl>
      <w:tblPr>
        <w:tblStyle w:val="Table1"/>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060">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064">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65">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color w:val="202124"/>
                <w:sz w:val="22"/>
                <w:szCs w:val="22"/>
                <w:highlight w:val="white"/>
                <w:rtl w:val="0"/>
              </w:rPr>
              <w:t xml:space="preserve">REDACTED TEXT under FOIA Section 40, Personal Information</w:t>
            </w:r>
            <w:r w:rsidDel="00000000" w:rsidR="00000000" w:rsidRPr="00000000">
              <w:rPr>
                <w:rtl w:val="0"/>
              </w:rPr>
            </w:r>
          </w:p>
        </w:tc>
        <w:tc>
          <w:tcPr/>
          <w:p w:rsidR="00000000" w:rsidDel="00000000" w:rsidP="00000000" w:rsidRDefault="00000000" w:rsidRPr="00000000" w14:paraId="00000066">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67">
            <w:pPr>
              <w:tabs>
                <w:tab w:val="left" w:leader="none" w:pos="2257"/>
              </w:tabs>
              <w:spacing w:after="120" w:line="259" w:lineRule="auto"/>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REDACTED TEXT under FOIA Section 40, Personal Information</w:t>
            </w:r>
          </w:p>
        </w:tc>
      </w:tr>
      <w:tr>
        <w:trPr>
          <w:cantSplit w:val="0"/>
          <w:trHeight w:val="635" w:hRule="atLeast"/>
          <w:tblHeader w:val="0"/>
        </w:trPr>
        <w:tc>
          <w:tcPr/>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69">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color w:val="202124"/>
                <w:sz w:val="22"/>
                <w:szCs w:val="22"/>
                <w:highlight w:val="white"/>
                <w:rtl w:val="0"/>
              </w:rPr>
              <w:t xml:space="preserve">REDACTED TEXT under FOIA Section 40, Personal Information</w:t>
            </w:r>
            <w:r w:rsidDel="00000000" w:rsidR="00000000" w:rsidRPr="00000000">
              <w:rPr>
                <w:rtl w:val="0"/>
              </w:rPr>
            </w:r>
          </w:p>
        </w:tc>
        <w:tc>
          <w:tcPr/>
          <w:p w:rsidR="00000000" w:rsidDel="00000000" w:rsidP="00000000" w:rsidRDefault="00000000" w:rsidRPr="00000000" w14:paraId="0000006A">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6B">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color w:val="202124"/>
                <w:sz w:val="22"/>
                <w:szCs w:val="22"/>
                <w:highlight w:val="white"/>
                <w:rtl w:val="0"/>
              </w:rPr>
              <w:t xml:space="preserve">REDACTED TEXT under FOIA Section 40, Personal Information</w:t>
            </w: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6C">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6D">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color w:val="202124"/>
                <w:sz w:val="22"/>
                <w:szCs w:val="22"/>
                <w:highlight w:val="white"/>
                <w:rtl w:val="0"/>
              </w:rPr>
              <w:t xml:space="preserve">REDACTED TEXT under FOIA Section 40, Personal Information</w:t>
            </w:r>
            <w:r w:rsidDel="00000000" w:rsidR="00000000" w:rsidRPr="00000000">
              <w:rPr>
                <w:rtl w:val="0"/>
              </w:rPr>
            </w:r>
          </w:p>
        </w:tc>
        <w:tc>
          <w:tcPr/>
          <w:p w:rsidR="00000000" w:rsidDel="00000000" w:rsidP="00000000" w:rsidRDefault="00000000" w:rsidRPr="00000000" w14:paraId="0000006E">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6F">
            <w:pPr>
              <w:tabs>
                <w:tab w:val="left" w:leader="none" w:pos="2257"/>
              </w:tabs>
              <w:spacing w:line="259" w:lineRule="auto"/>
              <w:rPr>
                <w:rFonts w:ascii="Arial" w:cs="Arial" w:eastAsia="Arial" w:hAnsi="Arial"/>
                <w:sz w:val="24"/>
                <w:szCs w:val="24"/>
              </w:rPr>
            </w:pPr>
            <w:r w:rsidDel="00000000" w:rsidR="00000000" w:rsidRPr="00000000">
              <w:rPr>
                <w:rFonts w:ascii="Arial" w:cs="Arial" w:eastAsia="Arial" w:hAnsi="Arial"/>
                <w:color w:val="202124"/>
                <w:sz w:val="22"/>
                <w:szCs w:val="22"/>
                <w:highlight w:val="white"/>
                <w:rtl w:val="0"/>
              </w:rPr>
              <w:t xml:space="preserve">REDACTED TEXT under FOIA Section 40, Personal Information</w:t>
            </w: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70">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71">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72">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7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bookmarkStart w:colFirst="0" w:colLast="0" w:name="_heading=h.c7iep1gf21it" w:id="2"/>
            <w:bookmarkEnd w:id="2"/>
            <w:r w:rsidDel="00000000" w:rsidR="00000000" w:rsidRPr="00000000">
              <w:rPr>
                <w:rtl w:val="0"/>
              </w:rPr>
            </w:r>
          </w:p>
        </w:tc>
      </w:tr>
    </w:tbl>
    <w:p w:rsidR="00000000" w:rsidDel="00000000" w:rsidP="00000000" w:rsidRDefault="00000000" w:rsidRPr="00000000" w14:paraId="00000074">
      <w:pPr>
        <w:rPr>
          <w:rFonts w:ascii="Arial" w:cs="Arial" w:eastAsia="Arial" w:hAnsi="Arial"/>
          <w:color w:val="1f497d"/>
          <w:sz w:val="24"/>
          <w:szCs w:val="24"/>
          <w:highlight w:val="yellow"/>
        </w:rPr>
      </w:pPr>
      <w:r w:rsidDel="00000000" w:rsidR="00000000" w:rsidRPr="00000000">
        <w:rPr>
          <w:rtl w:val="0"/>
        </w:rPr>
      </w:r>
    </w:p>
    <w:p w:rsidR="00000000" w:rsidDel="00000000" w:rsidP="00000000" w:rsidRDefault="00000000" w:rsidRPr="00000000" w14:paraId="00000075">
      <w:pPr>
        <w:rPr>
          <w:rFonts w:ascii="Arial" w:cs="Arial" w:eastAsia="Arial" w:hAnsi="Arial"/>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RM6290</w:t>
      <w:tab/>
      <w:t xml:space="preserve">                                           </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v3.8</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07E">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644" w:hanging="358.9999999999999"/>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4"/>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4"/>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table" w:styleId="a"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1"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NormalWeb">
    <w:name w:val="Normal (Web)"/>
    <w:basedOn w:val="Normal"/>
    <w:uiPriority w:val="99"/>
    <w:semiHidden w:val="1"/>
    <w:unhideWhenUsed w:val="1"/>
    <w:rsid w:val="00B74560"/>
    <w:pPr>
      <w:spacing w:after="100" w:afterAutospacing="1" w:before="100" w:beforeAutospacing="1" w:line="240" w:lineRule="auto"/>
    </w:pPr>
    <w:rPr>
      <w:rFonts w:ascii="Times New Roman" w:eastAsia="Times New Roman" w:hAnsi="Times New Roman"/>
      <w:sz w:val="24"/>
      <w:szCs w:val="24"/>
    </w:rPr>
  </w:style>
  <w:style w:type="table" w:styleId="a2"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character" w:styleId="Hyperlink">
    <w:name w:val="Hyperlink"/>
    <w:basedOn w:val="DefaultParagraphFont"/>
    <w:uiPriority w:val="99"/>
    <w:semiHidden w:val="1"/>
    <w:unhideWhenUsed w:val="1"/>
    <w:rsid w:val="00714BBF"/>
    <w:rPr>
      <w:color w:val="0000ff"/>
      <w:u w:val="single"/>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zzbbIv0LHEdZ38gsP7AqYiFJGg==">CgMxLjAyDmguZnBtcGRzZDdjenhwMgloLjMwajB6bGwyDmguYzdpZXAxZ2YyMWl0OAByITF4Y2xDNlNSNUpKU0hRd0YybDJ0eFFsRDZoVTRVRFlNWQ==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2022-08-26T11:37:00Z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