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025E04">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025E04">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025E04">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025E04">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025E04">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025E04">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025E04">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025E04">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025E04">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025E04">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025E04">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025E04">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025E04">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025E04">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025E04">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025E04">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025E04">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025E04">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025E04">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025E04">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025E04">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025E04">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025E04">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025E04">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025E04">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025E04">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025E04">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025E04">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025E04">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025E04">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025E04">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025E04">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025E04">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025E04">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025E04">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025E04">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025E04">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025E04">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025E04">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025E04">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025E04">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025E04">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025E04">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025E04">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025E04">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025E04">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025E04">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025E04">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025E04">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025E04">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025E04">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A mockup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157DD18A" w:rsidR="005A5CBC" w:rsidRDefault="00DC3AE8">
            <w:pPr>
              <w:jc w:val="left"/>
              <w:rPr>
                <w:rFonts w:ascii="Arial" w:eastAsia="Arial" w:hAnsi="Arial" w:cs="Arial"/>
              </w:rPr>
            </w:pPr>
            <w:r>
              <w:rPr>
                <w:rFonts w:ascii="Arial" w:eastAsia="Arial" w:hAnsi="Arial" w:cs="Arial"/>
              </w:rPr>
              <w:t>Department for Education</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6B550534" w:rsidR="005A5CBC" w:rsidRDefault="00DC3AE8">
            <w:pPr>
              <w:jc w:val="left"/>
              <w:rPr>
                <w:rFonts w:ascii="Arial" w:eastAsia="Arial" w:hAnsi="Arial" w:cs="Arial"/>
              </w:rPr>
            </w:pPr>
            <w:r>
              <w:rPr>
                <w:rFonts w:ascii="Arial" w:eastAsia="Arial" w:hAnsi="Arial" w:cs="Arial"/>
              </w:rPr>
              <w:t>Nimbus</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0AD8A4F5" w:rsidR="005A5CBC" w:rsidRDefault="00583D49">
            <w:pPr>
              <w:jc w:val="left"/>
              <w:rPr>
                <w:rFonts w:ascii="Arial" w:eastAsia="Arial" w:hAnsi="Arial" w:cs="Arial"/>
              </w:rPr>
            </w:pPr>
            <w:r w:rsidRPr="0017197A">
              <w:rPr>
                <w:rFonts w:ascii="Arial" w:eastAsia="Arial" w:hAnsi="Arial" w:cs="Arial"/>
              </w:rPr>
              <w:t>Project_</w:t>
            </w:r>
            <w:r w:rsidR="0017197A" w:rsidRPr="0017197A">
              <w:rPr>
                <w:rFonts w:ascii="Arial" w:eastAsia="Arial" w:hAnsi="Arial" w:cs="Arial"/>
              </w:rPr>
              <w:t>4450</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3FAD272A" w:rsidR="005A5CBC" w:rsidRDefault="000252AF" w:rsidP="00DA56F4">
            <w:pPr>
              <w:jc w:val="left"/>
              <w:rPr>
                <w:rFonts w:ascii="Arial" w:eastAsia="Arial" w:hAnsi="Arial" w:cs="Arial"/>
              </w:rPr>
            </w:pPr>
            <w:r w:rsidRPr="00F269AB">
              <w:rPr>
                <w:rFonts w:ascii="Arial" w:eastAsia="Arial" w:hAnsi="Arial" w:cs="Arial"/>
              </w:rPr>
              <w:t>Data Science services</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1488491F" w:rsidR="005A5CBC" w:rsidRDefault="000252AF">
            <w:pPr>
              <w:jc w:val="left"/>
              <w:rPr>
                <w:rFonts w:ascii="Arial" w:eastAsia="Arial" w:hAnsi="Arial" w:cs="Arial"/>
              </w:rPr>
            </w:pPr>
            <w:r w:rsidRPr="000252AF">
              <w:rPr>
                <w:rFonts w:ascii="Arial" w:eastAsia="Arial" w:hAnsi="Arial" w:cs="Arial"/>
              </w:rPr>
              <w:t>DevOps and Architecture services to increase ability to deliver applications and services at high velocity: evolving products at a faster pace than using traditional software development and infrastructure management processes. This means the DfE can better serve its customers, meet the demand for building GDS compliant services and new requirements.</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5DD065E9" w:rsidR="005A5CBC" w:rsidRDefault="000252AF">
            <w:pPr>
              <w:jc w:val="left"/>
              <w:rPr>
                <w:rFonts w:ascii="Arial" w:eastAsia="Arial" w:hAnsi="Arial" w:cs="Arial"/>
              </w:rPr>
            </w:pPr>
            <w:r>
              <w:rPr>
                <w:rFonts w:ascii="Arial" w:eastAsia="Arial" w:hAnsi="Arial" w:cs="Arial"/>
              </w:rPr>
              <w:t>18 Months</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Pr="002A3EB7" w:rsidRDefault="00720B67">
            <w:pPr>
              <w:jc w:val="left"/>
              <w:rPr>
                <w:rFonts w:ascii="Arial" w:eastAsia="Arial" w:hAnsi="Arial" w:cs="Arial"/>
              </w:rPr>
            </w:pPr>
            <w:r w:rsidRPr="002A3EB7">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4283084D" w:rsidR="005A5CBC" w:rsidRPr="002A3EB7" w:rsidRDefault="00957D4B" w:rsidP="00DC3AE8">
            <w:pPr>
              <w:jc w:val="left"/>
              <w:rPr>
                <w:rFonts w:ascii="Arial" w:eastAsia="Arial" w:hAnsi="Arial" w:cs="Arial"/>
              </w:rPr>
            </w:pPr>
            <w:r>
              <w:rPr>
                <w:rFonts w:ascii="Arial" w:eastAsia="Arial" w:hAnsi="Arial" w:cs="Arial"/>
              </w:rPr>
              <w:t>01/10/2020</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5E883EA6" w:rsidR="005A5CBC" w:rsidRDefault="00A34F58">
            <w:pPr>
              <w:jc w:val="left"/>
              <w:rPr>
                <w:rFonts w:ascii="Arial" w:eastAsia="Arial" w:hAnsi="Arial" w:cs="Arial"/>
              </w:rPr>
            </w:pPr>
            <w:r>
              <w:rPr>
                <w:rFonts w:ascii="Arial" w:eastAsia="Arial" w:hAnsi="Arial" w:cs="Arial"/>
              </w:rPr>
              <w:t>01/04/2022</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4F6497C2" w:rsidR="005A5CBC" w:rsidRDefault="002724D8">
            <w:pPr>
              <w:jc w:val="left"/>
              <w:rPr>
                <w:rFonts w:ascii="Arial" w:eastAsia="Arial" w:hAnsi="Arial" w:cs="Arial"/>
              </w:rPr>
            </w:pPr>
            <w:r>
              <w:rPr>
                <w:rFonts w:ascii="Arial" w:eastAsia="Arial" w:hAnsi="Arial" w:cs="Arial"/>
                <w:sz w:val="24"/>
                <w:szCs w:val="24"/>
              </w:rPr>
              <w:t>4 months</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3D51F823" w:rsidR="005A5CBC" w:rsidRDefault="002724D8">
            <w:pPr>
              <w:jc w:val="left"/>
              <w:rPr>
                <w:rFonts w:ascii="Arial" w:eastAsia="Arial" w:hAnsi="Arial" w:cs="Arial"/>
              </w:rPr>
            </w:pPr>
            <w:r>
              <w:rPr>
                <w:rFonts w:ascii="Arial" w:eastAsia="Arial" w:hAnsi="Arial" w:cs="Arial"/>
                <w:sz w:val="24"/>
                <w:szCs w:val="24"/>
              </w:rPr>
              <w:t>01/08/2022</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029C654C" w:rsidR="005A5CBC" w:rsidRDefault="00086515">
            <w:pPr>
              <w:jc w:val="left"/>
              <w:rPr>
                <w:rFonts w:ascii="Arial" w:eastAsia="Arial" w:hAnsi="Arial" w:cs="Arial"/>
              </w:rPr>
            </w:pPr>
            <w:r>
              <w:rPr>
                <w:rFonts w:ascii="Arial" w:eastAsia="Arial" w:hAnsi="Arial" w:cs="Arial"/>
                <w:sz w:val="24"/>
                <w:szCs w:val="24"/>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336C56C3" w:rsidR="00086515" w:rsidRDefault="001352DC">
            <w:pPr>
              <w:jc w:val="left"/>
              <w:rPr>
                <w:rFonts w:ascii="Arial" w:eastAsia="Arial" w:hAnsi="Arial" w:cs="Arial"/>
              </w:rPr>
            </w:pPr>
            <w:r>
              <w:rPr>
                <w:rFonts w:ascii="Arial" w:eastAsia="Arial" w:hAnsi="Arial" w:cs="Arial"/>
              </w:rPr>
              <w:t xml:space="preserve">Maximum contract value of </w:t>
            </w:r>
            <w:r w:rsidR="00E91828">
              <w:rPr>
                <w:rFonts w:ascii="Arial" w:eastAsia="Arial" w:hAnsi="Arial" w:cs="Arial"/>
              </w:rPr>
              <w:t>£</w:t>
            </w:r>
            <w:r>
              <w:rPr>
                <w:rFonts w:ascii="Arial" w:eastAsia="Arial" w:hAnsi="Arial" w:cs="Arial"/>
              </w:rPr>
              <w:t>3.9m</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bl>
            <w:tblPr>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775"/>
              <w:gridCol w:w="495"/>
            </w:tblGrid>
            <w:tr w:rsidR="005629F1" w14:paraId="61B0CA40" w14:textId="77777777" w:rsidTr="006F37F8">
              <w:trPr>
                <w:trHeight w:val="600"/>
              </w:trPr>
              <w:tc>
                <w:tcPr>
                  <w:tcW w:w="5775" w:type="dxa"/>
                  <w:tcMar>
                    <w:top w:w="100" w:type="dxa"/>
                    <w:left w:w="100" w:type="dxa"/>
                    <w:bottom w:w="100" w:type="dxa"/>
                    <w:right w:w="100" w:type="dxa"/>
                  </w:tcMar>
                </w:tcPr>
                <w:p w14:paraId="57B384B9" w14:textId="77777777" w:rsidR="005629F1" w:rsidRDefault="005629F1" w:rsidP="005629F1">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1CF798E2" w14:textId="1C9CFAD0" w:rsidR="005629F1" w:rsidRDefault="004C40CC" w:rsidP="005629F1">
                  <w:pPr>
                    <w:widowControl w:val="0"/>
                    <w:jc w:val="left"/>
                    <w:rPr>
                      <w:rFonts w:ascii="Arial" w:eastAsia="Arial" w:hAnsi="Arial" w:cs="Arial"/>
                    </w:rPr>
                  </w:pPr>
                  <w:r>
                    <w:rPr>
                      <w:rFonts w:ascii="Arial" w:eastAsia="Arial" w:hAnsi="Arial" w:cs="Arial"/>
                    </w:rPr>
                    <w:t>x</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648E260D" w:rsidR="005A5CBC" w:rsidRDefault="00086515">
            <w:pPr>
              <w:jc w:val="left"/>
              <w:rPr>
                <w:rFonts w:ascii="Arial" w:eastAsia="Arial" w:hAnsi="Arial" w:cs="Arial"/>
              </w:rPr>
            </w:pPr>
            <w:r>
              <w:rPr>
                <w:rFonts w:ascii="Arial" w:eastAsia="Arial" w:hAnsi="Arial" w:cs="Arial"/>
                <w:sz w:val="24"/>
                <w:szCs w:val="24"/>
              </w:rPr>
              <w:t>30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5530B4B9" w:rsidR="005A5CBC" w:rsidRDefault="005629F1">
            <w:pPr>
              <w:jc w:val="left"/>
              <w:rPr>
                <w:rFonts w:ascii="Arial" w:eastAsia="Arial" w:hAnsi="Arial" w:cs="Arial"/>
              </w:rPr>
            </w:pPr>
            <w:r>
              <w:rPr>
                <w:rFonts w:ascii="Arial" w:eastAsia="Arial" w:hAnsi="Arial" w:cs="Arial"/>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5E300BF8" w:rsidR="005A5CBC" w:rsidRPr="00CF4177" w:rsidRDefault="00A824A0" w:rsidP="00720B67">
            <w:pPr>
              <w:keepNext/>
              <w:spacing w:after="60"/>
              <w:rPr>
                <w:rFonts w:ascii="Arial" w:eastAsia="Arial" w:hAnsi="Arial" w:cs="Arial"/>
                <w:sz w:val="24"/>
                <w:szCs w:val="24"/>
              </w:rPr>
            </w:pPr>
            <w:r w:rsidRPr="00CF4177">
              <w:rPr>
                <w:rFonts w:ascii="Arial" w:eastAsia="Arial" w:hAnsi="Arial" w:cs="Arial"/>
                <w:sz w:val="24"/>
                <w:szCs w:val="24"/>
              </w:rPr>
              <w:t>DOS</w:t>
            </w:r>
            <w:r w:rsidR="00964883" w:rsidRPr="00085F4C">
              <w:rPr>
                <w:rFonts w:ascii="Arial" w:eastAsia="Arial" w:hAnsi="Arial" w:cs="Arial"/>
                <w:sz w:val="24"/>
                <w:szCs w:val="24"/>
              </w:rPr>
              <w:t>-</w:t>
            </w:r>
            <w:r w:rsidR="00085F4C" w:rsidRPr="00085F4C">
              <w:rPr>
                <w:rFonts w:ascii="Arial" w:eastAsia="Arial" w:hAnsi="Arial" w:cs="Arial"/>
                <w:sz w:val="24"/>
                <w:szCs w:val="24"/>
              </w:rPr>
              <w:t>12605</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463443A5" w:rsidR="005A5CBC" w:rsidRPr="00CF4177" w:rsidRDefault="00964883" w:rsidP="00720B67">
            <w:pPr>
              <w:spacing w:before="60" w:after="60"/>
              <w:rPr>
                <w:rFonts w:ascii="Arial" w:eastAsia="Arial" w:hAnsi="Arial" w:cs="Arial"/>
                <w:sz w:val="24"/>
                <w:szCs w:val="24"/>
              </w:rPr>
            </w:pPr>
            <w:r w:rsidRPr="002724D8">
              <w:rPr>
                <w:rFonts w:ascii="Arial" w:eastAsia="Arial" w:hAnsi="Arial" w:cs="Arial"/>
                <w:sz w:val="24"/>
                <w:szCs w:val="24"/>
              </w:rPr>
              <w:t>Project_</w:t>
            </w:r>
            <w:r w:rsidR="002724D8" w:rsidRPr="002724D8">
              <w:rPr>
                <w:rFonts w:ascii="Arial" w:eastAsia="Arial" w:hAnsi="Arial" w:cs="Arial"/>
                <w:sz w:val="24"/>
                <w:szCs w:val="24"/>
              </w:rPr>
              <w:t>4450</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06EC6B4A" w:rsidR="005A5CBC" w:rsidRPr="00720B67" w:rsidRDefault="00086515" w:rsidP="00720B67">
            <w:pPr>
              <w:keepNext/>
              <w:spacing w:after="60"/>
              <w:rPr>
                <w:rFonts w:ascii="Arial" w:eastAsia="Arial" w:hAnsi="Arial" w:cs="Arial"/>
                <w:sz w:val="24"/>
                <w:szCs w:val="24"/>
              </w:rPr>
            </w:pPr>
            <w:r>
              <w:rPr>
                <w:rFonts w:ascii="Arial" w:eastAsia="Arial" w:hAnsi="Arial" w:cs="Arial"/>
                <w:sz w:val="24"/>
                <w:szCs w:val="24"/>
              </w:rPr>
              <w:t>1/10/2020</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6E653047" w:rsidR="005A5CBC" w:rsidRPr="00720B67" w:rsidRDefault="00A05598" w:rsidP="00720B67">
            <w:pPr>
              <w:keepNext/>
              <w:spacing w:after="60"/>
              <w:rPr>
                <w:rFonts w:ascii="Arial" w:eastAsia="Arial" w:hAnsi="Arial" w:cs="Arial"/>
                <w:sz w:val="24"/>
                <w:szCs w:val="24"/>
              </w:rPr>
            </w:pPr>
            <w:r>
              <w:rPr>
                <w:rFonts w:ascii="Arial" w:eastAsia="Arial" w:hAnsi="Arial" w:cs="Arial"/>
                <w:sz w:val="24"/>
                <w:szCs w:val="24"/>
              </w:rPr>
              <w:t>TBC</w:t>
            </w:r>
          </w:p>
          <w:p w14:paraId="1907CA1F"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7DC509C" w14:textId="5EF26206" w:rsidR="005A5CBC" w:rsidRDefault="00E508F8" w:rsidP="00720B67">
            <w:pPr>
              <w:keepNext/>
              <w:spacing w:before="60" w:after="60"/>
              <w:rPr>
                <w:rFonts w:ascii="Arial" w:eastAsia="Arial" w:hAnsi="Arial" w:cs="Arial"/>
                <w:sz w:val="24"/>
                <w:szCs w:val="24"/>
              </w:rPr>
            </w:pPr>
            <w:r>
              <w:rPr>
                <w:rFonts w:ascii="Arial" w:eastAsia="Arial" w:hAnsi="Arial" w:cs="Arial"/>
                <w:sz w:val="24"/>
                <w:szCs w:val="24"/>
              </w:rPr>
              <w:t>The Secretary of State for the Department for Education</w:t>
            </w:r>
          </w:p>
          <w:p w14:paraId="13A77333" w14:textId="6BDD28C5" w:rsidR="00E508F8" w:rsidRDefault="00E508F8" w:rsidP="00720B67">
            <w:pPr>
              <w:keepNext/>
              <w:spacing w:before="60" w:after="60"/>
              <w:rPr>
                <w:rFonts w:ascii="Arial" w:eastAsia="Arial" w:hAnsi="Arial" w:cs="Arial"/>
                <w:sz w:val="24"/>
                <w:szCs w:val="24"/>
              </w:rPr>
            </w:pPr>
            <w:r>
              <w:rPr>
                <w:rFonts w:ascii="Arial" w:eastAsia="Arial" w:hAnsi="Arial" w:cs="Arial"/>
                <w:sz w:val="24"/>
                <w:szCs w:val="24"/>
              </w:rPr>
              <w:t>Sanctuary Buildings</w:t>
            </w:r>
          </w:p>
          <w:p w14:paraId="1E720408" w14:textId="555670EF" w:rsidR="00E508F8" w:rsidRDefault="00E508F8" w:rsidP="00720B67">
            <w:pPr>
              <w:keepNext/>
              <w:spacing w:before="60" w:after="60"/>
              <w:rPr>
                <w:rFonts w:ascii="Arial" w:eastAsia="Arial" w:hAnsi="Arial" w:cs="Arial"/>
                <w:sz w:val="24"/>
                <w:szCs w:val="24"/>
              </w:rPr>
            </w:pPr>
            <w:r>
              <w:rPr>
                <w:rFonts w:ascii="Arial" w:eastAsia="Arial" w:hAnsi="Arial" w:cs="Arial"/>
                <w:sz w:val="24"/>
                <w:szCs w:val="24"/>
              </w:rPr>
              <w:t>Great Smith Street</w:t>
            </w:r>
          </w:p>
          <w:p w14:paraId="70376680" w14:textId="07DB0964" w:rsidR="00E508F8" w:rsidRDefault="00E508F8" w:rsidP="00720B67">
            <w:pPr>
              <w:keepNext/>
              <w:spacing w:before="60" w:after="60"/>
              <w:rPr>
                <w:rFonts w:ascii="Arial" w:eastAsia="Arial" w:hAnsi="Arial" w:cs="Arial"/>
                <w:sz w:val="24"/>
                <w:szCs w:val="24"/>
              </w:rPr>
            </w:pPr>
            <w:r>
              <w:rPr>
                <w:rFonts w:ascii="Arial" w:eastAsia="Arial" w:hAnsi="Arial" w:cs="Arial"/>
                <w:sz w:val="24"/>
                <w:szCs w:val="24"/>
              </w:rPr>
              <w:t>London</w:t>
            </w:r>
          </w:p>
          <w:p w14:paraId="7903FB8B" w14:textId="7E5F33A7" w:rsidR="00E508F8" w:rsidRPr="00720B67" w:rsidRDefault="00E508F8" w:rsidP="00720B67">
            <w:pPr>
              <w:keepNext/>
              <w:spacing w:before="60" w:after="60"/>
              <w:rPr>
                <w:rFonts w:ascii="Arial" w:eastAsia="Arial" w:hAnsi="Arial" w:cs="Arial"/>
                <w:sz w:val="24"/>
                <w:szCs w:val="24"/>
              </w:rPr>
            </w:pPr>
            <w:r>
              <w:rPr>
                <w:rFonts w:ascii="Arial" w:eastAsia="Arial" w:hAnsi="Arial" w:cs="Arial"/>
                <w:sz w:val="24"/>
                <w:szCs w:val="24"/>
              </w:rPr>
              <w:t>SW1P 3BT</w:t>
            </w:r>
          </w:p>
          <w:p w14:paraId="0A0D5022" w14:textId="77777777" w:rsidR="005A5CBC" w:rsidRPr="00720B67" w:rsidRDefault="005A5CBC" w:rsidP="00720B67">
            <w:pPr>
              <w:spacing w:before="60" w:after="60"/>
              <w:rPr>
                <w:rFonts w:ascii="Arial" w:eastAsia="Arial" w:hAnsi="Arial" w:cs="Arial"/>
                <w:sz w:val="24"/>
                <w:szCs w:val="24"/>
              </w:rPr>
            </w:pP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E16CDF4" w14:textId="5238BEE7" w:rsidR="005A5CBC" w:rsidRPr="00086515" w:rsidRDefault="005A5CBC" w:rsidP="00720B67">
            <w:pPr>
              <w:keepNext/>
              <w:spacing w:before="60" w:after="60"/>
              <w:rPr>
                <w:rFonts w:ascii="Arial" w:eastAsia="Arial" w:hAnsi="Arial" w:cs="Arial"/>
                <w:sz w:val="24"/>
                <w:szCs w:val="24"/>
              </w:rPr>
            </w:pP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66007836" w:rsidR="005A5CBC" w:rsidRPr="00720B67" w:rsidRDefault="00086515" w:rsidP="00720B67">
            <w:pPr>
              <w:keepNext/>
              <w:spacing w:before="60" w:after="60"/>
              <w:jc w:val="left"/>
              <w:rPr>
                <w:rFonts w:ascii="Arial" w:eastAsia="Arial" w:hAnsi="Arial" w:cs="Arial"/>
                <w:sz w:val="24"/>
                <w:szCs w:val="24"/>
              </w:rPr>
            </w:pPr>
            <w:r>
              <w:rPr>
                <w:rFonts w:ascii="Arial" w:eastAsia="Arial" w:hAnsi="Arial" w:cs="Arial"/>
                <w:sz w:val="24"/>
                <w:szCs w:val="24"/>
              </w:rPr>
              <w:t xml:space="preserve">Company number: </w:t>
            </w:r>
            <w:r w:rsidR="00720B67"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5E4701FF" w:rsidR="005A5CBC" w:rsidRPr="00085F4C" w:rsidRDefault="00085F4C">
            <w:pPr>
              <w:spacing w:before="60" w:after="60"/>
              <w:ind w:left="-120" w:right="1140"/>
              <w:rPr>
                <w:rFonts w:ascii="Arial" w:eastAsia="Arial" w:hAnsi="Arial" w:cs="Arial"/>
                <w:b/>
                <w:bCs/>
              </w:rPr>
            </w:pPr>
            <w:r w:rsidRPr="00085F4C">
              <w:rPr>
                <w:rFonts w:ascii="Arial" w:eastAsia="Arial" w:hAnsi="Arial" w:cs="Arial"/>
                <w:b/>
                <w:bCs/>
                <w:sz w:val="24"/>
                <w:szCs w:val="24"/>
              </w:rPr>
              <w:t>Redacted</w:t>
            </w: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76865839" w:rsidR="005A5CBC" w:rsidRDefault="00085F4C">
            <w:pPr>
              <w:spacing w:before="60" w:after="60"/>
              <w:ind w:left="-120" w:right="1140"/>
              <w:rPr>
                <w:rFonts w:ascii="Arial" w:eastAsia="Arial" w:hAnsi="Arial" w:cs="Arial"/>
              </w:rPr>
            </w:pPr>
            <w:r w:rsidRPr="00085F4C">
              <w:rPr>
                <w:rFonts w:ascii="Arial" w:eastAsia="Arial" w:hAnsi="Arial" w:cs="Arial"/>
                <w:b/>
                <w:bCs/>
                <w:sz w:val="24"/>
                <w:szCs w:val="24"/>
              </w:rPr>
              <w:t>Redacted</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077C9E3A" w:rsidR="005A5CBC" w:rsidRDefault="00085F4C">
            <w:pPr>
              <w:spacing w:before="60" w:after="60"/>
              <w:ind w:left="-120" w:right="1140"/>
              <w:rPr>
                <w:rFonts w:ascii="Arial" w:eastAsia="Arial" w:hAnsi="Arial" w:cs="Arial"/>
              </w:rPr>
            </w:pPr>
            <w:r w:rsidRPr="00085F4C">
              <w:rPr>
                <w:rFonts w:ascii="Arial" w:eastAsia="Arial" w:hAnsi="Arial" w:cs="Arial"/>
                <w:b/>
                <w:bCs/>
                <w:sz w:val="24"/>
                <w:szCs w:val="24"/>
              </w:rPr>
              <w:t>Redacted</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Pr="00DC3AE8" w:rsidRDefault="00720B67">
            <w:pPr>
              <w:spacing w:before="60" w:after="60"/>
              <w:rPr>
                <w:rFonts w:ascii="Arial" w:eastAsia="Arial" w:hAnsi="Arial" w:cs="Arial"/>
                <w:sz w:val="24"/>
                <w:szCs w:val="24"/>
              </w:rPr>
            </w:pPr>
            <w:r w:rsidRPr="00447CE5">
              <w:rPr>
                <w:rFonts w:ascii="Arial" w:eastAsia="Arial" w:hAnsi="Arial" w:cs="Arial"/>
                <w:sz w:val="24"/>
                <w:szCs w:val="24"/>
              </w:rPr>
              <w:t>Phone:</w:t>
            </w:r>
          </w:p>
        </w:tc>
        <w:tc>
          <w:tcPr>
            <w:tcW w:w="6525" w:type="dxa"/>
          </w:tcPr>
          <w:p w14:paraId="16A92A92" w14:textId="63B5BD96" w:rsidR="005A5CBC" w:rsidRPr="00DC3AE8" w:rsidRDefault="00085F4C">
            <w:pPr>
              <w:spacing w:before="60" w:after="60"/>
              <w:ind w:left="-120" w:right="1140"/>
              <w:rPr>
                <w:rFonts w:ascii="Arial" w:eastAsia="Arial" w:hAnsi="Arial" w:cs="Arial"/>
                <w:sz w:val="24"/>
                <w:szCs w:val="24"/>
              </w:rPr>
            </w:pPr>
            <w:r w:rsidRPr="00085F4C">
              <w:rPr>
                <w:rFonts w:ascii="Arial" w:eastAsia="Arial" w:hAnsi="Arial" w:cs="Arial"/>
                <w:b/>
                <w:bCs/>
                <w:sz w:val="24"/>
                <w:szCs w:val="24"/>
              </w:rPr>
              <w:t>Redacted</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36E3356C" w:rsidR="005A5CBC" w:rsidRDefault="00637676">
            <w:pPr>
              <w:spacing w:before="60" w:after="60"/>
              <w:ind w:left="-120" w:right="1140"/>
              <w:rPr>
                <w:rFonts w:ascii="Arial" w:eastAsia="Arial" w:hAnsi="Arial" w:cs="Arial"/>
              </w:rPr>
            </w:pPr>
            <w:r>
              <w:rPr>
                <w:rFonts w:ascii="Arial" w:eastAsia="Arial" w:hAnsi="Arial" w:cs="Arial"/>
                <w:sz w:val="24"/>
                <w:szCs w:val="24"/>
              </w:rPr>
              <w:t>Jack Hazell</w:t>
            </w: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Pr="00637676" w:rsidRDefault="00720B67" w:rsidP="00637676">
            <w:pPr>
              <w:spacing w:before="60" w:after="60"/>
              <w:ind w:left="-120" w:right="1140"/>
              <w:rPr>
                <w:rFonts w:ascii="Arial" w:eastAsia="Arial" w:hAnsi="Arial" w:cs="Arial"/>
                <w:sz w:val="24"/>
                <w:szCs w:val="24"/>
              </w:rPr>
            </w:pPr>
            <w:r>
              <w:rPr>
                <w:rFonts w:ascii="Arial" w:eastAsia="Arial" w:hAnsi="Arial" w:cs="Arial"/>
                <w:sz w:val="24"/>
                <w:szCs w:val="24"/>
              </w:rPr>
              <w:t>Title:</w:t>
            </w:r>
          </w:p>
        </w:tc>
        <w:tc>
          <w:tcPr>
            <w:tcW w:w="6525" w:type="dxa"/>
          </w:tcPr>
          <w:p w14:paraId="2A0FDDA7" w14:textId="65CBBD57" w:rsidR="005A5CBC" w:rsidRPr="00637676" w:rsidRDefault="00637676" w:rsidP="00637676">
            <w:pPr>
              <w:spacing w:before="60" w:after="60"/>
              <w:ind w:left="-120" w:right="1140"/>
              <w:rPr>
                <w:rFonts w:ascii="Arial" w:eastAsia="Arial" w:hAnsi="Arial" w:cs="Arial"/>
                <w:sz w:val="24"/>
                <w:szCs w:val="24"/>
              </w:rPr>
            </w:pPr>
            <w:r w:rsidRPr="00637676">
              <w:rPr>
                <w:rFonts w:ascii="Arial" w:eastAsia="Arial" w:hAnsi="Arial" w:cs="Arial"/>
                <w:sz w:val="24"/>
                <w:szCs w:val="24"/>
              </w:rPr>
              <w:t>Director of Operations</w:t>
            </w:r>
            <w:r w:rsidR="00720B67" w:rsidRPr="00637676">
              <w:rPr>
                <w:rFonts w:ascii="Arial" w:eastAsia="Arial" w:hAnsi="Arial" w:cs="Arial"/>
                <w:sz w:val="24"/>
                <w:szCs w:val="24"/>
              </w:rPr>
              <w:t xml:space="preserve"> </w:t>
            </w: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33E59AE6" w:rsidR="005A5CBC" w:rsidRDefault="00085F4C">
            <w:pPr>
              <w:spacing w:before="60" w:after="60"/>
              <w:ind w:left="-120" w:right="1140"/>
              <w:rPr>
                <w:rFonts w:ascii="Arial" w:eastAsia="Arial" w:hAnsi="Arial" w:cs="Arial"/>
              </w:rPr>
            </w:pPr>
            <w:r w:rsidRPr="00085F4C">
              <w:rPr>
                <w:rFonts w:ascii="Arial" w:eastAsia="Arial" w:hAnsi="Arial" w:cs="Arial"/>
                <w:b/>
                <w:bCs/>
                <w:sz w:val="24"/>
                <w:szCs w:val="24"/>
              </w:rPr>
              <w:t>Redacted</w:t>
            </w: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2708855C" w:rsidR="005A5CBC" w:rsidRDefault="00085F4C">
            <w:pPr>
              <w:spacing w:before="60" w:after="60"/>
              <w:ind w:left="-120" w:right="1140"/>
              <w:rPr>
                <w:rFonts w:ascii="Arial" w:eastAsia="Arial" w:hAnsi="Arial" w:cs="Arial"/>
              </w:rPr>
            </w:pPr>
            <w:r w:rsidRPr="00085F4C">
              <w:rPr>
                <w:rFonts w:ascii="Arial" w:eastAsia="Arial" w:hAnsi="Arial" w:cs="Arial"/>
                <w:b/>
                <w:bCs/>
                <w:sz w:val="24"/>
                <w:szCs w:val="24"/>
              </w:rPr>
              <w:t>Redacted</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lastRenderedPageBreak/>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106D7BD2" w:rsidR="005A5CBC" w:rsidRPr="00DC3AE8" w:rsidRDefault="00085F4C">
            <w:pPr>
              <w:spacing w:before="60" w:after="60"/>
              <w:ind w:left="-120" w:right="1140"/>
              <w:rPr>
                <w:rFonts w:ascii="Arial" w:eastAsia="Arial" w:hAnsi="Arial" w:cs="Arial"/>
              </w:rPr>
            </w:pPr>
            <w:r w:rsidRPr="00085F4C">
              <w:rPr>
                <w:rFonts w:ascii="Arial" w:eastAsia="Arial" w:hAnsi="Arial" w:cs="Arial"/>
                <w:b/>
                <w:bCs/>
                <w:sz w:val="24"/>
                <w:szCs w:val="24"/>
              </w:rPr>
              <w:t>Redacted</w:t>
            </w: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6806E277" w:rsidR="005A5CBC" w:rsidRPr="00DC3AE8" w:rsidRDefault="006F37F8">
            <w:pPr>
              <w:spacing w:before="60" w:after="60"/>
              <w:ind w:left="-120" w:right="1140"/>
              <w:rPr>
                <w:rFonts w:ascii="Arial" w:eastAsia="Arial" w:hAnsi="Arial" w:cs="Arial"/>
              </w:rPr>
            </w:pPr>
            <w:r w:rsidRPr="00DC3AE8">
              <w:rPr>
                <w:rFonts w:ascii="Arial" w:eastAsia="Arial" w:hAnsi="Arial" w:cs="Arial"/>
                <w:sz w:val="24"/>
                <w:szCs w:val="24"/>
              </w:rPr>
              <w:t>Departmental Data Protection Officer</w:t>
            </w: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07D7FD51" w:rsidR="005A5CBC" w:rsidRPr="00DC3AE8" w:rsidRDefault="00085F4C">
            <w:pPr>
              <w:spacing w:before="60" w:after="60"/>
              <w:ind w:left="-120" w:right="1140"/>
              <w:rPr>
                <w:rFonts w:ascii="Arial" w:eastAsia="Arial" w:hAnsi="Arial" w:cs="Arial"/>
              </w:rPr>
            </w:pPr>
            <w:r w:rsidRPr="00085F4C">
              <w:rPr>
                <w:rFonts w:ascii="Arial" w:eastAsia="Arial" w:hAnsi="Arial" w:cs="Arial"/>
                <w:b/>
                <w:bCs/>
                <w:sz w:val="24"/>
                <w:szCs w:val="24"/>
              </w:rPr>
              <w:t>Redacted</w:t>
            </w: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06771A27" w:rsidR="005A5CBC" w:rsidRPr="00DC3AE8" w:rsidRDefault="00085F4C">
            <w:pPr>
              <w:spacing w:before="60" w:after="60"/>
              <w:ind w:left="-120" w:right="1140"/>
              <w:rPr>
                <w:rFonts w:ascii="Arial" w:eastAsia="Arial" w:hAnsi="Arial" w:cs="Arial"/>
              </w:rPr>
            </w:pPr>
            <w:r w:rsidRPr="00085F4C">
              <w:rPr>
                <w:rFonts w:ascii="Arial" w:eastAsia="Arial" w:hAnsi="Arial" w:cs="Arial"/>
                <w:b/>
                <w:bCs/>
                <w:sz w:val="24"/>
                <w:szCs w:val="24"/>
              </w:rPr>
              <w:t>Redacted</w:t>
            </w:r>
          </w:p>
        </w:tc>
      </w:tr>
      <w:tr w:rsidR="00EC3273"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EC3273" w:rsidRDefault="00EC3273" w:rsidP="00EC3273">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EC3273" w:rsidRDefault="00EC3273" w:rsidP="00EC3273">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EC3273" w:rsidRDefault="00EC3273" w:rsidP="00EC3273">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176AA970" w:rsidR="00EC3273" w:rsidRDefault="00085F4C" w:rsidP="00EC3273">
            <w:pPr>
              <w:spacing w:before="60" w:after="60"/>
              <w:ind w:left="-120" w:right="1140"/>
              <w:rPr>
                <w:rFonts w:ascii="Arial" w:eastAsia="Arial" w:hAnsi="Arial" w:cs="Arial"/>
              </w:rPr>
            </w:pPr>
            <w:r w:rsidRPr="00085F4C">
              <w:rPr>
                <w:rFonts w:ascii="Arial" w:eastAsia="Arial" w:hAnsi="Arial" w:cs="Arial"/>
                <w:b/>
                <w:bCs/>
                <w:sz w:val="24"/>
                <w:szCs w:val="24"/>
              </w:rPr>
              <w:t>Redacted</w:t>
            </w:r>
          </w:p>
        </w:tc>
      </w:tr>
      <w:tr w:rsidR="00EC3273"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EC3273" w:rsidRDefault="00EC3273" w:rsidP="00EC3273">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EC3273" w:rsidRDefault="00EC3273" w:rsidP="00EC3273">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0210A39F" w:rsidR="00EC3273" w:rsidRDefault="00EC3273" w:rsidP="00EC3273">
            <w:pPr>
              <w:spacing w:before="60" w:after="60"/>
              <w:ind w:left="-120" w:right="1140"/>
              <w:rPr>
                <w:rFonts w:ascii="Arial" w:eastAsia="Arial" w:hAnsi="Arial" w:cs="Arial"/>
              </w:rPr>
            </w:pPr>
            <w:r w:rsidRPr="00637676">
              <w:rPr>
                <w:rFonts w:ascii="Arial" w:eastAsia="Arial" w:hAnsi="Arial" w:cs="Arial"/>
                <w:sz w:val="24"/>
                <w:szCs w:val="24"/>
              </w:rPr>
              <w:t xml:space="preserve">Director of Operations </w:t>
            </w:r>
          </w:p>
        </w:tc>
      </w:tr>
      <w:tr w:rsidR="00EC3273"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EC3273" w:rsidRDefault="00EC3273" w:rsidP="00EC3273">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EC3273" w:rsidRDefault="00EC3273" w:rsidP="00EC3273">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0F55A72E" w:rsidR="00EC3273" w:rsidRDefault="00085F4C" w:rsidP="00EC3273">
            <w:pPr>
              <w:spacing w:before="60" w:after="60"/>
              <w:ind w:left="-120" w:right="1140"/>
              <w:rPr>
                <w:rFonts w:ascii="Arial" w:eastAsia="Arial" w:hAnsi="Arial" w:cs="Arial"/>
              </w:rPr>
            </w:pPr>
            <w:r w:rsidRPr="00085F4C">
              <w:rPr>
                <w:rFonts w:ascii="Arial" w:eastAsia="Arial" w:hAnsi="Arial" w:cs="Arial"/>
                <w:b/>
                <w:bCs/>
                <w:sz w:val="24"/>
                <w:szCs w:val="24"/>
              </w:rPr>
              <w:t>Redacted</w:t>
            </w:r>
          </w:p>
        </w:tc>
      </w:tr>
      <w:tr w:rsidR="00EC3273"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EC3273" w:rsidRDefault="00EC3273" w:rsidP="00EC3273">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EC3273" w:rsidRDefault="00EC3273" w:rsidP="00EC3273">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3BAEBEB1" w:rsidR="00EC3273" w:rsidRDefault="00085F4C" w:rsidP="00EC3273">
            <w:pPr>
              <w:spacing w:before="60" w:after="60"/>
              <w:ind w:left="-120" w:right="1140"/>
              <w:rPr>
                <w:rFonts w:ascii="Arial" w:eastAsia="Arial" w:hAnsi="Arial" w:cs="Arial"/>
              </w:rPr>
            </w:pPr>
            <w:r w:rsidRPr="00085F4C">
              <w:rPr>
                <w:rFonts w:ascii="Arial" w:eastAsia="Arial" w:hAnsi="Arial" w:cs="Arial"/>
                <w:b/>
                <w:bCs/>
                <w:sz w:val="24"/>
                <w:szCs w:val="24"/>
              </w:rPr>
              <w:t>Redacted</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64E7EA7A" w:rsidR="005A5CBC" w:rsidRDefault="00720B67">
            <w:pPr>
              <w:keepNext/>
              <w:spacing w:before="60" w:after="60"/>
              <w:ind w:left="-45" w:right="1140"/>
              <w:jc w:val="left"/>
              <w:rPr>
                <w:rFonts w:ascii="Arial" w:eastAsia="Arial" w:hAnsi="Arial" w:cs="Arial"/>
              </w:rPr>
            </w:pPr>
            <w:r>
              <w:rPr>
                <w:rFonts w:ascii="Arial" w:eastAsia="Arial" w:hAnsi="Arial" w:cs="Arial"/>
                <w:sz w:val="24"/>
                <w:szCs w:val="24"/>
                <w:highlight w:val="white"/>
              </w:rPr>
              <w:t xml:space="preserve">For the provision of </w:t>
            </w:r>
            <w:r w:rsidR="00986EE1">
              <w:rPr>
                <w:rFonts w:ascii="Arial" w:eastAsia="Arial" w:hAnsi="Arial" w:cs="Arial"/>
                <w:sz w:val="24"/>
                <w:szCs w:val="24"/>
              </w:rPr>
              <w:t>Data Science Services - Testing</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21180656" w:rsidR="005A5CBC" w:rsidRDefault="00086515">
            <w:pPr>
              <w:spacing w:before="60" w:after="60"/>
              <w:ind w:left="-45"/>
              <w:jc w:val="left"/>
              <w:rPr>
                <w:rFonts w:ascii="Arial" w:eastAsia="Arial" w:hAnsi="Arial" w:cs="Arial"/>
              </w:rPr>
            </w:pPr>
            <w:r>
              <w:rPr>
                <w:rFonts w:ascii="Arial" w:eastAsia="Arial" w:hAnsi="Arial" w:cs="Arial"/>
                <w:sz w:val="24"/>
                <w:szCs w:val="24"/>
                <w:highlight w:val="white"/>
              </w:rPr>
              <w:t xml:space="preserve">90 </w:t>
            </w:r>
            <w:r w:rsidR="00720B67">
              <w:rPr>
                <w:rFonts w:ascii="Arial" w:eastAsia="Arial" w:hAnsi="Arial" w:cs="Arial"/>
                <w:sz w:val="24"/>
                <w:szCs w:val="24"/>
                <w:highlight w:val="white"/>
              </w:rPr>
              <w:t>days from the date of Buyer acceptance of release.</w:t>
            </w:r>
          </w:p>
        </w:tc>
      </w:tr>
      <w:tr w:rsidR="00DA56F4"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DA56F4" w:rsidRDefault="00DA56F4" w:rsidP="00DA56F4">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3B51254E" w14:textId="77777777" w:rsidR="00DA56F4" w:rsidRDefault="00DA56F4" w:rsidP="00DA56F4">
            <w:pPr>
              <w:spacing w:before="60" w:after="60"/>
              <w:ind w:left="-45"/>
              <w:jc w:val="left"/>
              <w:rPr>
                <w:rFonts w:ascii="Arial" w:eastAsia="Arial" w:hAnsi="Arial" w:cs="Arial"/>
                <w:sz w:val="24"/>
                <w:szCs w:val="24"/>
              </w:rPr>
            </w:pPr>
            <w:r w:rsidRPr="006905D3">
              <w:rPr>
                <w:rFonts w:ascii="Arial" w:eastAsia="Arial" w:hAnsi="Arial" w:cs="Arial"/>
                <w:sz w:val="24"/>
                <w:szCs w:val="24"/>
              </w:rPr>
              <w:t>Cheylesmore House, Quinton Road, Coventry CV1 2WT</w:t>
            </w:r>
            <w:r>
              <w:rPr>
                <w:rFonts w:ascii="Arial" w:eastAsia="Arial" w:hAnsi="Arial" w:cs="Arial"/>
                <w:sz w:val="24"/>
                <w:szCs w:val="24"/>
              </w:rPr>
              <w:t xml:space="preserve">. Initial services will be delivered remotely. </w:t>
            </w:r>
          </w:p>
          <w:p w14:paraId="4071AEBD" w14:textId="114559B2" w:rsidR="00086515" w:rsidRDefault="00086515" w:rsidP="00DA56F4">
            <w:pPr>
              <w:spacing w:before="60" w:after="60"/>
              <w:ind w:left="-45"/>
              <w:jc w:val="left"/>
              <w:rPr>
                <w:rFonts w:ascii="Arial" w:eastAsia="Arial" w:hAnsi="Arial" w:cs="Arial"/>
              </w:rPr>
            </w:pPr>
            <w:r>
              <w:rPr>
                <w:rFonts w:ascii="Arial" w:eastAsia="Arial" w:hAnsi="Arial" w:cs="Arial"/>
                <w:sz w:val="24"/>
                <w:szCs w:val="24"/>
              </w:rPr>
              <w:t>Should base location vary from this address it will be outlined and agreed upon within individual statements of work.</w:t>
            </w:r>
          </w:p>
        </w:tc>
      </w:tr>
      <w:tr w:rsidR="00DA56F4"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2FB89E13" w:rsidR="00DA56F4" w:rsidRDefault="00DA56F4" w:rsidP="00DA56F4">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44F25704" w14:textId="77777777" w:rsidR="00086515" w:rsidRDefault="00DA56F4" w:rsidP="00DA56F4">
            <w:pPr>
              <w:spacing w:before="60" w:after="60"/>
              <w:ind w:left="-45" w:right="1140"/>
              <w:rPr>
                <w:rFonts w:ascii="Arial" w:eastAsia="Arial" w:hAnsi="Arial" w:cs="Arial"/>
                <w:sz w:val="24"/>
                <w:szCs w:val="24"/>
                <w:highlight w:val="white"/>
              </w:rPr>
            </w:pPr>
            <w:r>
              <w:rPr>
                <w:rFonts w:ascii="Arial" w:eastAsia="Arial" w:hAnsi="Arial" w:cs="Arial"/>
                <w:sz w:val="24"/>
                <w:szCs w:val="24"/>
                <w:highlight w:val="white"/>
              </w:rPr>
              <w:t>The level of clearance for this requirement is</w:t>
            </w:r>
            <w:r w:rsidR="00086515">
              <w:rPr>
                <w:rFonts w:ascii="Arial" w:eastAsia="Arial" w:hAnsi="Arial" w:cs="Arial"/>
                <w:sz w:val="24"/>
                <w:szCs w:val="24"/>
                <w:highlight w:val="white"/>
              </w:rPr>
              <w:t>:</w:t>
            </w:r>
          </w:p>
          <w:p w14:paraId="21438D5B" w14:textId="6388E2AB" w:rsidR="00DA56F4" w:rsidRDefault="00843125" w:rsidP="00DC3AE8">
            <w:pPr>
              <w:spacing w:before="60" w:after="60"/>
              <w:ind w:left="-45" w:right="1140"/>
              <w:rPr>
                <w:rFonts w:ascii="Arial" w:eastAsia="Arial" w:hAnsi="Arial" w:cs="Arial"/>
              </w:rPr>
            </w:pPr>
            <w:r>
              <w:rPr>
                <w:rFonts w:ascii="Arial" w:eastAsia="Arial" w:hAnsi="Arial" w:cs="Arial"/>
                <w:sz w:val="24"/>
                <w:szCs w:val="24"/>
                <w:highlight w:val="white"/>
              </w:rPr>
              <w:t xml:space="preserve">Enhanced </w:t>
            </w:r>
            <w:r w:rsidR="00086515">
              <w:rPr>
                <w:rFonts w:ascii="Arial" w:eastAsia="Arial" w:hAnsi="Arial" w:cs="Arial"/>
                <w:sz w:val="24"/>
                <w:szCs w:val="24"/>
              </w:rPr>
              <w:t>DBS</w:t>
            </w:r>
            <w:r>
              <w:rPr>
                <w:rFonts w:ascii="Arial" w:eastAsia="Arial" w:hAnsi="Arial" w:cs="Arial"/>
                <w:sz w:val="24"/>
                <w:szCs w:val="24"/>
              </w:rPr>
              <w:t xml:space="preserve"> and BPSS</w:t>
            </w:r>
          </w:p>
        </w:tc>
      </w:tr>
      <w:tr w:rsidR="00DA56F4"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DA56F4" w:rsidRDefault="00DA56F4" w:rsidP="00DA56F4">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156CB468" w:rsidR="00DA56F4" w:rsidRDefault="00DA56F4" w:rsidP="00DA56F4">
            <w:pPr>
              <w:spacing w:before="60" w:after="60"/>
              <w:ind w:left="-45"/>
              <w:jc w:val="left"/>
              <w:rPr>
                <w:rFonts w:ascii="Arial" w:eastAsia="Arial" w:hAnsi="Arial" w:cs="Arial"/>
              </w:rPr>
            </w:pPr>
            <w:r>
              <w:rPr>
                <w:rFonts w:ascii="Arial" w:eastAsia="Arial" w:hAnsi="Arial" w:cs="Arial"/>
                <w:sz w:val="24"/>
                <w:szCs w:val="24"/>
              </w:rPr>
              <w:t>Digital by Default Standard Government Digital Service Standard</w:t>
            </w:r>
          </w:p>
        </w:tc>
      </w:tr>
      <w:tr w:rsidR="00DA56F4"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DA56F4" w:rsidRDefault="00DA56F4" w:rsidP="00DA56F4">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08F471AF" w:rsidR="00DA56F4" w:rsidRDefault="007C69D9" w:rsidP="00DA56F4">
            <w:pPr>
              <w:spacing w:before="60" w:after="60"/>
              <w:ind w:left="-45"/>
              <w:jc w:val="left"/>
              <w:rPr>
                <w:rFonts w:ascii="Arial" w:eastAsia="Arial" w:hAnsi="Arial" w:cs="Arial"/>
              </w:rPr>
            </w:pPr>
            <w:r>
              <w:rPr>
                <w:rFonts w:ascii="Arial" w:eastAsia="Arial" w:hAnsi="Arial" w:cs="Arial"/>
                <w:sz w:val="24"/>
                <w:szCs w:val="24"/>
              </w:rPr>
              <w:t>As per clause 34</w:t>
            </w:r>
          </w:p>
        </w:tc>
      </w:tr>
      <w:tr w:rsidR="00DA56F4"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DA56F4" w:rsidRDefault="00DA56F4" w:rsidP="00DA56F4">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0D4D5B50" w:rsidR="00DA56F4" w:rsidRDefault="007C69D9" w:rsidP="00DA56F4">
            <w:pPr>
              <w:spacing w:before="60" w:after="60"/>
              <w:ind w:left="-45"/>
              <w:jc w:val="left"/>
              <w:rPr>
                <w:rFonts w:ascii="Arial" w:eastAsia="Arial" w:hAnsi="Arial" w:cs="Arial"/>
              </w:rPr>
            </w:pPr>
            <w:r>
              <w:rPr>
                <w:rFonts w:ascii="Arial" w:eastAsia="Arial" w:hAnsi="Arial" w:cs="Arial"/>
                <w:sz w:val="24"/>
                <w:szCs w:val="24"/>
              </w:rPr>
              <w:t>As per clause 10</w:t>
            </w:r>
          </w:p>
        </w:tc>
      </w:tr>
      <w:tr w:rsidR="00DA56F4"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DA56F4"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472EE9A5" w:rsidR="00DA56F4" w:rsidRDefault="003F2B52" w:rsidP="00DA56F4">
            <w:pPr>
              <w:keepNext/>
              <w:spacing w:before="60" w:after="60"/>
              <w:jc w:val="left"/>
              <w:rPr>
                <w:rFonts w:ascii="Arial" w:eastAsia="Arial" w:hAnsi="Arial" w:cs="Arial"/>
              </w:rPr>
            </w:pPr>
            <w:r>
              <w:rPr>
                <w:rFonts w:ascii="Arial" w:eastAsia="Arial" w:hAnsi="Arial" w:cs="Arial"/>
                <w:sz w:val="24"/>
                <w:szCs w:val="24"/>
              </w:rPr>
              <w:t>N/A</w:t>
            </w:r>
          </w:p>
        </w:tc>
      </w:tr>
      <w:tr w:rsidR="00DA56F4"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0988CE61" w14:textId="60590376" w:rsidR="00DA56F4" w:rsidRDefault="003F2B52" w:rsidP="00DA56F4">
            <w:pPr>
              <w:keepNext/>
              <w:spacing w:before="60" w:after="60"/>
              <w:jc w:val="left"/>
              <w:rPr>
                <w:rFonts w:ascii="Arial" w:eastAsia="Arial" w:hAnsi="Arial" w:cs="Arial"/>
              </w:rPr>
            </w:pPr>
            <w:r>
              <w:rPr>
                <w:rFonts w:ascii="Arial" w:eastAsia="Arial" w:hAnsi="Arial" w:cs="Arial"/>
                <w:sz w:val="24"/>
                <w:szCs w:val="24"/>
              </w:rPr>
              <w:t>N/A</w:t>
            </w:r>
          </w:p>
          <w:p w14:paraId="60620BD2" w14:textId="77777777" w:rsidR="00DA56F4" w:rsidRDefault="00DA56F4" w:rsidP="00DA56F4">
            <w:pPr>
              <w:keepNext/>
              <w:spacing w:before="60" w:after="60"/>
              <w:jc w:val="left"/>
              <w:rPr>
                <w:rFonts w:ascii="Arial" w:eastAsia="Arial" w:hAnsi="Arial" w:cs="Arial"/>
              </w:rPr>
            </w:pPr>
          </w:p>
        </w:tc>
      </w:tr>
      <w:tr w:rsidR="00DA56F4"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DA56F4"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w:t>
            </w:r>
            <w:r>
              <w:rPr>
                <w:rFonts w:ascii="Arial" w:eastAsia="Arial" w:hAnsi="Arial" w:cs="Arial"/>
                <w:b/>
                <w:sz w:val="24"/>
                <w:szCs w:val="24"/>
              </w:rPr>
              <w:lastRenderedPageBreak/>
              <w:t xml:space="preserve">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1A4243AF" w:rsidR="00DA56F4" w:rsidRDefault="00DA56F4" w:rsidP="00DA56F4">
            <w:pPr>
              <w:keepNext/>
              <w:spacing w:before="60" w:after="60"/>
              <w:jc w:val="left"/>
              <w:rPr>
                <w:rFonts w:ascii="Arial" w:eastAsia="Arial" w:hAnsi="Arial" w:cs="Arial"/>
              </w:rPr>
            </w:pPr>
            <w:r>
              <w:rPr>
                <w:rFonts w:ascii="Arial" w:eastAsia="Arial" w:hAnsi="Arial" w:cs="Arial"/>
              </w:rPr>
              <w:lastRenderedPageBreak/>
              <w:t>BACS</w:t>
            </w:r>
          </w:p>
        </w:tc>
      </w:tr>
      <w:tr w:rsidR="00DA56F4"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rPr>
              <w:t>Invoice (including Electronic Invoice) 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290D7299" w:rsidR="00DA56F4" w:rsidRDefault="00DA56F4" w:rsidP="00DA56F4">
            <w:pPr>
              <w:keepNext/>
              <w:spacing w:before="60" w:after="60"/>
              <w:jc w:val="left"/>
              <w:rPr>
                <w:rFonts w:ascii="Arial" w:eastAsia="Arial" w:hAnsi="Arial" w:cs="Arial"/>
              </w:rPr>
            </w:pPr>
            <w:r>
              <w:rPr>
                <w:rFonts w:ascii="Arial" w:eastAsia="Arial" w:hAnsi="Arial" w:cs="Arial"/>
                <w:sz w:val="24"/>
                <w:szCs w:val="24"/>
              </w:rPr>
              <w:t>The supplier will issue monthly invoices.  The buyer will pay the supplier within 30 calendar days of receipt of a valid invoice</w:t>
            </w:r>
          </w:p>
        </w:tc>
      </w:tr>
      <w:tr w:rsidR="00DA56F4"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040" w:type="dxa"/>
            <w:tcBorders>
              <w:top w:val="single" w:sz="8" w:space="0" w:color="000000"/>
              <w:left w:val="single" w:sz="8" w:space="0" w:color="000000"/>
              <w:bottom w:val="single" w:sz="8" w:space="0" w:color="000000"/>
              <w:right w:val="single" w:sz="8" w:space="0" w:color="000000"/>
            </w:tcBorders>
          </w:tcPr>
          <w:p w14:paraId="7DD6C477" w14:textId="2F67513E" w:rsidR="00DA56F4" w:rsidRPr="006905D3" w:rsidRDefault="00DA56F4" w:rsidP="00DA56F4">
            <w:pPr>
              <w:rPr>
                <w:rFonts w:ascii="Arial" w:hAnsi="Arial" w:cs="Arial"/>
                <w:sz w:val="24"/>
                <w:szCs w:val="24"/>
              </w:rPr>
            </w:pPr>
            <w:r w:rsidRPr="006905D3">
              <w:rPr>
                <w:rFonts w:ascii="Arial" w:hAnsi="Arial" w:cs="Arial"/>
                <w:sz w:val="24"/>
                <w:szCs w:val="24"/>
              </w:rPr>
              <w:t>For the ESFA</w:t>
            </w:r>
          </w:p>
          <w:tbl>
            <w:tblPr>
              <w:tblW w:w="9660" w:type="dxa"/>
              <w:tblBorders>
                <w:top w:val="nil"/>
                <w:left w:val="nil"/>
                <w:bottom w:val="nil"/>
                <w:right w:val="nil"/>
                <w:insideH w:val="nil"/>
                <w:insideV w:val="nil"/>
              </w:tblBorders>
              <w:tblLayout w:type="fixed"/>
              <w:tblLook w:val="0400" w:firstRow="0" w:lastRow="0" w:firstColumn="0" w:lastColumn="0" w:noHBand="0" w:noVBand="1"/>
            </w:tblPr>
            <w:tblGrid>
              <w:gridCol w:w="4830"/>
              <w:gridCol w:w="4830"/>
            </w:tblGrid>
            <w:tr w:rsidR="00DA56F4" w:rsidRPr="006905D3" w14:paraId="0FEB0214" w14:textId="77777777" w:rsidTr="006F37F8">
              <w:tc>
                <w:tcPr>
                  <w:tcW w:w="4830" w:type="dxa"/>
                </w:tcPr>
                <w:p w14:paraId="333C0DC8" w14:textId="77777777" w:rsidR="00DA56F4" w:rsidRPr="006905D3" w:rsidRDefault="00DA56F4" w:rsidP="00DA56F4">
                  <w:pPr>
                    <w:pStyle w:val="Default"/>
                  </w:pPr>
                  <w:r w:rsidRPr="006905D3">
                    <w:t xml:space="preserve">Accounts Payable, </w:t>
                  </w:r>
                </w:p>
                <w:p w14:paraId="21E97192" w14:textId="77777777" w:rsidR="00DA56F4" w:rsidRPr="006905D3" w:rsidRDefault="00DA56F4" w:rsidP="00DA56F4">
                  <w:pPr>
                    <w:pStyle w:val="Default"/>
                  </w:pPr>
                  <w:r w:rsidRPr="006905D3">
                    <w:t xml:space="preserve">ASC Purchasing </w:t>
                  </w:r>
                </w:p>
                <w:p w14:paraId="13B6C58F" w14:textId="77777777" w:rsidR="00DA56F4" w:rsidRPr="006905D3" w:rsidRDefault="00DA56F4" w:rsidP="00DA56F4">
                  <w:pPr>
                    <w:pStyle w:val="Default"/>
                  </w:pPr>
                  <w:r w:rsidRPr="006905D3">
                    <w:t xml:space="preserve">Cheylesmore House, </w:t>
                  </w:r>
                </w:p>
                <w:p w14:paraId="65C5B86B" w14:textId="77777777" w:rsidR="00DA56F4" w:rsidRPr="006905D3" w:rsidRDefault="00DA56F4" w:rsidP="00DA56F4">
                  <w:pPr>
                    <w:pStyle w:val="Default"/>
                  </w:pPr>
                  <w:r w:rsidRPr="006905D3">
                    <w:t xml:space="preserve">Quinton Road </w:t>
                  </w:r>
                </w:p>
                <w:p w14:paraId="6D40C6EC" w14:textId="77777777" w:rsidR="00DA56F4" w:rsidRPr="006905D3" w:rsidRDefault="00DA56F4" w:rsidP="00DA56F4">
                  <w:pPr>
                    <w:pStyle w:val="Default"/>
                  </w:pPr>
                  <w:r w:rsidRPr="006905D3">
                    <w:t xml:space="preserve">Coventry, CV1 2WT </w:t>
                  </w:r>
                </w:p>
                <w:p w14:paraId="691C34B5" w14:textId="77777777" w:rsidR="00DA56F4" w:rsidRPr="006905D3" w:rsidRDefault="00DA56F4" w:rsidP="00DA56F4">
                  <w:pPr>
                    <w:pStyle w:val="Default"/>
                  </w:pPr>
                  <w:r w:rsidRPr="006905D3">
                    <w:t xml:space="preserve">AccountingServices-SFA@sfa.bis.gov.uk </w:t>
                  </w:r>
                </w:p>
              </w:tc>
              <w:tc>
                <w:tcPr>
                  <w:tcW w:w="4830" w:type="dxa"/>
                </w:tcPr>
                <w:p w14:paraId="7A1EF006" w14:textId="77777777" w:rsidR="00DA56F4" w:rsidRPr="006905D3" w:rsidRDefault="00DA56F4" w:rsidP="00DA56F4">
                  <w:r w:rsidRPr="006905D3">
                    <w:rPr>
                      <w:sz w:val="18"/>
                      <w:szCs w:val="18"/>
                    </w:rPr>
                    <w:t xml:space="preserve"> </w:t>
                  </w:r>
                </w:p>
              </w:tc>
            </w:tr>
          </w:tbl>
          <w:p w14:paraId="217D739D" w14:textId="5EC6703C" w:rsidR="00DA56F4" w:rsidRDefault="00DA56F4" w:rsidP="00DA56F4">
            <w:pPr>
              <w:keepNext/>
              <w:spacing w:before="60" w:after="60"/>
              <w:jc w:val="left"/>
              <w:rPr>
                <w:rFonts w:ascii="Arial" w:eastAsia="Arial" w:hAnsi="Arial" w:cs="Arial"/>
              </w:rPr>
            </w:pPr>
          </w:p>
        </w:tc>
      </w:tr>
      <w:tr w:rsidR="00DA56F4"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7404B670" w:rsidR="00DA56F4" w:rsidRDefault="00DD11D0" w:rsidP="00DA56F4">
            <w:pPr>
              <w:keepNext/>
              <w:spacing w:before="60" w:after="60"/>
              <w:jc w:val="left"/>
              <w:rPr>
                <w:rFonts w:ascii="Arial" w:eastAsia="Arial" w:hAnsi="Arial" w:cs="Arial"/>
              </w:rPr>
            </w:pPr>
            <w:r>
              <w:rPr>
                <w:rFonts w:ascii="Arial" w:eastAsia="Arial" w:hAnsi="Arial" w:cs="Arial"/>
                <w:sz w:val="24"/>
                <w:szCs w:val="24"/>
              </w:rPr>
              <w:t>PO Number will be required for each invoice, this will relate to individual SoW.</w:t>
            </w:r>
            <w:r w:rsidR="00DA56F4">
              <w:rPr>
                <w:rFonts w:ascii="Arial" w:eastAsia="Arial" w:hAnsi="Arial" w:cs="Arial"/>
                <w:sz w:val="24"/>
                <w:szCs w:val="24"/>
              </w:rPr>
              <w:t xml:space="preserve"> </w:t>
            </w:r>
          </w:p>
        </w:tc>
      </w:tr>
      <w:tr w:rsidR="00DA56F4"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3D7D055" w:rsidR="00DA56F4" w:rsidRDefault="00DA56F4" w:rsidP="00DA56F4">
            <w:pPr>
              <w:keepNext/>
              <w:spacing w:before="60" w:after="60"/>
              <w:jc w:val="left"/>
              <w:rPr>
                <w:rFonts w:ascii="Arial" w:eastAsia="Arial" w:hAnsi="Arial" w:cs="Arial"/>
              </w:rPr>
            </w:pPr>
            <w:r w:rsidRPr="00660DB9">
              <w:rPr>
                <w:rFonts w:ascii="Arial" w:eastAsia="Arial" w:hAnsi="Arial" w:cs="Arial"/>
                <w:sz w:val="24"/>
                <w:szCs w:val="24"/>
              </w:rPr>
              <w:t>Monthly in arrears</w:t>
            </w:r>
          </w:p>
        </w:tc>
      </w:tr>
      <w:tr w:rsidR="00DA56F4"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DA56F4" w:rsidRDefault="00DA56F4" w:rsidP="00DA56F4">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7E13A087" w:rsidR="00DD11D0" w:rsidRDefault="00CF7391" w:rsidP="00DA56F4">
            <w:pPr>
              <w:keepNext/>
              <w:spacing w:before="60" w:after="60"/>
              <w:jc w:val="left"/>
              <w:rPr>
                <w:rFonts w:ascii="Arial" w:eastAsia="Arial" w:hAnsi="Arial" w:cs="Arial"/>
              </w:rPr>
            </w:pPr>
            <w:r>
              <w:rPr>
                <w:rFonts w:ascii="Arial" w:eastAsia="Arial" w:hAnsi="Arial" w:cs="Arial"/>
              </w:rPr>
              <w:t>Up to a maximum value of £3.9m</w:t>
            </w:r>
          </w:p>
        </w:tc>
      </w:tr>
    </w:tbl>
    <w:p w14:paraId="4DBC043E" w14:textId="77777777" w:rsidR="005A5CBC" w:rsidRDefault="005A5CBC">
      <w:pPr>
        <w:spacing w:after="120"/>
        <w:rPr>
          <w:rFonts w:ascii="Arial" w:eastAsia="Arial" w:hAnsi="Arial" w:cs="Arial"/>
        </w:rPr>
      </w:pPr>
    </w:p>
    <w:p w14:paraId="40FBA7CC" w14:textId="0E296EC8" w:rsidR="005A5CBC" w:rsidRDefault="00720B67">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sidR="00DD11D0">
        <w:rPr>
          <w:rFonts w:ascii="Arial" w:eastAsia="Arial" w:hAnsi="Arial" w:cs="Arial"/>
          <w:b/>
          <w:sz w:val="24"/>
          <w:szCs w:val="24"/>
        </w:rPr>
        <w:t>:</w:t>
      </w:r>
    </w:p>
    <w:p w14:paraId="1F88ADF6" w14:textId="77777777" w:rsidR="00DD11D0" w:rsidRDefault="00DD11D0">
      <w:pPr>
        <w:spacing w:after="120"/>
        <w:rPr>
          <w:rFonts w:ascii="Arial" w:eastAsia="Arial" w:hAnsi="Arial" w:cs="Arial"/>
          <w:b/>
          <w:sz w:val="24"/>
          <w:szCs w:val="24"/>
        </w:rPr>
      </w:pPr>
    </w:p>
    <w:tbl>
      <w:tblPr>
        <w:tblW w:w="8060" w:type="dxa"/>
        <w:tblLook w:val="04A0" w:firstRow="1" w:lastRow="0" w:firstColumn="1" w:lastColumn="0" w:noHBand="0" w:noVBand="1"/>
      </w:tblPr>
      <w:tblGrid>
        <w:gridCol w:w="3180"/>
        <w:gridCol w:w="2960"/>
        <w:gridCol w:w="1297"/>
        <w:gridCol w:w="1297"/>
      </w:tblGrid>
      <w:tr w:rsidR="00066013" w:rsidRPr="00A1253B" w14:paraId="6B8DBF9B" w14:textId="77777777" w:rsidTr="008469E1">
        <w:trPr>
          <w:trHeight w:val="300"/>
        </w:trPr>
        <w:tc>
          <w:tcPr>
            <w:tcW w:w="8060"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04091596" w14:textId="3F00685C" w:rsidR="00066013" w:rsidRPr="00A1253B" w:rsidRDefault="00066013" w:rsidP="00066013">
            <w:pPr>
              <w:jc w:val="center"/>
              <w:rPr>
                <w:rFonts w:ascii="Arial" w:eastAsia="Times New Roman" w:hAnsi="Arial" w:cs="Arial"/>
                <w:b/>
                <w:bCs/>
                <w:color w:val="000000"/>
                <w:sz w:val="22"/>
                <w:szCs w:val="22"/>
              </w:rPr>
            </w:pPr>
            <w:r w:rsidRPr="003538E8">
              <w:rPr>
                <w:rFonts w:ascii="Arial" w:eastAsia="Arial" w:hAnsi="Arial" w:cs="Arial"/>
                <w:b/>
                <w:bCs/>
                <w:sz w:val="24"/>
                <w:szCs w:val="24"/>
              </w:rPr>
              <w:t>Redacted</w:t>
            </w:r>
          </w:p>
        </w:tc>
      </w:tr>
      <w:tr w:rsidR="00066013" w:rsidRPr="00A1253B" w14:paraId="419B6CFB" w14:textId="77777777" w:rsidTr="00066013">
        <w:trPr>
          <w:trHeight w:val="600"/>
        </w:trPr>
        <w:tc>
          <w:tcPr>
            <w:tcW w:w="3180" w:type="dxa"/>
            <w:tcBorders>
              <w:top w:val="nil"/>
              <w:left w:val="single" w:sz="4" w:space="0" w:color="auto"/>
              <w:bottom w:val="single" w:sz="4" w:space="0" w:color="auto"/>
              <w:right w:val="single" w:sz="4" w:space="0" w:color="auto"/>
            </w:tcBorders>
            <w:shd w:val="clear" w:color="000000" w:fill="D9D9D9"/>
            <w:noWrap/>
            <w:hideMark/>
          </w:tcPr>
          <w:p w14:paraId="37FC8C47" w14:textId="40AE81F0" w:rsidR="00066013" w:rsidRPr="00A1253B" w:rsidRDefault="00066013" w:rsidP="00066013">
            <w:pPr>
              <w:jc w:val="left"/>
              <w:rPr>
                <w:rFonts w:ascii="Calibri" w:eastAsia="Times New Roman" w:hAnsi="Calibri" w:cs="Calibri"/>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000000" w:fill="D9D9D9"/>
            <w:hideMark/>
          </w:tcPr>
          <w:p w14:paraId="6E9E5A14" w14:textId="0AFABD0B" w:rsidR="00066013" w:rsidRPr="00A1253B" w:rsidRDefault="00066013" w:rsidP="00066013">
            <w:pPr>
              <w:jc w:val="center"/>
              <w:rPr>
                <w:rFonts w:ascii="Arial" w:eastAsia="Times New Roman" w:hAnsi="Arial" w:cs="Arial"/>
                <w:b/>
                <w:bCs/>
                <w:color w:val="000000"/>
                <w:sz w:val="22"/>
                <w:szCs w:val="22"/>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000000" w:fill="D9D9D9"/>
            <w:hideMark/>
          </w:tcPr>
          <w:p w14:paraId="4BF2ACBF" w14:textId="7A8CF65D" w:rsidR="00066013" w:rsidRPr="00A1253B" w:rsidRDefault="00066013" w:rsidP="00066013">
            <w:pPr>
              <w:jc w:val="center"/>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000000" w:fill="D9D9D9"/>
            <w:hideMark/>
          </w:tcPr>
          <w:p w14:paraId="37DA026A" w14:textId="04171F51" w:rsidR="00066013" w:rsidRPr="00A1253B" w:rsidRDefault="00066013" w:rsidP="00066013">
            <w:pPr>
              <w:jc w:val="center"/>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r>
      <w:tr w:rsidR="00066013" w:rsidRPr="00A1253B" w14:paraId="7833AE63" w14:textId="77777777" w:rsidTr="00066013">
        <w:trPr>
          <w:trHeight w:val="300"/>
        </w:trPr>
        <w:tc>
          <w:tcPr>
            <w:tcW w:w="3180" w:type="dxa"/>
            <w:tcBorders>
              <w:top w:val="nil"/>
              <w:left w:val="single" w:sz="4" w:space="0" w:color="auto"/>
              <w:bottom w:val="single" w:sz="4" w:space="0" w:color="auto"/>
              <w:right w:val="single" w:sz="4" w:space="0" w:color="auto"/>
            </w:tcBorders>
            <w:shd w:val="clear" w:color="auto" w:fill="auto"/>
            <w:hideMark/>
          </w:tcPr>
          <w:p w14:paraId="02B0B62C" w14:textId="19EA5EE1" w:rsidR="00066013" w:rsidRPr="00A1253B" w:rsidRDefault="00066013" w:rsidP="00066013">
            <w:pPr>
              <w:jc w:val="left"/>
              <w:rPr>
                <w:rFonts w:ascii="Arial" w:eastAsia="Times New Roman" w:hAnsi="Arial" w:cs="Arial"/>
                <w:b/>
                <w:bCs/>
                <w:color w:val="000000"/>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hideMark/>
          </w:tcPr>
          <w:p w14:paraId="5049796B" w14:textId="4E68DF59" w:rsidR="00066013" w:rsidRPr="00A1253B" w:rsidRDefault="00066013" w:rsidP="00066013">
            <w:pPr>
              <w:jc w:val="left"/>
              <w:rPr>
                <w:rFonts w:ascii="Arial" w:eastAsia="Times New Roman" w:hAnsi="Arial" w:cs="Arial"/>
                <w:b/>
                <w:bCs/>
                <w:color w:val="000000"/>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2DC3E9FF" w14:textId="47D1F3E1" w:rsidR="00066013" w:rsidRPr="00A1253B" w:rsidRDefault="00066013" w:rsidP="00066013">
            <w:pPr>
              <w:jc w:val="center"/>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4FF4AA3C" w14:textId="0CFD9958" w:rsidR="00066013" w:rsidRPr="00A1253B" w:rsidRDefault="00066013" w:rsidP="00066013">
            <w:pPr>
              <w:jc w:val="center"/>
              <w:rPr>
                <w:rFonts w:ascii="Arial" w:eastAsia="Times New Roman" w:hAnsi="Arial" w:cs="Arial"/>
                <w:color w:val="000000"/>
                <w:sz w:val="22"/>
                <w:szCs w:val="22"/>
              </w:rPr>
            </w:pPr>
            <w:r w:rsidRPr="003538E8">
              <w:rPr>
                <w:rFonts w:ascii="Arial" w:eastAsia="Arial" w:hAnsi="Arial" w:cs="Arial"/>
                <w:b/>
                <w:bCs/>
                <w:sz w:val="24"/>
                <w:szCs w:val="24"/>
              </w:rPr>
              <w:t>Redacted</w:t>
            </w:r>
          </w:p>
        </w:tc>
      </w:tr>
      <w:tr w:rsidR="00066013" w:rsidRPr="00A1253B" w14:paraId="21FAE3F5" w14:textId="77777777" w:rsidTr="00066013">
        <w:trPr>
          <w:trHeight w:val="300"/>
        </w:trPr>
        <w:tc>
          <w:tcPr>
            <w:tcW w:w="3180" w:type="dxa"/>
            <w:tcBorders>
              <w:top w:val="nil"/>
              <w:left w:val="single" w:sz="4" w:space="0" w:color="auto"/>
              <w:bottom w:val="single" w:sz="4" w:space="0" w:color="auto"/>
              <w:right w:val="single" w:sz="4" w:space="0" w:color="auto"/>
            </w:tcBorders>
            <w:shd w:val="clear" w:color="auto" w:fill="auto"/>
            <w:noWrap/>
            <w:hideMark/>
          </w:tcPr>
          <w:p w14:paraId="71B61010" w14:textId="62C1E232" w:rsidR="00066013" w:rsidRPr="00A1253B" w:rsidRDefault="00066013" w:rsidP="00066013">
            <w:pPr>
              <w:jc w:val="left"/>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noWrap/>
            <w:hideMark/>
          </w:tcPr>
          <w:p w14:paraId="709318A4" w14:textId="32FEE42F" w:rsidR="00066013" w:rsidRPr="00A1253B" w:rsidRDefault="00066013" w:rsidP="00066013">
            <w:pPr>
              <w:jc w:val="left"/>
              <w:rPr>
                <w:rFonts w:ascii="Calibri" w:eastAsia="Times New Roman" w:hAnsi="Calibri" w:cs="Calibri"/>
                <w:color w:val="0563C1"/>
                <w:sz w:val="22"/>
                <w:szCs w:val="22"/>
                <w:u w:val="single"/>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56253BE5" w14:textId="18D7B4A7"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6D77A4D1" w14:textId="5D3B76C0"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r>
      <w:tr w:rsidR="00066013" w:rsidRPr="00A1253B" w14:paraId="38BD5802" w14:textId="77777777" w:rsidTr="00066013">
        <w:trPr>
          <w:trHeight w:val="300"/>
        </w:trPr>
        <w:tc>
          <w:tcPr>
            <w:tcW w:w="3180" w:type="dxa"/>
            <w:tcBorders>
              <w:top w:val="nil"/>
              <w:left w:val="single" w:sz="4" w:space="0" w:color="auto"/>
              <w:bottom w:val="single" w:sz="4" w:space="0" w:color="auto"/>
              <w:right w:val="single" w:sz="4" w:space="0" w:color="auto"/>
            </w:tcBorders>
            <w:shd w:val="clear" w:color="auto" w:fill="auto"/>
            <w:noWrap/>
            <w:hideMark/>
          </w:tcPr>
          <w:p w14:paraId="3107F590" w14:textId="4405517B" w:rsidR="00066013" w:rsidRPr="00A1253B" w:rsidRDefault="00066013" w:rsidP="00066013">
            <w:pPr>
              <w:jc w:val="left"/>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noWrap/>
            <w:hideMark/>
          </w:tcPr>
          <w:p w14:paraId="19645AB3" w14:textId="3AEA4CD8" w:rsidR="00066013" w:rsidRPr="00A1253B" w:rsidRDefault="00066013" w:rsidP="00066013">
            <w:pPr>
              <w:jc w:val="left"/>
              <w:rPr>
                <w:rFonts w:ascii="Calibri" w:eastAsia="Times New Roman" w:hAnsi="Calibri" w:cs="Calibri"/>
                <w:color w:val="0563C1"/>
                <w:sz w:val="22"/>
                <w:szCs w:val="22"/>
                <w:u w:val="single"/>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39F84025" w14:textId="1F2A5D0A"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03C1B159" w14:textId="4E643097"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r>
      <w:tr w:rsidR="00066013" w:rsidRPr="00A1253B" w14:paraId="067B8526" w14:textId="77777777" w:rsidTr="00066013">
        <w:trPr>
          <w:trHeight w:val="300"/>
        </w:trPr>
        <w:tc>
          <w:tcPr>
            <w:tcW w:w="3180" w:type="dxa"/>
            <w:tcBorders>
              <w:top w:val="nil"/>
              <w:left w:val="single" w:sz="4" w:space="0" w:color="auto"/>
              <w:bottom w:val="single" w:sz="4" w:space="0" w:color="auto"/>
              <w:right w:val="single" w:sz="4" w:space="0" w:color="auto"/>
            </w:tcBorders>
            <w:shd w:val="clear" w:color="auto" w:fill="auto"/>
            <w:noWrap/>
            <w:hideMark/>
          </w:tcPr>
          <w:p w14:paraId="52E612CD" w14:textId="5F865792" w:rsidR="00066013" w:rsidRPr="00A1253B" w:rsidRDefault="00066013" w:rsidP="00066013">
            <w:pPr>
              <w:jc w:val="left"/>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noWrap/>
            <w:hideMark/>
          </w:tcPr>
          <w:p w14:paraId="5F6C26A6" w14:textId="1E020DBD" w:rsidR="00066013" w:rsidRPr="00A1253B" w:rsidRDefault="00066013" w:rsidP="00066013">
            <w:pPr>
              <w:jc w:val="left"/>
              <w:rPr>
                <w:rFonts w:ascii="Calibri" w:eastAsia="Times New Roman" w:hAnsi="Calibri" w:cs="Calibri"/>
                <w:color w:val="0563C1"/>
                <w:sz w:val="22"/>
                <w:szCs w:val="22"/>
                <w:u w:val="single"/>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5313A8E3" w14:textId="2C5E73DB"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3442EC99" w14:textId="111DAADF"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r>
      <w:tr w:rsidR="00066013" w:rsidRPr="00A1253B" w14:paraId="52CFF2D6" w14:textId="77777777" w:rsidTr="00066013">
        <w:trPr>
          <w:trHeight w:val="300"/>
        </w:trPr>
        <w:tc>
          <w:tcPr>
            <w:tcW w:w="3180" w:type="dxa"/>
            <w:tcBorders>
              <w:top w:val="nil"/>
              <w:left w:val="single" w:sz="4" w:space="0" w:color="auto"/>
              <w:bottom w:val="single" w:sz="4" w:space="0" w:color="auto"/>
              <w:right w:val="single" w:sz="4" w:space="0" w:color="auto"/>
            </w:tcBorders>
            <w:shd w:val="clear" w:color="auto" w:fill="auto"/>
            <w:noWrap/>
            <w:hideMark/>
          </w:tcPr>
          <w:p w14:paraId="4BAFB4EE" w14:textId="3B30AFF5" w:rsidR="00066013" w:rsidRPr="00A1253B" w:rsidRDefault="00066013" w:rsidP="00066013">
            <w:pPr>
              <w:jc w:val="left"/>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noWrap/>
            <w:hideMark/>
          </w:tcPr>
          <w:p w14:paraId="2EBCFC28" w14:textId="5A1D44D4" w:rsidR="00066013" w:rsidRPr="00A1253B" w:rsidRDefault="00066013" w:rsidP="00066013">
            <w:pPr>
              <w:jc w:val="left"/>
              <w:rPr>
                <w:rFonts w:ascii="Calibri" w:eastAsia="Times New Roman" w:hAnsi="Calibri" w:cs="Calibri"/>
                <w:color w:val="0563C1"/>
                <w:sz w:val="22"/>
                <w:szCs w:val="22"/>
                <w:u w:val="single"/>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23226160" w14:textId="1C3951DD"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78FE675A" w14:textId="0106E2BD"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r>
      <w:tr w:rsidR="00066013" w:rsidRPr="00A1253B" w14:paraId="0B698CA6" w14:textId="77777777" w:rsidTr="00066013">
        <w:trPr>
          <w:trHeight w:val="345"/>
        </w:trPr>
        <w:tc>
          <w:tcPr>
            <w:tcW w:w="3180" w:type="dxa"/>
            <w:tcBorders>
              <w:top w:val="nil"/>
              <w:left w:val="single" w:sz="4" w:space="0" w:color="auto"/>
              <w:bottom w:val="single" w:sz="4" w:space="0" w:color="auto"/>
              <w:right w:val="single" w:sz="4" w:space="0" w:color="auto"/>
            </w:tcBorders>
            <w:shd w:val="clear" w:color="auto" w:fill="auto"/>
            <w:noWrap/>
            <w:hideMark/>
          </w:tcPr>
          <w:p w14:paraId="0EA3E16C" w14:textId="4FB94CA5" w:rsidR="00066013" w:rsidRPr="00A1253B" w:rsidRDefault="00066013" w:rsidP="00066013">
            <w:pPr>
              <w:jc w:val="left"/>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noWrap/>
            <w:hideMark/>
          </w:tcPr>
          <w:p w14:paraId="400BB25E" w14:textId="33D71848" w:rsidR="00066013" w:rsidRPr="00A1253B" w:rsidRDefault="00066013" w:rsidP="00066013">
            <w:pPr>
              <w:jc w:val="left"/>
              <w:rPr>
                <w:rFonts w:ascii="Calibri" w:eastAsia="Times New Roman" w:hAnsi="Calibri" w:cs="Calibri"/>
                <w:color w:val="0563C1"/>
                <w:sz w:val="22"/>
                <w:szCs w:val="22"/>
                <w:u w:val="single"/>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1BC69A97" w14:textId="3362D0D4"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2D254F8D" w14:textId="13635644"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r>
      <w:tr w:rsidR="00066013" w:rsidRPr="00A1253B" w14:paraId="3503B370" w14:textId="77777777" w:rsidTr="00066013">
        <w:trPr>
          <w:trHeight w:val="345"/>
        </w:trPr>
        <w:tc>
          <w:tcPr>
            <w:tcW w:w="3180" w:type="dxa"/>
            <w:tcBorders>
              <w:top w:val="nil"/>
              <w:left w:val="single" w:sz="4" w:space="0" w:color="auto"/>
              <w:bottom w:val="single" w:sz="4" w:space="0" w:color="auto"/>
              <w:right w:val="single" w:sz="4" w:space="0" w:color="auto"/>
            </w:tcBorders>
            <w:shd w:val="clear" w:color="auto" w:fill="auto"/>
            <w:noWrap/>
            <w:hideMark/>
          </w:tcPr>
          <w:p w14:paraId="6B456729" w14:textId="260AD405" w:rsidR="00066013" w:rsidRPr="00A1253B" w:rsidRDefault="00066013" w:rsidP="00066013">
            <w:pPr>
              <w:jc w:val="left"/>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noWrap/>
            <w:hideMark/>
          </w:tcPr>
          <w:p w14:paraId="60938C33" w14:textId="5B33B2B9" w:rsidR="00066013" w:rsidRPr="00A1253B" w:rsidRDefault="00066013" w:rsidP="00066013">
            <w:pPr>
              <w:jc w:val="left"/>
              <w:rPr>
                <w:rFonts w:ascii="Calibri" w:eastAsia="Times New Roman" w:hAnsi="Calibri" w:cs="Calibri"/>
                <w:color w:val="0563C1"/>
                <w:sz w:val="22"/>
                <w:szCs w:val="22"/>
                <w:u w:val="single"/>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1776678E" w14:textId="14168F17"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346F830F" w14:textId="151BA547"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r>
      <w:tr w:rsidR="00066013" w:rsidRPr="00A1253B" w14:paraId="244F7B96" w14:textId="77777777" w:rsidTr="00066013">
        <w:trPr>
          <w:trHeight w:val="300"/>
        </w:trPr>
        <w:tc>
          <w:tcPr>
            <w:tcW w:w="3180" w:type="dxa"/>
            <w:tcBorders>
              <w:top w:val="nil"/>
              <w:left w:val="single" w:sz="4" w:space="0" w:color="auto"/>
              <w:bottom w:val="single" w:sz="4" w:space="0" w:color="auto"/>
              <w:right w:val="single" w:sz="4" w:space="0" w:color="auto"/>
            </w:tcBorders>
            <w:shd w:val="clear" w:color="auto" w:fill="auto"/>
            <w:noWrap/>
            <w:hideMark/>
          </w:tcPr>
          <w:p w14:paraId="6A07931F" w14:textId="7886F91A" w:rsidR="00066013" w:rsidRPr="00A1253B" w:rsidRDefault="00066013" w:rsidP="00066013">
            <w:pPr>
              <w:jc w:val="left"/>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noWrap/>
            <w:hideMark/>
          </w:tcPr>
          <w:p w14:paraId="3FA3F862" w14:textId="16FFD499" w:rsidR="00066013" w:rsidRPr="00A1253B" w:rsidRDefault="00066013" w:rsidP="00066013">
            <w:pPr>
              <w:jc w:val="left"/>
              <w:rPr>
                <w:rFonts w:ascii="Calibri" w:eastAsia="Times New Roman" w:hAnsi="Calibri" w:cs="Calibri"/>
                <w:color w:val="0563C1"/>
                <w:sz w:val="22"/>
                <w:szCs w:val="22"/>
                <w:u w:val="single"/>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107CA591" w14:textId="74A62B7A"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18E8569D" w14:textId="7F073BFC"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r>
      <w:tr w:rsidR="00066013" w:rsidRPr="00A1253B" w14:paraId="1BD97173" w14:textId="77777777" w:rsidTr="00066013">
        <w:trPr>
          <w:trHeight w:val="300"/>
        </w:trPr>
        <w:tc>
          <w:tcPr>
            <w:tcW w:w="3180" w:type="dxa"/>
            <w:tcBorders>
              <w:top w:val="nil"/>
              <w:left w:val="single" w:sz="4" w:space="0" w:color="auto"/>
              <w:bottom w:val="single" w:sz="4" w:space="0" w:color="auto"/>
              <w:right w:val="single" w:sz="4" w:space="0" w:color="auto"/>
            </w:tcBorders>
            <w:shd w:val="clear" w:color="auto" w:fill="auto"/>
            <w:noWrap/>
            <w:hideMark/>
          </w:tcPr>
          <w:p w14:paraId="1844E5F6" w14:textId="0137E281" w:rsidR="00066013" w:rsidRPr="00A1253B" w:rsidRDefault="00066013" w:rsidP="00066013">
            <w:pPr>
              <w:jc w:val="left"/>
              <w:rPr>
                <w:rFonts w:ascii="Calibri" w:eastAsia="Times New Roman" w:hAnsi="Calibri" w:cs="Calibri"/>
                <w:b/>
                <w:bCs/>
                <w:color w:val="000000"/>
                <w:sz w:val="22"/>
                <w:szCs w:val="22"/>
              </w:rPr>
            </w:pPr>
            <w:r w:rsidRPr="003538E8">
              <w:rPr>
                <w:rFonts w:ascii="Arial" w:eastAsia="Arial" w:hAnsi="Arial" w:cs="Arial"/>
                <w:b/>
                <w:bCs/>
                <w:sz w:val="24"/>
                <w:szCs w:val="24"/>
              </w:rPr>
              <w:t>Redacted</w:t>
            </w:r>
          </w:p>
        </w:tc>
        <w:tc>
          <w:tcPr>
            <w:tcW w:w="2960" w:type="dxa"/>
            <w:tcBorders>
              <w:top w:val="nil"/>
              <w:left w:val="nil"/>
              <w:bottom w:val="single" w:sz="4" w:space="0" w:color="auto"/>
              <w:right w:val="single" w:sz="4" w:space="0" w:color="auto"/>
            </w:tcBorders>
            <w:shd w:val="clear" w:color="auto" w:fill="auto"/>
            <w:noWrap/>
            <w:hideMark/>
          </w:tcPr>
          <w:p w14:paraId="2636D840" w14:textId="5BD1FBE9" w:rsidR="00066013" w:rsidRPr="00A1253B" w:rsidRDefault="00066013" w:rsidP="00066013">
            <w:pPr>
              <w:jc w:val="left"/>
              <w:rPr>
                <w:rFonts w:ascii="Calibri" w:eastAsia="Times New Roman" w:hAnsi="Calibri" w:cs="Calibri"/>
                <w:color w:val="0563C1"/>
                <w:sz w:val="22"/>
                <w:szCs w:val="22"/>
                <w:u w:val="single"/>
              </w:rPr>
            </w:pPr>
            <w:r w:rsidRPr="003538E8">
              <w:rPr>
                <w:rFonts w:ascii="Arial" w:eastAsia="Arial" w:hAnsi="Arial" w:cs="Arial"/>
                <w:b/>
                <w:bCs/>
                <w:sz w:val="24"/>
                <w:szCs w:val="24"/>
              </w:rPr>
              <w:t>Redacted</w:t>
            </w:r>
          </w:p>
        </w:tc>
        <w:tc>
          <w:tcPr>
            <w:tcW w:w="926" w:type="dxa"/>
            <w:tcBorders>
              <w:top w:val="nil"/>
              <w:left w:val="nil"/>
              <w:bottom w:val="single" w:sz="4" w:space="0" w:color="auto"/>
              <w:right w:val="single" w:sz="4" w:space="0" w:color="auto"/>
            </w:tcBorders>
            <w:shd w:val="clear" w:color="auto" w:fill="auto"/>
            <w:hideMark/>
          </w:tcPr>
          <w:p w14:paraId="2112C679" w14:textId="739E4ED6"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c>
          <w:tcPr>
            <w:tcW w:w="994" w:type="dxa"/>
            <w:tcBorders>
              <w:top w:val="nil"/>
              <w:left w:val="nil"/>
              <w:bottom w:val="single" w:sz="4" w:space="0" w:color="auto"/>
              <w:right w:val="single" w:sz="4" w:space="0" w:color="auto"/>
            </w:tcBorders>
            <w:shd w:val="clear" w:color="auto" w:fill="auto"/>
            <w:hideMark/>
          </w:tcPr>
          <w:p w14:paraId="6854E4C6" w14:textId="1FB44B76" w:rsidR="00066013" w:rsidRPr="00A1253B" w:rsidRDefault="00066013" w:rsidP="00066013">
            <w:pPr>
              <w:jc w:val="right"/>
              <w:rPr>
                <w:rFonts w:ascii="Arial" w:eastAsia="Times New Roman" w:hAnsi="Arial" w:cs="Arial"/>
                <w:color w:val="000000"/>
                <w:sz w:val="22"/>
                <w:szCs w:val="22"/>
              </w:rPr>
            </w:pPr>
            <w:r w:rsidRPr="003538E8">
              <w:rPr>
                <w:rFonts w:ascii="Arial" w:eastAsia="Arial" w:hAnsi="Arial" w:cs="Arial"/>
                <w:b/>
                <w:bCs/>
                <w:sz w:val="24"/>
                <w:szCs w:val="24"/>
              </w:rPr>
              <w:t>Redacted</w:t>
            </w:r>
          </w:p>
        </w:tc>
      </w:tr>
    </w:tbl>
    <w:p w14:paraId="597B3253" w14:textId="4F87EB65" w:rsidR="00785A6C" w:rsidRDefault="00785A6C">
      <w:pPr>
        <w:spacing w:after="120"/>
        <w:rPr>
          <w:rFonts w:ascii="Arial" w:eastAsia="Arial" w:hAnsi="Arial" w:cs="Arial"/>
        </w:rPr>
      </w:pPr>
    </w:p>
    <w:p w14:paraId="2C5E6F2A" w14:textId="1160F543" w:rsidR="00CF4177" w:rsidRDefault="00CF4177">
      <w:pPr>
        <w:spacing w:after="120"/>
        <w:rPr>
          <w:rFonts w:ascii="Arial" w:eastAsia="Arial" w:hAnsi="Arial" w:cs="Arial"/>
        </w:rPr>
      </w:pPr>
    </w:p>
    <w:p w14:paraId="4FADC03D" w14:textId="0A73CF77" w:rsidR="00CF4177" w:rsidRDefault="00CF4177">
      <w:pPr>
        <w:spacing w:after="120"/>
        <w:rPr>
          <w:rFonts w:ascii="Arial" w:eastAsia="Arial" w:hAnsi="Arial" w:cs="Arial"/>
        </w:rPr>
      </w:pPr>
    </w:p>
    <w:p w14:paraId="17EABB09" w14:textId="5330E598" w:rsidR="00CF4177" w:rsidRDefault="00CF4177">
      <w:pPr>
        <w:spacing w:after="120"/>
        <w:rPr>
          <w:rFonts w:ascii="Arial" w:eastAsia="Arial" w:hAnsi="Arial" w:cs="Arial"/>
        </w:rPr>
      </w:pPr>
    </w:p>
    <w:p w14:paraId="15E4D608" w14:textId="7B94F7CE" w:rsidR="00CF4177" w:rsidRDefault="00CF4177">
      <w:pPr>
        <w:spacing w:after="120"/>
        <w:rPr>
          <w:rFonts w:ascii="Arial" w:eastAsia="Arial" w:hAnsi="Arial" w:cs="Arial"/>
        </w:rPr>
      </w:pPr>
    </w:p>
    <w:p w14:paraId="1CF39B64" w14:textId="1FF43E67" w:rsidR="00CF4177" w:rsidRDefault="00CF4177">
      <w:pPr>
        <w:spacing w:after="120"/>
        <w:rPr>
          <w:rFonts w:ascii="Arial" w:eastAsia="Arial" w:hAnsi="Arial" w:cs="Arial"/>
        </w:rPr>
      </w:pPr>
    </w:p>
    <w:p w14:paraId="780ACB95" w14:textId="292BCD6F" w:rsidR="00CF4177" w:rsidRDefault="00CF4177">
      <w:pPr>
        <w:spacing w:after="120"/>
        <w:rPr>
          <w:rFonts w:ascii="Arial" w:eastAsia="Arial" w:hAnsi="Arial" w:cs="Arial"/>
        </w:rPr>
      </w:pPr>
    </w:p>
    <w:p w14:paraId="1074DB04" w14:textId="3B90A511" w:rsidR="00CF4177" w:rsidRDefault="00CF4177">
      <w:pPr>
        <w:spacing w:after="120"/>
        <w:rPr>
          <w:rFonts w:ascii="Arial" w:eastAsia="Arial" w:hAnsi="Arial" w:cs="Arial"/>
        </w:rPr>
      </w:pPr>
    </w:p>
    <w:p w14:paraId="3719567E" w14:textId="77777777" w:rsidR="00CF4177" w:rsidRDefault="00CF4177">
      <w:pPr>
        <w:spacing w:after="120"/>
        <w:rPr>
          <w:rFonts w:ascii="Arial" w:eastAsia="Arial" w:hAnsi="Arial" w:cs="Arial"/>
        </w:rPr>
      </w:pPr>
    </w:p>
    <w:p w14:paraId="373BB030" w14:textId="77777777" w:rsidR="00785A6C" w:rsidRDefault="00785A6C">
      <w:pPr>
        <w:spacing w:after="120"/>
        <w:rPr>
          <w:rFonts w:ascii="Arial" w:eastAsia="Arial" w:hAnsi="Arial" w:cs="Arial"/>
        </w:rPr>
      </w:pP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39E97CA" w14:textId="0175793E" w:rsidR="005A5CBC" w:rsidRPr="00720B67" w:rsidRDefault="00DC3AE8">
            <w:pPr>
              <w:spacing w:before="60" w:after="60"/>
              <w:ind w:right="-231"/>
              <w:rPr>
                <w:rFonts w:ascii="Arial" w:eastAsia="Arial" w:hAnsi="Arial" w:cs="Arial"/>
                <w:sz w:val="24"/>
                <w:szCs w:val="24"/>
              </w:rPr>
            </w:pPr>
            <w:r>
              <w:rPr>
                <w:rFonts w:ascii="Arial" w:eastAsia="Arial" w:hAnsi="Arial" w:cs="Arial"/>
                <w:sz w:val="24"/>
                <w:szCs w:val="24"/>
              </w:rPr>
              <w:t>N/A</w:t>
            </w:r>
            <w:r w:rsidR="00720B67" w:rsidRPr="00720B67">
              <w:rPr>
                <w:rFonts w:ascii="Arial" w:eastAsia="Arial" w:hAnsi="Arial" w:cs="Arial"/>
                <w:sz w:val="24"/>
                <w:szCs w:val="24"/>
              </w:rPr>
              <w:t xml:space="preserve"> </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4054DE9A" w14:textId="12B8F83F" w:rsidR="005A5CBC" w:rsidRDefault="00DD11D0">
            <w:pPr>
              <w:keepNext/>
              <w:spacing w:before="60" w:after="60"/>
              <w:ind w:left="30"/>
              <w:jc w:val="left"/>
              <w:rPr>
                <w:rFonts w:ascii="Arial" w:eastAsia="Arial" w:hAnsi="Arial" w:cs="Arial"/>
                <w:sz w:val="24"/>
                <w:szCs w:val="24"/>
              </w:rPr>
            </w:pPr>
            <w:r>
              <w:rPr>
                <w:rFonts w:ascii="Arial" w:eastAsia="Arial" w:hAnsi="Arial" w:cs="Arial"/>
                <w:sz w:val="24"/>
                <w:szCs w:val="24"/>
              </w:rPr>
              <w:t>All Travel and Subsistence (T&amp;S) must be in alignment with DFE T&amp;S Policy.</w:t>
            </w:r>
          </w:p>
          <w:p w14:paraId="298F82BB" w14:textId="77777777" w:rsidR="00DD11D0" w:rsidRDefault="00DD11D0">
            <w:pPr>
              <w:keepNext/>
              <w:spacing w:before="60" w:after="60"/>
              <w:ind w:left="30"/>
              <w:jc w:val="left"/>
              <w:rPr>
                <w:rFonts w:ascii="Arial" w:eastAsia="Arial" w:hAnsi="Arial" w:cs="Arial"/>
                <w:sz w:val="24"/>
                <w:szCs w:val="24"/>
              </w:rPr>
            </w:pPr>
            <w:r>
              <w:rPr>
                <w:rFonts w:ascii="Arial" w:eastAsia="Arial" w:hAnsi="Arial" w:cs="Arial"/>
                <w:sz w:val="24"/>
                <w:szCs w:val="24"/>
              </w:rPr>
              <w:t>Travel to and from the Primary Location will be met from the day rate. The primary location will be stipulated in each SoW.</w:t>
            </w:r>
          </w:p>
          <w:p w14:paraId="281425A3" w14:textId="2DC4F7E3" w:rsidR="00DD11D0" w:rsidRPr="00720B67" w:rsidRDefault="00DD11D0">
            <w:pPr>
              <w:keepNext/>
              <w:spacing w:before="60" w:after="60"/>
              <w:ind w:left="30"/>
              <w:jc w:val="left"/>
              <w:rPr>
                <w:rFonts w:ascii="Arial" w:eastAsia="Arial" w:hAnsi="Arial" w:cs="Arial"/>
                <w:sz w:val="24"/>
                <w:szCs w:val="24"/>
              </w:rPr>
            </w:pPr>
          </w:p>
        </w:tc>
      </w:tr>
      <w:tr w:rsidR="005A5CBC" w14:paraId="22DC5C35" w14:textId="77777777" w:rsidTr="00DB45B2">
        <w:trPr>
          <w:trHeight w:val="6108"/>
        </w:trPr>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6A2A5E36" w14:textId="75648ADC" w:rsidR="001B68F9" w:rsidRPr="00B206F0" w:rsidRDefault="0003500C" w:rsidP="001B68F9">
            <w:pPr>
              <w:keepNext/>
              <w:spacing w:before="60" w:after="60"/>
              <w:jc w:val="left"/>
              <w:rPr>
                <w:rFonts w:ascii="Arial" w:eastAsia="Arial" w:hAnsi="Arial" w:cs="Arial"/>
                <w:sz w:val="24"/>
                <w:szCs w:val="24"/>
                <w:u w:val="single"/>
              </w:rPr>
            </w:pPr>
            <w:r w:rsidRPr="00B206F0">
              <w:rPr>
                <w:rFonts w:ascii="Arial" w:eastAsia="Arial" w:hAnsi="Arial" w:cs="Arial"/>
                <w:sz w:val="24"/>
                <w:szCs w:val="24"/>
                <w:u w:val="single"/>
              </w:rPr>
              <w:t xml:space="preserve">DOS4 </w:t>
            </w:r>
            <w:r w:rsidR="00B206F0" w:rsidRPr="00B206F0">
              <w:rPr>
                <w:rFonts w:ascii="Arial" w:eastAsia="Arial" w:hAnsi="Arial" w:cs="Arial"/>
                <w:sz w:val="24"/>
                <w:szCs w:val="24"/>
                <w:u w:val="single"/>
              </w:rPr>
              <w:t>Security Clauses</w:t>
            </w:r>
          </w:p>
          <w:p w14:paraId="2D302285" w14:textId="77777777" w:rsidR="00B206F0" w:rsidRPr="001B68F9" w:rsidRDefault="00B206F0" w:rsidP="001B68F9">
            <w:pPr>
              <w:keepNext/>
              <w:spacing w:before="60" w:after="60"/>
              <w:jc w:val="left"/>
              <w:rPr>
                <w:rFonts w:ascii="Arial" w:eastAsia="Arial" w:hAnsi="Arial" w:cs="Arial"/>
                <w:sz w:val="24"/>
                <w:szCs w:val="24"/>
              </w:rPr>
            </w:pPr>
          </w:p>
          <w:p w14:paraId="766D381F" w14:textId="77777777" w:rsidR="001B68F9" w:rsidRPr="001B68F9" w:rsidRDefault="001B68F9" w:rsidP="001B68F9">
            <w:pPr>
              <w:keepNext/>
              <w:spacing w:before="60" w:after="60"/>
              <w:jc w:val="left"/>
              <w:rPr>
                <w:rFonts w:ascii="Arial" w:eastAsia="Arial" w:hAnsi="Arial" w:cs="Arial"/>
                <w:sz w:val="24"/>
                <w:szCs w:val="24"/>
              </w:rPr>
            </w:pPr>
            <w:r w:rsidRPr="001B68F9">
              <w:rPr>
                <w:rFonts w:ascii="Arial" w:eastAsia="Arial" w:hAnsi="Arial" w:cs="Arial"/>
                <w:sz w:val="24"/>
                <w:szCs w:val="24"/>
              </w:rPr>
              <w:t>Clause 1</w:t>
            </w:r>
          </w:p>
          <w:p w14:paraId="570EFCCA" w14:textId="77777777" w:rsidR="001B68F9" w:rsidRPr="001B68F9" w:rsidRDefault="001B68F9" w:rsidP="001B68F9">
            <w:pPr>
              <w:keepNext/>
              <w:spacing w:before="60" w:after="60"/>
              <w:jc w:val="left"/>
              <w:rPr>
                <w:rFonts w:ascii="Arial" w:eastAsia="Arial" w:hAnsi="Arial" w:cs="Arial"/>
                <w:sz w:val="24"/>
                <w:szCs w:val="24"/>
              </w:rPr>
            </w:pPr>
          </w:p>
          <w:p w14:paraId="7504B137" w14:textId="77777777" w:rsidR="001B68F9" w:rsidRPr="001B68F9" w:rsidRDefault="001B68F9" w:rsidP="001B68F9">
            <w:pPr>
              <w:keepNext/>
              <w:spacing w:before="60" w:after="60"/>
              <w:jc w:val="left"/>
              <w:rPr>
                <w:rFonts w:ascii="Arial" w:eastAsia="Arial" w:hAnsi="Arial" w:cs="Arial"/>
                <w:sz w:val="24"/>
                <w:szCs w:val="24"/>
              </w:rPr>
            </w:pPr>
            <w:r w:rsidRPr="001B68F9">
              <w:rPr>
                <w:rFonts w:ascii="Arial" w:eastAsia="Arial" w:hAnsi="Arial" w:cs="Arial"/>
                <w:sz w:val="24"/>
                <w:szCs w:val="24"/>
              </w:rPr>
              <w:t>The Supplier shall ensure that no Supplier Staff who discloses that they have a Relevant Conviction, or who is found to have any Relevant Convictions (whether as a result of a police check or through the vetting procedure of HMG Baseline Personnel Security Standard or through the Disclosure and Barring Service (DBS) or otherwise), is employed or engaged in any part of the provision of the Services without the prior written approval of the Buyer. Subject to the Data Protection Legislation, the Supplier shall disclose the results of their vetting process, immediately to the Buyer. The decision as to whether any of the Supplier’s Staff are allowed to perform activities in relation to the Call Off Contract, is entirely at the Buyer’s sole discretion</w:t>
            </w:r>
          </w:p>
          <w:p w14:paraId="500F7108" w14:textId="77777777" w:rsidR="001B68F9" w:rsidRPr="001B68F9" w:rsidRDefault="001B68F9" w:rsidP="001B68F9">
            <w:pPr>
              <w:keepNext/>
              <w:spacing w:before="60" w:after="60"/>
              <w:jc w:val="left"/>
              <w:rPr>
                <w:rFonts w:ascii="Arial" w:eastAsia="Arial" w:hAnsi="Arial" w:cs="Arial"/>
                <w:sz w:val="24"/>
                <w:szCs w:val="24"/>
              </w:rPr>
            </w:pPr>
          </w:p>
          <w:p w14:paraId="7B702907" w14:textId="77777777" w:rsidR="001B68F9" w:rsidRPr="001B68F9" w:rsidRDefault="001B68F9" w:rsidP="001B68F9">
            <w:pPr>
              <w:keepNext/>
              <w:spacing w:before="60" w:after="60"/>
              <w:jc w:val="left"/>
              <w:rPr>
                <w:rFonts w:ascii="Arial" w:eastAsia="Arial" w:hAnsi="Arial" w:cs="Arial"/>
                <w:sz w:val="24"/>
                <w:szCs w:val="24"/>
              </w:rPr>
            </w:pPr>
            <w:r w:rsidRPr="001B68F9">
              <w:rPr>
                <w:rFonts w:ascii="Arial" w:eastAsia="Arial" w:hAnsi="Arial" w:cs="Arial"/>
                <w:sz w:val="24"/>
                <w:szCs w:val="24"/>
              </w:rPr>
              <w:t>Clause 2</w:t>
            </w:r>
          </w:p>
          <w:p w14:paraId="18E2EBAE" w14:textId="77777777" w:rsidR="001B68F9" w:rsidRPr="001B68F9" w:rsidRDefault="001B68F9" w:rsidP="001B68F9">
            <w:pPr>
              <w:keepNext/>
              <w:spacing w:before="60" w:after="60"/>
              <w:jc w:val="left"/>
              <w:rPr>
                <w:rFonts w:ascii="Arial" w:eastAsia="Arial" w:hAnsi="Arial" w:cs="Arial"/>
                <w:sz w:val="24"/>
                <w:szCs w:val="24"/>
              </w:rPr>
            </w:pPr>
          </w:p>
          <w:p w14:paraId="547828AF" w14:textId="77777777" w:rsidR="001B68F9" w:rsidRPr="001B68F9" w:rsidRDefault="001B68F9" w:rsidP="001B68F9">
            <w:pPr>
              <w:keepNext/>
              <w:spacing w:before="60" w:after="60"/>
              <w:jc w:val="left"/>
              <w:rPr>
                <w:rFonts w:ascii="Arial" w:eastAsia="Arial" w:hAnsi="Arial" w:cs="Arial"/>
                <w:sz w:val="24"/>
                <w:szCs w:val="24"/>
              </w:rPr>
            </w:pPr>
            <w:r w:rsidRPr="001B68F9">
              <w:rPr>
                <w:rFonts w:ascii="Arial" w:eastAsia="Arial" w:hAnsi="Arial" w:cs="Arial"/>
                <w:sz w:val="24"/>
                <w:szCs w:val="24"/>
              </w:rPr>
              <w:t xml:space="preserve">The Supplier shall be required to undertake annual periodic checks during the Call Off Contract Period of its Staff, in accordance with HMG Baseline Personnel Security Standard so as to determine the Supplier Staff suitability to continue to provide Services under the Call Off Contract. The Supplier shall </w:t>
            </w:r>
            <w:r w:rsidRPr="001B68F9">
              <w:rPr>
                <w:rFonts w:ascii="Arial" w:eastAsia="Arial" w:hAnsi="Arial" w:cs="Arial"/>
                <w:sz w:val="24"/>
                <w:szCs w:val="24"/>
              </w:rPr>
              <w:lastRenderedPageBreak/>
              <w:t>ensure that any Supplier Staff who discloses a Relevant Conviction (either spent or unspent), or is found by the Supplier to have a Relevant Conviction through standard national vetting procedures or otherwise, is immediately disclosed to the Buyer. The Supplier shall ensure that the individual staff member immediately ceases all activity in relation to the Call Off Contract, until the Buyer has reviewed the case, on an individual basis, and has made a final decision.</w:t>
            </w:r>
          </w:p>
          <w:p w14:paraId="20BD9D70" w14:textId="77777777" w:rsidR="001B68F9" w:rsidRPr="001B68F9" w:rsidRDefault="001B68F9" w:rsidP="001B68F9">
            <w:pPr>
              <w:keepNext/>
              <w:spacing w:before="60" w:after="60"/>
              <w:jc w:val="left"/>
              <w:rPr>
                <w:rFonts w:ascii="Arial" w:eastAsia="Arial" w:hAnsi="Arial" w:cs="Arial"/>
                <w:sz w:val="24"/>
                <w:szCs w:val="24"/>
              </w:rPr>
            </w:pPr>
          </w:p>
          <w:p w14:paraId="254D9FB1" w14:textId="77777777" w:rsidR="001B68F9" w:rsidRPr="001B68F9" w:rsidRDefault="001B68F9" w:rsidP="001B68F9">
            <w:pPr>
              <w:keepNext/>
              <w:spacing w:before="60" w:after="60"/>
              <w:jc w:val="left"/>
              <w:rPr>
                <w:rFonts w:ascii="Arial" w:eastAsia="Arial" w:hAnsi="Arial" w:cs="Arial"/>
                <w:sz w:val="24"/>
                <w:szCs w:val="24"/>
              </w:rPr>
            </w:pPr>
            <w:r w:rsidRPr="001B68F9">
              <w:rPr>
                <w:rFonts w:ascii="Arial" w:eastAsia="Arial" w:hAnsi="Arial" w:cs="Arial"/>
                <w:sz w:val="24"/>
                <w:szCs w:val="24"/>
              </w:rPr>
              <w:t>Clause 3</w:t>
            </w:r>
          </w:p>
          <w:p w14:paraId="2DF40026" w14:textId="77777777" w:rsidR="001B68F9" w:rsidRPr="001B68F9" w:rsidRDefault="001B68F9" w:rsidP="001B68F9">
            <w:pPr>
              <w:keepNext/>
              <w:spacing w:before="60" w:after="60"/>
              <w:jc w:val="left"/>
              <w:rPr>
                <w:rFonts w:ascii="Arial" w:eastAsia="Arial" w:hAnsi="Arial" w:cs="Arial"/>
                <w:sz w:val="24"/>
                <w:szCs w:val="24"/>
              </w:rPr>
            </w:pPr>
          </w:p>
          <w:p w14:paraId="6DC931EF" w14:textId="77777777" w:rsidR="007C69D9" w:rsidRDefault="001B68F9" w:rsidP="001B68F9">
            <w:pPr>
              <w:keepNext/>
              <w:spacing w:before="60" w:after="60"/>
              <w:jc w:val="left"/>
              <w:rPr>
                <w:rFonts w:ascii="Arial" w:eastAsia="Arial" w:hAnsi="Arial" w:cs="Arial"/>
                <w:sz w:val="24"/>
                <w:szCs w:val="24"/>
              </w:rPr>
            </w:pPr>
            <w:r w:rsidRPr="001B68F9">
              <w:rPr>
                <w:rFonts w:ascii="Arial" w:eastAsia="Arial" w:hAnsi="Arial" w:cs="Arial"/>
                <w:sz w:val="24"/>
                <w:szCs w:val="24"/>
              </w:rPr>
              <w:t>Where the Buyer decides that a Supplier Staff should be removed from performing activities, as a result of obtaining information referred to in clause 1 and/or 2 above in relation to the Call Off Contract, the Supplier shall promptly and diligently replace any individual identified. The Supplier shall ensure that any replacement staff will meet the provision set out in clause 2.1 of the Call off Contract.”</w:t>
            </w:r>
          </w:p>
          <w:p w14:paraId="02F1E6F4" w14:textId="77777777" w:rsidR="00E94A7A" w:rsidRDefault="00E94A7A" w:rsidP="001B68F9">
            <w:pPr>
              <w:keepNext/>
              <w:spacing w:before="60" w:after="60"/>
              <w:jc w:val="left"/>
              <w:rPr>
                <w:rFonts w:ascii="Arial" w:eastAsia="Arial" w:hAnsi="Arial" w:cs="Arial"/>
                <w:sz w:val="24"/>
                <w:szCs w:val="24"/>
              </w:rPr>
            </w:pPr>
          </w:p>
          <w:p w14:paraId="28EB5D11" w14:textId="250A24D2" w:rsidR="00E94A7A" w:rsidRDefault="00E94A7A" w:rsidP="00E94A7A">
            <w:pPr>
              <w:pStyle w:val="paragraph"/>
              <w:spacing w:before="0" w:beforeAutospacing="0" w:after="0" w:afterAutospacing="0"/>
              <w:textAlignment w:val="baseline"/>
              <w:rPr>
                <w:rStyle w:val="eop"/>
                <w:rFonts w:ascii="Arial" w:hAnsi="Arial" w:cs="Arial"/>
              </w:rPr>
            </w:pPr>
            <w:r>
              <w:rPr>
                <w:rStyle w:val="normaltextrun"/>
                <w:rFonts w:ascii="Arial" w:hAnsi="Arial" w:cs="Arial"/>
                <w:u w:val="single"/>
              </w:rPr>
              <w:t>Onboarding</w:t>
            </w:r>
            <w:r>
              <w:rPr>
                <w:rStyle w:val="eop"/>
                <w:rFonts w:ascii="Arial" w:hAnsi="Arial" w:cs="Arial"/>
              </w:rPr>
              <w:t> </w:t>
            </w:r>
          </w:p>
          <w:p w14:paraId="11334FCD" w14:textId="77777777" w:rsidR="00E94A7A" w:rsidRDefault="00E94A7A" w:rsidP="00E94A7A">
            <w:pPr>
              <w:pStyle w:val="paragraph"/>
              <w:spacing w:before="0" w:beforeAutospacing="0" w:after="0" w:afterAutospacing="0"/>
              <w:ind w:left="30"/>
              <w:textAlignment w:val="baseline"/>
              <w:rPr>
                <w:rFonts w:ascii="Segoe UI" w:hAnsi="Segoe UI" w:cs="Segoe UI"/>
                <w:sz w:val="18"/>
                <w:szCs w:val="18"/>
              </w:rPr>
            </w:pPr>
          </w:p>
          <w:p w14:paraId="685E1E87" w14:textId="77777777" w:rsidR="00E94A7A" w:rsidRDefault="00E94A7A" w:rsidP="00E94A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latest start date will be outlined in each individual statement of work. </w:t>
            </w:r>
            <w:r>
              <w:rPr>
                <w:rStyle w:val="eop"/>
                <w:rFonts w:ascii="Arial" w:hAnsi="Arial" w:cs="Arial"/>
              </w:rPr>
              <w:t> </w:t>
            </w:r>
          </w:p>
          <w:p w14:paraId="7DC61A93" w14:textId="77777777" w:rsidR="00E94A7A" w:rsidRDefault="00E94A7A" w:rsidP="00E94A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Except for in exceptional circumstances, and as agreed with the buyer, onboarding will take place within 10 working days of a statement of work being signed.</w:t>
            </w:r>
            <w:r>
              <w:rPr>
                <w:rStyle w:val="eop"/>
                <w:rFonts w:ascii="Arial" w:hAnsi="Arial" w:cs="Arial"/>
              </w:rPr>
              <w:t> </w:t>
            </w:r>
          </w:p>
          <w:p w14:paraId="0B64534D" w14:textId="5A8D89F2" w:rsidR="00E94A7A" w:rsidRPr="00720B67" w:rsidRDefault="00E94A7A" w:rsidP="001B68F9">
            <w:pPr>
              <w:keepNext/>
              <w:spacing w:before="60" w:after="60"/>
              <w:jc w:val="left"/>
              <w:rPr>
                <w:rFonts w:ascii="Arial" w:eastAsia="Arial" w:hAnsi="Arial" w:cs="Arial"/>
                <w:sz w:val="24"/>
                <w:szCs w:val="24"/>
              </w:rPr>
            </w:pP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Specific terms:</w:t>
            </w:r>
          </w:p>
        </w:tc>
        <w:tc>
          <w:tcPr>
            <w:tcW w:w="6968" w:type="dxa"/>
            <w:shd w:val="clear" w:color="auto" w:fill="auto"/>
            <w:tcMar>
              <w:top w:w="100" w:type="dxa"/>
              <w:left w:w="100" w:type="dxa"/>
              <w:bottom w:w="100" w:type="dxa"/>
              <w:right w:w="100" w:type="dxa"/>
            </w:tcMar>
          </w:tcPr>
          <w:p w14:paraId="3993D232" w14:textId="08B357BA" w:rsidR="005A5CBC" w:rsidRPr="00720B67" w:rsidRDefault="007C69D9">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7972EADD" w14:textId="2915890B" w:rsidR="005A5CBC" w:rsidRDefault="005A5CBC">
      <w:pPr>
        <w:spacing w:before="60" w:after="60"/>
        <w:rPr>
          <w:rFonts w:ascii="Arial" w:eastAsia="Arial" w:hAnsi="Arial" w:cs="Arial"/>
        </w:rPr>
      </w:pPr>
    </w:p>
    <w:p w14:paraId="3A372F55" w14:textId="721F9C87" w:rsidR="00375319" w:rsidRDefault="00375319">
      <w:pPr>
        <w:spacing w:before="60" w:after="60"/>
        <w:rPr>
          <w:rFonts w:ascii="Arial" w:eastAsia="Arial" w:hAnsi="Arial" w:cs="Arial"/>
        </w:rPr>
      </w:pPr>
    </w:p>
    <w:p w14:paraId="41C4E047" w14:textId="38DCD9BD" w:rsidR="00375319" w:rsidRDefault="00375319">
      <w:pPr>
        <w:spacing w:before="60" w:after="60"/>
        <w:rPr>
          <w:rFonts w:ascii="Arial" w:eastAsia="Arial" w:hAnsi="Arial" w:cs="Arial"/>
        </w:rPr>
      </w:pPr>
    </w:p>
    <w:p w14:paraId="0B99E840" w14:textId="77777777" w:rsidR="00375319" w:rsidRDefault="00375319">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 xml:space="preserve">In accordance with the Further Competition procedure set out in Section 3 of the Framework Agreement, this Call-Off Contract will be formed when the Buyer </w:t>
            </w:r>
            <w:r>
              <w:rPr>
                <w:rFonts w:ascii="Arial" w:eastAsia="Arial" w:hAnsi="Arial" w:cs="Arial"/>
                <w:sz w:val="24"/>
                <w:szCs w:val="24"/>
              </w:rPr>
              <w:lastRenderedPageBreak/>
              <w:t>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5D4E82F1" w:rsidR="005A5CBC" w:rsidRDefault="00F27226">
            <w:pPr>
              <w:keepNext/>
              <w:spacing w:before="60" w:after="60"/>
              <w:jc w:val="left"/>
              <w:rPr>
                <w:rFonts w:ascii="Arial" w:eastAsia="Arial" w:hAnsi="Arial" w:cs="Arial"/>
              </w:rPr>
            </w:pPr>
            <w:r w:rsidRPr="00085F4C">
              <w:rPr>
                <w:rFonts w:ascii="Arial" w:eastAsia="Arial" w:hAnsi="Arial" w:cs="Arial"/>
                <w:b/>
                <w:bCs/>
                <w:sz w:val="24"/>
                <w:szCs w:val="24"/>
              </w:rPr>
              <w:t>Redacted</w:t>
            </w:r>
          </w:p>
        </w:tc>
        <w:tc>
          <w:tcPr>
            <w:tcW w:w="4200" w:type="dxa"/>
          </w:tcPr>
          <w:p w14:paraId="2BA7DB42" w14:textId="316A9940" w:rsidR="005A5CBC" w:rsidRDefault="00F27226">
            <w:pPr>
              <w:keepNext/>
              <w:spacing w:before="60" w:after="60"/>
              <w:jc w:val="left"/>
              <w:rPr>
                <w:rFonts w:ascii="Arial" w:eastAsia="Arial" w:hAnsi="Arial" w:cs="Arial"/>
              </w:rPr>
            </w:pPr>
            <w:r w:rsidRPr="00085F4C">
              <w:rPr>
                <w:rFonts w:ascii="Arial" w:eastAsia="Arial" w:hAnsi="Arial" w:cs="Arial"/>
                <w:b/>
                <w:bCs/>
                <w:sz w:val="24"/>
                <w:szCs w:val="24"/>
              </w:rPr>
              <w:t>Redacted</w:t>
            </w: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111945DE" w:rsidR="005A5CBC" w:rsidRDefault="00F27226">
            <w:pPr>
              <w:keepNext/>
              <w:spacing w:before="60" w:after="60"/>
              <w:jc w:val="left"/>
              <w:rPr>
                <w:rFonts w:ascii="Arial" w:eastAsia="Arial" w:hAnsi="Arial" w:cs="Arial"/>
              </w:rPr>
            </w:pPr>
            <w:r w:rsidRPr="00085F4C">
              <w:rPr>
                <w:rFonts w:ascii="Arial" w:eastAsia="Arial" w:hAnsi="Arial" w:cs="Arial"/>
                <w:b/>
                <w:bCs/>
                <w:sz w:val="24"/>
                <w:szCs w:val="24"/>
              </w:rPr>
              <w:t>Redacted</w:t>
            </w:r>
          </w:p>
        </w:tc>
        <w:tc>
          <w:tcPr>
            <w:tcW w:w="4200" w:type="dxa"/>
          </w:tcPr>
          <w:p w14:paraId="0C44C530" w14:textId="7A32D835" w:rsidR="005A5CBC" w:rsidRDefault="00F27226">
            <w:pPr>
              <w:keepNext/>
              <w:spacing w:before="60" w:after="60"/>
              <w:jc w:val="left"/>
              <w:rPr>
                <w:rFonts w:ascii="Arial" w:eastAsia="Arial" w:hAnsi="Arial" w:cs="Arial"/>
              </w:rPr>
            </w:pPr>
            <w:r w:rsidRPr="00085F4C">
              <w:rPr>
                <w:rFonts w:ascii="Arial" w:eastAsia="Arial" w:hAnsi="Arial" w:cs="Arial"/>
                <w:b/>
                <w:bCs/>
                <w:sz w:val="24"/>
                <w:szCs w:val="24"/>
              </w:rPr>
              <w:t>Redacted</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5763C5E" w:rsidR="005A5CBC" w:rsidRDefault="00F27226">
            <w:pPr>
              <w:spacing w:before="60" w:after="60"/>
              <w:rPr>
                <w:rFonts w:ascii="Arial" w:eastAsia="Arial" w:hAnsi="Arial" w:cs="Arial"/>
              </w:rPr>
            </w:pPr>
            <w:r w:rsidRPr="00085F4C">
              <w:rPr>
                <w:rFonts w:ascii="Arial" w:eastAsia="Arial" w:hAnsi="Arial" w:cs="Arial"/>
                <w:b/>
                <w:bCs/>
                <w:sz w:val="24"/>
                <w:szCs w:val="24"/>
              </w:rPr>
              <w:t>Redacted</w:t>
            </w:r>
          </w:p>
        </w:tc>
        <w:tc>
          <w:tcPr>
            <w:tcW w:w="4200" w:type="dxa"/>
          </w:tcPr>
          <w:p w14:paraId="563FF16D" w14:textId="53F6E51F" w:rsidR="005A5CBC" w:rsidRDefault="00F27226">
            <w:pPr>
              <w:spacing w:before="60" w:after="60"/>
              <w:rPr>
                <w:rFonts w:ascii="Arial" w:eastAsia="Arial" w:hAnsi="Arial" w:cs="Arial"/>
              </w:rPr>
            </w:pPr>
            <w:r w:rsidRPr="00085F4C">
              <w:rPr>
                <w:rFonts w:ascii="Arial" w:eastAsia="Arial" w:hAnsi="Arial" w:cs="Arial"/>
                <w:b/>
                <w:bCs/>
                <w:sz w:val="24"/>
                <w:szCs w:val="24"/>
              </w:rPr>
              <w:t>Redacted</w:t>
            </w: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1D0B8EDD" w:rsidR="005A5CBC" w:rsidRDefault="00F27226">
            <w:pPr>
              <w:spacing w:before="60" w:after="60"/>
              <w:rPr>
                <w:rFonts w:ascii="Arial" w:eastAsia="Arial" w:hAnsi="Arial" w:cs="Arial"/>
              </w:rPr>
            </w:pPr>
            <w:r w:rsidRPr="00085F4C">
              <w:rPr>
                <w:rFonts w:ascii="Arial" w:eastAsia="Arial" w:hAnsi="Arial" w:cs="Arial"/>
                <w:b/>
                <w:bCs/>
                <w:sz w:val="24"/>
                <w:szCs w:val="24"/>
              </w:rPr>
              <w:t>Redacted</w:t>
            </w:r>
          </w:p>
        </w:tc>
        <w:tc>
          <w:tcPr>
            <w:tcW w:w="4200" w:type="dxa"/>
          </w:tcPr>
          <w:p w14:paraId="67B36A6A" w14:textId="41C0C395" w:rsidR="005A5CBC" w:rsidRDefault="00F27226">
            <w:pPr>
              <w:spacing w:before="60" w:after="60"/>
              <w:rPr>
                <w:rFonts w:ascii="Arial" w:eastAsia="Arial" w:hAnsi="Arial" w:cs="Arial"/>
              </w:rPr>
            </w:pPr>
            <w:r w:rsidRPr="00085F4C">
              <w:rPr>
                <w:rFonts w:ascii="Arial" w:eastAsia="Arial" w:hAnsi="Arial" w:cs="Arial"/>
                <w:b/>
                <w:bCs/>
                <w:sz w:val="24"/>
                <w:szCs w:val="24"/>
              </w:rPr>
              <w:t>Redacted</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45899E04" w14:textId="738205BF" w:rsidR="005A5CBC" w:rsidRDefault="00720B67">
      <w:pPr>
        <w:pStyle w:val="Heading2"/>
        <w:rPr>
          <w:rFonts w:ascii="Arial" w:eastAsia="Arial" w:hAnsi="Arial" w:cs="Arial"/>
        </w:rPr>
      </w:pPr>
      <w:r>
        <w:br w:type="page"/>
      </w:r>
      <w:bookmarkStart w:id="6" w:name="_1t3h5sf" w:colFirst="0" w:colLast="0"/>
      <w:bookmarkStart w:id="7" w:name="_4d34og8" w:colFirst="0" w:colLast="0"/>
      <w:bookmarkEnd w:id="6"/>
      <w:bookmarkEnd w:id="7"/>
      <w:r>
        <w:rPr>
          <w:rFonts w:ascii="Arial" w:eastAsia="Arial" w:hAnsi="Arial" w:cs="Arial"/>
        </w:rPr>
        <w:lastRenderedPageBreak/>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lastRenderedPageBreak/>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The Buyer will notify the Supplier in writing of the IPR Claim made against the Buyer and the Buyer will not make any admissions which may be prejudicial to the defence or settlement of the IPR Claim. The Supplier will at its own expense conduct all </w:t>
      </w:r>
      <w:r>
        <w:rPr>
          <w:rFonts w:ascii="Arial" w:eastAsia="Arial" w:hAnsi="Arial" w:cs="Arial"/>
          <w:sz w:val="24"/>
          <w:szCs w:val="24"/>
          <w:highlight w:val="white"/>
        </w:rPr>
        <w:lastRenderedPageBreak/>
        <w:t>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to any body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Subprocessor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5" w:name="_28h4qwu" w:colFirst="0" w:colLast="0"/>
      <w:bookmarkEnd w:id="55"/>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7" w:name="_37m2jsg" w:colFirst="0" w:colLast="0"/>
      <w:bookmarkEnd w:id="57"/>
    </w:p>
    <w:p w14:paraId="2A3443F5"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7D72A275"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4" w:name="_4k668n3" w:colFirst="0" w:colLast="0"/>
      <w:bookmarkEnd w:id="64"/>
    </w:p>
    <w:p w14:paraId="7CD3CDFC"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04A544F9"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38F70EDC"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1">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969F268"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6" w:name="_25b2l0r" w:colFirst="0" w:colLast="0"/>
      <w:bookmarkEnd w:id="76"/>
    </w:p>
    <w:p w14:paraId="292D5F05"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8" w:name="_34g0dwd" w:colFirst="0" w:colLast="0"/>
      <w:bookmarkEnd w:id="78"/>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3" w:name="_3hv69ve" w:colFirst="0" w:colLast="0"/>
      <w:bookmarkEnd w:id="83"/>
    </w:p>
    <w:p w14:paraId="7A31D8D6"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0E88F37F"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7" w:name="_1baon6m" w:colFirst="0" w:colLast="0"/>
      <w:bookmarkEnd w:id="87"/>
    </w:p>
    <w:p w14:paraId="7C2D4048"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89" w:name="_2afmg28" w:colFirst="0" w:colLast="0"/>
      <w:bookmarkEnd w:id="89"/>
    </w:p>
    <w:p w14:paraId="240C0B61"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1" w:name="_39kk8xu" w:colFirst="0" w:colLast="0"/>
      <w:bookmarkEnd w:id="91"/>
    </w:p>
    <w:p w14:paraId="10D753B9"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3" w:name="_48pi1tg" w:colFirst="0" w:colLast="0"/>
      <w:bookmarkEnd w:id="93"/>
    </w:p>
    <w:p w14:paraId="1ACA68FE"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5" w:name="_1302m92" w:colFirst="0" w:colLast="0"/>
      <w:bookmarkEnd w:id="95"/>
    </w:p>
    <w:p w14:paraId="1964C6B4"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7" w:name="_2250f4o" w:colFirst="0" w:colLast="0"/>
      <w:bookmarkEnd w:id="97"/>
    </w:p>
    <w:p w14:paraId="22DA4A13"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2" w:name="_2fk6b3p" w:colFirst="0" w:colLast="0"/>
      <w:bookmarkEnd w:id="102"/>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4E203B02"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w:t>
      </w:r>
      <w:r>
        <w:rPr>
          <w:rFonts w:ascii="Arial" w:eastAsia="Arial" w:hAnsi="Arial" w:cs="Arial"/>
          <w:sz w:val="24"/>
          <w:szCs w:val="24"/>
          <w:highlight w:val="white"/>
        </w:rPr>
        <w:lastRenderedPageBreak/>
        <w:t>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3" w:name="_1ljsd9k" w:colFirst="0" w:colLast="0"/>
      <w:bookmarkEnd w:id="113"/>
    </w:p>
    <w:p w14:paraId="4EE54914" w14:textId="1C018E04"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w:t>
      </w:r>
      <w:r>
        <w:rPr>
          <w:rFonts w:ascii="Arial" w:eastAsia="Arial" w:hAnsi="Arial" w:cs="Arial"/>
          <w:sz w:val="24"/>
          <w:szCs w:val="24"/>
        </w:rPr>
        <w:lastRenderedPageBreak/>
        <w:t xml:space="preserve">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8" w:name="_1yyy98l" w:colFirst="0" w:colLast="0"/>
      <w:bookmarkEnd w:id="118"/>
    </w:p>
    <w:p w14:paraId="7CDC7802"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F863E9F"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3" w:name="_2ce457m" w:colFirst="0" w:colLast="0"/>
      <w:bookmarkEnd w:id="123"/>
    </w:p>
    <w:p w14:paraId="0CEB0FFD"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5" w:name="_3bj1y38" w:colFirst="0" w:colLast="0"/>
      <w:bookmarkEnd w:id="125"/>
    </w:p>
    <w:p w14:paraId="611504A0"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7EAF6A8D"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3F4A025A"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2" w:name="_j8sehv" w:colFirst="0" w:colLast="0"/>
      <w:bookmarkEnd w:id="132"/>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lastRenderedPageBreak/>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w:t>
            </w:r>
            <w:r w:rsidRPr="005D3FFE">
              <w:rPr>
                <w:rFonts w:ascii="Arial" w:eastAsia="Arial" w:hAnsi="Arial" w:cs="Arial"/>
                <w:sz w:val="24"/>
                <w:szCs w:val="24"/>
                <w:highlight w:val="white"/>
              </w:rPr>
              <w:lastRenderedPageBreak/>
              <w:t xml:space="preserve">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E94A7A" w14:paraId="09711A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57A1A6" w14:textId="0D311CDF" w:rsidR="00E94A7A" w:rsidRDefault="003A5940">
            <w:pPr>
              <w:widowControl w:val="0"/>
              <w:ind w:left="170"/>
              <w:jc w:val="left"/>
              <w:rPr>
                <w:rFonts w:ascii="Arial" w:eastAsia="Arial" w:hAnsi="Arial" w:cs="Arial"/>
                <w:b/>
                <w:sz w:val="24"/>
                <w:szCs w:val="24"/>
              </w:rPr>
            </w:pPr>
            <w:r w:rsidRPr="003A5940">
              <w:rPr>
                <w:rFonts w:ascii="Arial" w:eastAsia="Arial" w:hAnsi="Arial" w:cs="Arial"/>
                <w:b/>
                <w:sz w:val="24"/>
                <w:szCs w:val="24"/>
              </w:rPr>
              <w:t>“Conviction”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E15B1C" w14:textId="252A4AE4" w:rsidR="00E94A7A" w:rsidRDefault="00E65DBA">
            <w:pPr>
              <w:widowControl w:val="0"/>
              <w:ind w:left="30"/>
              <w:jc w:val="left"/>
              <w:rPr>
                <w:rFonts w:ascii="Arial" w:eastAsia="Arial" w:hAnsi="Arial" w:cs="Arial"/>
                <w:color w:val="000000"/>
                <w:sz w:val="24"/>
                <w:szCs w:val="24"/>
              </w:rPr>
            </w:pPr>
            <w:r w:rsidRPr="00E65DBA">
              <w:rPr>
                <w:rFonts w:eastAsia="Arial"/>
                <w:sz w:val="24"/>
                <w:szCs w:val="24"/>
                <w:highlight w:val="white"/>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tc>
      </w:tr>
      <w:tr w:rsidR="005A5CBC" w14:paraId="334BEFE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 xml:space="preserve">An assessment by the Controller of the impact of the envisaged processing on the protection of Personal </w:t>
            </w:r>
            <w:r>
              <w:rPr>
                <w:rFonts w:ascii="Arial" w:eastAsia="Arial" w:hAnsi="Arial" w:cs="Arial"/>
                <w:color w:val="000000"/>
                <w:sz w:val="24"/>
                <w:szCs w:val="24"/>
              </w:rPr>
              <w:lastRenderedPageBreak/>
              <w:t>Data.</w:t>
            </w:r>
          </w:p>
        </w:tc>
      </w:tr>
      <w:tr w:rsidR="005A5CBC" w14:paraId="6C6DAA2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lastRenderedPageBreak/>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2">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Supplier’s hardware, computer and telecoms devices, plant, materials and such other items supplied and used by the Supplier (but not hired, leased or </w:t>
            </w:r>
            <w:r>
              <w:rPr>
                <w:rFonts w:ascii="Arial" w:eastAsia="Arial" w:hAnsi="Arial" w:cs="Arial"/>
                <w:sz w:val="24"/>
                <w:szCs w:val="24"/>
                <w:highlight w:val="white"/>
              </w:rPr>
              <w:lastRenderedPageBreak/>
              <w:t>loaned from CCS or the Buyer) in the performance of its obligations under the Call-Off Contract</w:t>
            </w:r>
          </w:p>
        </w:tc>
      </w:tr>
      <w:tr w:rsidR="005A5CBC" w14:paraId="717ED1E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'Further </w:t>
            </w:r>
            <w:r>
              <w:rPr>
                <w:rFonts w:ascii="Arial" w:eastAsia="Arial" w:hAnsi="Arial" w:cs="Arial"/>
                <w:b/>
                <w:sz w:val="24"/>
                <w:szCs w:val="24"/>
              </w:rPr>
              <w:lastRenderedPageBreak/>
              <w:t>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lastRenderedPageBreak/>
              <w:t xml:space="preserve">The Further Competition procedure as described in </w:t>
            </w:r>
            <w:r>
              <w:rPr>
                <w:rFonts w:ascii="Arial" w:eastAsia="Arial" w:hAnsi="Arial" w:cs="Arial"/>
                <w:sz w:val="24"/>
                <w:szCs w:val="24"/>
                <w:highlight w:val="white"/>
              </w:rPr>
              <w:lastRenderedPageBreak/>
              <w:t>Section 3 (how Services will be bought) of the Framework Agreement.</w:t>
            </w:r>
          </w:p>
        </w:tc>
      </w:tr>
      <w:tr w:rsidR="005A5CBC" w14:paraId="2320CC6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3">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4">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lastRenderedPageBreak/>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5">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6">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B73A39" w14:paraId="6AE0938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8F8E1A" w14:textId="178E9B15" w:rsidR="00B73A39" w:rsidRDefault="00B73A39">
            <w:pPr>
              <w:widowControl w:val="0"/>
              <w:ind w:left="170"/>
              <w:jc w:val="left"/>
              <w:rPr>
                <w:rFonts w:ascii="Arial" w:eastAsia="Arial" w:hAnsi="Arial" w:cs="Arial"/>
                <w:b/>
                <w:sz w:val="24"/>
                <w:szCs w:val="24"/>
              </w:rPr>
            </w:pPr>
            <w:r>
              <w:rPr>
                <w:rFonts w:ascii="Arial" w:eastAsia="Arial" w:hAnsi="Arial" w:cs="Arial"/>
                <w:b/>
                <w:sz w:val="24"/>
                <w:szCs w:val="24"/>
              </w:rPr>
              <w:t>‘</w:t>
            </w:r>
            <w:r w:rsidRPr="00B73A39">
              <w:rPr>
                <w:rFonts w:ascii="Arial" w:eastAsia="Arial" w:hAnsi="Arial" w:cs="Arial"/>
                <w:b/>
                <w:sz w:val="24"/>
                <w:szCs w:val="24"/>
              </w:rPr>
              <w:t>Relevant Conviction</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4B3944" w14:textId="401A4602" w:rsidR="00B73A39" w:rsidRDefault="001C38E3">
            <w:pPr>
              <w:widowControl w:val="0"/>
              <w:ind w:left="30"/>
              <w:jc w:val="left"/>
              <w:rPr>
                <w:rFonts w:ascii="Arial" w:eastAsia="Arial" w:hAnsi="Arial" w:cs="Arial"/>
                <w:sz w:val="24"/>
                <w:szCs w:val="24"/>
              </w:rPr>
            </w:pPr>
            <w:r>
              <w:rPr>
                <w:rFonts w:ascii="Arial" w:eastAsia="Arial" w:hAnsi="Arial" w:cs="Arial"/>
                <w:sz w:val="24"/>
                <w:szCs w:val="24"/>
              </w:rPr>
              <w:t>M</w:t>
            </w:r>
            <w:r w:rsidRPr="001C38E3">
              <w:rPr>
                <w:rFonts w:ascii="Arial" w:eastAsia="Arial" w:hAnsi="Arial" w:cs="Arial"/>
                <w:sz w:val="24"/>
                <w:szCs w:val="24"/>
              </w:rPr>
              <w:t>eans a Conviction that is relevant to the nature of the Services to be provided, at the discretion of the Buyer.</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'Self Audit </w:t>
            </w:r>
            <w:r>
              <w:rPr>
                <w:rFonts w:ascii="Arial" w:eastAsia="Arial" w:hAnsi="Arial" w:cs="Arial"/>
                <w:b/>
                <w:sz w:val="24"/>
                <w:szCs w:val="24"/>
              </w:rPr>
              <w:lastRenderedPageBreak/>
              <w:t>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lastRenderedPageBreak/>
              <w:t xml:space="preserve">The certificate in the form as set out in Framework </w:t>
            </w:r>
            <w:r>
              <w:rPr>
                <w:rFonts w:ascii="Arial" w:eastAsia="Arial" w:hAnsi="Arial" w:cs="Arial"/>
                <w:sz w:val="24"/>
                <w:szCs w:val="24"/>
              </w:rPr>
              <w:lastRenderedPageBreak/>
              <w:t>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day other than a Saturday, Sunday or public holiday in England and Wales, from 9am to 5pm </w:t>
            </w:r>
            <w:r>
              <w:rPr>
                <w:rFonts w:ascii="Arial" w:eastAsia="Arial" w:hAnsi="Arial" w:cs="Arial"/>
                <w:sz w:val="24"/>
                <w:szCs w:val="24"/>
                <w:highlight w:val="white"/>
              </w:rPr>
              <w:lastRenderedPageBreak/>
              <w:t>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lastRenderedPageBreak/>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Pr="00CF4177" w:rsidRDefault="00720B67">
      <w:pPr>
        <w:pStyle w:val="Heading1"/>
        <w:spacing w:before="60"/>
        <w:jc w:val="left"/>
        <w:rPr>
          <w:rFonts w:ascii="Arial" w:eastAsia="Arial" w:hAnsi="Arial" w:cs="Arial"/>
        </w:rPr>
      </w:pPr>
      <w:bookmarkStart w:id="150" w:name="_11si5id" w:colFirst="0" w:colLast="0"/>
      <w:bookmarkEnd w:id="150"/>
      <w:r w:rsidRPr="00CF4177">
        <w:rPr>
          <w:rFonts w:ascii="Arial" w:eastAsia="Arial" w:hAnsi="Arial" w:cs="Arial"/>
        </w:rPr>
        <w:lastRenderedPageBreak/>
        <w:t>Part C - The Schedules</w:t>
      </w:r>
    </w:p>
    <w:p w14:paraId="2B679F89" w14:textId="77777777" w:rsidR="005A5CBC" w:rsidRPr="00A8264F" w:rsidRDefault="005A5CBC">
      <w:pPr>
        <w:spacing w:before="60"/>
        <w:jc w:val="left"/>
        <w:rPr>
          <w:rFonts w:ascii="Arial" w:eastAsia="Arial" w:hAnsi="Arial" w:cs="Arial"/>
          <w:sz w:val="24"/>
          <w:szCs w:val="24"/>
        </w:rPr>
      </w:pPr>
    </w:p>
    <w:p w14:paraId="37681F43" w14:textId="6C4C972F" w:rsidR="00E86280" w:rsidRDefault="00720B67" w:rsidP="00E86280">
      <w:pPr>
        <w:jc w:val="left"/>
        <w:rPr>
          <w:rFonts w:ascii="Arial" w:eastAsia="Arial" w:hAnsi="Arial" w:cs="Arial"/>
          <w:sz w:val="24"/>
          <w:szCs w:val="24"/>
        </w:rPr>
      </w:pPr>
      <w:bookmarkStart w:id="151" w:name="_3ls5o66" w:colFirst="0" w:colLast="0"/>
      <w:bookmarkEnd w:id="151"/>
      <w:r w:rsidRPr="00A8264F">
        <w:rPr>
          <w:rFonts w:ascii="Arial" w:eastAsia="Arial" w:hAnsi="Arial" w:cs="Arial"/>
          <w:sz w:val="24"/>
          <w:szCs w:val="24"/>
        </w:rPr>
        <w:t xml:space="preserve">Schedule 1 </w:t>
      </w:r>
      <w:r w:rsidR="003072BF" w:rsidRPr="00A8264F">
        <w:rPr>
          <w:rFonts w:ascii="Arial" w:eastAsia="Arial" w:hAnsi="Arial" w:cs="Arial"/>
          <w:sz w:val="24"/>
          <w:szCs w:val="24"/>
        </w:rPr>
        <w:t>–</w:t>
      </w:r>
      <w:r w:rsidRPr="00A8264F">
        <w:rPr>
          <w:rFonts w:ascii="Arial" w:eastAsia="Arial" w:hAnsi="Arial" w:cs="Arial"/>
          <w:sz w:val="24"/>
          <w:szCs w:val="24"/>
        </w:rPr>
        <w:t xml:space="preserve"> </w:t>
      </w:r>
      <w:r w:rsidRPr="00A8264F">
        <w:rPr>
          <w:rFonts w:ascii="Arial" w:eastAsia="Arial" w:hAnsi="Arial" w:cs="Arial"/>
          <w:sz w:val="24"/>
          <w:szCs w:val="24"/>
          <w:highlight w:val="white"/>
        </w:rPr>
        <w:t>Requirements</w:t>
      </w:r>
      <w:r w:rsidR="003072BF" w:rsidRPr="00A8264F">
        <w:rPr>
          <w:rFonts w:ascii="Arial" w:eastAsia="Arial" w:hAnsi="Arial" w:cs="Arial"/>
          <w:sz w:val="24"/>
          <w:szCs w:val="24"/>
        </w:rPr>
        <w:t xml:space="preserve"> </w:t>
      </w:r>
    </w:p>
    <w:p w14:paraId="5150DB43" w14:textId="25F8767A" w:rsidR="007A5674" w:rsidRDefault="007A5674" w:rsidP="00E86280">
      <w:pPr>
        <w:jc w:val="left"/>
        <w:rPr>
          <w:rFonts w:ascii="Arial" w:eastAsia="Arial" w:hAnsi="Arial" w:cs="Arial"/>
          <w:sz w:val="24"/>
          <w:szCs w:val="24"/>
        </w:rPr>
      </w:pPr>
    </w:p>
    <w:p w14:paraId="47E5F7B1" w14:textId="57629937" w:rsidR="007A5674" w:rsidRDefault="00025E04" w:rsidP="00E86280">
      <w:pPr>
        <w:jc w:val="left"/>
        <w:rPr>
          <w:rFonts w:ascii="Arial" w:eastAsia="Arial" w:hAnsi="Arial" w:cs="Arial"/>
          <w:sz w:val="24"/>
          <w:szCs w:val="24"/>
        </w:rPr>
      </w:pPr>
      <w:hyperlink r:id="rId17" w:history="1">
        <w:r w:rsidR="004A68E8">
          <w:rPr>
            <w:rStyle w:val="Hyperlink"/>
          </w:rPr>
          <w:t>https://www.digitalmarketplace.service.gov.uk/digital-outcomes-and-specialists/opportunities/12605</w:t>
        </w:r>
      </w:hyperlink>
    </w:p>
    <w:p w14:paraId="20BC825F" w14:textId="6409B894" w:rsidR="005A5CBC" w:rsidRPr="00CF4177" w:rsidRDefault="005A5CBC">
      <w:pPr>
        <w:rPr>
          <w:rFonts w:ascii="Arial" w:eastAsia="Arial" w:hAnsi="Arial" w:cs="Arial"/>
          <w:b/>
          <w:sz w:val="24"/>
          <w:szCs w:val="24"/>
        </w:rPr>
      </w:pPr>
    </w:p>
    <w:p w14:paraId="7AE24628" w14:textId="4D35913A" w:rsidR="005A5CBC" w:rsidRPr="00CF4177" w:rsidRDefault="00720B67">
      <w:pPr>
        <w:pStyle w:val="Heading1"/>
        <w:spacing w:before="60"/>
        <w:jc w:val="left"/>
        <w:rPr>
          <w:rFonts w:ascii="Arial" w:eastAsia="Arial" w:hAnsi="Arial" w:cs="Arial"/>
        </w:rPr>
      </w:pPr>
      <w:bookmarkStart w:id="152" w:name="_20xfydz" w:colFirst="0" w:colLast="0"/>
      <w:bookmarkEnd w:id="152"/>
      <w:r w:rsidRPr="00CF4177">
        <w:rPr>
          <w:rFonts w:ascii="Arial" w:eastAsia="Arial" w:hAnsi="Arial" w:cs="Arial"/>
        </w:rPr>
        <w:t xml:space="preserve">Schedule 2 - </w:t>
      </w:r>
      <w:r w:rsidRPr="00CF4177">
        <w:rPr>
          <w:rFonts w:ascii="Arial" w:eastAsia="Arial" w:hAnsi="Arial" w:cs="Arial"/>
          <w:highlight w:val="white"/>
        </w:rPr>
        <w:t>Supplier</w:t>
      </w:r>
      <w:r w:rsidRPr="00CF4177">
        <w:rPr>
          <w:rFonts w:ascii="Arial" w:eastAsia="Arial" w:hAnsi="Arial" w:cs="Arial"/>
        </w:rPr>
        <w:t xml:space="preserve">’s response </w:t>
      </w:r>
    </w:p>
    <w:p w14:paraId="1DAB21F4" w14:textId="2FBD74D6" w:rsidR="000C3066" w:rsidRDefault="000C3066">
      <w:pPr>
        <w:rPr>
          <w:rFonts w:ascii="Arial" w:hAnsi="Arial" w:cs="Arial"/>
          <w:sz w:val="24"/>
          <w:szCs w:val="24"/>
        </w:rPr>
      </w:pPr>
    </w:p>
    <w:p w14:paraId="123812A8" w14:textId="77777777" w:rsidR="004A68E8" w:rsidRDefault="004A68E8"/>
    <w:p w14:paraId="15E19041" w14:textId="6ABBF28B" w:rsidR="003742DF" w:rsidRDefault="003742DF">
      <w:r>
        <w:t>Supplier Presentation:</w:t>
      </w:r>
    </w:p>
    <w:p w14:paraId="4754B901" w14:textId="184A3488" w:rsidR="00753E91" w:rsidRDefault="00753E91"/>
    <w:p w14:paraId="71CDFEB9" w14:textId="69A24032" w:rsidR="00753E91" w:rsidRDefault="00F27226">
      <w:r w:rsidRPr="00085F4C">
        <w:rPr>
          <w:rFonts w:ascii="Arial" w:eastAsia="Arial" w:hAnsi="Arial" w:cs="Arial"/>
          <w:b/>
          <w:bCs/>
          <w:sz w:val="24"/>
          <w:szCs w:val="24"/>
        </w:rPr>
        <w:t>Redacted</w:t>
      </w:r>
    </w:p>
    <w:p w14:paraId="755E13CA" w14:textId="77777777" w:rsidR="00753E91" w:rsidRDefault="00753E91"/>
    <w:p w14:paraId="6A81D81A" w14:textId="206BB4B1" w:rsidR="003742DF" w:rsidRDefault="003742DF"/>
    <w:p w14:paraId="54A6D55C" w14:textId="77777777" w:rsidR="000C3066" w:rsidRDefault="000C3066">
      <w:r>
        <w:t>Written proposal:</w:t>
      </w:r>
    </w:p>
    <w:p w14:paraId="7905A40A" w14:textId="77777777" w:rsidR="000C3066" w:rsidRDefault="000C3066"/>
    <w:p w14:paraId="0B96C2B2" w14:textId="77777777" w:rsidR="00E61F5A" w:rsidRDefault="00E61F5A"/>
    <w:p w14:paraId="3D084186" w14:textId="634631BE" w:rsidR="005A5CBC" w:rsidRDefault="00F27226">
      <w:pPr>
        <w:rPr>
          <w:rFonts w:ascii="Arial" w:eastAsia="Arial" w:hAnsi="Arial" w:cs="Arial"/>
          <w:b/>
          <w:sz w:val="24"/>
          <w:szCs w:val="24"/>
        </w:rPr>
      </w:pPr>
      <w:r w:rsidRPr="00085F4C">
        <w:rPr>
          <w:rFonts w:ascii="Arial" w:eastAsia="Arial" w:hAnsi="Arial" w:cs="Arial"/>
          <w:b/>
          <w:bCs/>
          <w:sz w:val="24"/>
          <w:szCs w:val="24"/>
        </w:rPr>
        <w:t>Redacted</w:t>
      </w:r>
      <w:r>
        <w:t xml:space="preserve"> </w:t>
      </w:r>
      <w:r w:rsidR="00720B67">
        <w:br w:type="page"/>
      </w:r>
    </w:p>
    <w:p w14:paraId="00C687C7" w14:textId="77777777" w:rsidR="005A5CBC" w:rsidRDefault="00720B67">
      <w:pPr>
        <w:pStyle w:val="Heading1"/>
        <w:spacing w:before="60"/>
        <w:jc w:val="left"/>
        <w:rPr>
          <w:rFonts w:ascii="Arial" w:eastAsia="Arial" w:hAnsi="Arial" w:cs="Arial"/>
        </w:rPr>
      </w:pPr>
      <w:bookmarkStart w:id="153" w:name="_4kx3h1s" w:colFirst="0" w:colLast="0"/>
      <w:bookmarkEnd w:id="153"/>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Sch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30FAB8C5" w:rsidR="005A5CBC" w:rsidRDefault="007C69D9">
            <w:pPr>
              <w:spacing w:before="60" w:after="60"/>
              <w:ind w:left="-15"/>
              <w:rPr>
                <w:rFonts w:ascii="Arial" w:eastAsia="Arial" w:hAnsi="Arial" w:cs="Arial"/>
              </w:rPr>
            </w:pPr>
            <w:r>
              <w:rPr>
                <w:rFonts w:ascii="Arial" w:eastAsia="Arial" w:hAnsi="Arial" w:cs="Arial"/>
                <w:i/>
                <w:sz w:val="24"/>
                <w:szCs w:val="24"/>
              </w:rPr>
              <w:t>1</w:t>
            </w:r>
            <w:r w:rsidRPr="00A8264F">
              <w:rPr>
                <w:rFonts w:ascii="Arial" w:eastAsia="Arial" w:hAnsi="Arial" w:cs="Arial"/>
                <w:i/>
                <w:sz w:val="24"/>
                <w:szCs w:val="24"/>
                <w:vertAlign w:val="superscript"/>
              </w:rPr>
              <w:t>st</w:t>
            </w:r>
            <w:r>
              <w:rPr>
                <w:rFonts w:ascii="Arial" w:eastAsia="Arial" w:hAnsi="Arial" w:cs="Arial"/>
                <w:i/>
                <w:sz w:val="24"/>
                <w:szCs w:val="24"/>
              </w:rPr>
              <w:t xml:space="preserve"> October 2020</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59A45017" w:rsidR="005A5CBC" w:rsidRDefault="00B814DF">
            <w:pPr>
              <w:spacing w:before="60" w:after="60"/>
              <w:ind w:left="-15"/>
              <w:rPr>
                <w:rFonts w:ascii="Arial" w:eastAsia="Arial" w:hAnsi="Arial" w:cs="Arial"/>
              </w:rPr>
            </w:pPr>
            <w:r>
              <w:rPr>
                <w:rFonts w:ascii="Arial" w:eastAsia="Arial" w:hAnsi="Arial" w:cs="Arial"/>
                <w:i/>
                <w:sz w:val="24"/>
                <w:szCs w:val="24"/>
              </w:rPr>
              <w:t>TBC</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06100E21" w:rsidR="005A5CBC" w:rsidRDefault="007C69D9">
            <w:pPr>
              <w:spacing w:before="60" w:after="60"/>
              <w:ind w:left="-15"/>
              <w:rPr>
                <w:rFonts w:ascii="Arial" w:eastAsia="Arial" w:hAnsi="Arial" w:cs="Arial"/>
              </w:rPr>
            </w:pPr>
            <w:r>
              <w:rPr>
                <w:rFonts w:ascii="Arial" w:eastAsia="Arial" w:hAnsi="Arial" w:cs="Arial"/>
                <w:i/>
                <w:sz w:val="24"/>
                <w:szCs w:val="24"/>
              </w:rPr>
              <w:t>Department for Education</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5CF8466A" w:rsidR="005A5CBC" w:rsidRDefault="00527581">
            <w:pPr>
              <w:spacing w:before="60" w:after="60"/>
              <w:ind w:left="-15"/>
              <w:rPr>
                <w:rFonts w:ascii="Arial" w:eastAsia="Arial" w:hAnsi="Arial" w:cs="Arial"/>
              </w:rPr>
            </w:pPr>
            <w:r>
              <w:rPr>
                <w:rFonts w:ascii="Arial" w:eastAsia="Arial" w:hAnsi="Arial" w:cs="Arial"/>
                <w:i/>
                <w:sz w:val="24"/>
                <w:szCs w:val="24"/>
              </w:rPr>
              <w:t>Nimbus</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1D8F1A8F" w:rsidR="005A5CBC" w:rsidRDefault="007C69D9">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3BB243D3" w:rsidR="005A5CBC" w:rsidRDefault="007C69D9">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40E0BE09" w:rsidR="005A5CBC" w:rsidRDefault="007C69D9">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26731C48" w:rsidR="005A5CBC" w:rsidRDefault="007C69D9">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6B9043A9" w:rsidR="005A5CBC" w:rsidRPr="00993C5E" w:rsidRDefault="00993C5E" w:rsidP="00993C5E">
            <w:pPr>
              <w:spacing w:before="60"/>
              <w:jc w:val="left"/>
              <w:rPr>
                <w:i/>
                <w:color w:val="000000"/>
                <w:sz w:val="24"/>
                <w:szCs w:val="24"/>
              </w:rPr>
            </w:pPr>
            <w:r>
              <w:rPr>
                <w:rFonts w:ascii="Arial" w:eastAsia="Arial" w:hAnsi="Arial" w:cs="Arial"/>
                <w:i/>
                <w:sz w:val="24"/>
                <w:szCs w:val="24"/>
              </w:rPr>
              <w:t>C</w:t>
            </w:r>
            <w:r w:rsidR="00720B67" w:rsidRPr="005844DB">
              <w:rPr>
                <w:rFonts w:ascii="Arial" w:eastAsia="Arial" w:hAnsi="Arial" w:cs="Arial"/>
                <w:i/>
                <w:sz w:val="24"/>
                <w:szCs w:val="24"/>
              </w:rPr>
              <w:t>apped time and materials (CTM)</w:t>
            </w:r>
            <w:r w:rsidR="00720B67" w:rsidRPr="005844DB">
              <w:rPr>
                <w:rFonts w:ascii="Arial" w:eastAsia="Arial" w:hAnsi="Arial" w:cs="Arial"/>
                <w:i/>
                <w:sz w:val="24"/>
                <w:szCs w:val="24"/>
              </w:rPr>
              <w:tab/>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320C7E26" w:rsidR="005A5CBC" w:rsidRDefault="00720B67">
      <w:pPr>
        <w:pStyle w:val="Heading1"/>
        <w:rPr>
          <w:rFonts w:ascii="Arial" w:eastAsia="Arial" w:hAnsi="Arial" w:cs="Arial"/>
        </w:rPr>
      </w:pPr>
      <w:r w:rsidRPr="00CF4177">
        <w:rPr>
          <w:rFonts w:ascii="Arial" w:eastAsia="Arial" w:hAnsi="Arial" w:cs="Arial"/>
        </w:rPr>
        <w:t>Sch 3.2        Key Staff</w:t>
      </w:r>
    </w:p>
    <w:p w14:paraId="24504702" w14:textId="77777777" w:rsidR="00CC6C23" w:rsidRPr="00CC6C23" w:rsidRDefault="00CC6C23" w:rsidP="00CC6C23"/>
    <w:p w14:paraId="6F757016" w14:textId="77777777" w:rsidR="003742DF" w:rsidRDefault="003742DF">
      <w:pPr>
        <w:jc w:val="left"/>
        <w:rPr>
          <w:rFonts w:ascii="Arial" w:eastAsia="Arial" w:hAnsi="Arial" w:cs="Arial"/>
          <w:sz w:val="24"/>
          <w:szCs w:val="24"/>
          <w:highlight w:val="white"/>
        </w:rPr>
      </w:pPr>
      <w:r>
        <w:rPr>
          <w:rFonts w:ascii="Arial" w:eastAsia="Arial" w:hAnsi="Arial" w:cs="Arial"/>
          <w:sz w:val="24"/>
          <w:szCs w:val="24"/>
          <w:highlight w:val="white"/>
        </w:rPr>
        <w:t>N/A</w:t>
      </w:r>
    </w:p>
    <w:p w14:paraId="737BB6B5" w14:textId="2BE4469B"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77777777" w:rsidR="005A5CBC" w:rsidRDefault="00720B67">
      <w:pPr>
        <w:pStyle w:val="Heading1"/>
        <w:rPr>
          <w:rFonts w:ascii="Arial" w:eastAsia="Arial" w:hAnsi="Arial" w:cs="Arial"/>
        </w:rPr>
      </w:pPr>
      <w:r>
        <w:rPr>
          <w:rFonts w:ascii="Arial" w:eastAsia="Arial" w:hAnsi="Arial" w:cs="Arial"/>
        </w:rPr>
        <w:t>Sch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r>
        <w:rPr>
          <w:rFonts w:ascii="Arial" w:eastAsia="Arial" w:hAnsi="Arial" w:cs="Arial"/>
        </w:rPr>
        <w:lastRenderedPageBreak/>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1E51491"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lastRenderedPageBreak/>
        <w:t xml:space="preserve">3.4.4 Risks or contingencies will be included in the Charges. The Parties agree that the following assumptions, representations, risks and contingencies will apply in relation to the Charges. </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t>Sch 3.5. Call-Off Contract Extension Period</w:t>
      </w:r>
    </w:p>
    <w:p w14:paraId="46C06E33" w14:textId="09AE00A5" w:rsidR="005A5CBC" w:rsidRDefault="00993C5E">
      <w:pPr>
        <w:pStyle w:val="Heading1"/>
        <w:spacing w:before="60" w:after="60"/>
        <w:ind w:left="720"/>
        <w:jc w:val="left"/>
        <w:rPr>
          <w:rFonts w:ascii="Arial" w:eastAsia="Arial" w:hAnsi="Arial" w:cs="Arial"/>
        </w:rPr>
      </w:pPr>
      <w:r>
        <w:rPr>
          <w:rFonts w:ascii="Arial" w:eastAsia="Arial" w:hAnsi="Arial" w:cs="Arial"/>
          <w:b w:val="0"/>
        </w:rPr>
        <w:t>N/A</w:t>
      </w:r>
    </w:p>
    <w:p w14:paraId="5F507590" w14:textId="6D81100E" w:rsidR="005A5CBC" w:rsidRDefault="00720B67" w:rsidP="00E7108D">
      <w:pPr>
        <w:pStyle w:val="Heading1"/>
        <w:spacing w:before="60" w:after="60"/>
        <w:rPr>
          <w:rFonts w:ascii="Arial" w:eastAsia="Arial" w:hAnsi="Arial" w:cs="Arial"/>
        </w:rPr>
      </w:pPr>
      <w:r>
        <w:rPr>
          <w:rFonts w:ascii="Arial" w:eastAsia="Arial" w:hAnsi="Arial" w:cs="Arial"/>
        </w:rPr>
        <w:t>Sch 3.6. Agreement of statement of works</w:t>
      </w:r>
    </w:p>
    <w:p w14:paraId="0B51E219" w14:textId="5F5B9A0B" w:rsidR="00D52D2F" w:rsidRDefault="00D52D2F" w:rsidP="00D52D2F"/>
    <w:p w14:paraId="58318457" w14:textId="3EA84E51" w:rsidR="00D52D2F" w:rsidRPr="00A8264F" w:rsidRDefault="00D52D2F" w:rsidP="00A8264F">
      <w:r>
        <w:t>Outlined in individual SoW</w:t>
      </w:r>
    </w:p>
    <w:p w14:paraId="2CBB09C1" w14:textId="77777777" w:rsidR="005A5CBC" w:rsidRDefault="005A5CBC">
      <w:pPr>
        <w:spacing w:before="60" w:after="60"/>
        <w:ind w:hanging="720"/>
        <w:rPr>
          <w:rFonts w:ascii="Arial" w:eastAsia="Arial" w:hAnsi="Arial" w:cs="Arial"/>
        </w:rPr>
      </w:pPr>
    </w:p>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4" w:name="_302dr9l" w:colFirst="0" w:colLast="0"/>
      <w:bookmarkEnd w:id="154"/>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Order Form reference for the Call-Off Contract being varied:</w:t>
      </w:r>
    </w:p>
    <w:p w14:paraId="62612D89" w14:textId="77777777" w:rsidR="005A5CBC" w:rsidRPr="00785A6C" w:rsidRDefault="005A5CBC">
      <w:pPr>
        <w:spacing w:before="60" w:after="60"/>
        <w:ind w:left="142"/>
        <w:rPr>
          <w:rFonts w:ascii="Arial" w:eastAsia="Arial" w:hAnsi="Arial" w:cs="Arial"/>
        </w:rPr>
      </w:pPr>
    </w:p>
    <w:p w14:paraId="451CD13D"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785A6C"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785A6C" w:rsidRDefault="00720B67">
            <w:pPr>
              <w:spacing w:before="60" w:after="60"/>
              <w:ind w:left="1276"/>
              <w:rPr>
                <w:rFonts w:ascii="Arial" w:eastAsia="Arial" w:hAnsi="Arial" w:cs="Arial"/>
              </w:rPr>
            </w:pPr>
            <w:r w:rsidRPr="00A8264F">
              <w:rPr>
                <w:rFonts w:ascii="Arial" w:eastAsia="Arial" w:hAnsi="Arial" w:cs="Arial"/>
                <w:b/>
                <w:sz w:val="24"/>
                <w:szCs w:val="24"/>
              </w:rPr>
              <w:t xml:space="preserve">Buyer Full Name  </w:t>
            </w:r>
            <w:r w:rsidRPr="00A8264F">
              <w:rPr>
                <w:rFonts w:ascii="Arial" w:eastAsia="Arial" w:hAnsi="Arial" w:cs="Arial"/>
                <w:sz w:val="24"/>
                <w:szCs w:val="24"/>
              </w:rPr>
              <w:t>("</w:t>
            </w:r>
            <w:r w:rsidRPr="00A8264F">
              <w:rPr>
                <w:rFonts w:ascii="Arial" w:eastAsia="Arial" w:hAnsi="Arial" w:cs="Arial"/>
                <w:b/>
                <w:sz w:val="24"/>
                <w:szCs w:val="24"/>
              </w:rPr>
              <w:t>the Buyer"</w:t>
            </w:r>
            <w:r w:rsidRPr="00A8264F">
              <w:rPr>
                <w:rFonts w:ascii="Arial" w:eastAsia="Arial" w:hAnsi="Arial" w:cs="Arial"/>
                <w:sz w:val="24"/>
                <w:szCs w:val="24"/>
              </w:rPr>
              <w:t>)</w:t>
            </w:r>
          </w:p>
          <w:p w14:paraId="2C9D2857" w14:textId="77777777" w:rsidR="005A5CBC" w:rsidRPr="00785A6C" w:rsidRDefault="005A5CBC">
            <w:pPr>
              <w:spacing w:before="60" w:after="60"/>
              <w:ind w:left="1276"/>
              <w:rPr>
                <w:rFonts w:ascii="Arial" w:eastAsia="Arial" w:hAnsi="Arial" w:cs="Arial"/>
              </w:rPr>
            </w:pPr>
          </w:p>
          <w:p w14:paraId="24215DF6" w14:textId="77777777" w:rsidR="005A5CBC" w:rsidRPr="00785A6C" w:rsidRDefault="00720B67">
            <w:pPr>
              <w:spacing w:before="60" w:after="60"/>
              <w:ind w:left="1276"/>
              <w:rPr>
                <w:rFonts w:ascii="Arial" w:eastAsia="Arial" w:hAnsi="Arial" w:cs="Arial"/>
              </w:rPr>
            </w:pPr>
            <w:r w:rsidRPr="00A8264F">
              <w:rPr>
                <w:rFonts w:ascii="Arial" w:eastAsia="Arial" w:hAnsi="Arial" w:cs="Arial"/>
                <w:sz w:val="24"/>
                <w:szCs w:val="24"/>
              </w:rPr>
              <w:t>and</w:t>
            </w:r>
          </w:p>
          <w:p w14:paraId="2F1E5D5E" w14:textId="77777777" w:rsidR="005A5CBC" w:rsidRPr="00785A6C" w:rsidRDefault="005A5CBC">
            <w:pPr>
              <w:spacing w:before="60" w:after="60"/>
              <w:ind w:left="1276"/>
              <w:rPr>
                <w:rFonts w:ascii="Arial" w:eastAsia="Arial" w:hAnsi="Arial" w:cs="Arial"/>
              </w:rPr>
            </w:pPr>
          </w:p>
          <w:p w14:paraId="3AF09F10" w14:textId="77777777" w:rsidR="005A5CBC" w:rsidRPr="00785A6C" w:rsidRDefault="00720B67">
            <w:pPr>
              <w:spacing w:before="60" w:after="60"/>
              <w:ind w:left="1276"/>
              <w:rPr>
                <w:rFonts w:ascii="Arial" w:eastAsia="Arial" w:hAnsi="Arial" w:cs="Arial"/>
              </w:rPr>
            </w:pPr>
            <w:r w:rsidRPr="00A8264F">
              <w:rPr>
                <w:rFonts w:ascii="Arial" w:eastAsia="Arial" w:hAnsi="Arial" w:cs="Arial"/>
                <w:b/>
                <w:sz w:val="24"/>
                <w:szCs w:val="24"/>
              </w:rPr>
              <w:t xml:space="preserve">Supplier Full Name </w:t>
            </w:r>
            <w:r w:rsidRPr="00A8264F">
              <w:rPr>
                <w:rFonts w:ascii="Arial" w:eastAsia="Arial" w:hAnsi="Arial" w:cs="Arial"/>
                <w:sz w:val="24"/>
                <w:szCs w:val="24"/>
              </w:rPr>
              <w:t>(</w:t>
            </w:r>
            <w:r w:rsidRPr="00A8264F">
              <w:rPr>
                <w:rFonts w:ascii="Arial" w:eastAsia="Arial" w:hAnsi="Arial" w:cs="Arial"/>
                <w:b/>
                <w:sz w:val="24"/>
                <w:szCs w:val="24"/>
              </w:rPr>
              <w:t>"the Supplier"</w:t>
            </w:r>
            <w:r w:rsidRPr="00A8264F">
              <w:rPr>
                <w:rFonts w:ascii="Arial" w:eastAsia="Arial" w:hAnsi="Arial" w:cs="Arial"/>
                <w:sz w:val="24"/>
                <w:szCs w:val="24"/>
              </w:rPr>
              <w:t>)</w:t>
            </w:r>
          </w:p>
          <w:p w14:paraId="3C130054" w14:textId="77777777" w:rsidR="005A5CBC" w:rsidRPr="00785A6C" w:rsidRDefault="005A5CBC">
            <w:pPr>
              <w:spacing w:before="60" w:after="60"/>
              <w:ind w:left="142"/>
              <w:rPr>
                <w:rFonts w:ascii="Arial" w:eastAsia="Arial" w:hAnsi="Arial" w:cs="Arial"/>
              </w:rPr>
            </w:pPr>
          </w:p>
        </w:tc>
      </w:tr>
    </w:tbl>
    <w:p w14:paraId="6CC91A62" w14:textId="77777777" w:rsidR="005A5CBC" w:rsidRPr="00A8264F" w:rsidRDefault="00720B67">
      <w:pPr>
        <w:keepNext/>
        <w:numPr>
          <w:ilvl w:val="0"/>
          <w:numId w:val="25"/>
        </w:numPr>
        <w:ind w:left="567" w:hanging="425"/>
        <w:rPr>
          <w:rFonts w:ascii="Arial" w:eastAsia="Arial" w:hAnsi="Arial" w:cs="Arial"/>
          <w:sz w:val="24"/>
          <w:szCs w:val="24"/>
        </w:rPr>
      </w:pPr>
      <w:r w:rsidRPr="00A8264F">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785A6C" w:rsidRDefault="00720B67">
      <w:pPr>
        <w:keepNext/>
        <w:spacing w:before="60" w:after="60"/>
        <w:ind w:left="567"/>
        <w:rPr>
          <w:rFonts w:ascii="Arial" w:eastAsia="Arial" w:hAnsi="Arial" w:cs="Arial"/>
        </w:rPr>
      </w:pPr>
      <w:r w:rsidRPr="00A8264F">
        <w:rPr>
          <w:rFonts w:ascii="Arial" w:eastAsia="Arial" w:hAnsi="Arial" w:cs="Arial"/>
          <w:b/>
          <w:i/>
          <w:sz w:val="24"/>
          <w:szCs w:val="24"/>
        </w:rPr>
        <w:t>Guidance Note:  Insert full details of the change including:</w:t>
      </w:r>
    </w:p>
    <w:p w14:paraId="54D095AC" w14:textId="77777777" w:rsidR="005A5CBC" w:rsidRPr="00785A6C" w:rsidRDefault="00720B67">
      <w:pPr>
        <w:keepNext/>
        <w:spacing w:before="60" w:after="60"/>
        <w:ind w:left="567"/>
        <w:rPr>
          <w:rFonts w:ascii="Arial" w:eastAsia="Arial" w:hAnsi="Arial" w:cs="Arial"/>
        </w:rPr>
      </w:pPr>
      <w:r w:rsidRPr="00A8264F">
        <w:rPr>
          <w:rFonts w:ascii="Arial" w:eastAsia="Arial" w:hAnsi="Arial" w:cs="Arial"/>
          <w:b/>
          <w:i/>
          <w:sz w:val="24"/>
          <w:szCs w:val="24"/>
        </w:rPr>
        <w:t>Reason for the change;</w:t>
      </w:r>
    </w:p>
    <w:p w14:paraId="610AD374" w14:textId="77777777" w:rsidR="005A5CBC" w:rsidRPr="00785A6C" w:rsidRDefault="00720B67">
      <w:pPr>
        <w:keepNext/>
        <w:spacing w:before="60" w:after="60"/>
        <w:ind w:left="567"/>
        <w:rPr>
          <w:rFonts w:ascii="Arial" w:eastAsia="Arial" w:hAnsi="Arial" w:cs="Arial"/>
        </w:rPr>
      </w:pPr>
      <w:r w:rsidRPr="00A8264F">
        <w:rPr>
          <w:rFonts w:ascii="Arial" w:eastAsia="Arial" w:hAnsi="Arial" w:cs="Arial"/>
          <w:b/>
          <w:i/>
          <w:sz w:val="24"/>
          <w:szCs w:val="24"/>
        </w:rPr>
        <w:t>Full Details of the proposed change;</w:t>
      </w:r>
    </w:p>
    <w:p w14:paraId="775EFF86" w14:textId="77777777" w:rsidR="005A5CBC" w:rsidRPr="00785A6C" w:rsidRDefault="00720B67">
      <w:pPr>
        <w:keepNext/>
        <w:spacing w:before="60" w:after="60"/>
        <w:ind w:left="567"/>
        <w:rPr>
          <w:rFonts w:ascii="Arial" w:eastAsia="Arial" w:hAnsi="Arial" w:cs="Arial"/>
        </w:rPr>
      </w:pPr>
      <w:r w:rsidRPr="00A8264F">
        <w:rPr>
          <w:rFonts w:ascii="Arial" w:eastAsia="Arial" w:hAnsi="Arial" w:cs="Arial"/>
          <w:b/>
          <w:i/>
          <w:sz w:val="24"/>
          <w:szCs w:val="24"/>
        </w:rPr>
        <w:t xml:space="preserve">Likely impact, if any, of the change on other aspects of the Call-Off Contract; </w:t>
      </w:r>
    </w:p>
    <w:p w14:paraId="127DB796" w14:textId="77777777" w:rsidR="005A5CBC" w:rsidRPr="00785A6C" w:rsidRDefault="005A5CBC">
      <w:pPr>
        <w:keepNext/>
        <w:spacing w:before="60" w:after="60"/>
        <w:rPr>
          <w:rFonts w:ascii="Arial" w:eastAsia="Arial" w:hAnsi="Arial" w:cs="Arial"/>
        </w:rPr>
      </w:pPr>
    </w:p>
    <w:p w14:paraId="7BF8AB5D" w14:textId="77777777" w:rsidR="005A5CBC" w:rsidRPr="00A8264F" w:rsidRDefault="00720B67">
      <w:pPr>
        <w:keepNext/>
        <w:numPr>
          <w:ilvl w:val="0"/>
          <w:numId w:val="25"/>
        </w:numPr>
        <w:ind w:left="567" w:hanging="425"/>
        <w:rPr>
          <w:rFonts w:ascii="Arial" w:eastAsia="Arial" w:hAnsi="Arial" w:cs="Arial"/>
          <w:sz w:val="24"/>
          <w:szCs w:val="24"/>
        </w:rPr>
      </w:pPr>
      <w:r w:rsidRPr="00A8264F">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785A6C" w:rsidRDefault="005A5CBC">
      <w:pPr>
        <w:keepNext/>
        <w:spacing w:before="60" w:after="60"/>
        <w:ind w:left="567"/>
        <w:rPr>
          <w:rFonts w:ascii="Arial" w:eastAsia="Arial" w:hAnsi="Arial" w:cs="Arial"/>
        </w:rPr>
      </w:pPr>
    </w:p>
    <w:p w14:paraId="72A58C3E" w14:textId="77777777" w:rsidR="005A5CBC" w:rsidRPr="00A8264F" w:rsidRDefault="00720B67">
      <w:pPr>
        <w:keepNext/>
        <w:numPr>
          <w:ilvl w:val="0"/>
          <w:numId w:val="25"/>
        </w:numPr>
        <w:ind w:left="567" w:hanging="425"/>
        <w:rPr>
          <w:rFonts w:ascii="Arial" w:eastAsia="Arial" w:hAnsi="Arial" w:cs="Arial"/>
          <w:sz w:val="24"/>
          <w:szCs w:val="24"/>
        </w:rPr>
      </w:pPr>
      <w:r w:rsidRPr="00A8264F">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A8264F" w:rsidRDefault="005A5CBC">
      <w:pPr>
        <w:keepNext/>
        <w:rPr>
          <w:rFonts w:ascii="Arial" w:eastAsia="Arial" w:hAnsi="Arial" w:cs="Arial"/>
          <w:b/>
          <w:sz w:val="24"/>
          <w:szCs w:val="24"/>
        </w:rPr>
      </w:pPr>
    </w:p>
    <w:p w14:paraId="6DF9C8E7" w14:textId="77777777" w:rsidR="005A5CBC" w:rsidRPr="00A8264F" w:rsidRDefault="00720B67">
      <w:pPr>
        <w:keepNext/>
        <w:ind w:left="-142"/>
        <w:rPr>
          <w:rFonts w:ascii="Arial" w:eastAsia="Arial" w:hAnsi="Arial" w:cs="Arial"/>
          <w:sz w:val="24"/>
          <w:szCs w:val="24"/>
        </w:rPr>
      </w:pPr>
      <w:r w:rsidRPr="00A8264F">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785A6C"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785A6C" w:rsidRDefault="00720B67">
            <w:pPr>
              <w:keepNext/>
              <w:spacing w:before="60" w:after="60"/>
              <w:ind w:left="142"/>
              <w:rPr>
                <w:rFonts w:ascii="Arial" w:eastAsia="Arial" w:hAnsi="Arial" w:cs="Arial"/>
              </w:rPr>
            </w:pPr>
            <w:r w:rsidRPr="00CF4177">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785A6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Click here to enter a date.</w:t>
            </w:r>
          </w:p>
        </w:tc>
      </w:tr>
      <w:tr w:rsidR="005A5CBC" w:rsidRPr="00785A6C"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Click here to enter text.</w:t>
            </w:r>
          </w:p>
        </w:tc>
      </w:tr>
      <w:tr w:rsidR="005A5CBC" w:rsidRPr="00785A6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Click here to enter text.</w:t>
            </w:r>
          </w:p>
        </w:tc>
      </w:tr>
      <w:tr w:rsidR="005A5CBC" w:rsidRPr="00785A6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785A6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785A6C" w:rsidRDefault="005A5CBC">
            <w:pPr>
              <w:spacing w:before="60" w:after="60"/>
              <w:ind w:left="142"/>
              <w:rPr>
                <w:rFonts w:ascii="Arial" w:eastAsia="Arial" w:hAnsi="Arial" w:cs="Arial"/>
              </w:rPr>
            </w:pPr>
          </w:p>
        </w:tc>
      </w:tr>
    </w:tbl>
    <w:p w14:paraId="74642736" w14:textId="77777777" w:rsidR="005A5CBC" w:rsidRPr="00785A6C" w:rsidRDefault="005A5CBC">
      <w:pPr>
        <w:spacing w:before="60" w:after="60"/>
        <w:ind w:left="142"/>
        <w:rPr>
          <w:rFonts w:ascii="Arial" w:eastAsia="Arial" w:hAnsi="Arial" w:cs="Arial"/>
        </w:rPr>
      </w:pPr>
    </w:p>
    <w:p w14:paraId="414135DB" w14:textId="77777777" w:rsidR="005A5CBC" w:rsidRPr="00785A6C" w:rsidRDefault="00720B67">
      <w:pPr>
        <w:spacing w:before="60" w:after="60"/>
        <w:ind w:left="142"/>
        <w:rPr>
          <w:rFonts w:ascii="Arial" w:eastAsia="Arial" w:hAnsi="Arial" w:cs="Arial"/>
        </w:rPr>
      </w:pPr>
      <w:r w:rsidRPr="00A8264F">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785A6C"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785A6C" w:rsidRDefault="00720B67">
            <w:pPr>
              <w:keepNext/>
              <w:spacing w:before="60" w:after="60"/>
              <w:ind w:left="142"/>
              <w:rPr>
                <w:rFonts w:ascii="Arial" w:eastAsia="Arial" w:hAnsi="Arial" w:cs="Arial"/>
              </w:rPr>
            </w:pPr>
            <w:r w:rsidRPr="00CF4177">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785A6C"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sidRPr="00A8264F">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Pr="00785A6C" w:rsidRDefault="00720B67">
            <w:pPr>
              <w:spacing w:before="60" w:after="60"/>
              <w:ind w:left="142"/>
              <w:rPr>
                <w:rFonts w:ascii="Arial" w:eastAsia="Arial" w:hAnsi="Arial" w:cs="Arial"/>
              </w:rPr>
            </w:pPr>
            <w:r w:rsidRPr="00A8264F">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1DBA3CE6" w:rsidR="005A5CBC" w:rsidRDefault="00720B67">
      <w:pPr>
        <w:pStyle w:val="Heading1"/>
        <w:spacing w:before="60"/>
        <w:jc w:val="left"/>
        <w:rPr>
          <w:rFonts w:ascii="Arial" w:eastAsia="Arial" w:hAnsi="Arial" w:cs="Arial"/>
        </w:rPr>
      </w:pPr>
      <w:bookmarkStart w:id="155" w:name="_1f7o1he" w:colFirst="0" w:colLast="0"/>
      <w:bookmarkEnd w:id="155"/>
      <w:r>
        <w:rPr>
          <w:rFonts w:ascii="Arial" w:eastAsia="Arial" w:hAnsi="Arial" w:cs="Arial"/>
        </w:rPr>
        <w:lastRenderedPageBreak/>
        <w:t>Schedule 5 - Balanced Scorecard</w:t>
      </w:r>
    </w:p>
    <w:p w14:paraId="43F15B81" w14:textId="2695570F" w:rsidR="005A5CBC" w:rsidRDefault="00DC3AE8" w:rsidP="00DC3AE8">
      <w:pPr>
        <w:jc w:val="left"/>
        <w:rPr>
          <w:rFonts w:ascii="Arial" w:eastAsia="Arial" w:hAnsi="Arial" w:cs="Arial"/>
          <w:sz w:val="24"/>
          <w:szCs w:val="24"/>
          <w:highlight w:val="white"/>
        </w:rPr>
      </w:pPr>
      <w:r>
        <w:rPr>
          <w:rFonts w:ascii="Arial" w:eastAsia="Arial" w:hAnsi="Arial" w:cs="Arial"/>
          <w:sz w:val="24"/>
          <w:szCs w:val="24"/>
          <w:highlight w:val="white"/>
        </w:rPr>
        <w:t>N/A</w:t>
      </w:r>
    </w:p>
    <w:p w14:paraId="722BFE43" w14:textId="75760136" w:rsidR="005A5CBC" w:rsidRDefault="005A5CBC">
      <w:pPr>
        <w:rPr>
          <w:rFonts w:ascii="Arial" w:eastAsia="Arial" w:hAnsi="Arial" w:cs="Arial"/>
          <w:b/>
          <w:sz w:val="24"/>
          <w:szCs w:val="24"/>
        </w:rPr>
      </w:pPr>
    </w:p>
    <w:p w14:paraId="1CC653D7" w14:textId="77777777" w:rsidR="005A5CBC" w:rsidRDefault="00720B67">
      <w:pPr>
        <w:pStyle w:val="Heading1"/>
        <w:spacing w:before="60"/>
        <w:jc w:val="left"/>
        <w:rPr>
          <w:rFonts w:ascii="Arial" w:eastAsia="Arial" w:hAnsi="Arial" w:cs="Arial"/>
        </w:rPr>
      </w:pPr>
      <w:bookmarkStart w:id="156" w:name="_3z7bk57" w:colFirst="0" w:colLast="0"/>
      <w:bookmarkEnd w:id="156"/>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r>
        <w:rPr>
          <w:rFonts w:ascii="Arial" w:eastAsia="Arial" w:hAnsi="Arial" w:cs="Arial"/>
        </w:rPr>
        <w:t xml:space="preserve">Sch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7" w:name="_2eclud0" w:colFirst="0" w:colLast="0"/>
      <w:bookmarkEnd w:id="157"/>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08DD931D" w14:textId="77777777" w:rsidR="00785A6C" w:rsidRDefault="00785A6C" w:rsidP="001A305F">
      <w:pPr>
        <w:rPr>
          <w:rFonts w:ascii="Arial" w:eastAsia="Arial" w:hAnsi="Arial" w:cs="Arial"/>
          <w:b/>
          <w:bCs/>
          <w:sz w:val="24"/>
          <w:szCs w:val="24"/>
        </w:rPr>
      </w:pPr>
      <w:r w:rsidRPr="00DC3AE8">
        <w:rPr>
          <w:rFonts w:ascii="Arial" w:eastAsia="Arial" w:hAnsi="Arial" w:cs="Arial"/>
          <w:b/>
          <w:bCs/>
          <w:sz w:val="24"/>
          <w:szCs w:val="24"/>
        </w:rPr>
        <w:t xml:space="preserve">Schedule </w:t>
      </w:r>
      <w:r>
        <w:rPr>
          <w:rFonts w:ascii="Arial" w:eastAsia="Arial" w:hAnsi="Arial" w:cs="Arial"/>
          <w:b/>
          <w:bCs/>
          <w:sz w:val="24"/>
          <w:szCs w:val="24"/>
        </w:rPr>
        <w:t>8</w:t>
      </w:r>
      <w:r w:rsidRPr="00DC3AE8">
        <w:rPr>
          <w:rFonts w:ascii="Arial" w:eastAsia="Arial" w:hAnsi="Arial" w:cs="Arial"/>
          <w:b/>
          <w:bCs/>
          <w:sz w:val="24"/>
          <w:szCs w:val="24"/>
        </w:rPr>
        <w:t xml:space="preserve"> </w:t>
      </w:r>
      <w:r>
        <w:rPr>
          <w:rFonts w:ascii="Arial" w:eastAsia="Arial" w:hAnsi="Arial" w:cs="Arial"/>
          <w:b/>
          <w:bCs/>
          <w:sz w:val="24"/>
          <w:szCs w:val="24"/>
        </w:rPr>
        <w:t>–</w:t>
      </w:r>
      <w:r w:rsidRPr="00DC3AE8">
        <w:rPr>
          <w:rFonts w:ascii="Arial" w:eastAsia="Arial" w:hAnsi="Arial" w:cs="Arial"/>
          <w:b/>
          <w:bCs/>
          <w:sz w:val="24"/>
          <w:szCs w:val="24"/>
        </w:rPr>
        <w:t xml:space="preserve"> </w:t>
      </w:r>
      <w:r>
        <w:rPr>
          <w:rFonts w:ascii="Arial" w:eastAsia="Arial" w:hAnsi="Arial" w:cs="Arial"/>
          <w:b/>
          <w:bCs/>
          <w:sz w:val="24"/>
          <w:szCs w:val="24"/>
        </w:rPr>
        <w:t>Deed of guarantee</w:t>
      </w:r>
    </w:p>
    <w:p w14:paraId="32211945" w14:textId="77777777" w:rsidR="00785A6C" w:rsidRDefault="00785A6C" w:rsidP="001A305F">
      <w:pPr>
        <w:rPr>
          <w:rFonts w:ascii="Arial" w:eastAsia="Arial" w:hAnsi="Arial" w:cs="Arial"/>
          <w:b/>
          <w:bCs/>
          <w:sz w:val="24"/>
          <w:szCs w:val="24"/>
        </w:rPr>
      </w:pPr>
    </w:p>
    <w:p w14:paraId="0A368F00" w14:textId="69E1B6E9" w:rsidR="005A5CBC" w:rsidRPr="00CF4177" w:rsidRDefault="00785A6C" w:rsidP="001A305F">
      <w:pPr>
        <w:rPr>
          <w:rFonts w:ascii="Arial" w:eastAsia="Arial" w:hAnsi="Arial" w:cs="Arial"/>
          <w:b/>
          <w:bCs/>
          <w:sz w:val="24"/>
          <w:szCs w:val="24"/>
        </w:rPr>
      </w:pPr>
      <w:r>
        <w:rPr>
          <w:rFonts w:ascii="Arial" w:eastAsia="Arial" w:hAnsi="Arial" w:cs="Arial"/>
          <w:sz w:val="24"/>
          <w:szCs w:val="24"/>
        </w:rPr>
        <w:t>N/A</w:t>
      </w:r>
      <w:r w:rsidRPr="00DC3AE8">
        <w:rPr>
          <w:b/>
          <w:bCs/>
          <w:sz w:val="24"/>
          <w:szCs w:val="24"/>
        </w:rPr>
        <w:t xml:space="preserve"> </w:t>
      </w:r>
      <w:r w:rsidR="00720B67" w:rsidRPr="00DC3AE8">
        <w:rPr>
          <w:b/>
          <w:bCs/>
        </w:rPr>
        <w:br w:type="page"/>
      </w:r>
      <w:bookmarkStart w:id="158" w:name="_thw4kt" w:colFirst="0" w:colLast="0"/>
      <w:bookmarkEnd w:id="158"/>
    </w:p>
    <w:p w14:paraId="6A18AC65" w14:textId="7065C14B" w:rsidR="005A5CBC" w:rsidRDefault="005A5CBC">
      <w:pPr>
        <w:rPr>
          <w:rFonts w:ascii="Arial" w:eastAsia="Arial" w:hAnsi="Arial" w:cs="Arial"/>
          <w:b/>
          <w:sz w:val="24"/>
          <w:szCs w:val="24"/>
        </w:rPr>
      </w:pPr>
    </w:p>
    <w:p w14:paraId="4F9A7DC6" w14:textId="77777777" w:rsidR="005A5CBC" w:rsidRDefault="00720B67">
      <w:pPr>
        <w:pStyle w:val="Heading1"/>
        <w:spacing w:before="60"/>
        <w:jc w:val="left"/>
        <w:rPr>
          <w:rFonts w:ascii="Arial" w:eastAsia="Arial" w:hAnsi="Arial" w:cs="Arial"/>
        </w:rPr>
      </w:pPr>
      <w:bookmarkStart w:id="159" w:name="_3dhjn8m" w:colFirst="0" w:colLast="0"/>
      <w:bookmarkEnd w:id="159"/>
      <w:r>
        <w:rPr>
          <w:rFonts w:ascii="Arial" w:eastAsia="Arial" w:hAnsi="Arial" w:cs="Arial"/>
        </w:rPr>
        <w:t xml:space="preserve">Schedule 9 - </w:t>
      </w:r>
      <w:r>
        <w:rPr>
          <w:rFonts w:ascii="Arial" w:eastAsia="Arial" w:hAnsi="Arial" w:cs="Arial"/>
          <w:color w:val="353535"/>
        </w:rPr>
        <w:t>Processing, Personal Data and Data Subjects</w:t>
      </w:r>
    </w:p>
    <w:p w14:paraId="74D80206" w14:textId="77777777" w:rsidR="005A5CBC" w:rsidRDefault="005A5CBC"/>
    <w:p w14:paraId="419166A8" w14:textId="77777777" w:rsidR="00B7226D" w:rsidRPr="007034BC" w:rsidRDefault="00B7226D" w:rsidP="00B7226D">
      <w:pPr>
        <w:keepNext/>
        <w:keepLines/>
        <w:numPr>
          <w:ilvl w:val="0"/>
          <w:numId w:val="45"/>
        </w:numPr>
        <w:overflowPunct w:val="0"/>
        <w:autoSpaceDE w:val="0"/>
        <w:autoSpaceDN w:val="0"/>
        <w:adjustRightInd w:val="0"/>
        <w:spacing w:before="120" w:after="120"/>
        <w:textAlignment w:val="baseline"/>
        <w:rPr>
          <w:rFonts w:ascii="Arial" w:hAnsi="Arial" w:cs="Arial"/>
          <w:b/>
        </w:rPr>
      </w:pPr>
      <w:r w:rsidRPr="007034BC">
        <w:rPr>
          <w:rFonts w:ascii="Arial" w:hAnsi="Arial" w:cs="Arial"/>
          <w:b/>
        </w:rPr>
        <w:t>Data Protection</w:t>
      </w:r>
    </w:p>
    <w:p w14:paraId="021C0810" w14:textId="77777777" w:rsidR="00B7226D" w:rsidRPr="00EE06E7" w:rsidRDefault="00B7226D" w:rsidP="00B7226D">
      <w:pPr>
        <w:keepNext/>
        <w:keepLines/>
        <w:numPr>
          <w:ilvl w:val="0"/>
          <w:numId w:val="46"/>
        </w:numPr>
        <w:overflowPunct w:val="0"/>
        <w:autoSpaceDE w:val="0"/>
        <w:autoSpaceDN w:val="0"/>
        <w:adjustRightInd w:val="0"/>
        <w:spacing w:before="120" w:after="120"/>
        <w:ind w:hanging="720"/>
        <w:textAlignment w:val="baseline"/>
        <w:rPr>
          <w:rFonts w:ascii="Arial" w:hAnsi="Arial" w:cs="Arial"/>
          <w:bCs/>
        </w:rPr>
      </w:pPr>
      <w:r w:rsidRPr="007B2D63">
        <w:rPr>
          <w:rFonts w:ascii="Arial" w:hAnsi="Arial" w:cs="Arial"/>
          <w:bCs/>
        </w:rPr>
        <w:t xml:space="preserve">All personal information that the Service Provider may use will be collected, processed, and held in accordance with the provisions of EU Regulation 2016/679 General Data Protection Regulation (“GDPR”) and the Client’s rights under the </w:t>
      </w:r>
      <w:r w:rsidRPr="00EE06E7">
        <w:rPr>
          <w:rFonts w:ascii="Arial" w:hAnsi="Arial" w:cs="Arial"/>
          <w:bCs/>
        </w:rPr>
        <w:t>GDPR.</w:t>
      </w:r>
    </w:p>
    <w:p w14:paraId="086DF6CD" w14:textId="77777777" w:rsidR="00B7226D" w:rsidRPr="00DC1CA7" w:rsidRDefault="00B7226D" w:rsidP="00B7226D">
      <w:pPr>
        <w:keepNext/>
        <w:keepLines/>
        <w:numPr>
          <w:ilvl w:val="0"/>
          <w:numId w:val="46"/>
        </w:numPr>
        <w:overflowPunct w:val="0"/>
        <w:autoSpaceDE w:val="0"/>
        <w:autoSpaceDN w:val="0"/>
        <w:adjustRightInd w:val="0"/>
        <w:spacing w:before="120" w:after="120"/>
        <w:ind w:hanging="720"/>
        <w:textAlignment w:val="baseline"/>
        <w:rPr>
          <w:rFonts w:ascii="Arial" w:hAnsi="Arial" w:cs="Arial"/>
          <w:bCs/>
        </w:rPr>
      </w:pPr>
      <w:r w:rsidRPr="00DC1CA7">
        <w:rPr>
          <w:rFonts w:ascii="Arial" w:hAnsi="Arial" w:cs="Arial"/>
          <w:bCs/>
        </w:rPr>
        <w:t xml:space="preserve">For complete details of the Service Provider’s collection, processing, storage, and retention of personal data including, but not limited to, the purpose(s) for which personal data is used, the legal basis or bases for using it, details of the Client’s rights and how to exercise them, and personal data sharing (where applicable), please refer to the Service Provider’s Privacy Notice available upon request. </w:t>
      </w:r>
      <w:r>
        <w:rPr>
          <w:rFonts w:ascii="Arial" w:hAnsi="Arial" w:cs="Arial"/>
          <w:bCs/>
        </w:rPr>
        <w:br/>
      </w:r>
    </w:p>
    <w:p w14:paraId="7DA1D7A9" w14:textId="77777777" w:rsidR="00B7226D" w:rsidRPr="007034BC" w:rsidRDefault="00B7226D" w:rsidP="00B7226D">
      <w:pPr>
        <w:keepNext/>
        <w:keepLines/>
        <w:numPr>
          <w:ilvl w:val="0"/>
          <w:numId w:val="45"/>
        </w:numPr>
        <w:overflowPunct w:val="0"/>
        <w:autoSpaceDE w:val="0"/>
        <w:autoSpaceDN w:val="0"/>
        <w:adjustRightInd w:val="0"/>
        <w:spacing w:before="120" w:after="120"/>
        <w:textAlignment w:val="baseline"/>
        <w:rPr>
          <w:rFonts w:ascii="Arial" w:hAnsi="Arial" w:cs="Arial"/>
          <w:b/>
        </w:rPr>
      </w:pPr>
      <w:r w:rsidRPr="007034BC">
        <w:rPr>
          <w:rFonts w:ascii="Arial" w:hAnsi="Arial" w:cs="Arial"/>
          <w:b/>
        </w:rPr>
        <w:t>Data Processing</w:t>
      </w:r>
    </w:p>
    <w:p w14:paraId="44DB6047" w14:textId="77777777" w:rsidR="00B7226D" w:rsidRPr="007B2D63" w:rsidRDefault="00B7226D" w:rsidP="00B7226D">
      <w:pPr>
        <w:pStyle w:val="Style2"/>
        <w:keepNext w:val="0"/>
        <w:keepLines w:val="0"/>
        <w:widowControl w:val="0"/>
        <w:numPr>
          <w:ilvl w:val="2"/>
          <w:numId w:val="45"/>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In this Clause 13, “personal data”, “data subject”, “data controller”, “data processor”, and “personal data breach” shall have the meaning defined in Article 4, EU Regulation 2016/679 General Data Protection Regulation (“GDPR”).</w:t>
      </w:r>
    </w:p>
    <w:p w14:paraId="2F095218" w14:textId="77777777" w:rsidR="00B7226D" w:rsidRPr="007B2D63" w:rsidRDefault="00B7226D" w:rsidP="00B7226D">
      <w:pPr>
        <w:pStyle w:val="Style2"/>
        <w:keepNext w:val="0"/>
        <w:keepLines w:val="0"/>
        <w:widowControl w:val="0"/>
        <w:numPr>
          <w:ilvl w:val="2"/>
          <w:numId w:val="45"/>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 xml:space="preserve">All personal data to be processed by the Service Provider on behalf of the Client under this Agreement shall be processed in accordance with the terms of the Data Processing Agreement entered into by the Parties on </w:t>
      </w:r>
      <w:r>
        <w:rPr>
          <w:rFonts w:ascii="Arial" w:hAnsi="Arial" w:cs="Arial"/>
          <w:b w:val="0"/>
          <w:bCs/>
          <w:szCs w:val="22"/>
        </w:rPr>
        <w:t>confirmation of this agreement.</w:t>
      </w:r>
    </w:p>
    <w:p w14:paraId="139F3571" w14:textId="77777777" w:rsidR="00B7226D" w:rsidRPr="007B2D63" w:rsidRDefault="00B7226D" w:rsidP="00B7226D">
      <w:pPr>
        <w:pStyle w:val="Style3n"/>
        <w:rPr>
          <w:rFonts w:cs="Arial"/>
          <w:bCs/>
          <w:szCs w:val="22"/>
        </w:rPr>
      </w:pPr>
      <w:r w:rsidRPr="007B2D63">
        <w:rPr>
          <w:rFonts w:cs="Arial"/>
          <w:bCs/>
          <w:szCs w:val="22"/>
        </w:rPr>
        <w:t>OR</w:t>
      </w:r>
    </w:p>
    <w:p w14:paraId="5DD1F7E8" w14:textId="77777777" w:rsidR="00B7226D" w:rsidRPr="007B2D63" w:rsidRDefault="00B7226D" w:rsidP="00B7226D">
      <w:pPr>
        <w:pStyle w:val="Style2"/>
        <w:keepNext w:val="0"/>
        <w:keepLines w:val="0"/>
        <w:widowControl w:val="0"/>
        <w:numPr>
          <w:ilvl w:val="2"/>
          <w:numId w:val="48"/>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The Parties hereby agree that they shall both comply with all applicable data protection requirements set out in the Data Protection Legislation. This Clause 13 shall not relieve either Party of any obligations set out in the Data Protection Legislation and does not remove or replace any of those obligations.</w:t>
      </w:r>
    </w:p>
    <w:p w14:paraId="5B206089" w14:textId="77777777" w:rsidR="00B7226D" w:rsidRPr="007B2D63" w:rsidRDefault="00B7226D" w:rsidP="00B7226D">
      <w:pPr>
        <w:pStyle w:val="Style2"/>
        <w:keepNext w:val="0"/>
        <w:keepLines w:val="0"/>
        <w:widowControl w:val="0"/>
        <w:numPr>
          <w:ilvl w:val="2"/>
          <w:numId w:val="45"/>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For the purposes of the Data Protection Legislation and for this Clause 13, the Service Provider is the “Data Processor” and the Client is the “Data Controller”.</w:t>
      </w:r>
    </w:p>
    <w:p w14:paraId="04245F22" w14:textId="77777777" w:rsidR="00B7226D" w:rsidRPr="007B2D63" w:rsidRDefault="00B7226D" w:rsidP="00B7226D">
      <w:pPr>
        <w:pStyle w:val="Style2"/>
        <w:keepNext w:val="0"/>
        <w:keepLines w:val="0"/>
        <w:widowControl w:val="0"/>
        <w:numPr>
          <w:ilvl w:val="2"/>
          <w:numId w:val="45"/>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 xml:space="preserve">The type(s) of personal data, the scope, nature and purpose of the processing, and the duration of the processing </w:t>
      </w:r>
      <w:r>
        <w:rPr>
          <w:rFonts w:ascii="Arial" w:hAnsi="Arial" w:cs="Arial"/>
          <w:b w:val="0"/>
          <w:bCs/>
          <w:szCs w:val="22"/>
        </w:rPr>
        <w:t>will be set out within the ordered Services.</w:t>
      </w:r>
    </w:p>
    <w:p w14:paraId="02625C65" w14:textId="77777777" w:rsidR="00B7226D" w:rsidRPr="007B2D63" w:rsidRDefault="00B7226D" w:rsidP="00B7226D">
      <w:pPr>
        <w:pStyle w:val="Style2"/>
        <w:keepNext w:val="0"/>
        <w:keepLines w:val="0"/>
        <w:widowControl w:val="0"/>
        <w:numPr>
          <w:ilvl w:val="2"/>
          <w:numId w:val="45"/>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The Data Controller shall ensure that it has in place all necessary consents and notices required to enable the lawful transfer of personal data to the Data Processor for the purposes described in this Agreement.</w:t>
      </w:r>
    </w:p>
    <w:p w14:paraId="127F3548" w14:textId="77777777" w:rsidR="00B7226D" w:rsidRPr="007B2D63" w:rsidRDefault="00B7226D" w:rsidP="00B7226D">
      <w:pPr>
        <w:pStyle w:val="Style2"/>
        <w:keepNext w:val="0"/>
        <w:keepLines w:val="0"/>
        <w:widowControl w:val="0"/>
        <w:numPr>
          <w:ilvl w:val="2"/>
          <w:numId w:val="45"/>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The Data Processor shall, with respect to any personal data processed by it in relation to its performance of any of its obligations under this Agreement:</w:t>
      </w:r>
    </w:p>
    <w:p w14:paraId="352BD38A" w14:textId="77777777" w:rsidR="00B7226D" w:rsidRPr="007B2D63" w:rsidRDefault="00B7226D" w:rsidP="00B7226D">
      <w:pPr>
        <w:pStyle w:val="Style311"/>
        <w:numPr>
          <w:ilvl w:val="4"/>
          <w:numId w:val="45"/>
        </w:numPr>
        <w:rPr>
          <w:szCs w:val="22"/>
        </w:rPr>
      </w:pPr>
      <w:r w:rsidRPr="007B2D63">
        <w:rPr>
          <w:szCs w:val="22"/>
        </w:rPr>
        <w:t>Process the personal data only on the written instructions of the Data Controller unless the Data Processor is otherwise required to process such personal data by law. The Data Processor shall promptly notify the Data Controller of such processing unless prohibited from doing so by law.</w:t>
      </w:r>
    </w:p>
    <w:p w14:paraId="6D5F3171" w14:textId="77777777" w:rsidR="00B7226D" w:rsidRPr="007B2D63" w:rsidRDefault="00B7226D" w:rsidP="00B7226D">
      <w:pPr>
        <w:pStyle w:val="Style311"/>
        <w:numPr>
          <w:ilvl w:val="4"/>
          <w:numId w:val="45"/>
        </w:numPr>
        <w:rPr>
          <w:szCs w:val="22"/>
        </w:rPr>
      </w:pPr>
      <w:r w:rsidRPr="007B2D63">
        <w:rPr>
          <w:szCs w:val="22"/>
        </w:rPr>
        <w:t xml:space="preserve">Ensure that it has in place suitable technical and organisational measures (as approved by the Data Controller) to protect the personal data from unauthorised or unlawful processing, accidental loss, damage, or destruction. Such measures shall be proportionate to the potential harm resulting from such events, taking into account the current state of the art in technology and the cost of implementing those measures. </w:t>
      </w:r>
    </w:p>
    <w:p w14:paraId="77F8B3DC" w14:textId="77777777" w:rsidR="00B7226D" w:rsidRPr="007B2D63" w:rsidRDefault="00B7226D" w:rsidP="00B7226D">
      <w:pPr>
        <w:pStyle w:val="Style311"/>
        <w:numPr>
          <w:ilvl w:val="4"/>
          <w:numId w:val="45"/>
        </w:numPr>
        <w:rPr>
          <w:szCs w:val="22"/>
        </w:rPr>
      </w:pPr>
      <w:r w:rsidRPr="007B2D63">
        <w:rPr>
          <w:szCs w:val="22"/>
        </w:rPr>
        <w:lastRenderedPageBreak/>
        <w:t>Ensure that any and all staff with access to the personal data (whether for processing purposes or otherwise) are contractually obliged to keep that personal data confidential; and</w:t>
      </w:r>
    </w:p>
    <w:p w14:paraId="1B18E9D9" w14:textId="77777777" w:rsidR="00B7226D" w:rsidRPr="007B2D63" w:rsidRDefault="00B7226D" w:rsidP="00B7226D">
      <w:pPr>
        <w:pStyle w:val="Style311"/>
        <w:numPr>
          <w:ilvl w:val="4"/>
          <w:numId w:val="45"/>
        </w:numPr>
        <w:rPr>
          <w:szCs w:val="22"/>
        </w:rPr>
      </w:pPr>
      <w:r w:rsidRPr="007B2D63">
        <w:rPr>
          <w:szCs w:val="22"/>
        </w:rPr>
        <w:t>Not transfer any personal data outside of the European Economic Area without the prior written consent of the Data Controller and only if the following conditions are satisfied:</w:t>
      </w:r>
    </w:p>
    <w:p w14:paraId="25CFE51A" w14:textId="77777777" w:rsidR="00B7226D" w:rsidRPr="007B2D63" w:rsidRDefault="00B7226D" w:rsidP="00B7226D">
      <w:pPr>
        <w:pStyle w:val="Style4"/>
        <w:numPr>
          <w:ilvl w:val="6"/>
          <w:numId w:val="45"/>
        </w:numPr>
        <w:ind w:left="3686" w:hanging="1560"/>
        <w:rPr>
          <w:rFonts w:cs="Arial"/>
          <w:bCs/>
          <w:szCs w:val="22"/>
        </w:rPr>
      </w:pPr>
      <w:r w:rsidRPr="007B2D63">
        <w:rPr>
          <w:rFonts w:cs="Arial"/>
          <w:bCs/>
          <w:szCs w:val="22"/>
        </w:rPr>
        <w:t>The Data Controller and/or the Data Processor has/have provided suitable safeguards for the transfer of personal data.</w:t>
      </w:r>
    </w:p>
    <w:p w14:paraId="3394E3EC" w14:textId="77777777" w:rsidR="00B7226D" w:rsidRPr="007B2D63" w:rsidRDefault="00B7226D" w:rsidP="00B7226D">
      <w:pPr>
        <w:pStyle w:val="Style4"/>
        <w:numPr>
          <w:ilvl w:val="6"/>
          <w:numId w:val="45"/>
        </w:numPr>
        <w:ind w:left="3686" w:hanging="1560"/>
        <w:rPr>
          <w:rFonts w:cs="Arial"/>
          <w:bCs/>
          <w:szCs w:val="22"/>
        </w:rPr>
      </w:pPr>
      <w:r w:rsidRPr="007B2D63">
        <w:rPr>
          <w:rFonts w:cs="Arial"/>
          <w:bCs/>
          <w:szCs w:val="22"/>
        </w:rPr>
        <w:t>Affected data subjects have enforceable rights and effective legal remedies.</w:t>
      </w:r>
    </w:p>
    <w:p w14:paraId="71F8A787" w14:textId="77777777" w:rsidR="00B7226D" w:rsidRPr="007B2D63" w:rsidRDefault="00B7226D" w:rsidP="00B7226D">
      <w:pPr>
        <w:pStyle w:val="Style4"/>
        <w:numPr>
          <w:ilvl w:val="6"/>
          <w:numId w:val="45"/>
        </w:numPr>
        <w:ind w:left="3686" w:hanging="1560"/>
        <w:rPr>
          <w:rFonts w:cs="Arial"/>
          <w:bCs/>
          <w:szCs w:val="22"/>
        </w:rPr>
      </w:pPr>
      <w:r w:rsidRPr="007B2D63">
        <w:rPr>
          <w:rFonts w:cs="Arial"/>
          <w:bCs/>
          <w:szCs w:val="22"/>
        </w:rPr>
        <w:t>The Data Processor complies with its obligations under the Data Protection Legislation, providing an adequate level of protection to any and all personal data so transferred; and</w:t>
      </w:r>
    </w:p>
    <w:p w14:paraId="6B3FDB3A" w14:textId="77777777" w:rsidR="00B7226D" w:rsidRPr="007B2D63" w:rsidRDefault="00B7226D" w:rsidP="00B7226D">
      <w:pPr>
        <w:pStyle w:val="Style4"/>
        <w:numPr>
          <w:ilvl w:val="6"/>
          <w:numId w:val="45"/>
        </w:numPr>
        <w:ind w:left="3686" w:hanging="1560"/>
        <w:rPr>
          <w:rFonts w:cs="Arial"/>
          <w:bCs/>
          <w:szCs w:val="22"/>
        </w:rPr>
      </w:pPr>
      <w:r w:rsidRPr="007B2D63">
        <w:rPr>
          <w:rFonts w:cs="Arial"/>
          <w:bCs/>
          <w:szCs w:val="22"/>
        </w:rPr>
        <w:t>The Data Processor complies with all reasonable instructions given in advance by the Data Controller with respect to the processing of the personal data.</w:t>
      </w:r>
    </w:p>
    <w:p w14:paraId="0BCA4393" w14:textId="77777777" w:rsidR="00B7226D" w:rsidRPr="007B2D63" w:rsidRDefault="00B7226D" w:rsidP="00B7226D">
      <w:pPr>
        <w:pStyle w:val="Style311"/>
        <w:numPr>
          <w:ilvl w:val="4"/>
          <w:numId w:val="45"/>
        </w:numPr>
        <w:rPr>
          <w:szCs w:val="22"/>
        </w:rPr>
      </w:pPr>
      <w:r w:rsidRPr="007B2D63">
        <w:rPr>
          <w:szCs w:val="22"/>
        </w:rPr>
        <w:t>Assist the Data Controller at the Data Controller’s cost, in responding to any and all requests from data subjects in ensuring its compliance with the Data Protection Legislation with respect to security, breach notifications, impact assessments, and consultations with supervisory authorities or regulators (including, but not limited to, the Information Commissioner’s Office);</w:t>
      </w:r>
    </w:p>
    <w:p w14:paraId="698F097C" w14:textId="77777777" w:rsidR="00B7226D" w:rsidRPr="007B2D63" w:rsidRDefault="00B7226D" w:rsidP="00B7226D">
      <w:pPr>
        <w:pStyle w:val="Style311"/>
        <w:numPr>
          <w:ilvl w:val="4"/>
          <w:numId w:val="45"/>
        </w:numPr>
        <w:rPr>
          <w:szCs w:val="22"/>
        </w:rPr>
      </w:pPr>
      <w:r w:rsidRPr="007B2D63">
        <w:rPr>
          <w:szCs w:val="22"/>
        </w:rPr>
        <w:t>Notify the Data Controller without undue delay of a personal data breach.</w:t>
      </w:r>
    </w:p>
    <w:p w14:paraId="2F6BC4E5" w14:textId="77777777" w:rsidR="00B7226D" w:rsidRPr="007B2D63" w:rsidRDefault="00B7226D" w:rsidP="00B7226D">
      <w:pPr>
        <w:pStyle w:val="Style311"/>
        <w:numPr>
          <w:ilvl w:val="4"/>
          <w:numId w:val="45"/>
        </w:numPr>
        <w:rPr>
          <w:szCs w:val="22"/>
        </w:rPr>
      </w:pPr>
      <w:r w:rsidRPr="007B2D63">
        <w:rPr>
          <w:szCs w:val="22"/>
        </w:rPr>
        <w:t>On the Data Controller’s written instruction, delete (or otherwise dispose of) or return all personal data and any and all copies thereof to the Data Controller on termination of this Agreement unless it is required to retain any of the personal data by law; and</w:t>
      </w:r>
    </w:p>
    <w:p w14:paraId="546D5FC7" w14:textId="77777777" w:rsidR="00B7226D" w:rsidRPr="007B2D63" w:rsidRDefault="00B7226D" w:rsidP="00B7226D">
      <w:pPr>
        <w:pStyle w:val="Style311"/>
        <w:numPr>
          <w:ilvl w:val="4"/>
          <w:numId w:val="45"/>
        </w:numPr>
        <w:rPr>
          <w:szCs w:val="22"/>
        </w:rPr>
      </w:pPr>
      <w:r w:rsidRPr="007B2D63">
        <w:rPr>
          <w:szCs w:val="22"/>
        </w:rPr>
        <w:t>Maintain complete and accurate records of all processing activities and technical and organisational measures implemented necessary to demonstrate compliance with this Clause 13 and to allow for audits by the Data Controller and/or any party designated by the Data Controller.</w:t>
      </w:r>
    </w:p>
    <w:p w14:paraId="0300464A" w14:textId="77777777" w:rsidR="00B7226D" w:rsidRPr="007B2D63" w:rsidRDefault="00B7226D" w:rsidP="00B7226D">
      <w:pPr>
        <w:pStyle w:val="Style2"/>
        <w:keepNext w:val="0"/>
        <w:keepLines w:val="0"/>
        <w:widowControl w:val="0"/>
        <w:numPr>
          <w:ilvl w:val="2"/>
          <w:numId w:val="47"/>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The Data Processor shall not sub-contract any of its obligations to a sub-processor with respect to the processing of personal data under this Clause 13 without the prior written consent of the Data Controller (such consent not to be unreasonably withheld). In the event that the Data Processor appoints a sub-processor, the Data Processor shall:</w:t>
      </w:r>
    </w:p>
    <w:p w14:paraId="3C953510" w14:textId="77777777" w:rsidR="00B7226D" w:rsidRPr="007B2D63" w:rsidRDefault="00B7226D" w:rsidP="00B7226D">
      <w:pPr>
        <w:pStyle w:val="Style311"/>
        <w:numPr>
          <w:ilvl w:val="4"/>
          <w:numId w:val="47"/>
        </w:numPr>
        <w:rPr>
          <w:szCs w:val="22"/>
        </w:rPr>
      </w:pPr>
      <w:r w:rsidRPr="007B2D63">
        <w:rPr>
          <w:szCs w:val="22"/>
        </w:rPr>
        <w:t>Enter into a written agreement with the sub-processor, which shall impose upon the sub-processor the same obligations as are imposed upon the Data Processor by this Clause 13 and which shall permit both the Data Processor and the Data Controller to enforce those obligations; and</w:t>
      </w:r>
    </w:p>
    <w:p w14:paraId="432178C9" w14:textId="77777777" w:rsidR="00B7226D" w:rsidRPr="007B2D63" w:rsidRDefault="00B7226D" w:rsidP="00B7226D">
      <w:pPr>
        <w:pStyle w:val="Style311"/>
        <w:numPr>
          <w:ilvl w:val="4"/>
          <w:numId w:val="47"/>
        </w:numPr>
        <w:rPr>
          <w:szCs w:val="22"/>
        </w:rPr>
      </w:pPr>
      <w:r w:rsidRPr="007B2D63">
        <w:rPr>
          <w:szCs w:val="22"/>
        </w:rPr>
        <w:t>Ensure that the sub-processor complies fully with its obligations under that agreement and the Data Protection Legislation.</w:t>
      </w:r>
    </w:p>
    <w:p w14:paraId="75315FAA" w14:textId="41DD4299" w:rsidR="005A5CBC" w:rsidRPr="00B7226D" w:rsidRDefault="00B7226D" w:rsidP="00B7226D">
      <w:pPr>
        <w:pStyle w:val="Style2"/>
        <w:keepNext w:val="0"/>
        <w:keepLines w:val="0"/>
        <w:widowControl w:val="0"/>
        <w:numPr>
          <w:ilvl w:val="2"/>
          <w:numId w:val="45"/>
        </w:numPr>
        <w:overflowPunct w:val="0"/>
        <w:autoSpaceDE w:val="0"/>
        <w:autoSpaceDN w:val="0"/>
        <w:adjustRightInd w:val="0"/>
        <w:spacing w:before="0" w:after="120" w:line="240" w:lineRule="auto"/>
        <w:contextualSpacing w:val="0"/>
        <w:jc w:val="both"/>
        <w:textAlignment w:val="baseline"/>
        <w:outlineLvl w:val="9"/>
        <w:rPr>
          <w:rFonts w:ascii="Arial" w:hAnsi="Arial" w:cs="Arial"/>
          <w:b w:val="0"/>
          <w:bCs/>
          <w:szCs w:val="22"/>
        </w:rPr>
      </w:pPr>
      <w:r w:rsidRPr="007B2D63">
        <w:rPr>
          <w:rFonts w:ascii="Arial" w:hAnsi="Arial" w:cs="Arial"/>
          <w:b w:val="0"/>
          <w:bCs/>
          <w:szCs w:val="22"/>
        </w:rPr>
        <w:t xml:space="preserve">Either Party may, at any time, and on at least </w:t>
      </w:r>
      <w:r>
        <w:rPr>
          <w:rFonts w:ascii="Arial" w:hAnsi="Arial" w:cs="Arial"/>
          <w:b w:val="0"/>
          <w:bCs/>
          <w:szCs w:val="22"/>
        </w:rPr>
        <w:t>30 days</w:t>
      </w:r>
      <w:r w:rsidRPr="007B2D63">
        <w:rPr>
          <w:rFonts w:ascii="Arial" w:hAnsi="Arial" w:cs="Arial"/>
          <w:b w:val="0"/>
          <w:bCs/>
          <w:szCs w:val="22"/>
        </w:rPr>
        <w:t xml:space="preserve"> notice, alter this Clause 13, replacing it with any applicable data processing clauses or similar terms that form part of an applicable certification scheme. Such terms shall apply when replaced by attachment to this Agreement.</w:t>
      </w: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2CCB0BD7" w14:textId="6035FCCB" w:rsidR="005A5CBC" w:rsidRDefault="00720B67" w:rsidP="00B7226D">
      <w:pPr>
        <w:rPr>
          <w:rFonts w:ascii="Arial" w:eastAsia="Arial" w:hAnsi="Arial" w:cs="Arial"/>
          <w:color w:val="353535"/>
        </w:rPr>
      </w:pPr>
      <w:bookmarkStart w:id="160" w:name="_1smtxgf" w:colFirst="0" w:colLast="0"/>
      <w:bookmarkEnd w:id="160"/>
      <w:r>
        <w:br w:type="page"/>
      </w:r>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6DD29CEF"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1: Alternative Jurisdictions</w:t>
      </w:r>
    </w:p>
    <w:p w14:paraId="43DB7BAE" w14:textId="77777777" w:rsidR="005A5CBC" w:rsidRDefault="005A5CBC"/>
    <w:p w14:paraId="5624899E" w14:textId="77777777" w:rsidR="005A5CBC" w:rsidRPr="00A8264F" w:rsidRDefault="00720B67">
      <w:pPr>
        <w:tabs>
          <w:tab w:val="left" w:pos="1560"/>
        </w:tabs>
        <w:spacing w:before="120"/>
        <w:jc w:val="left"/>
        <w:rPr>
          <w:rFonts w:ascii="Arial" w:eastAsia="Arial" w:hAnsi="Arial" w:cs="Arial"/>
          <w:sz w:val="24"/>
          <w:szCs w:val="24"/>
        </w:rPr>
      </w:pPr>
      <w:r w:rsidRPr="00A8264F">
        <w:rPr>
          <w:rFonts w:ascii="Arial" w:eastAsia="Arial" w:hAnsi="Arial" w:cs="Arial"/>
          <w:sz w:val="24"/>
          <w:szCs w:val="24"/>
        </w:rPr>
        <w:t>[These alternative clauses can be substituted into the appropriate places in the Call-Off Contract in order to effect changes in jurisdiction from England &amp; Wales to either Scotland or Northern Ireland as appropriate. If used, their use should be indicated in the Section A Order Form under “Additional Buyer terms”]</w:t>
      </w:r>
    </w:p>
    <w:p w14:paraId="52C05035" w14:textId="77777777" w:rsidR="005A5CBC" w:rsidRPr="00A8264F" w:rsidRDefault="00720B67">
      <w:pPr>
        <w:tabs>
          <w:tab w:val="left" w:pos="5850"/>
        </w:tabs>
        <w:spacing w:before="120"/>
        <w:jc w:val="left"/>
        <w:rPr>
          <w:rFonts w:ascii="Arial" w:eastAsia="Arial" w:hAnsi="Arial" w:cs="Arial"/>
          <w:sz w:val="24"/>
          <w:szCs w:val="24"/>
        </w:rPr>
      </w:pPr>
      <w:r w:rsidRPr="00A8264F">
        <w:rPr>
          <w:rFonts w:ascii="Arial" w:eastAsia="Arial" w:hAnsi="Arial" w:cs="Arial"/>
          <w:sz w:val="24"/>
          <w:szCs w:val="24"/>
        </w:rPr>
        <w:tab/>
      </w:r>
    </w:p>
    <w:p w14:paraId="36D1EAF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Clause 43.1</w:t>
      </w:r>
    </w:p>
    <w:p w14:paraId="2E305DFA" w14:textId="77777777" w:rsidR="005A5CBC" w:rsidRPr="00A8264F" w:rsidRDefault="005A5CBC">
      <w:pPr>
        <w:tabs>
          <w:tab w:val="left" w:pos="1560"/>
        </w:tabs>
        <w:spacing w:before="120"/>
        <w:jc w:val="left"/>
        <w:rPr>
          <w:rFonts w:ascii="Arial" w:eastAsia="Arial" w:hAnsi="Arial" w:cs="Arial"/>
          <w:sz w:val="24"/>
          <w:szCs w:val="24"/>
        </w:rPr>
      </w:pPr>
    </w:p>
    <w:p w14:paraId="1091FB8B" w14:textId="77777777" w:rsidR="005A5CBC" w:rsidRPr="00A8264F" w:rsidRDefault="00720B67">
      <w:pPr>
        <w:tabs>
          <w:tab w:val="left" w:pos="1560"/>
        </w:tabs>
        <w:spacing w:before="120"/>
        <w:jc w:val="left"/>
        <w:rPr>
          <w:rFonts w:ascii="Arial" w:eastAsia="Arial" w:hAnsi="Arial" w:cs="Arial"/>
          <w:sz w:val="24"/>
          <w:szCs w:val="24"/>
        </w:rPr>
      </w:pPr>
      <w:r w:rsidRPr="00785A6C">
        <w:rPr>
          <w:rFonts w:ascii="Arial" w:eastAsia="Arial" w:hAnsi="Arial" w:cs="Arial"/>
          <w:sz w:val="24"/>
          <w:szCs w:val="24"/>
        </w:rPr>
        <w:t>43.1</w:t>
      </w:r>
      <w:r w:rsidRPr="00785A6C">
        <w:rPr>
          <w:rFonts w:ascii="Arial" w:eastAsia="Arial" w:hAnsi="Arial" w:cs="Arial"/>
          <w:sz w:val="24"/>
          <w:szCs w:val="24"/>
        </w:rPr>
        <w:tab/>
        <w:t xml:space="preserve">The Call-Off Contract will be governed by the Laws of </w:t>
      </w:r>
      <w:r w:rsidRPr="00A8264F">
        <w:rPr>
          <w:rFonts w:ascii="Arial" w:eastAsia="Arial" w:hAnsi="Arial" w:cs="Arial"/>
          <w:sz w:val="24"/>
          <w:szCs w:val="24"/>
        </w:rPr>
        <w:t>[Scotland/Northern Ireland]</w:t>
      </w:r>
      <w:r w:rsidRPr="00785A6C">
        <w:rPr>
          <w:rFonts w:ascii="Arial" w:eastAsia="Arial" w:hAnsi="Arial" w:cs="Arial"/>
          <w:sz w:val="24"/>
          <w:szCs w:val="24"/>
        </w:rPr>
        <w:t xml:space="preserve">. Each Party agrees to submit to the exclusive jurisdiction of the courts of </w:t>
      </w:r>
      <w:r w:rsidRPr="00A8264F">
        <w:rPr>
          <w:rFonts w:ascii="Arial" w:eastAsia="Arial" w:hAnsi="Arial" w:cs="Arial"/>
          <w:sz w:val="24"/>
          <w:szCs w:val="24"/>
        </w:rPr>
        <w:t>[Scotland/Northern Ireland]</w:t>
      </w:r>
      <w:r w:rsidRPr="00785A6C">
        <w:rPr>
          <w:rFonts w:ascii="Arial" w:eastAsia="Arial" w:hAnsi="Arial" w:cs="Arial"/>
          <w:sz w:val="24"/>
          <w:szCs w:val="24"/>
        </w:rPr>
        <w:t xml:space="preserve"> and for all disputes to be conducted within </w:t>
      </w:r>
      <w:r w:rsidRPr="00A8264F">
        <w:rPr>
          <w:rFonts w:ascii="Arial" w:eastAsia="Arial" w:hAnsi="Arial" w:cs="Arial"/>
          <w:sz w:val="24"/>
          <w:szCs w:val="24"/>
        </w:rPr>
        <w:t>[Scotland/Northern Ireland]</w:t>
      </w:r>
      <w:r w:rsidRPr="00785A6C">
        <w:rPr>
          <w:rFonts w:ascii="Arial" w:eastAsia="Arial" w:hAnsi="Arial" w:cs="Arial"/>
          <w:sz w:val="24"/>
          <w:szCs w:val="24"/>
        </w:rPr>
        <w:t>.</w:t>
      </w:r>
    </w:p>
    <w:p w14:paraId="4B6BAE0E" w14:textId="77777777" w:rsidR="005A5CBC" w:rsidRDefault="005A5CBC">
      <w:pPr>
        <w:tabs>
          <w:tab w:val="left" w:pos="1560"/>
        </w:tabs>
        <w:spacing w:before="120"/>
        <w:jc w:val="left"/>
        <w:rPr>
          <w:rFonts w:ascii="Arial" w:eastAsia="Arial" w:hAnsi="Arial" w:cs="Arial"/>
          <w:sz w:val="24"/>
          <w:szCs w:val="24"/>
          <w:highlight w:val="white"/>
        </w:rPr>
      </w:pPr>
    </w:p>
    <w:p w14:paraId="7D012F84" w14:textId="77777777" w:rsidR="005A5CBC" w:rsidRDefault="00720B67">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Change Defined Terms</w:t>
      </w:r>
    </w:p>
    <w:p w14:paraId="3188D264" w14:textId="77777777" w:rsidR="005A5CBC" w:rsidRPr="00A8264F" w:rsidRDefault="00720B67">
      <w:pPr>
        <w:tabs>
          <w:tab w:val="left" w:pos="1560"/>
        </w:tabs>
        <w:spacing w:before="120"/>
        <w:jc w:val="left"/>
        <w:rPr>
          <w:rFonts w:ascii="Arial" w:eastAsia="Arial" w:hAnsi="Arial" w:cs="Arial"/>
          <w:sz w:val="24"/>
          <w:szCs w:val="24"/>
        </w:rPr>
      </w:pPr>
      <w:r w:rsidRPr="00A8264F">
        <w:rPr>
          <w:rFonts w:ascii="Arial" w:eastAsia="Arial" w:hAnsi="Arial" w:cs="Arial"/>
          <w:sz w:val="24"/>
          <w:szCs w:val="24"/>
        </w:rPr>
        <w:t>[Replace the following relevant defined term]</w:t>
      </w:r>
    </w:p>
    <w:p w14:paraId="68FC0E7B" w14:textId="77777777" w:rsidR="005A5CBC" w:rsidRDefault="005A5CBC">
      <w:pPr>
        <w:tabs>
          <w:tab w:val="left" w:pos="1560"/>
        </w:tabs>
        <w:spacing w:before="120"/>
        <w:jc w:val="left"/>
        <w:rPr>
          <w:rFonts w:ascii="Arial" w:eastAsia="Arial" w:hAnsi="Arial" w:cs="Arial"/>
          <w:sz w:val="24"/>
          <w:szCs w:val="24"/>
          <w:highlight w:val="white"/>
        </w:rPr>
      </w:pPr>
    </w:p>
    <w:tbl>
      <w:tblPr>
        <w:tblStyle w:val="af8"/>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59528496"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C481D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4EF7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day other than a Saturday, Sunday or public </w:t>
            </w:r>
            <w:r w:rsidRPr="00A8264F">
              <w:rPr>
                <w:rFonts w:ascii="Arial" w:eastAsia="Arial" w:hAnsi="Arial" w:cs="Arial"/>
                <w:sz w:val="24"/>
                <w:szCs w:val="24"/>
              </w:rPr>
              <w:t xml:space="preserve">holiday in [Scotland/Northern Ireland], </w:t>
            </w:r>
            <w:r>
              <w:rPr>
                <w:rFonts w:ascii="Arial" w:eastAsia="Arial" w:hAnsi="Arial" w:cs="Arial"/>
                <w:sz w:val="24"/>
                <w:szCs w:val="24"/>
                <w:highlight w:val="white"/>
              </w:rPr>
              <w:t>from 9am to 5pm unless otherwise agreed with the Buyer and the Supplier in the Call-Off Contract</w:t>
            </w:r>
          </w:p>
        </w:tc>
      </w:tr>
    </w:tbl>
    <w:p w14:paraId="4DB553B8" w14:textId="77777777" w:rsidR="005A5CBC" w:rsidRDefault="005A5CBC">
      <w:pPr>
        <w:tabs>
          <w:tab w:val="left" w:pos="1560"/>
        </w:tabs>
        <w:spacing w:before="120"/>
        <w:jc w:val="left"/>
        <w:rPr>
          <w:rFonts w:ascii="Arial" w:eastAsia="Arial" w:hAnsi="Arial" w:cs="Arial"/>
          <w:sz w:val="24"/>
          <w:szCs w:val="24"/>
          <w:highlight w:val="white"/>
        </w:rPr>
      </w:pPr>
    </w:p>
    <w:p w14:paraId="4059A2E5"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Pr>
          <w:rFonts w:ascii="Arial" w:eastAsia="Arial" w:hAnsi="Arial" w:cs="Arial"/>
          <w:b/>
          <w:sz w:val="24"/>
          <w:szCs w:val="24"/>
        </w:rPr>
        <w:t>chedule 8 - Deed of guarantee</w:t>
      </w:r>
    </w:p>
    <w:p w14:paraId="49CAF7FE" w14:textId="77777777" w:rsidR="005A5CBC" w:rsidRDefault="005A5CBC">
      <w:pPr>
        <w:tabs>
          <w:tab w:val="left" w:pos="1560"/>
        </w:tabs>
        <w:spacing w:before="120"/>
        <w:jc w:val="left"/>
        <w:rPr>
          <w:rFonts w:ascii="Arial" w:eastAsia="Arial" w:hAnsi="Arial" w:cs="Arial"/>
          <w:sz w:val="24"/>
          <w:szCs w:val="24"/>
          <w:highlight w:val="green"/>
        </w:rPr>
      </w:pPr>
    </w:p>
    <w:p w14:paraId="0A98AC16" w14:textId="77777777" w:rsidR="005A5CBC" w:rsidRPr="00A8264F" w:rsidRDefault="00720B67">
      <w:pPr>
        <w:tabs>
          <w:tab w:val="left" w:pos="1560"/>
        </w:tabs>
        <w:spacing w:before="120"/>
        <w:jc w:val="left"/>
        <w:rPr>
          <w:rFonts w:ascii="Arial" w:eastAsia="Arial" w:hAnsi="Arial" w:cs="Arial"/>
          <w:sz w:val="24"/>
          <w:szCs w:val="24"/>
        </w:rPr>
      </w:pPr>
      <w:r w:rsidRPr="00A8264F">
        <w:rPr>
          <w:rFonts w:ascii="Arial" w:eastAsia="Arial" w:hAnsi="Arial" w:cs="Arial"/>
          <w:sz w:val="24"/>
          <w:szCs w:val="24"/>
        </w:rPr>
        <w:t>[Replace paragraph 1]</w:t>
      </w:r>
    </w:p>
    <w:p w14:paraId="1E0E6F2F" w14:textId="77777777" w:rsidR="005A5CBC" w:rsidRPr="00A8264F" w:rsidRDefault="00720B67">
      <w:pPr>
        <w:tabs>
          <w:tab w:val="left" w:pos="1560"/>
        </w:tabs>
        <w:spacing w:before="120"/>
        <w:jc w:val="left"/>
        <w:rPr>
          <w:rFonts w:ascii="Arial" w:eastAsia="Arial" w:hAnsi="Arial" w:cs="Arial"/>
          <w:sz w:val="24"/>
          <w:szCs w:val="24"/>
        </w:rPr>
      </w:pPr>
      <w:r w:rsidRPr="00785A6C">
        <w:rPr>
          <w:rFonts w:ascii="Arial" w:eastAsia="Arial" w:hAnsi="Arial" w:cs="Arial"/>
          <w:sz w:val="24"/>
          <w:szCs w:val="24"/>
        </w:rPr>
        <w:t>(1)</w:t>
      </w:r>
      <w:r w:rsidRPr="00785A6C">
        <w:rPr>
          <w:rFonts w:ascii="Arial" w:eastAsia="Arial" w:hAnsi="Arial" w:cs="Arial"/>
          <w:sz w:val="24"/>
          <w:szCs w:val="24"/>
        </w:rPr>
        <w:tab/>
      </w:r>
      <w:r w:rsidRPr="00A8264F">
        <w:rPr>
          <w:rFonts w:ascii="Arial" w:eastAsia="Arial" w:hAnsi="Arial" w:cs="Arial"/>
          <w:sz w:val="24"/>
          <w:szCs w:val="24"/>
        </w:rPr>
        <w:t>[Insert the name of the guarantor]</w:t>
      </w:r>
      <w:r w:rsidRPr="00785A6C">
        <w:rPr>
          <w:rFonts w:ascii="Arial" w:eastAsia="Arial" w:hAnsi="Arial" w:cs="Arial"/>
          <w:sz w:val="24"/>
          <w:szCs w:val="24"/>
        </w:rPr>
        <w:t xml:space="preserve"> a company incorporated under the Laws of </w:t>
      </w:r>
      <w:r w:rsidRPr="00A8264F">
        <w:rPr>
          <w:rFonts w:ascii="Arial" w:eastAsia="Arial" w:hAnsi="Arial" w:cs="Arial"/>
          <w:sz w:val="24"/>
          <w:szCs w:val="24"/>
        </w:rPr>
        <w:t>[Scotland/Northern Ireland]</w:t>
      </w:r>
      <w:r w:rsidRPr="00785A6C">
        <w:rPr>
          <w:rFonts w:ascii="Arial" w:eastAsia="Arial" w:hAnsi="Arial" w:cs="Arial"/>
          <w:sz w:val="24"/>
          <w:szCs w:val="24"/>
        </w:rPr>
        <w:t xml:space="preserve">, registered in </w:t>
      </w:r>
      <w:r w:rsidRPr="00A8264F">
        <w:rPr>
          <w:rFonts w:ascii="Arial" w:eastAsia="Arial" w:hAnsi="Arial" w:cs="Arial"/>
          <w:sz w:val="24"/>
          <w:szCs w:val="24"/>
        </w:rPr>
        <w:t>[Scotland/Northern Ireland]</w:t>
      </w:r>
      <w:r w:rsidRPr="00785A6C">
        <w:rPr>
          <w:rFonts w:ascii="Arial" w:eastAsia="Arial" w:hAnsi="Arial" w:cs="Arial"/>
          <w:sz w:val="24"/>
          <w:szCs w:val="24"/>
        </w:rPr>
        <w:t xml:space="preserve"> with number </w:t>
      </w:r>
      <w:r w:rsidRPr="00A8264F">
        <w:rPr>
          <w:rFonts w:ascii="Arial" w:eastAsia="Arial" w:hAnsi="Arial" w:cs="Arial"/>
          <w:sz w:val="24"/>
          <w:szCs w:val="24"/>
        </w:rPr>
        <w:t>[insert number]</w:t>
      </w:r>
      <w:r w:rsidRPr="00785A6C">
        <w:rPr>
          <w:rFonts w:ascii="Arial" w:eastAsia="Arial" w:hAnsi="Arial" w:cs="Arial"/>
          <w:sz w:val="24"/>
          <w:szCs w:val="24"/>
        </w:rPr>
        <w:t xml:space="preserve"> at </w:t>
      </w:r>
      <w:r w:rsidRPr="00A8264F">
        <w:rPr>
          <w:rFonts w:ascii="Arial" w:eastAsia="Arial" w:hAnsi="Arial" w:cs="Arial"/>
          <w:sz w:val="24"/>
          <w:szCs w:val="24"/>
        </w:rPr>
        <w:t>[insert place of registration]</w:t>
      </w:r>
      <w:r w:rsidRPr="00785A6C">
        <w:rPr>
          <w:rFonts w:ascii="Arial" w:eastAsia="Arial" w:hAnsi="Arial" w:cs="Arial"/>
          <w:sz w:val="24"/>
          <w:szCs w:val="24"/>
        </w:rPr>
        <w:t xml:space="preserve">, whose </w:t>
      </w:r>
      <w:r w:rsidRPr="00A8264F">
        <w:rPr>
          <w:rFonts w:ascii="Arial" w:eastAsia="Arial" w:hAnsi="Arial" w:cs="Arial"/>
          <w:sz w:val="24"/>
          <w:szCs w:val="24"/>
        </w:rPr>
        <w:t>principal</w:t>
      </w:r>
      <w:r w:rsidRPr="00785A6C">
        <w:rPr>
          <w:rFonts w:ascii="Arial" w:eastAsia="Arial" w:hAnsi="Arial" w:cs="Arial"/>
          <w:sz w:val="24"/>
          <w:szCs w:val="24"/>
        </w:rPr>
        <w:t xml:space="preserve"> office is at </w:t>
      </w:r>
      <w:r w:rsidRPr="00A8264F">
        <w:rPr>
          <w:rFonts w:ascii="Arial" w:eastAsia="Arial" w:hAnsi="Arial" w:cs="Arial"/>
          <w:sz w:val="24"/>
          <w:szCs w:val="24"/>
        </w:rPr>
        <w:t>[insert office details]</w:t>
      </w:r>
      <w:r w:rsidRPr="00785A6C">
        <w:rPr>
          <w:rFonts w:ascii="Arial" w:eastAsia="Arial" w:hAnsi="Arial" w:cs="Arial"/>
          <w:i/>
          <w:sz w:val="24"/>
          <w:szCs w:val="24"/>
        </w:rPr>
        <w:t xml:space="preserve"> </w:t>
      </w:r>
      <w:r w:rsidRPr="00785A6C">
        <w:rPr>
          <w:rFonts w:ascii="Arial" w:eastAsia="Arial" w:hAnsi="Arial" w:cs="Arial"/>
          <w:sz w:val="24"/>
          <w:szCs w:val="24"/>
        </w:rPr>
        <w:t>(</w:t>
      </w:r>
      <w:r w:rsidRPr="00785A6C">
        <w:rPr>
          <w:rFonts w:ascii="Arial" w:eastAsia="Arial" w:hAnsi="Arial" w:cs="Arial"/>
          <w:b/>
          <w:sz w:val="24"/>
          <w:szCs w:val="24"/>
        </w:rPr>
        <w:t>'guarantor'</w:t>
      </w:r>
      <w:r w:rsidRPr="00785A6C">
        <w:rPr>
          <w:rFonts w:ascii="Arial" w:eastAsia="Arial" w:hAnsi="Arial" w:cs="Arial"/>
          <w:sz w:val="24"/>
          <w:szCs w:val="24"/>
        </w:rPr>
        <w:t>); in favour of</w:t>
      </w:r>
    </w:p>
    <w:p w14:paraId="2ACC117A" w14:textId="77777777" w:rsidR="005A5CBC" w:rsidRDefault="005A5CBC">
      <w:pPr>
        <w:tabs>
          <w:tab w:val="left" w:pos="1560"/>
        </w:tabs>
        <w:spacing w:before="120"/>
        <w:jc w:val="left"/>
        <w:rPr>
          <w:rFonts w:ascii="Arial" w:eastAsia="Arial" w:hAnsi="Arial" w:cs="Arial"/>
          <w:sz w:val="24"/>
          <w:szCs w:val="24"/>
          <w:highlight w:val="white"/>
        </w:rPr>
      </w:pPr>
    </w:p>
    <w:p w14:paraId="71C74005" w14:textId="77777777" w:rsidR="005A5CBC" w:rsidRDefault="00720B67">
      <w:pPr>
        <w:tabs>
          <w:tab w:val="left" w:pos="1560"/>
        </w:tabs>
        <w:spacing w:before="120"/>
        <w:jc w:val="left"/>
        <w:rPr>
          <w:rFonts w:ascii="Arial" w:eastAsia="Arial" w:hAnsi="Arial" w:cs="Arial"/>
          <w:sz w:val="24"/>
          <w:szCs w:val="24"/>
          <w:highlight w:val="green"/>
        </w:rPr>
      </w:pPr>
      <w:r w:rsidRPr="00A8264F">
        <w:rPr>
          <w:rFonts w:ascii="Arial" w:eastAsia="Arial" w:hAnsi="Arial" w:cs="Arial"/>
          <w:sz w:val="24"/>
          <w:szCs w:val="24"/>
        </w:rPr>
        <w:t>[Replace initial paragraphs of “Demands and notices”]</w:t>
      </w:r>
    </w:p>
    <w:p w14:paraId="03F003B2" w14:textId="77777777" w:rsidR="005A5CBC" w:rsidRPr="00785A6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w:t>
      </w:r>
      <w:r w:rsidRPr="00785A6C">
        <w:rPr>
          <w:rFonts w:ascii="Arial" w:eastAsia="Arial" w:hAnsi="Arial" w:cs="Arial"/>
          <w:sz w:val="24"/>
          <w:szCs w:val="24"/>
        </w:rPr>
        <w:t>Guarantee will be in writing, addressed to:</w:t>
      </w:r>
    </w:p>
    <w:p w14:paraId="29CA6B27" w14:textId="77777777" w:rsidR="005A5CBC" w:rsidRPr="00785A6C" w:rsidRDefault="00720B67">
      <w:pPr>
        <w:tabs>
          <w:tab w:val="left" w:pos="2552"/>
        </w:tabs>
        <w:spacing w:before="120"/>
        <w:ind w:firstLine="720"/>
        <w:jc w:val="left"/>
        <w:rPr>
          <w:rFonts w:ascii="Arial" w:eastAsia="Arial" w:hAnsi="Arial" w:cs="Arial"/>
        </w:rPr>
      </w:pPr>
      <w:r w:rsidRPr="00A8264F">
        <w:rPr>
          <w:rFonts w:ascii="Arial" w:eastAsia="Arial" w:hAnsi="Arial" w:cs="Arial"/>
          <w:sz w:val="24"/>
          <w:szCs w:val="24"/>
        </w:rPr>
        <w:t>[Address of the Guarantor in Scotland/Northern Ireland]</w:t>
      </w:r>
      <w:r w:rsidRPr="00785A6C">
        <w:rPr>
          <w:rFonts w:ascii="Arial" w:eastAsia="Arial" w:hAnsi="Arial" w:cs="Arial"/>
          <w:sz w:val="24"/>
          <w:szCs w:val="24"/>
        </w:rPr>
        <w:t xml:space="preserve"> </w:t>
      </w:r>
    </w:p>
    <w:p w14:paraId="557D8671" w14:textId="77777777" w:rsidR="005A5CBC" w:rsidRPr="00785A6C" w:rsidRDefault="00720B67">
      <w:pPr>
        <w:tabs>
          <w:tab w:val="left" w:pos="2552"/>
        </w:tabs>
        <w:spacing w:before="120"/>
        <w:ind w:firstLine="720"/>
        <w:jc w:val="left"/>
        <w:rPr>
          <w:rFonts w:ascii="Arial" w:eastAsia="Arial" w:hAnsi="Arial" w:cs="Arial"/>
        </w:rPr>
      </w:pPr>
      <w:r w:rsidRPr="00A8264F">
        <w:rPr>
          <w:rFonts w:ascii="Arial" w:eastAsia="Arial" w:hAnsi="Arial" w:cs="Arial"/>
          <w:sz w:val="24"/>
          <w:szCs w:val="24"/>
        </w:rPr>
        <w:t>[Email address of the Guarantor representative</w:t>
      </w:r>
      <w:r w:rsidRPr="00785A6C">
        <w:rPr>
          <w:rFonts w:ascii="Arial" w:eastAsia="Arial" w:hAnsi="Arial" w:cs="Arial"/>
          <w:sz w:val="24"/>
          <w:szCs w:val="24"/>
        </w:rPr>
        <w:t>]</w:t>
      </w:r>
    </w:p>
    <w:p w14:paraId="4B9B7DA2" w14:textId="77777777" w:rsidR="005A5CBC" w:rsidRDefault="00720B67">
      <w:pPr>
        <w:tabs>
          <w:tab w:val="left" w:pos="2552"/>
        </w:tabs>
        <w:spacing w:before="120"/>
        <w:ind w:firstLine="720"/>
        <w:jc w:val="left"/>
        <w:rPr>
          <w:rFonts w:ascii="Arial" w:eastAsia="Arial" w:hAnsi="Arial" w:cs="Arial"/>
        </w:rPr>
      </w:pPr>
      <w:r w:rsidRPr="00A8264F">
        <w:rPr>
          <w:rFonts w:ascii="Arial" w:eastAsia="Arial" w:hAnsi="Arial" w:cs="Arial"/>
          <w:sz w:val="24"/>
          <w:szCs w:val="24"/>
        </w:rPr>
        <w:t>For</w:t>
      </w:r>
      <w:r w:rsidRPr="00785A6C">
        <w:rPr>
          <w:rFonts w:ascii="Arial" w:eastAsia="Arial" w:hAnsi="Arial" w:cs="Arial"/>
          <w:sz w:val="24"/>
          <w:szCs w:val="24"/>
        </w:rPr>
        <w:t xml:space="preserve"> the Attention of </w:t>
      </w:r>
      <w:r w:rsidRPr="00A8264F">
        <w:rPr>
          <w:rFonts w:ascii="Arial" w:eastAsia="Arial" w:hAnsi="Arial" w:cs="Arial"/>
          <w:sz w:val="24"/>
          <w:szCs w:val="24"/>
        </w:rPr>
        <w:t>[insert details]</w:t>
      </w:r>
    </w:p>
    <w:p w14:paraId="272F8EDD" w14:textId="77777777" w:rsidR="005A5CBC" w:rsidRPr="00785A6C" w:rsidRDefault="00720B67">
      <w:pPr>
        <w:spacing w:before="60"/>
        <w:ind w:left="720"/>
        <w:jc w:val="left"/>
        <w:rPr>
          <w:rFonts w:ascii="Arial" w:eastAsia="Arial" w:hAnsi="Arial" w:cs="Arial"/>
        </w:rPr>
      </w:pPr>
      <w:r w:rsidRPr="00785A6C">
        <w:rPr>
          <w:rFonts w:ascii="Arial" w:eastAsia="Arial" w:hAnsi="Arial" w:cs="Arial"/>
          <w:sz w:val="24"/>
          <w:szCs w:val="24"/>
        </w:rPr>
        <w:lastRenderedPageBreak/>
        <w:t xml:space="preserve">or such other address in </w:t>
      </w:r>
      <w:r w:rsidRPr="00A8264F">
        <w:rPr>
          <w:rFonts w:ascii="Arial" w:eastAsia="Arial" w:hAnsi="Arial" w:cs="Arial"/>
          <w:sz w:val="24"/>
          <w:szCs w:val="24"/>
        </w:rPr>
        <w:t>[Scotland/Northern Ireland]</w:t>
      </w:r>
      <w:r w:rsidRPr="00785A6C">
        <w:rPr>
          <w:rFonts w:ascii="Arial" w:eastAsia="Arial" w:hAnsi="Arial" w:cs="Arial"/>
          <w:sz w:val="24"/>
          <w:szCs w:val="24"/>
        </w:rPr>
        <w:t xml:space="preserve"> as the Guarantor has from notified to the Buyer in writing as being an address for the receipt of such demands or notices.</w:t>
      </w:r>
    </w:p>
    <w:p w14:paraId="6688740C" w14:textId="77777777" w:rsidR="005A5CBC" w:rsidRPr="00785A6C" w:rsidRDefault="00720B67">
      <w:pPr>
        <w:spacing w:before="60"/>
        <w:jc w:val="left"/>
        <w:rPr>
          <w:rFonts w:ascii="Arial" w:eastAsia="Arial" w:hAnsi="Arial" w:cs="Arial"/>
          <w:sz w:val="24"/>
          <w:szCs w:val="24"/>
        </w:rPr>
      </w:pPr>
      <w:r w:rsidRPr="00A8264F">
        <w:rPr>
          <w:rFonts w:ascii="Arial" w:eastAsia="Arial" w:hAnsi="Arial" w:cs="Arial"/>
          <w:sz w:val="24"/>
          <w:szCs w:val="24"/>
        </w:rPr>
        <w:t>[Continuing: “Any notice or demand served on the Guarantor or the Buyer under this Deed of Guarantee will be deemed to have been served:”]</w:t>
      </w:r>
    </w:p>
    <w:p w14:paraId="1BD8E04E" w14:textId="77777777" w:rsidR="005A5CBC" w:rsidRPr="00A8264F" w:rsidRDefault="00720B67">
      <w:pPr>
        <w:tabs>
          <w:tab w:val="left" w:pos="1560"/>
        </w:tabs>
        <w:spacing w:before="120"/>
        <w:jc w:val="left"/>
        <w:rPr>
          <w:rFonts w:ascii="Arial" w:eastAsia="Arial" w:hAnsi="Arial" w:cs="Arial"/>
          <w:sz w:val="24"/>
          <w:szCs w:val="24"/>
        </w:rPr>
      </w:pPr>
      <w:r w:rsidRPr="00A8264F">
        <w:rPr>
          <w:rFonts w:ascii="Arial" w:eastAsia="Arial" w:hAnsi="Arial" w:cs="Arial"/>
          <w:sz w:val="24"/>
          <w:szCs w:val="24"/>
        </w:rPr>
        <w:t>[Replace section on Governing Law]</w:t>
      </w:r>
    </w:p>
    <w:p w14:paraId="6A21D20C" w14:textId="77777777" w:rsidR="005A5CBC" w:rsidRDefault="00720B67">
      <w:pPr>
        <w:tabs>
          <w:tab w:val="left" w:pos="851"/>
        </w:tabs>
        <w:spacing w:before="240"/>
        <w:jc w:val="left"/>
        <w:rPr>
          <w:rFonts w:ascii="Arial" w:eastAsia="Arial" w:hAnsi="Arial" w:cs="Arial"/>
        </w:rPr>
      </w:pPr>
      <w:r w:rsidRPr="00785A6C">
        <w:rPr>
          <w:rFonts w:ascii="Arial" w:eastAsia="Arial" w:hAnsi="Arial" w:cs="Arial"/>
          <w:b/>
          <w:smallCaps/>
          <w:sz w:val="24"/>
          <w:szCs w:val="24"/>
        </w:rPr>
        <w:t>GOVERNING LAW</w:t>
      </w:r>
    </w:p>
    <w:p w14:paraId="2E83FBAA" w14:textId="77777777" w:rsidR="005A5CBC" w:rsidRPr="00785A6C" w:rsidRDefault="00720B67">
      <w:pPr>
        <w:tabs>
          <w:tab w:val="left" w:pos="1560"/>
        </w:tabs>
        <w:spacing w:before="120"/>
        <w:jc w:val="left"/>
        <w:rPr>
          <w:rFonts w:ascii="Arial" w:eastAsia="Arial" w:hAnsi="Arial" w:cs="Arial"/>
        </w:rPr>
      </w:pPr>
      <w:r w:rsidRPr="00785A6C">
        <w:rPr>
          <w:rFonts w:ascii="Arial" w:eastAsia="Arial" w:hAnsi="Arial" w:cs="Arial"/>
          <w:sz w:val="24"/>
          <w:szCs w:val="24"/>
        </w:rPr>
        <w:t xml:space="preserve">This </w:t>
      </w:r>
      <w:r w:rsidRPr="00A8264F">
        <w:rPr>
          <w:rFonts w:ascii="Arial" w:eastAsia="Arial" w:hAnsi="Arial" w:cs="Arial"/>
          <w:sz w:val="24"/>
          <w:szCs w:val="24"/>
        </w:rPr>
        <w:t>Deed</w:t>
      </w:r>
      <w:r w:rsidRPr="00785A6C">
        <w:rPr>
          <w:rFonts w:ascii="Arial" w:eastAsia="Arial" w:hAnsi="Arial" w:cs="Arial"/>
          <w:sz w:val="24"/>
          <w:szCs w:val="24"/>
        </w:rPr>
        <w:t xml:space="preserve"> of Guarantee, and any non-Contractual obligations arising out of or </w:t>
      </w:r>
      <w:r w:rsidRPr="00A8264F">
        <w:rPr>
          <w:rFonts w:ascii="Arial" w:eastAsia="Arial" w:hAnsi="Arial" w:cs="Arial"/>
          <w:sz w:val="24"/>
          <w:szCs w:val="24"/>
        </w:rPr>
        <w:t>in connection with</w:t>
      </w:r>
      <w:r w:rsidRPr="00785A6C">
        <w:rPr>
          <w:rFonts w:ascii="Arial" w:eastAsia="Arial" w:hAnsi="Arial" w:cs="Arial"/>
          <w:sz w:val="24"/>
          <w:szCs w:val="24"/>
        </w:rPr>
        <w:t xml:space="preserve"> it, will be governed by and construed </w:t>
      </w:r>
      <w:r w:rsidRPr="00A8264F">
        <w:rPr>
          <w:rFonts w:ascii="Arial" w:eastAsia="Arial" w:hAnsi="Arial" w:cs="Arial"/>
          <w:sz w:val="24"/>
          <w:szCs w:val="24"/>
        </w:rPr>
        <w:t>in accordance with</w:t>
      </w:r>
      <w:r w:rsidRPr="00785A6C">
        <w:rPr>
          <w:rFonts w:ascii="Arial" w:eastAsia="Arial" w:hAnsi="Arial" w:cs="Arial"/>
          <w:sz w:val="24"/>
          <w:szCs w:val="24"/>
        </w:rPr>
        <w:t xml:space="preserve"> </w:t>
      </w:r>
      <w:r w:rsidRPr="00A8264F">
        <w:rPr>
          <w:rFonts w:ascii="Arial" w:eastAsia="Arial" w:hAnsi="Arial" w:cs="Arial"/>
          <w:sz w:val="24"/>
          <w:szCs w:val="24"/>
        </w:rPr>
        <w:t>[Scottish/Northern Irish]</w:t>
      </w:r>
      <w:r w:rsidRPr="00785A6C">
        <w:rPr>
          <w:rFonts w:ascii="Arial" w:eastAsia="Arial" w:hAnsi="Arial" w:cs="Arial"/>
          <w:sz w:val="24"/>
          <w:szCs w:val="24"/>
        </w:rPr>
        <w:t xml:space="preserve"> Law.</w:t>
      </w:r>
    </w:p>
    <w:p w14:paraId="185A726A" w14:textId="77777777" w:rsidR="005A5CBC" w:rsidRDefault="00720B67">
      <w:pPr>
        <w:tabs>
          <w:tab w:val="left" w:pos="1560"/>
        </w:tabs>
        <w:spacing w:before="120"/>
        <w:jc w:val="left"/>
        <w:rPr>
          <w:rFonts w:ascii="Arial" w:eastAsia="Arial" w:hAnsi="Arial" w:cs="Arial"/>
        </w:rPr>
      </w:pPr>
      <w:r w:rsidRPr="00A8264F">
        <w:rPr>
          <w:rFonts w:ascii="Arial" w:eastAsia="Arial" w:hAnsi="Arial" w:cs="Arial"/>
          <w:sz w:val="24"/>
          <w:szCs w:val="24"/>
        </w:rPr>
        <w:t>The</w:t>
      </w:r>
      <w:r w:rsidRPr="00785A6C">
        <w:rPr>
          <w:rFonts w:ascii="Arial" w:eastAsia="Arial" w:hAnsi="Arial" w:cs="Arial"/>
          <w:sz w:val="24"/>
          <w:szCs w:val="24"/>
        </w:rPr>
        <w:t xml:space="preserve"> Guarantor irrevocably agrees for the benefit of the Buyer that the courts of </w:t>
      </w:r>
      <w:r w:rsidRPr="00A8264F">
        <w:rPr>
          <w:rFonts w:ascii="Arial" w:eastAsia="Arial" w:hAnsi="Arial" w:cs="Arial"/>
          <w:sz w:val="24"/>
          <w:szCs w:val="24"/>
        </w:rPr>
        <w:t>[Scotland/Northern Ireland]</w:t>
      </w:r>
      <w:r w:rsidRPr="00785A6C">
        <w:rPr>
          <w:rFonts w:ascii="Arial" w:eastAsia="Arial" w:hAnsi="Arial" w:cs="Arial"/>
          <w:sz w:val="24"/>
          <w:szCs w:val="24"/>
        </w:rPr>
        <w:t xml:space="preserve"> will have jurisdiction to hear and </w:t>
      </w:r>
      <w:r w:rsidRPr="00A8264F">
        <w:rPr>
          <w:rFonts w:ascii="Arial" w:eastAsia="Arial" w:hAnsi="Arial" w:cs="Arial"/>
          <w:sz w:val="24"/>
          <w:szCs w:val="24"/>
        </w:rPr>
        <w:t>determine</w:t>
      </w:r>
      <w:r w:rsidRPr="00785A6C">
        <w:rPr>
          <w:rFonts w:ascii="Arial" w:eastAsia="Arial" w:hAnsi="Arial" w:cs="Arial"/>
          <w:sz w:val="24"/>
          <w:szCs w:val="24"/>
        </w:rPr>
        <w:t xml:space="preserve"> any suit, action or proceedings and to </w:t>
      </w:r>
      <w:r w:rsidRPr="00A8264F">
        <w:rPr>
          <w:rFonts w:ascii="Arial" w:eastAsia="Arial" w:hAnsi="Arial" w:cs="Arial"/>
          <w:sz w:val="24"/>
          <w:szCs w:val="24"/>
        </w:rPr>
        <w:t>settle</w:t>
      </w:r>
      <w:r w:rsidRPr="00785A6C">
        <w:rPr>
          <w:rFonts w:ascii="Arial" w:eastAsia="Arial" w:hAnsi="Arial" w:cs="Arial"/>
          <w:sz w:val="24"/>
          <w:szCs w:val="24"/>
        </w:rPr>
        <w:t xml:space="preserve"> any dispute</w:t>
      </w:r>
      <w:r>
        <w:rPr>
          <w:rFonts w:ascii="Arial" w:eastAsia="Arial" w:hAnsi="Arial" w:cs="Arial"/>
          <w:sz w:val="24"/>
          <w:szCs w:val="24"/>
        </w:rPr>
        <w:t xml:space="preserv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60E41530"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290DB39F" w14:textId="77777777" w:rsidR="005A5CBC" w:rsidRPr="00785A6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w:t>
      </w:r>
      <w:r w:rsidRPr="00785A6C">
        <w:rPr>
          <w:rFonts w:ascii="Arial" w:eastAsia="Arial" w:hAnsi="Arial" w:cs="Arial"/>
          <w:sz w:val="24"/>
          <w:szCs w:val="24"/>
        </w:rPr>
        <w:t xml:space="preserve">Guarantor irrevocably waives any objection which it may have now or in the future to the courts of </w:t>
      </w:r>
      <w:r w:rsidRPr="00A8264F">
        <w:rPr>
          <w:rFonts w:ascii="Arial" w:eastAsia="Arial" w:hAnsi="Arial" w:cs="Arial"/>
          <w:sz w:val="24"/>
          <w:szCs w:val="24"/>
        </w:rPr>
        <w:t>[Scotland/Northern Ireland]</w:t>
      </w:r>
      <w:r w:rsidRPr="00785A6C">
        <w:rPr>
          <w:rFonts w:ascii="Arial" w:eastAsia="Arial" w:hAnsi="Arial" w:cs="Arial"/>
          <w:sz w:val="24"/>
          <w:szCs w:val="24"/>
        </w:rPr>
        <w:t xml:space="preserve"> being nominated </w:t>
      </w:r>
      <w:r w:rsidRPr="00A8264F">
        <w:rPr>
          <w:rFonts w:ascii="Arial" w:eastAsia="Arial" w:hAnsi="Arial" w:cs="Arial"/>
          <w:sz w:val="24"/>
          <w:szCs w:val="24"/>
        </w:rPr>
        <w:t>for</w:t>
      </w:r>
      <w:r w:rsidRPr="00785A6C">
        <w:rPr>
          <w:rFonts w:ascii="Arial" w:eastAsia="Arial" w:hAnsi="Arial" w:cs="Arial"/>
          <w:sz w:val="24"/>
          <w:szCs w:val="24"/>
        </w:rPr>
        <w:t xml:space="preserve"> this Clause on the ground of venue or otherwise and agrees not to claim that any such court is not a convenient or </w:t>
      </w:r>
      <w:r w:rsidRPr="00A8264F">
        <w:rPr>
          <w:rFonts w:ascii="Arial" w:eastAsia="Arial" w:hAnsi="Arial" w:cs="Arial"/>
          <w:sz w:val="24"/>
          <w:szCs w:val="24"/>
        </w:rPr>
        <w:t>appropriate</w:t>
      </w:r>
      <w:r w:rsidRPr="00785A6C">
        <w:rPr>
          <w:rFonts w:ascii="Arial" w:eastAsia="Arial" w:hAnsi="Arial" w:cs="Arial"/>
          <w:sz w:val="24"/>
          <w:szCs w:val="24"/>
        </w:rPr>
        <w:t xml:space="preserve"> forum.</w:t>
      </w:r>
    </w:p>
    <w:p w14:paraId="0DB0A4CB" w14:textId="77777777" w:rsidR="005A5CBC" w:rsidRDefault="00720B67">
      <w:pPr>
        <w:tabs>
          <w:tab w:val="left" w:pos="1560"/>
        </w:tabs>
        <w:spacing w:before="120"/>
        <w:jc w:val="left"/>
        <w:rPr>
          <w:rFonts w:ascii="Arial" w:eastAsia="Arial" w:hAnsi="Arial" w:cs="Arial"/>
        </w:rPr>
      </w:pPr>
      <w:r w:rsidRPr="00785A6C">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sidRPr="00A8264F">
        <w:rPr>
          <w:rFonts w:ascii="Arial" w:eastAsia="Arial" w:hAnsi="Arial" w:cs="Arial"/>
          <w:sz w:val="24"/>
          <w:szCs w:val="24"/>
        </w:rPr>
        <w:t>[Scotland/Northern Ireland]</w:t>
      </w:r>
      <w:r w:rsidRPr="00785A6C">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w:t>
      </w:r>
      <w:r>
        <w:rPr>
          <w:rFonts w:ascii="Arial" w:eastAsia="Arial" w:hAnsi="Arial" w:cs="Arial"/>
          <w:sz w:val="24"/>
          <w:szCs w:val="24"/>
        </w:rPr>
        <w:t xml:space="preserve"> of notices and demands, Service of process or any other legal summons served in such way.]</w:t>
      </w:r>
    </w:p>
    <w:p w14:paraId="4CAEC4E8" w14:textId="77777777" w:rsidR="005A5CBC" w:rsidRDefault="005A5CBC">
      <w:pPr>
        <w:jc w:val="left"/>
        <w:rPr>
          <w:rFonts w:ascii="Arial" w:eastAsia="Arial" w:hAnsi="Arial" w:cs="Arial"/>
        </w:rPr>
      </w:pPr>
    </w:p>
    <w:p w14:paraId="67C4C4DB"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2: Alternative data protection relationships</w:t>
      </w:r>
    </w:p>
    <w:p w14:paraId="02C0F7D4" w14:textId="77777777" w:rsidR="005A5CBC" w:rsidRDefault="005A5CBC">
      <w:pPr>
        <w:jc w:val="left"/>
        <w:rPr>
          <w:rFonts w:ascii="Arial" w:eastAsia="Arial" w:hAnsi="Arial" w:cs="Arial"/>
        </w:rPr>
      </w:pPr>
    </w:p>
    <w:p w14:paraId="3FF03391" w14:textId="77777777" w:rsidR="005A5CBC" w:rsidRDefault="005A5CBC">
      <w:pPr>
        <w:jc w:val="left"/>
        <w:rPr>
          <w:rFonts w:ascii="Arial" w:eastAsia="Arial" w:hAnsi="Arial" w:cs="Arial"/>
        </w:rPr>
      </w:pPr>
    </w:p>
    <w:p w14:paraId="7CF71A51" w14:textId="77777777" w:rsidR="005A5CBC" w:rsidRPr="00A8264F" w:rsidRDefault="00720B67">
      <w:pPr>
        <w:tabs>
          <w:tab w:val="left" w:pos="1560"/>
        </w:tabs>
        <w:spacing w:before="120"/>
        <w:jc w:val="left"/>
        <w:rPr>
          <w:rFonts w:ascii="Arial" w:eastAsia="Arial" w:hAnsi="Arial" w:cs="Arial"/>
          <w:sz w:val="24"/>
          <w:szCs w:val="24"/>
        </w:rPr>
      </w:pPr>
      <w:r w:rsidRPr="00A8264F">
        <w:rPr>
          <w:rFonts w:ascii="Arial" w:eastAsia="Arial" w:hAnsi="Arial" w:cs="Arial"/>
          <w:sz w:val="24"/>
          <w:szCs w:val="24"/>
        </w:rPr>
        <w:t>[These template Call-Off terms assume the Buyer is the Data Controller, and the Supplier is the Data Processor.  If your agreement contains more complex relationships, you will need to amend this agreement.  Material here has been drawn from PPN 02/18 but you should ensure you follow up to date guidance, and seek legal advice where appropriate.]</w:t>
      </w:r>
    </w:p>
    <w:p w14:paraId="2EB981B3" w14:textId="77777777" w:rsidR="005A5CBC" w:rsidRPr="00A8264F" w:rsidRDefault="005A5CBC">
      <w:pPr>
        <w:tabs>
          <w:tab w:val="left" w:pos="1560"/>
        </w:tabs>
        <w:spacing w:before="120"/>
        <w:jc w:val="left"/>
        <w:rPr>
          <w:rFonts w:ascii="Arial" w:eastAsia="Arial" w:hAnsi="Arial" w:cs="Arial"/>
          <w:sz w:val="24"/>
          <w:szCs w:val="24"/>
        </w:rPr>
      </w:pPr>
    </w:p>
    <w:p w14:paraId="1DB175A3" w14:textId="77777777" w:rsidR="005A5CBC" w:rsidRPr="00A8264F" w:rsidRDefault="00720B67">
      <w:pPr>
        <w:tabs>
          <w:tab w:val="left" w:pos="1560"/>
        </w:tabs>
        <w:spacing w:before="120"/>
        <w:jc w:val="left"/>
        <w:rPr>
          <w:rFonts w:ascii="Arial" w:eastAsia="Arial" w:hAnsi="Arial" w:cs="Arial"/>
          <w:sz w:val="24"/>
          <w:szCs w:val="24"/>
        </w:rPr>
      </w:pPr>
      <w:r w:rsidRPr="00A8264F">
        <w:rPr>
          <w:rFonts w:ascii="Arial" w:eastAsia="Arial" w:hAnsi="Arial" w:cs="Arial"/>
          <w:sz w:val="24"/>
          <w:szCs w:val="24"/>
        </w:rPr>
        <w:t>[The wide range and complexity of possible relationships precludes a detailed set of alternative terms.]</w:t>
      </w:r>
    </w:p>
    <w:p w14:paraId="3BFABE3D" w14:textId="77777777" w:rsidR="005A5CBC" w:rsidRPr="00A8264F" w:rsidRDefault="005A5CBC">
      <w:pPr>
        <w:tabs>
          <w:tab w:val="left" w:pos="1560"/>
        </w:tabs>
        <w:spacing w:before="120"/>
        <w:jc w:val="left"/>
        <w:rPr>
          <w:rFonts w:ascii="Arial" w:eastAsia="Arial" w:hAnsi="Arial" w:cs="Arial"/>
          <w:sz w:val="24"/>
          <w:szCs w:val="24"/>
        </w:rPr>
      </w:pPr>
    </w:p>
    <w:p w14:paraId="1D6103B4" w14:textId="77777777" w:rsidR="005A5CBC" w:rsidRPr="00A8264F" w:rsidRDefault="00720B67">
      <w:pPr>
        <w:tabs>
          <w:tab w:val="left" w:pos="1560"/>
        </w:tabs>
        <w:spacing w:before="120"/>
        <w:jc w:val="left"/>
        <w:rPr>
          <w:rFonts w:ascii="Arial" w:eastAsia="Arial" w:hAnsi="Arial" w:cs="Arial"/>
          <w:sz w:val="24"/>
          <w:szCs w:val="24"/>
        </w:rPr>
      </w:pPr>
      <w:r w:rsidRPr="00A8264F">
        <w:rPr>
          <w:rFonts w:ascii="Arial" w:eastAsia="Arial" w:hAnsi="Arial" w:cs="Arial"/>
          <w:sz w:val="24"/>
          <w:szCs w:val="24"/>
        </w:rPr>
        <w:lastRenderedPageBreak/>
        <w:t xml:space="preserve">[You will need to amend 14.1 (text given below for reference) which sets out the standard Buyer Controller Relationships to reflect the actual roles for your Call-Off. You may also need to amend other parts of clause 14.] </w:t>
      </w:r>
    </w:p>
    <w:p w14:paraId="2DD7C631" w14:textId="77777777" w:rsidR="005A5CBC" w:rsidRPr="00785A6C" w:rsidRDefault="005A5CBC">
      <w:pPr>
        <w:jc w:val="left"/>
        <w:rPr>
          <w:rFonts w:ascii="Arial" w:eastAsia="Arial" w:hAnsi="Arial" w:cs="Arial"/>
        </w:rPr>
      </w:pPr>
    </w:p>
    <w:p w14:paraId="49DB0950" w14:textId="77777777" w:rsidR="005A5CBC" w:rsidRPr="00785A6C" w:rsidRDefault="005A5CBC">
      <w:pPr>
        <w:jc w:val="left"/>
        <w:rPr>
          <w:rFonts w:ascii="Arial" w:eastAsia="Arial" w:hAnsi="Arial" w:cs="Arial"/>
          <w:sz w:val="24"/>
          <w:szCs w:val="24"/>
        </w:rPr>
      </w:pPr>
    </w:p>
    <w:p w14:paraId="73010EC9" w14:textId="77777777" w:rsidR="005A5CBC" w:rsidRPr="00785A6C" w:rsidRDefault="00720B67">
      <w:pPr>
        <w:jc w:val="left"/>
        <w:rPr>
          <w:rFonts w:ascii="Arial" w:eastAsia="Arial" w:hAnsi="Arial" w:cs="Arial"/>
          <w:sz w:val="24"/>
          <w:szCs w:val="24"/>
        </w:rPr>
      </w:pPr>
      <w:r w:rsidRPr="00785A6C">
        <w:rPr>
          <w:rFonts w:ascii="Arial" w:eastAsia="Arial" w:hAnsi="Arial" w:cs="Arial"/>
          <w:sz w:val="24"/>
          <w:szCs w:val="24"/>
        </w:rPr>
        <w:t>14.1</w:t>
      </w:r>
      <w:r w:rsidRPr="00785A6C">
        <w:rPr>
          <w:rFonts w:ascii="Arial" w:eastAsia="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A1353A" w14:textId="77777777" w:rsidR="005A5CBC" w:rsidRPr="00785A6C" w:rsidRDefault="005A5CBC">
      <w:pPr>
        <w:jc w:val="left"/>
        <w:rPr>
          <w:rFonts w:ascii="Arial" w:eastAsia="Arial" w:hAnsi="Arial" w:cs="Arial"/>
          <w:sz w:val="24"/>
          <w:szCs w:val="24"/>
        </w:rPr>
      </w:pPr>
    </w:p>
    <w:p w14:paraId="65839D74" w14:textId="060E6BA1" w:rsidR="005A5CBC" w:rsidRPr="00A8264F" w:rsidRDefault="00720B67">
      <w:pPr>
        <w:tabs>
          <w:tab w:val="left" w:pos="1560"/>
        </w:tabs>
        <w:spacing w:before="120"/>
        <w:jc w:val="left"/>
        <w:rPr>
          <w:rFonts w:ascii="Arial" w:eastAsia="Arial" w:hAnsi="Arial" w:cs="Arial"/>
          <w:sz w:val="24"/>
          <w:szCs w:val="24"/>
        </w:rPr>
      </w:pPr>
      <w:r w:rsidRPr="00A8264F">
        <w:rPr>
          <w:rFonts w:ascii="Arial" w:eastAsia="Arial" w:hAnsi="Arial" w:cs="Arial"/>
          <w:sz w:val="24"/>
          <w:szCs w:val="24"/>
        </w:rPr>
        <w:t xml:space="preserve">[You may also wish to add a Schedule 11, based on the PPN 02/18 Schedule Y, to set out the responsibilities of each </w:t>
      </w:r>
      <w:r w:rsidR="001D7FFC" w:rsidRPr="00A8264F">
        <w:rPr>
          <w:rFonts w:ascii="Arial" w:eastAsia="Arial" w:hAnsi="Arial" w:cs="Arial"/>
          <w:sz w:val="24"/>
          <w:szCs w:val="24"/>
        </w:rPr>
        <w:t>P</w:t>
      </w:r>
      <w:r w:rsidRPr="00A8264F">
        <w:rPr>
          <w:rFonts w:ascii="Arial" w:eastAsia="Arial" w:hAnsi="Arial" w:cs="Arial"/>
          <w:sz w:val="24"/>
          <w:szCs w:val="24"/>
        </w:rPr>
        <w:t xml:space="preserve">arty and the particulars of the relationship. Add Schedule 11 to the table of contents.] </w:t>
      </w:r>
    </w:p>
    <w:p w14:paraId="053C4B81" w14:textId="77777777" w:rsidR="005A5CBC" w:rsidRPr="00785A6C" w:rsidRDefault="005A5CBC">
      <w:pPr>
        <w:jc w:val="left"/>
        <w:rPr>
          <w:rFonts w:ascii="Arial" w:eastAsia="Arial" w:hAnsi="Arial" w:cs="Arial"/>
          <w:sz w:val="24"/>
          <w:szCs w:val="24"/>
        </w:rPr>
      </w:pPr>
    </w:p>
    <w:p w14:paraId="7529379A" w14:textId="77777777" w:rsidR="005A5CBC" w:rsidRPr="00785A6C" w:rsidRDefault="00720B67">
      <w:pPr>
        <w:pStyle w:val="Heading1"/>
        <w:spacing w:before="60"/>
        <w:jc w:val="left"/>
        <w:rPr>
          <w:rFonts w:ascii="Arial" w:eastAsia="Arial" w:hAnsi="Arial" w:cs="Arial"/>
        </w:rPr>
      </w:pPr>
      <w:r w:rsidRPr="00785A6C">
        <w:rPr>
          <w:rFonts w:ascii="Arial" w:eastAsia="Arial" w:hAnsi="Arial" w:cs="Arial"/>
        </w:rPr>
        <w:t>Schedule 11: Joint Controller Agreement</w:t>
      </w:r>
    </w:p>
    <w:p w14:paraId="4947016F" w14:textId="77777777" w:rsidR="005A5CBC" w:rsidRPr="00785A6C" w:rsidRDefault="005A5CBC">
      <w:pPr>
        <w:jc w:val="left"/>
        <w:rPr>
          <w:rFonts w:ascii="Arial" w:eastAsia="Arial" w:hAnsi="Arial" w:cs="Arial"/>
          <w:sz w:val="24"/>
          <w:szCs w:val="24"/>
        </w:rPr>
      </w:pPr>
    </w:p>
    <w:p w14:paraId="1E8163E4" w14:textId="0BD00A04" w:rsidR="005A5CBC" w:rsidRDefault="00785A6C">
      <w:pPr>
        <w:jc w:val="left"/>
        <w:rPr>
          <w:rFonts w:ascii="Arial" w:eastAsia="Arial" w:hAnsi="Arial" w:cs="Arial"/>
          <w:sz w:val="24"/>
          <w:szCs w:val="24"/>
        </w:rPr>
      </w:pPr>
      <w:r>
        <w:rPr>
          <w:rFonts w:ascii="Arial" w:eastAsia="Arial" w:hAnsi="Arial" w:cs="Arial"/>
          <w:sz w:val="24"/>
          <w:szCs w:val="24"/>
        </w:rPr>
        <w:t>N/A</w:t>
      </w:r>
    </w:p>
    <w:sectPr w:rsidR="005A5CBC">
      <w:headerReference w:type="default" r:id="rId19"/>
      <w:footerReference w:type="default" r:id="rId20"/>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96B22" w14:textId="77777777" w:rsidR="00567A09" w:rsidRDefault="00567A09">
      <w:r>
        <w:separator/>
      </w:r>
    </w:p>
  </w:endnote>
  <w:endnote w:type="continuationSeparator" w:id="0">
    <w:p w14:paraId="3951FD80" w14:textId="77777777" w:rsidR="00567A09" w:rsidRDefault="00567A09">
      <w:r>
        <w:continuationSeparator/>
      </w:r>
    </w:p>
  </w:endnote>
  <w:endnote w:type="continuationNotice" w:id="1">
    <w:p w14:paraId="04364B3F" w14:textId="77777777" w:rsidR="00567A09" w:rsidRDefault="00567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ven Pro">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9244" w14:textId="7BC00DAB" w:rsidR="00086515" w:rsidRPr="001D7FFC" w:rsidRDefault="00086515">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086515" w:rsidRPr="00BB3EE9" w:rsidRDefault="00025E04">
    <w:pPr>
      <w:widowControl w:val="0"/>
      <w:spacing w:line="276" w:lineRule="auto"/>
      <w:jc w:val="left"/>
      <w:rPr>
        <w:rFonts w:ascii="Arial" w:eastAsia="Helvetica Neue" w:hAnsi="Arial" w:cs="Arial"/>
        <w:sz w:val="16"/>
        <w:szCs w:val="16"/>
      </w:rPr>
    </w:pPr>
    <w:hyperlink r:id="rId1" w:history="1">
      <w:r w:rsidR="00086515"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086515" w:rsidRDefault="00086515">
    <w:pPr>
      <w:widowControl w:val="0"/>
      <w:spacing w:line="276" w:lineRule="auto"/>
      <w:jc w:val="left"/>
      <w:rPr>
        <w:rFonts w:ascii="Helvetica Neue" w:eastAsia="Helvetica Neue" w:hAnsi="Helvetica Neue" w:cs="Helvetica Neue"/>
        <w:sz w:val="16"/>
        <w:szCs w:val="16"/>
      </w:rPr>
    </w:pPr>
  </w:p>
  <w:p w14:paraId="16E16B58" w14:textId="4D6C2F7C" w:rsidR="00086515" w:rsidRDefault="00086515" w:rsidP="001D7FFC">
    <w:pPr>
      <w:widowControl w:val="0"/>
      <w:spacing w:line="276" w:lineRule="auto"/>
      <w:jc w:val="center"/>
    </w:pPr>
    <w:r>
      <w:fldChar w:fldCharType="begin"/>
    </w:r>
    <w:r>
      <w:instrText>PAGE</w:instrText>
    </w:r>
    <w:r>
      <w:fldChar w:fldCharType="separate"/>
    </w:r>
    <w:r>
      <w:rPr>
        <w:noProof/>
      </w:rPr>
      <w:t>72</w:t>
    </w:r>
    <w:r>
      <w:fldChar w:fldCharType="end"/>
    </w:r>
  </w:p>
  <w:p w14:paraId="60DFDAA5" w14:textId="77777777" w:rsidR="00086515" w:rsidRDefault="00086515">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086515" w:rsidRDefault="00086515">
    <w:pPr>
      <w:widowControl w:val="0"/>
      <w:spacing w:line="276" w:lineRule="auto"/>
      <w:jc w:val="left"/>
    </w:pPr>
  </w:p>
  <w:p w14:paraId="07F7FD12" w14:textId="77777777" w:rsidR="00086515" w:rsidRDefault="0008651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72F5B" w14:textId="77777777" w:rsidR="00567A09" w:rsidRDefault="00567A09">
      <w:r>
        <w:separator/>
      </w:r>
    </w:p>
  </w:footnote>
  <w:footnote w:type="continuationSeparator" w:id="0">
    <w:p w14:paraId="05A4099C" w14:textId="77777777" w:rsidR="00567A09" w:rsidRDefault="00567A09">
      <w:r>
        <w:continuationSeparator/>
      </w:r>
    </w:p>
  </w:footnote>
  <w:footnote w:type="continuationNotice" w:id="1">
    <w:p w14:paraId="11EEF478" w14:textId="77777777" w:rsidR="00567A09" w:rsidRDefault="00567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5EB3" w14:textId="77777777" w:rsidR="00086515" w:rsidRDefault="00086515">
    <w:pPr>
      <w:jc w:val="center"/>
    </w:pPr>
  </w:p>
  <w:p w14:paraId="6A88DFD4" w14:textId="77777777" w:rsidR="00086515" w:rsidRDefault="000865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10A3641B"/>
    <w:multiLevelType w:val="hybridMultilevel"/>
    <w:tmpl w:val="54E8C98A"/>
    <w:lvl w:ilvl="0" w:tplc="10BA16A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6"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DF432FB"/>
    <w:multiLevelType w:val="multilevel"/>
    <w:tmpl w:val="FA204B68"/>
    <w:styleLink w:val="Style1"/>
    <w:lvl w:ilvl="0">
      <w:start w:val="3"/>
      <w:numFmt w:val="decimal"/>
      <w:lvlText w:val="%1."/>
      <w:lvlJc w:val="left"/>
      <w:pPr>
        <w:ind w:left="709" w:hanging="709"/>
      </w:pPr>
      <w:rPr>
        <w:rFonts w:hint="default"/>
      </w:rPr>
    </w:lvl>
    <w:lvl w:ilvl="1">
      <w:start w:val="2"/>
      <w:numFmt w:val="decimal"/>
      <w:pStyle w:val="bULLETNUMBERCONTENTS"/>
      <w:lvlText w:val="%1.%2."/>
      <w:lvlJc w:val="left"/>
      <w:pPr>
        <w:ind w:left="1418" w:hanging="709"/>
      </w:pPr>
      <w:rPr>
        <w:rFonts w:hint="default"/>
      </w:rPr>
    </w:lvl>
    <w:lvl w:ilvl="2">
      <w:start w:val="1"/>
      <w:numFmt w:val="decimal"/>
      <w:lvlText w:val="%1.%2.%3."/>
      <w:lvlJc w:val="left"/>
      <w:pPr>
        <w:ind w:left="1844" w:hanging="709"/>
      </w:pPr>
      <w:rPr>
        <w:rFonts w:hint="default"/>
      </w:rPr>
    </w:lvl>
    <w:lvl w:ilvl="3">
      <w:start w:val="1"/>
      <w:numFmt w:val="decimal"/>
      <w:lvlText w:val="%1.%2.%3.%4."/>
      <w:lvlJc w:val="left"/>
      <w:pPr>
        <w:ind w:left="2836" w:hanging="709"/>
      </w:pPr>
      <w:rPr>
        <w:rFonts w:hint="default"/>
      </w:rPr>
    </w:lvl>
    <w:lvl w:ilvl="4">
      <w:start w:val="1"/>
      <w:numFmt w:val="decimal"/>
      <w:lvlText w:val="%1.%2.%3.%4.%5."/>
      <w:lvlJc w:val="left"/>
      <w:pPr>
        <w:ind w:left="3545" w:hanging="709"/>
      </w:pPr>
      <w:rPr>
        <w:rFonts w:hint="default"/>
      </w:rPr>
    </w:lvl>
    <w:lvl w:ilvl="5">
      <w:start w:val="1"/>
      <w:numFmt w:val="decimal"/>
      <w:lvlText w:val="%1.%2.%3.%4.%5.%6."/>
      <w:lvlJc w:val="left"/>
      <w:pPr>
        <w:ind w:left="4254" w:hanging="709"/>
      </w:pPr>
      <w:rPr>
        <w:rFonts w:hint="default"/>
      </w:rPr>
    </w:lvl>
    <w:lvl w:ilvl="6">
      <w:start w:val="1"/>
      <w:numFmt w:val="decimal"/>
      <w:lvlText w:val="%1.%2.%3.%4.%5.%6.%7."/>
      <w:lvlJc w:val="left"/>
      <w:pPr>
        <w:ind w:left="4963" w:hanging="709"/>
      </w:pPr>
      <w:rPr>
        <w:rFonts w:hint="default"/>
      </w:rPr>
    </w:lvl>
    <w:lvl w:ilvl="7">
      <w:start w:val="1"/>
      <w:numFmt w:val="decimal"/>
      <w:lvlText w:val="%1.%2.%3.%4.%5.%6.%7.%8."/>
      <w:lvlJc w:val="left"/>
      <w:pPr>
        <w:ind w:left="5672" w:hanging="709"/>
      </w:pPr>
      <w:rPr>
        <w:rFonts w:hint="default"/>
      </w:rPr>
    </w:lvl>
    <w:lvl w:ilvl="8">
      <w:start w:val="1"/>
      <w:numFmt w:val="decimal"/>
      <w:lvlText w:val="%1.%2.%3.%4.%5.%6.%7.%8.%9."/>
      <w:lvlJc w:val="left"/>
      <w:pPr>
        <w:ind w:left="6381" w:hanging="709"/>
      </w:pPr>
      <w:rPr>
        <w:rFonts w:hint="default"/>
      </w:rPr>
    </w:lvl>
  </w:abstractNum>
  <w:abstractNum w:abstractNumId="8"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9"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0" w15:restartNumberingAfterBreak="0">
    <w:nsid w:val="301E1EBB"/>
    <w:multiLevelType w:val="hybridMultilevel"/>
    <w:tmpl w:val="6B263008"/>
    <w:lvl w:ilvl="0" w:tplc="BFD00058">
      <w:start w:val="1"/>
      <w:numFmt w:val="decimal"/>
      <w:lvlText w:val="12.%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9983A11"/>
    <w:multiLevelType w:val="multilevel"/>
    <w:tmpl w:val="9AC285F6"/>
    <w:lvl w:ilvl="0">
      <w:start w:val="1"/>
      <w:numFmt w:val="decimal"/>
      <w:lvlText w:val="%1."/>
      <w:lvlJc w:val="left"/>
      <w:pPr>
        <w:tabs>
          <w:tab w:val="num" w:pos="709"/>
        </w:tabs>
        <w:ind w:left="709" w:hanging="709"/>
      </w:pPr>
      <w:rPr>
        <w:rFonts w:ascii="Arial" w:hAnsi="Arial" w:hint="default"/>
        <w:b/>
        <w:bCs/>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59FE2F8F"/>
    <w:multiLevelType w:val="multilevel"/>
    <w:tmpl w:val="FA204B68"/>
    <w:numStyleLink w:val="Style1"/>
  </w:abstractNum>
  <w:abstractNum w:abstractNumId="32" w15:restartNumberingAfterBreak="0">
    <w:nsid w:val="5A7867C4"/>
    <w:multiLevelType w:val="multilevel"/>
    <w:tmpl w:val="B51461F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3"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6"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8"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0"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1"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2"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3"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4"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4"/>
  </w:num>
  <w:num w:numId="2">
    <w:abstractNumId w:val="29"/>
  </w:num>
  <w:num w:numId="3">
    <w:abstractNumId w:val="26"/>
  </w:num>
  <w:num w:numId="4">
    <w:abstractNumId w:val="23"/>
  </w:num>
  <w:num w:numId="5">
    <w:abstractNumId w:val="16"/>
  </w:num>
  <w:num w:numId="6">
    <w:abstractNumId w:val="4"/>
  </w:num>
  <w:num w:numId="7">
    <w:abstractNumId w:val="8"/>
  </w:num>
  <w:num w:numId="8">
    <w:abstractNumId w:val="37"/>
  </w:num>
  <w:num w:numId="9">
    <w:abstractNumId w:val="13"/>
  </w:num>
  <w:num w:numId="10">
    <w:abstractNumId w:val="17"/>
  </w:num>
  <w:num w:numId="11">
    <w:abstractNumId w:val="41"/>
  </w:num>
  <w:num w:numId="12">
    <w:abstractNumId w:val="38"/>
  </w:num>
  <w:num w:numId="13">
    <w:abstractNumId w:val="19"/>
  </w:num>
  <w:num w:numId="14">
    <w:abstractNumId w:val="21"/>
  </w:num>
  <w:num w:numId="15">
    <w:abstractNumId w:val="42"/>
  </w:num>
  <w:num w:numId="16">
    <w:abstractNumId w:val="12"/>
  </w:num>
  <w:num w:numId="17">
    <w:abstractNumId w:val="28"/>
  </w:num>
  <w:num w:numId="18">
    <w:abstractNumId w:val="30"/>
  </w:num>
  <w:num w:numId="19">
    <w:abstractNumId w:val="5"/>
  </w:num>
  <w:num w:numId="20">
    <w:abstractNumId w:val="24"/>
  </w:num>
  <w:num w:numId="21">
    <w:abstractNumId w:val="35"/>
  </w:num>
  <w:num w:numId="22">
    <w:abstractNumId w:val="6"/>
  </w:num>
  <w:num w:numId="23">
    <w:abstractNumId w:val="45"/>
  </w:num>
  <w:num w:numId="24">
    <w:abstractNumId w:val="36"/>
  </w:num>
  <w:num w:numId="25">
    <w:abstractNumId w:val="43"/>
  </w:num>
  <w:num w:numId="26">
    <w:abstractNumId w:val="25"/>
  </w:num>
  <w:num w:numId="27">
    <w:abstractNumId w:val="40"/>
  </w:num>
  <w:num w:numId="28">
    <w:abstractNumId w:val="0"/>
  </w:num>
  <w:num w:numId="29">
    <w:abstractNumId w:val="9"/>
  </w:num>
  <w:num w:numId="30">
    <w:abstractNumId w:val="39"/>
  </w:num>
  <w:num w:numId="31">
    <w:abstractNumId w:val="18"/>
  </w:num>
  <w:num w:numId="32">
    <w:abstractNumId w:val="1"/>
  </w:num>
  <w:num w:numId="33">
    <w:abstractNumId w:val="27"/>
  </w:num>
  <w:num w:numId="34">
    <w:abstractNumId w:val="44"/>
  </w:num>
  <w:num w:numId="35">
    <w:abstractNumId w:val="33"/>
  </w:num>
  <w:num w:numId="36">
    <w:abstractNumId w:val="22"/>
  </w:num>
  <w:num w:numId="37">
    <w:abstractNumId w:val="11"/>
  </w:num>
  <w:num w:numId="38">
    <w:abstractNumId w:val="15"/>
  </w:num>
  <w:num w:numId="39">
    <w:abstractNumId w:val="32"/>
  </w:num>
  <w:num w:numId="40">
    <w:abstractNumId w:val="3"/>
  </w:num>
  <w:num w:numId="41">
    <w:abstractNumId w:val="2"/>
  </w:num>
  <w:num w:numId="42">
    <w:abstractNumId w:val="20"/>
  </w:num>
  <w:num w:numId="43">
    <w:abstractNumId w:val="7"/>
  </w:num>
  <w:num w:numId="44">
    <w:abstractNumId w:val="31"/>
  </w:num>
  <w:num w:numId="45">
    <w:abstractNumId w:val="14"/>
  </w:num>
  <w:num w:numId="46">
    <w:abstractNumId w:val="10"/>
  </w:num>
  <w:num w:numId="47">
    <w:abstractNumId w:val="14"/>
    <w:lvlOverride w:ilvl="0">
      <w:startOverride w:val="1"/>
    </w:lvlOverride>
    <w:lvlOverride w:ilvl="1"/>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0F8C"/>
    <w:rsid w:val="00013E68"/>
    <w:rsid w:val="000252AF"/>
    <w:rsid w:val="0002677F"/>
    <w:rsid w:val="0003500C"/>
    <w:rsid w:val="000440E3"/>
    <w:rsid w:val="00054E13"/>
    <w:rsid w:val="00066013"/>
    <w:rsid w:val="000756FC"/>
    <w:rsid w:val="00085F4C"/>
    <w:rsid w:val="00086515"/>
    <w:rsid w:val="00095569"/>
    <w:rsid w:val="000C25CB"/>
    <w:rsid w:val="000C3066"/>
    <w:rsid w:val="000D0256"/>
    <w:rsid w:val="000E6162"/>
    <w:rsid w:val="000F7C0D"/>
    <w:rsid w:val="00113A77"/>
    <w:rsid w:val="001352DC"/>
    <w:rsid w:val="001358FE"/>
    <w:rsid w:val="00143C09"/>
    <w:rsid w:val="0017197A"/>
    <w:rsid w:val="00175663"/>
    <w:rsid w:val="001810DE"/>
    <w:rsid w:val="001A305F"/>
    <w:rsid w:val="001B5A43"/>
    <w:rsid w:val="001B68F9"/>
    <w:rsid w:val="001B75B0"/>
    <w:rsid w:val="001C38E3"/>
    <w:rsid w:val="001D1AB7"/>
    <w:rsid w:val="001D1AEF"/>
    <w:rsid w:val="001D7FFC"/>
    <w:rsid w:val="001F4059"/>
    <w:rsid w:val="001F7360"/>
    <w:rsid w:val="0020630F"/>
    <w:rsid w:val="0021054E"/>
    <w:rsid w:val="00217C48"/>
    <w:rsid w:val="002257AA"/>
    <w:rsid w:val="00232D97"/>
    <w:rsid w:val="002432FD"/>
    <w:rsid w:val="002724D8"/>
    <w:rsid w:val="00272ACE"/>
    <w:rsid w:val="00275124"/>
    <w:rsid w:val="0027591D"/>
    <w:rsid w:val="002A3EB7"/>
    <w:rsid w:val="002B08C4"/>
    <w:rsid w:val="002B0CAF"/>
    <w:rsid w:val="002C5880"/>
    <w:rsid w:val="002D0B7C"/>
    <w:rsid w:val="002E42FB"/>
    <w:rsid w:val="00301E54"/>
    <w:rsid w:val="003072BF"/>
    <w:rsid w:val="00317C21"/>
    <w:rsid w:val="00334F22"/>
    <w:rsid w:val="00335A24"/>
    <w:rsid w:val="00356F31"/>
    <w:rsid w:val="003742DF"/>
    <w:rsid w:val="00375319"/>
    <w:rsid w:val="00375EAA"/>
    <w:rsid w:val="003A5940"/>
    <w:rsid w:val="003C5F4E"/>
    <w:rsid w:val="003E016F"/>
    <w:rsid w:val="003F2B52"/>
    <w:rsid w:val="003F4DE4"/>
    <w:rsid w:val="003F6781"/>
    <w:rsid w:val="004359E5"/>
    <w:rsid w:val="00443659"/>
    <w:rsid w:val="00447CE5"/>
    <w:rsid w:val="0047611D"/>
    <w:rsid w:val="00481F2A"/>
    <w:rsid w:val="00486BE5"/>
    <w:rsid w:val="004A68E8"/>
    <w:rsid w:val="004B3C5B"/>
    <w:rsid w:val="004C40CC"/>
    <w:rsid w:val="004E0939"/>
    <w:rsid w:val="005147DB"/>
    <w:rsid w:val="005210F3"/>
    <w:rsid w:val="00527581"/>
    <w:rsid w:val="00532566"/>
    <w:rsid w:val="00533657"/>
    <w:rsid w:val="005629F1"/>
    <w:rsid w:val="005637FD"/>
    <w:rsid w:val="00567A09"/>
    <w:rsid w:val="005803AE"/>
    <w:rsid w:val="005809AE"/>
    <w:rsid w:val="0058235D"/>
    <w:rsid w:val="00583D49"/>
    <w:rsid w:val="005844DB"/>
    <w:rsid w:val="00590AB1"/>
    <w:rsid w:val="005A5CBC"/>
    <w:rsid w:val="005D3FFE"/>
    <w:rsid w:val="006370AA"/>
    <w:rsid w:val="00637676"/>
    <w:rsid w:val="00642BD5"/>
    <w:rsid w:val="00651E5E"/>
    <w:rsid w:val="00660DB9"/>
    <w:rsid w:val="00661827"/>
    <w:rsid w:val="0066519C"/>
    <w:rsid w:val="00672594"/>
    <w:rsid w:val="00675CB7"/>
    <w:rsid w:val="00683627"/>
    <w:rsid w:val="00692002"/>
    <w:rsid w:val="006A2C0A"/>
    <w:rsid w:val="006B71FC"/>
    <w:rsid w:val="006C6859"/>
    <w:rsid w:val="006E6DFB"/>
    <w:rsid w:val="006F37F8"/>
    <w:rsid w:val="00716DEC"/>
    <w:rsid w:val="00720B67"/>
    <w:rsid w:val="00746F14"/>
    <w:rsid w:val="00753E91"/>
    <w:rsid w:val="00785A6C"/>
    <w:rsid w:val="007A5674"/>
    <w:rsid w:val="007C3411"/>
    <w:rsid w:val="007C69D9"/>
    <w:rsid w:val="007D0C33"/>
    <w:rsid w:val="007E2DA4"/>
    <w:rsid w:val="007F577D"/>
    <w:rsid w:val="00806BAA"/>
    <w:rsid w:val="00816879"/>
    <w:rsid w:val="0082054F"/>
    <w:rsid w:val="00820E25"/>
    <w:rsid w:val="00843125"/>
    <w:rsid w:val="00844488"/>
    <w:rsid w:val="0085267A"/>
    <w:rsid w:val="00874296"/>
    <w:rsid w:val="00877AA6"/>
    <w:rsid w:val="008D19B1"/>
    <w:rsid w:val="008F22F6"/>
    <w:rsid w:val="00903F92"/>
    <w:rsid w:val="00937ABF"/>
    <w:rsid w:val="0094596F"/>
    <w:rsid w:val="009530C0"/>
    <w:rsid w:val="00957D4B"/>
    <w:rsid w:val="0096011E"/>
    <w:rsid w:val="00962C8D"/>
    <w:rsid w:val="00964883"/>
    <w:rsid w:val="009825F4"/>
    <w:rsid w:val="00986EE1"/>
    <w:rsid w:val="00993C5E"/>
    <w:rsid w:val="009C3B12"/>
    <w:rsid w:val="009D5143"/>
    <w:rsid w:val="00A027F3"/>
    <w:rsid w:val="00A05598"/>
    <w:rsid w:val="00A1059A"/>
    <w:rsid w:val="00A1253B"/>
    <w:rsid w:val="00A20C76"/>
    <w:rsid w:val="00A32E53"/>
    <w:rsid w:val="00A34F58"/>
    <w:rsid w:val="00A53B11"/>
    <w:rsid w:val="00A77A09"/>
    <w:rsid w:val="00A824A0"/>
    <w:rsid w:val="00A8264F"/>
    <w:rsid w:val="00AA433B"/>
    <w:rsid w:val="00AC6E15"/>
    <w:rsid w:val="00AD12EF"/>
    <w:rsid w:val="00AE08C6"/>
    <w:rsid w:val="00B04076"/>
    <w:rsid w:val="00B148BC"/>
    <w:rsid w:val="00B206F0"/>
    <w:rsid w:val="00B230D5"/>
    <w:rsid w:val="00B31C22"/>
    <w:rsid w:val="00B323DD"/>
    <w:rsid w:val="00B37EB4"/>
    <w:rsid w:val="00B512BA"/>
    <w:rsid w:val="00B60853"/>
    <w:rsid w:val="00B61637"/>
    <w:rsid w:val="00B7226D"/>
    <w:rsid w:val="00B73A39"/>
    <w:rsid w:val="00B814DF"/>
    <w:rsid w:val="00B81B0E"/>
    <w:rsid w:val="00BA5EC3"/>
    <w:rsid w:val="00BB3EE9"/>
    <w:rsid w:val="00BB614E"/>
    <w:rsid w:val="00BC5F7B"/>
    <w:rsid w:val="00BD1036"/>
    <w:rsid w:val="00BF663C"/>
    <w:rsid w:val="00C61937"/>
    <w:rsid w:val="00C761EF"/>
    <w:rsid w:val="00C77851"/>
    <w:rsid w:val="00CA0011"/>
    <w:rsid w:val="00CC09DE"/>
    <w:rsid w:val="00CC2065"/>
    <w:rsid w:val="00CC6C23"/>
    <w:rsid w:val="00CD4FBC"/>
    <w:rsid w:val="00CD5BB7"/>
    <w:rsid w:val="00CE6D72"/>
    <w:rsid w:val="00CF4177"/>
    <w:rsid w:val="00CF7391"/>
    <w:rsid w:val="00D06160"/>
    <w:rsid w:val="00D064FC"/>
    <w:rsid w:val="00D11F18"/>
    <w:rsid w:val="00D245C4"/>
    <w:rsid w:val="00D327DC"/>
    <w:rsid w:val="00D33779"/>
    <w:rsid w:val="00D342DE"/>
    <w:rsid w:val="00D36479"/>
    <w:rsid w:val="00D43B52"/>
    <w:rsid w:val="00D51E87"/>
    <w:rsid w:val="00D52B21"/>
    <w:rsid w:val="00D52D2F"/>
    <w:rsid w:val="00D7432D"/>
    <w:rsid w:val="00D747A4"/>
    <w:rsid w:val="00D77CDC"/>
    <w:rsid w:val="00D817D2"/>
    <w:rsid w:val="00D86240"/>
    <w:rsid w:val="00D96AA4"/>
    <w:rsid w:val="00DA56F4"/>
    <w:rsid w:val="00DB06C7"/>
    <w:rsid w:val="00DB45B2"/>
    <w:rsid w:val="00DC3AE8"/>
    <w:rsid w:val="00DD11D0"/>
    <w:rsid w:val="00DD41B6"/>
    <w:rsid w:val="00DD71B1"/>
    <w:rsid w:val="00E06BBC"/>
    <w:rsid w:val="00E07996"/>
    <w:rsid w:val="00E12900"/>
    <w:rsid w:val="00E33306"/>
    <w:rsid w:val="00E34B52"/>
    <w:rsid w:val="00E34DC9"/>
    <w:rsid w:val="00E47D0B"/>
    <w:rsid w:val="00E508F8"/>
    <w:rsid w:val="00E57CB3"/>
    <w:rsid w:val="00E61F5A"/>
    <w:rsid w:val="00E65DBA"/>
    <w:rsid w:val="00E7108D"/>
    <w:rsid w:val="00E73336"/>
    <w:rsid w:val="00E81589"/>
    <w:rsid w:val="00E86280"/>
    <w:rsid w:val="00E91828"/>
    <w:rsid w:val="00E94A7A"/>
    <w:rsid w:val="00EB3C35"/>
    <w:rsid w:val="00EB48DC"/>
    <w:rsid w:val="00EC3273"/>
    <w:rsid w:val="00EF0B3C"/>
    <w:rsid w:val="00F269AB"/>
    <w:rsid w:val="00F27226"/>
    <w:rsid w:val="00F30D9B"/>
    <w:rsid w:val="00F37885"/>
    <w:rsid w:val="00F5489C"/>
    <w:rsid w:val="00F629F4"/>
    <w:rsid w:val="00F65047"/>
    <w:rsid w:val="00FA3B2D"/>
    <w:rsid w:val="00FC1E70"/>
    <w:rsid w:val="00FD145F"/>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fESOutNumbered">
    <w:name w:val="DfESOutNumbered"/>
    <w:basedOn w:val="Normal"/>
    <w:link w:val="DfESOutNumberedChar"/>
    <w:rsid w:val="00175663"/>
    <w:pPr>
      <w:widowControl w:val="0"/>
      <w:numPr>
        <w:numId w:val="40"/>
      </w:numPr>
      <w:overflowPunct w:val="0"/>
      <w:autoSpaceDE w:val="0"/>
      <w:autoSpaceDN w:val="0"/>
      <w:adjustRightInd w:val="0"/>
      <w:spacing w:after="240"/>
      <w:jc w:val="left"/>
      <w:textAlignment w:val="baseline"/>
    </w:pPr>
    <w:rPr>
      <w:rFonts w:ascii="Arial" w:eastAsia="Times New Roman" w:hAnsi="Arial" w:cs="Arial"/>
      <w:sz w:val="22"/>
      <w:lang w:eastAsia="en-US"/>
    </w:rPr>
  </w:style>
  <w:style w:type="character" w:customStyle="1" w:styleId="DfESOutNumberedChar">
    <w:name w:val="DfESOutNumbered Char"/>
    <w:basedOn w:val="DefaultParagraphFont"/>
    <w:link w:val="DfESOutNumbered"/>
    <w:rsid w:val="00175663"/>
    <w:rPr>
      <w:rFonts w:ascii="Arial" w:eastAsia="Times New Roman" w:hAnsi="Arial" w:cs="Arial"/>
      <w:sz w:val="22"/>
      <w:lang w:eastAsia="en-US"/>
    </w:rPr>
  </w:style>
  <w:style w:type="paragraph" w:customStyle="1" w:styleId="DeptBullets">
    <w:name w:val="DeptBullets"/>
    <w:basedOn w:val="Normal"/>
    <w:link w:val="DeptBulletsChar"/>
    <w:rsid w:val="00175663"/>
    <w:pPr>
      <w:widowControl w:val="0"/>
      <w:numPr>
        <w:numId w:val="42"/>
      </w:numPr>
      <w:overflowPunct w:val="0"/>
      <w:autoSpaceDE w:val="0"/>
      <w:autoSpaceDN w:val="0"/>
      <w:adjustRightInd w:val="0"/>
      <w:spacing w:after="240"/>
      <w:jc w:val="left"/>
      <w:textAlignment w:val="baseline"/>
    </w:pPr>
    <w:rPr>
      <w:rFonts w:ascii="Arial" w:eastAsia="Times New Roman" w:hAnsi="Arial" w:cs="Times New Roman"/>
      <w:sz w:val="24"/>
      <w:lang w:eastAsia="en-US"/>
    </w:rPr>
  </w:style>
  <w:style w:type="character" w:customStyle="1" w:styleId="DeptBulletsChar">
    <w:name w:val="DeptBullets Char"/>
    <w:basedOn w:val="DefaultParagraphFont"/>
    <w:link w:val="DeptBullets"/>
    <w:rsid w:val="00175663"/>
    <w:rPr>
      <w:rFonts w:ascii="Arial" w:eastAsia="Times New Roman" w:hAnsi="Arial" w:cs="Times New Roman"/>
      <w:sz w:val="24"/>
      <w:lang w:eastAsia="en-US"/>
    </w:rPr>
  </w:style>
  <w:style w:type="table" w:styleId="TableGrid">
    <w:name w:val="Table Grid"/>
    <w:basedOn w:val="TableNormal"/>
    <w:uiPriority w:val="39"/>
    <w:rsid w:val="00820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F37F8"/>
    <w:rPr>
      <w:b/>
      <w:bCs/>
    </w:rPr>
  </w:style>
  <w:style w:type="character" w:customStyle="1" w:styleId="CommentSubjectChar">
    <w:name w:val="Comment Subject Char"/>
    <w:basedOn w:val="CommentTextChar"/>
    <w:link w:val="CommentSubject"/>
    <w:uiPriority w:val="99"/>
    <w:semiHidden/>
    <w:rsid w:val="006F37F8"/>
    <w:rPr>
      <w:b/>
      <w:bCs/>
    </w:rPr>
  </w:style>
  <w:style w:type="paragraph" w:customStyle="1" w:styleId="Default">
    <w:name w:val="Default"/>
    <w:rsid w:val="006F37F8"/>
    <w:pPr>
      <w:autoSpaceDE w:val="0"/>
      <w:autoSpaceDN w:val="0"/>
      <w:adjustRightInd w:val="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086515"/>
    <w:rPr>
      <w:color w:val="605E5C"/>
      <w:shd w:val="clear" w:color="auto" w:fill="E1DFDD"/>
    </w:rPr>
  </w:style>
  <w:style w:type="paragraph" w:customStyle="1" w:styleId="paragraph">
    <w:name w:val="paragraph"/>
    <w:basedOn w:val="Normal"/>
    <w:rsid w:val="00E94A7A"/>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E94A7A"/>
  </w:style>
  <w:style w:type="character" w:customStyle="1" w:styleId="eop">
    <w:name w:val="eop"/>
    <w:basedOn w:val="DefaultParagraphFont"/>
    <w:rsid w:val="00E94A7A"/>
  </w:style>
  <w:style w:type="numbering" w:customStyle="1" w:styleId="Style1">
    <w:name w:val="Style1"/>
    <w:uiPriority w:val="99"/>
    <w:rsid w:val="00B7226D"/>
    <w:pPr>
      <w:numPr>
        <w:numId w:val="43"/>
      </w:numPr>
    </w:pPr>
  </w:style>
  <w:style w:type="paragraph" w:customStyle="1" w:styleId="bULLETNUMBERCONTENTS">
    <w:name w:val="bULLET NUMBER CONTENTS"/>
    <w:basedOn w:val="Heading2"/>
    <w:qFormat/>
    <w:rsid w:val="00B7226D"/>
    <w:pPr>
      <w:numPr>
        <w:ilvl w:val="1"/>
        <w:numId w:val="44"/>
      </w:numPr>
      <w:spacing w:before="40" w:line="259" w:lineRule="auto"/>
      <w:contextualSpacing/>
    </w:pPr>
    <w:rPr>
      <w:rFonts w:ascii="Maven Pro" w:eastAsiaTheme="majorEastAsia" w:hAnsi="Maven Pro" w:cstheme="majorBidi"/>
      <w:kern w:val="20"/>
      <w:sz w:val="22"/>
      <w:szCs w:val="26"/>
      <w:lang w:eastAsia="en-US"/>
      <w14:ligatures w14:val="all"/>
      <w14:numForm w14:val="oldStyle"/>
      <w14:numSpacing w14:val="tabular"/>
      <w14:stylisticSets>
        <w14:styleSet w14:id="9"/>
      </w14:stylisticSets>
    </w:rPr>
  </w:style>
  <w:style w:type="paragraph" w:customStyle="1" w:styleId="Style2">
    <w:name w:val="Style2"/>
    <w:basedOn w:val="bULLETNUMBERCONTENTS"/>
    <w:next w:val="Normal"/>
    <w:link w:val="Style2Char"/>
    <w:qFormat/>
    <w:rsid w:val="00B7226D"/>
  </w:style>
  <w:style w:type="character" w:customStyle="1" w:styleId="Style2Char">
    <w:name w:val="Style2 Char"/>
    <w:basedOn w:val="DefaultParagraphFont"/>
    <w:link w:val="Style2"/>
    <w:rsid w:val="00B7226D"/>
    <w:rPr>
      <w:rFonts w:ascii="Maven Pro" w:eastAsiaTheme="majorEastAsia" w:hAnsi="Maven Pro" w:cstheme="majorBidi"/>
      <w:b/>
      <w:kern w:val="20"/>
      <w:sz w:val="22"/>
      <w:szCs w:val="26"/>
      <w:lang w:eastAsia="en-US"/>
      <w14:ligatures w14:val="all"/>
      <w14:numForm w14:val="oldStyle"/>
      <w14:numSpacing w14:val="tabular"/>
      <w14:stylisticSets>
        <w14:styleSet w14:id="9"/>
      </w14:stylisticSets>
    </w:rPr>
  </w:style>
  <w:style w:type="paragraph" w:customStyle="1" w:styleId="Style311">
    <w:name w:val="Style3.1.1"/>
    <w:basedOn w:val="Normal"/>
    <w:link w:val="Style311Char"/>
    <w:qFormat/>
    <w:rsid w:val="00B7226D"/>
    <w:pPr>
      <w:tabs>
        <w:tab w:val="num" w:pos="2126"/>
      </w:tabs>
      <w:overflowPunct w:val="0"/>
      <w:autoSpaceDE w:val="0"/>
      <w:autoSpaceDN w:val="0"/>
      <w:adjustRightInd w:val="0"/>
      <w:spacing w:after="120"/>
      <w:ind w:left="2126" w:hanging="708"/>
      <w:textAlignment w:val="baseline"/>
    </w:pPr>
    <w:rPr>
      <w:rFonts w:ascii="Arial" w:eastAsia="Times New Roman" w:hAnsi="Arial" w:cs="Arial"/>
      <w:bCs/>
      <w:sz w:val="22"/>
      <w:lang w:eastAsia="en-US"/>
    </w:rPr>
  </w:style>
  <w:style w:type="paragraph" w:customStyle="1" w:styleId="Style3n">
    <w:name w:val="Style3n"/>
    <w:basedOn w:val="Normal"/>
    <w:qFormat/>
    <w:rsid w:val="00B7226D"/>
    <w:pPr>
      <w:widowControl w:val="0"/>
      <w:overflowPunct w:val="0"/>
      <w:autoSpaceDE w:val="0"/>
      <w:autoSpaceDN w:val="0"/>
      <w:adjustRightInd w:val="0"/>
      <w:spacing w:after="120"/>
      <w:ind w:left="1418"/>
      <w:textAlignment w:val="baseline"/>
    </w:pPr>
    <w:rPr>
      <w:rFonts w:ascii="Arial" w:eastAsia="Times New Roman" w:hAnsi="Arial" w:cs="Times New Roman"/>
      <w:sz w:val="22"/>
      <w:lang w:eastAsia="en-US"/>
    </w:rPr>
  </w:style>
  <w:style w:type="paragraph" w:customStyle="1" w:styleId="Style4">
    <w:name w:val="Style4"/>
    <w:basedOn w:val="Normal"/>
    <w:qFormat/>
    <w:rsid w:val="00B7226D"/>
    <w:pPr>
      <w:widowControl w:val="0"/>
      <w:tabs>
        <w:tab w:val="num" w:pos="2835"/>
      </w:tabs>
      <w:overflowPunct w:val="0"/>
      <w:autoSpaceDE w:val="0"/>
      <w:autoSpaceDN w:val="0"/>
      <w:adjustRightInd w:val="0"/>
      <w:spacing w:after="120"/>
      <w:ind w:left="2835" w:hanging="709"/>
      <w:textAlignment w:val="baseline"/>
    </w:pPr>
    <w:rPr>
      <w:rFonts w:ascii="Arial" w:eastAsia="Times New Roman" w:hAnsi="Arial" w:cs="Times New Roman"/>
      <w:sz w:val="22"/>
      <w:lang w:eastAsia="en-US"/>
    </w:rPr>
  </w:style>
  <w:style w:type="character" w:customStyle="1" w:styleId="Style311Char">
    <w:name w:val="Style3.1.1 Char"/>
    <w:link w:val="Style311"/>
    <w:rsid w:val="00B7226D"/>
    <w:rPr>
      <w:rFonts w:ascii="Arial" w:eastAsia="Times New Roman" w:hAnsi="Arial" w:cs="Arial"/>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459444">
      <w:bodyDiv w:val="1"/>
      <w:marLeft w:val="0"/>
      <w:marRight w:val="0"/>
      <w:marTop w:val="0"/>
      <w:marBottom w:val="0"/>
      <w:divBdr>
        <w:top w:val="none" w:sz="0" w:space="0" w:color="auto"/>
        <w:left w:val="none" w:sz="0" w:space="0" w:color="auto"/>
        <w:bottom w:val="none" w:sz="0" w:space="0" w:color="auto"/>
        <w:right w:val="none" w:sz="0" w:space="0" w:color="auto"/>
      </w:divBdr>
    </w:div>
    <w:div w:id="523831203">
      <w:bodyDiv w:val="1"/>
      <w:marLeft w:val="0"/>
      <w:marRight w:val="0"/>
      <w:marTop w:val="0"/>
      <w:marBottom w:val="0"/>
      <w:divBdr>
        <w:top w:val="none" w:sz="0" w:space="0" w:color="auto"/>
        <w:left w:val="none" w:sz="0" w:space="0" w:color="auto"/>
        <w:bottom w:val="none" w:sz="0" w:space="0" w:color="auto"/>
        <w:right w:val="none" w:sz="0" w:space="0" w:color="auto"/>
      </w:divBdr>
    </w:div>
    <w:div w:id="791745936">
      <w:bodyDiv w:val="1"/>
      <w:marLeft w:val="0"/>
      <w:marRight w:val="0"/>
      <w:marTop w:val="0"/>
      <w:marBottom w:val="0"/>
      <w:divBdr>
        <w:top w:val="none" w:sz="0" w:space="0" w:color="auto"/>
        <w:left w:val="none" w:sz="0" w:space="0" w:color="auto"/>
        <w:bottom w:val="none" w:sz="0" w:space="0" w:color="auto"/>
        <w:right w:val="none" w:sz="0" w:space="0" w:color="auto"/>
      </w:divBdr>
    </w:div>
    <w:div w:id="1413118486">
      <w:bodyDiv w:val="1"/>
      <w:marLeft w:val="0"/>
      <w:marRight w:val="0"/>
      <w:marTop w:val="0"/>
      <w:marBottom w:val="0"/>
      <w:divBdr>
        <w:top w:val="none" w:sz="0" w:space="0" w:color="auto"/>
        <w:left w:val="none" w:sz="0" w:space="0" w:color="auto"/>
        <w:bottom w:val="none" w:sz="0" w:space="0" w:color="auto"/>
        <w:right w:val="none" w:sz="0" w:space="0" w:color="auto"/>
      </w:divBdr>
    </w:div>
    <w:div w:id="1559827633">
      <w:bodyDiv w:val="1"/>
      <w:marLeft w:val="0"/>
      <w:marRight w:val="0"/>
      <w:marTop w:val="0"/>
      <w:marBottom w:val="0"/>
      <w:divBdr>
        <w:top w:val="none" w:sz="0" w:space="0" w:color="auto"/>
        <w:left w:val="none" w:sz="0" w:space="0" w:color="auto"/>
        <w:bottom w:val="none" w:sz="0" w:space="0" w:color="auto"/>
        <w:right w:val="none" w:sz="0" w:space="0" w:color="auto"/>
      </w:divBdr>
    </w:div>
    <w:div w:id="1628005609">
      <w:bodyDiv w:val="1"/>
      <w:marLeft w:val="0"/>
      <w:marRight w:val="0"/>
      <w:marTop w:val="0"/>
      <w:marBottom w:val="0"/>
      <w:divBdr>
        <w:top w:val="none" w:sz="0" w:space="0" w:color="auto"/>
        <w:left w:val="none" w:sz="0" w:space="0" w:color="auto"/>
        <w:bottom w:val="none" w:sz="0" w:space="0" w:color="auto"/>
        <w:right w:val="none" w:sz="0" w:space="0" w:color="auto"/>
      </w:divBdr>
      <w:divsChild>
        <w:div w:id="75638315">
          <w:marLeft w:val="0"/>
          <w:marRight w:val="0"/>
          <w:marTop w:val="0"/>
          <w:marBottom w:val="0"/>
          <w:divBdr>
            <w:top w:val="none" w:sz="0" w:space="0" w:color="auto"/>
            <w:left w:val="none" w:sz="0" w:space="0" w:color="auto"/>
            <w:bottom w:val="none" w:sz="0" w:space="0" w:color="auto"/>
            <w:right w:val="none" w:sz="0" w:space="0" w:color="auto"/>
          </w:divBdr>
        </w:div>
      </w:divsChild>
    </w:div>
    <w:div w:id="1994410749">
      <w:bodyDiv w:val="1"/>
      <w:marLeft w:val="0"/>
      <w:marRight w:val="0"/>
      <w:marTop w:val="0"/>
      <w:marBottom w:val="0"/>
      <w:divBdr>
        <w:top w:val="none" w:sz="0" w:space="0" w:color="auto"/>
        <w:left w:val="none" w:sz="0" w:space="0" w:color="auto"/>
        <w:bottom w:val="none" w:sz="0" w:space="0" w:color="auto"/>
        <w:right w:val="none" w:sz="0" w:space="0" w:color="auto"/>
      </w:divBdr>
      <w:divsChild>
        <w:div w:id="131211596">
          <w:marLeft w:val="0"/>
          <w:marRight w:val="0"/>
          <w:marTop w:val="0"/>
          <w:marBottom w:val="0"/>
          <w:divBdr>
            <w:top w:val="none" w:sz="0" w:space="0" w:color="auto"/>
            <w:left w:val="none" w:sz="0" w:space="0" w:color="auto"/>
            <w:bottom w:val="none" w:sz="0" w:space="0" w:color="auto"/>
            <w:right w:val="none" w:sz="0" w:space="0" w:color="auto"/>
          </w:divBdr>
        </w:div>
        <w:div w:id="1858959618">
          <w:marLeft w:val="0"/>
          <w:marRight w:val="0"/>
          <w:marTop w:val="0"/>
          <w:marBottom w:val="0"/>
          <w:divBdr>
            <w:top w:val="none" w:sz="0" w:space="0" w:color="auto"/>
            <w:left w:val="none" w:sz="0" w:space="0" w:color="auto"/>
            <w:bottom w:val="none" w:sz="0" w:space="0" w:color="auto"/>
            <w:right w:val="none" w:sz="0" w:space="0" w:color="auto"/>
          </w:divBdr>
        </w:div>
        <w:div w:id="16871737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technology/code-of-practice.htm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igitalmarketplace.service.gov.uk/" TargetMode="External"/><Relationship Id="rId17" Type="http://schemas.openxmlformats.org/officeDocument/2006/relationships/hyperlink" Target="https://www.digitalmarketplace.service.gov.uk/digital-outcomes-and-specialists/opportunities/12605" TargetMode="External"/><Relationship Id="rId2" Type="http://schemas.openxmlformats.org/officeDocument/2006/relationships/customXml" Target="../customXml/item2.xml"/><Relationship Id="rId16" Type="http://schemas.openxmlformats.org/officeDocument/2006/relationships/hyperlink" Target="http://www.legislation.gov.uk/ssi/2012/88/m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10-steps-cyber-security" TargetMode="External"/><Relationship Id="rId5" Type="http://schemas.openxmlformats.org/officeDocument/2006/relationships/numbering" Target="numbering.xml"/><Relationship Id="rId15" Type="http://schemas.openxmlformats.org/officeDocument/2006/relationships/hyperlink" Target="http://www.legislation.gov.uk/uksi/2015/102/contents/mad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df94d479-ab22-4589-b288-5f8fcf562cac" xsi:nil="true"/>
    <MigrationWizId xmlns="df94d479-ab22-4589-b288-5f8fcf562cac" xsi:nil="true"/>
    <MigrationWizIdDocumentLibraryPermissions xmlns="df94d479-ab22-4589-b288-5f8fcf562cac" xsi:nil="true"/>
    <MigrationWizIdPermissions xmlns="df94d479-ab22-4589-b288-5f8fcf562cac" xsi:nil="true"/>
    <MigrationWizIdPermissionLevels xmlns="df94d479-ab22-4589-b288-5f8fcf562c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7" ma:contentTypeDescription="Create a new document." ma:contentTypeScope="" ma:versionID="965b1586facfe897d2783afcb4ac1af0">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b217ac2383388c0d00cc4296064d21cd"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igrationWizId" ma:index="13" nillable="true" ma:displayName="MigrationWizId" ma:internalName="MigrationWizId">
      <xsd:simpleType>
        <xsd:restriction base="dms:Text"/>
      </xsd:simpleType>
    </xsd:element>
    <xsd:element name="MigrationWizIdPermissions" ma:index="14" nillable="true" ma:displayName="MigrationWizIdPermissions" ma:internalName="MigrationWizIdPermissions">
      <xsd:simpleType>
        <xsd:restriction base="dms:Text"/>
      </xsd:simpleType>
    </xsd:element>
    <xsd:element name="MigrationWizIdPermissionLevels" ma:index="15" nillable="true" ma:displayName="MigrationWizIdPermissionLevels" ma:internalName="MigrationWizIdPermissionLevels">
      <xsd:simpleType>
        <xsd:restriction base="dms:Text"/>
      </xsd:simpleType>
    </xsd:element>
    <xsd:element name="MigrationWizIdDocumentLibraryPermissions" ma:index="16" nillable="true" ma:displayName="MigrationWizIdDocumentLibraryPermissions" ma:internalName="MigrationWizIdDocumentLibraryPermissions">
      <xsd:simpleType>
        <xsd:restriction base="dms:Text"/>
      </xsd:simpleType>
    </xsd:element>
    <xsd:element name="MigrationWizIdSecurityGroups" ma:index="17" nillable="true" ma:displayName="MigrationWizIdSecurityGroups" ma:internalName="MigrationWizIdSecurityGroups">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B7C4A-9805-4C30-8854-953F0F6BB7E6}">
  <ds:schemaRefs>
    <ds:schemaRef ds:uri="http://schemas.microsoft.com/office/2006/metadata/properties"/>
    <ds:schemaRef ds:uri="http://schemas.microsoft.com/office/infopath/2007/PartnerControls"/>
    <ds:schemaRef ds:uri="df94d479-ab22-4589-b288-5f8fcf562cac"/>
  </ds:schemaRefs>
</ds:datastoreItem>
</file>

<file path=customXml/itemProps2.xml><?xml version="1.0" encoding="utf-8"?>
<ds:datastoreItem xmlns:ds="http://schemas.openxmlformats.org/officeDocument/2006/customXml" ds:itemID="{CCE990BD-2A54-41F0-A197-222C17D9F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1D9F5-FE43-47C7-81EC-B906DA769CF0}">
  <ds:schemaRefs>
    <ds:schemaRef ds:uri="http://schemas.openxmlformats.org/officeDocument/2006/bibliography"/>
  </ds:schemaRefs>
</ds:datastoreItem>
</file>

<file path=customXml/itemProps4.xml><?xml version="1.0" encoding="utf-8"?>
<ds:datastoreItem xmlns:ds="http://schemas.openxmlformats.org/officeDocument/2006/customXml" ds:itemID="{785DE003-063D-44B8-BA4D-B007A6275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16955</Words>
  <Characters>96649</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EGAN, Arron</cp:lastModifiedBy>
  <cp:revision>2</cp:revision>
  <cp:lastPrinted>2019-06-12T08:45:00Z</cp:lastPrinted>
  <dcterms:created xsi:type="dcterms:W3CDTF">2020-10-27T13:23:00Z</dcterms:created>
  <dcterms:modified xsi:type="dcterms:W3CDTF">2020-10-27T13:23:00Z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0x0101001EF6B0DE94B29942966D7A57D07EB71D</vt:lpwstr>
  </property>
</Properties>
</file>