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7497" w14:textId="77777777" w:rsidR="00AD6B1A" w:rsidRDefault="00AD6B1A" w:rsidP="00AD6B1A">
      <w:pPr>
        <w:spacing w:after="0" w:line="240" w:lineRule="auto"/>
        <w:jc w:val="right"/>
        <w:outlineLvl w:val="0"/>
        <w:rPr>
          <w:rFonts w:ascii="Arial" w:hAnsi="Arial" w:cs="Arial"/>
          <w:b/>
        </w:rPr>
      </w:pPr>
      <w:bookmarkStart w:id="0" w:name="_Hlk132110784"/>
      <w:bookmarkStart w:id="1" w:name="_Hlk66047352"/>
      <w:r>
        <w:rPr>
          <w:rFonts w:ascii="Arial" w:hAnsi="Arial" w:cs="Arial"/>
          <w:b/>
        </w:rPr>
        <w:t>Annex A</w:t>
      </w:r>
    </w:p>
    <w:p w14:paraId="0761AF55" w14:textId="77777777" w:rsidR="00AD6B1A" w:rsidRDefault="00AD6B1A" w:rsidP="00AD6B1A">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499007A0" w14:textId="77777777" w:rsidR="00AD6B1A" w:rsidRDefault="00AD6B1A" w:rsidP="00AD6B1A">
      <w:pPr>
        <w:spacing w:after="0" w:line="240" w:lineRule="auto"/>
        <w:jc w:val="center"/>
        <w:outlineLvl w:val="0"/>
        <w:rPr>
          <w:rFonts w:ascii="Arial" w:eastAsia="Times New Roman" w:hAnsi="Arial" w:cs="Times New Roman"/>
          <w:b/>
          <w:spacing w:val="-2"/>
          <w:szCs w:val="20"/>
          <w:lang w:val="en-GB" w:eastAsia="en-GB"/>
        </w:rPr>
      </w:pPr>
    </w:p>
    <w:p w14:paraId="3581645C" w14:textId="77777777" w:rsidR="00AD6B1A" w:rsidRDefault="00AD6B1A" w:rsidP="00AD6B1A">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3FF3F217" w14:textId="77777777" w:rsidR="00AD6B1A" w:rsidRDefault="00AD6B1A" w:rsidP="00AD6B1A">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0C9B3FF0" w14:textId="77777777" w:rsidR="00AD6B1A" w:rsidRDefault="00AD6B1A" w:rsidP="00AD6B1A">
      <w:pPr>
        <w:keepNext/>
        <w:spacing w:after="0" w:line="240" w:lineRule="auto"/>
        <w:jc w:val="center"/>
        <w:outlineLvl w:val="0"/>
        <w:rPr>
          <w:rFonts w:ascii="Arial" w:eastAsia="Times New Roman" w:hAnsi="Arial" w:cs="Arial"/>
          <w:b/>
          <w:bCs/>
          <w:kern w:val="32"/>
          <w:sz w:val="36"/>
          <w:szCs w:val="36"/>
          <w:lang w:val="en-GB" w:eastAsia="en-GB"/>
        </w:rPr>
      </w:pPr>
    </w:p>
    <w:p w14:paraId="3AF09D06" w14:textId="77777777" w:rsidR="00AD6B1A" w:rsidRPr="00457CC8" w:rsidRDefault="00AD6B1A" w:rsidP="00AD6B1A">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3BC4C9EB" w14:textId="77777777" w:rsidR="00AD6B1A" w:rsidRDefault="00AD6B1A" w:rsidP="00AD6B1A">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C20B25">
        <w:rPr>
          <w:rFonts w:ascii="Arial" w:hAnsi="Arial" w:cs="Arial"/>
          <w:color w:val="000000"/>
          <w:sz w:val="18"/>
          <w:szCs w:val="18"/>
        </w:rPr>
        <w:t>Deliverables )</w:t>
      </w:r>
      <w:proofErr w:type="gramEnd"/>
      <w:r w:rsidRPr="00C20B25">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078314F1" w14:textId="77777777" w:rsidR="00AD6B1A" w:rsidRPr="00457CC8" w:rsidRDefault="00AD6B1A" w:rsidP="00AD6B1A">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4AC7097D" w14:textId="77777777" w:rsidR="00AD6B1A" w:rsidRPr="00457CC8" w:rsidRDefault="00AD6B1A" w:rsidP="00AD6B1A">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AD6B1A" w:rsidRPr="00457CC8" w14:paraId="03878736" w14:textId="77777777" w:rsidTr="00CE3A86">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0C3D321"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AD6B1A" w:rsidRPr="00457CC8" w14:paraId="308139A5" w14:textId="77777777" w:rsidTr="00CE3A86">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015ADD84"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15F0BB97"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4F5950E5" w14:textId="77777777" w:rsidR="00AD6B1A" w:rsidRPr="00457CC8" w:rsidRDefault="00AD6B1A" w:rsidP="00CE3A86">
            <w:pPr>
              <w:autoSpaceDE w:val="0"/>
              <w:autoSpaceDN w:val="0"/>
              <w:adjustRightInd w:val="0"/>
              <w:spacing w:after="60" w:line="240" w:lineRule="auto"/>
              <w:ind w:right="20"/>
              <w:rPr>
                <w:rFonts w:ascii="Arial" w:hAnsi="Arial" w:cs="Arial"/>
                <w:sz w:val="18"/>
                <w:szCs w:val="18"/>
              </w:rPr>
            </w:pPr>
            <w:bookmarkStart w:id="2" w:name="#Text31"/>
            <w:bookmarkEnd w:id="2"/>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AD6B1A" w:rsidRPr="00457CC8" w14:paraId="0EC3971E" w14:textId="77777777" w:rsidTr="00CE3A86">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88D4602"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AD6B1A" w:rsidRPr="00457CC8" w14:paraId="32C39620"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00890BF4"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249C5002"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3" w:name="#Text34"/>
            <w:bookmarkEnd w:id="3"/>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BB61154" w14:textId="77777777" w:rsidR="00AD6B1A" w:rsidRPr="00457CC8" w:rsidRDefault="00AD6B1A" w:rsidP="00CE3A86">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AD6B1A" w:rsidRPr="00457CC8" w14:paraId="38F15DE0"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14631A37"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AD6B1A" w:rsidRPr="00457CC8" w14:paraId="3898B248"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1EAB2AD0"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279633D9"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484FCDD8"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tc>
      </w:tr>
      <w:tr w:rsidR="00AD6B1A" w:rsidRPr="00457CC8" w14:paraId="6F23777A"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54FC53B0"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AD6B1A" w:rsidRPr="00457CC8" w14:paraId="032BB4DD"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3EAB7CC8"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53DEC911"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24D464CC" w14:textId="77777777" w:rsidR="00AD6B1A" w:rsidRPr="00457CC8" w:rsidRDefault="00AD6B1A" w:rsidP="00CE3A86">
            <w:pPr>
              <w:autoSpaceDE w:val="0"/>
              <w:autoSpaceDN w:val="0"/>
              <w:adjustRightInd w:val="0"/>
              <w:spacing w:after="60" w:line="240" w:lineRule="auto"/>
              <w:ind w:left="128" w:right="20"/>
              <w:rPr>
                <w:rFonts w:ascii="Arial" w:hAnsi="Arial" w:cs="Arial"/>
                <w:sz w:val="18"/>
                <w:szCs w:val="18"/>
              </w:rPr>
            </w:pPr>
            <w:bookmarkStart w:id="4" w:name="#Text36"/>
            <w:bookmarkEnd w:id="4"/>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AD6B1A" w:rsidRPr="00457CC8" w14:paraId="547C71DA"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3EC63217"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AD6B1A" w:rsidRPr="00457CC8" w14:paraId="382D98FD"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45288C57"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5" w:name="#Text39"/>
            <w:bookmarkEnd w:id="5"/>
          </w:p>
          <w:p w14:paraId="3F9CBEC5"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7B4F6B3F"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6" w:name="#Text40"/>
            <w:bookmarkEnd w:id="6"/>
          </w:p>
          <w:p w14:paraId="30D24E5E"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F153701"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7" w:name="#Text41"/>
            <w:bookmarkEnd w:id="7"/>
          </w:p>
          <w:p w14:paraId="3BEBE673"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3F48F62" w14:textId="77777777" w:rsidR="00AD6B1A" w:rsidRPr="00457CC8" w:rsidRDefault="00AD6B1A" w:rsidP="00CE3A86">
            <w:pPr>
              <w:autoSpaceDE w:val="0"/>
              <w:autoSpaceDN w:val="0"/>
              <w:adjustRightInd w:val="0"/>
              <w:spacing w:after="0" w:line="240" w:lineRule="auto"/>
              <w:ind w:left="128" w:right="20"/>
              <w:jc w:val="both"/>
              <w:rPr>
                <w:rFonts w:ascii="Arial" w:hAnsi="Arial" w:cs="Arial"/>
                <w:sz w:val="18"/>
                <w:szCs w:val="18"/>
              </w:rPr>
            </w:pPr>
          </w:p>
        </w:tc>
      </w:tr>
      <w:tr w:rsidR="00AD6B1A" w:rsidRPr="00457CC8" w14:paraId="328546F1"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4852FB73"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AD6B1A" w:rsidRPr="00457CC8" w14:paraId="52F460DA"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3DFF4F10"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0688E58B"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8" w:name="#Text47"/>
            <w:bookmarkEnd w:id="8"/>
          </w:p>
          <w:p w14:paraId="4CDAB8F9"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7DF6FA20"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9" w:name="#Text48"/>
            <w:bookmarkEnd w:id="9"/>
          </w:p>
          <w:p w14:paraId="06E69D62"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5830608A" w14:textId="77777777" w:rsidR="00AD6B1A" w:rsidRPr="00457CC8" w:rsidRDefault="00AD6B1A" w:rsidP="00CE3A86">
            <w:pPr>
              <w:autoSpaceDE w:val="0"/>
              <w:autoSpaceDN w:val="0"/>
              <w:adjustRightInd w:val="0"/>
              <w:spacing w:after="0" w:line="240" w:lineRule="auto"/>
              <w:ind w:left="128" w:right="20"/>
              <w:jc w:val="both"/>
              <w:rPr>
                <w:rFonts w:ascii="Arial" w:hAnsi="Arial" w:cs="Arial"/>
                <w:sz w:val="18"/>
                <w:szCs w:val="18"/>
              </w:rPr>
            </w:pPr>
          </w:p>
        </w:tc>
      </w:tr>
      <w:tr w:rsidR="00AD6B1A" w:rsidRPr="00457CC8" w14:paraId="6C22B8C3"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0434796B"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AD6B1A" w:rsidRPr="00457CC8" w14:paraId="2C491E49"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0B170834"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p>
          <w:p w14:paraId="0DA27402"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AD6B1A" w:rsidRPr="00457CC8" w14:paraId="060808AF"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0C1B9AC8"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A0DB058"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14:paraId="1A32D09A"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2A795300"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0B72038A"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FFE851F"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5245D4BF"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 xml:space="preserve">We understand that any instances of illegal cartels, market sharing arrangements or other anti-competitive practices, suspected </w:t>
            </w:r>
            <w:r w:rsidRPr="00C20B25">
              <w:rPr>
                <w:rFonts w:ascii="Arial" w:hAnsi="Arial" w:cs="Arial"/>
                <w:color w:val="000000"/>
                <w:sz w:val="18"/>
                <w:szCs w:val="18"/>
              </w:rPr>
              <w:lastRenderedPageBreak/>
              <w:t>by the Ministry of Defence will be referred to the Competition and Markets Authority for investigation and may be subject to action under the Competition Act 1998 and the Enterprise Act 2002.</w:t>
            </w:r>
          </w:p>
          <w:p w14:paraId="5BFF7F19"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73BBC882" w14:textId="77777777" w:rsidR="00AD6B1A" w:rsidRPr="00457CC8" w:rsidRDefault="00AD6B1A" w:rsidP="00CE3A86">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AD6B1A" w:rsidRPr="00457CC8" w14:paraId="104C86EC"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7D41D2F3" w14:textId="77777777" w:rsidR="00AD6B1A" w:rsidRPr="00457CC8" w:rsidRDefault="00AD6B1A" w:rsidP="00CE3A86">
            <w:pPr>
              <w:autoSpaceDE w:val="0"/>
              <w:autoSpaceDN w:val="0"/>
              <w:adjustRightInd w:val="0"/>
              <w:spacing w:after="0" w:line="240" w:lineRule="auto"/>
              <w:ind w:left="128" w:right="20"/>
              <w:jc w:val="both"/>
              <w:rPr>
                <w:rFonts w:ascii="Arial" w:hAnsi="Arial" w:cs="Arial"/>
                <w:color w:val="000000"/>
                <w:sz w:val="18"/>
                <w:szCs w:val="18"/>
              </w:rPr>
            </w:pPr>
            <w:bookmarkStart w:id="10" w:name="#Text49"/>
            <w:bookmarkEnd w:id="10"/>
          </w:p>
          <w:p w14:paraId="6146A904"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bookmarkStart w:id="11" w:name="#Text50"/>
            <w:bookmarkStart w:id="12" w:name="#Text58"/>
            <w:bookmarkEnd w:id="11"/>
            <w:bookmarkEnd w:id="12"/>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ECED84A"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AD6B1A" w14:paraId="6E43E6D7" w14:textId="77777777" w:rsidTr="00CE3A86">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62E0BEE9"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p>
          <w:p w14:paraId="6308CCCE"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bookmarkStart w:id="13" w:name="#Text59"/>
            <w:bookmarkEnd w:id="13"/>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63A5E4B5" w14:textId="77777777" w:rsidR="00AD6B1A" w:rsidRPr="002157C6" w:rsidRDefault="00AD6B1A" w:rsidP="00CE3A8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AD6B1A" w14:paraId="0B34241A" w14:textId="77777777" w:rsidTr="00CE3A86">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3DFBC64F" w14:textId="77777777" w:rsidR="00AD6B1A" w:rsidRDefault="00AD6B1A" w:rsidP="00CE3A86">
            <w:pPr>
              <w:spacing w:after="0" w:line="240" w:lineRule="auto"/>
              <w:jc w:val="both"/>
              <w:rPr>
                <w:rFonts w:ascii="Arial" w:eastAsia="Times New Roman" w:hAnsi="Arial" w:cs="Times New Roman"/>
                <w:b/>
                <w:spacing w:val="-2"/>
                <w:sz w:val="18"/>
                <w:szCs w:val="18"/>
                <w:lang w:val="en-GB" w:eastAsia="en-GB"/>
              </w:rPr>
            </w:pPr>
            <w:bookmarkStart w:id="14" w:name="_Hlk66022529"/>
            <w:bookmarkStart w:id="15" w:name="_Hlk66022477"/>
          </w:p>
          <w:p w14:paraId="7EF39671"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61DF73C5"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p>
          <w:p w14:paraId="54693D2F"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645D0E23" w14:textId="77777777" w:rsidR="00AD6B1A" w:rsidRPr="002157C6" w:rsidRDefault="00AD6B1A" w:rsidP="00CE3A86">
            <w:pPr>
              <w:spacing w:after="0" w:line="240" w:lineRule="auto"/>
              <w:jc w:val="both"/>
              <w:rPr>
                <w:rFonts w:ascii="Arial" w:eastAsia="Times New Roman" w:hAnsi="Arial" w:cs="Times New Roman"/>
                <w:bCs/>
                <w:spacing w:val="-2"/>
                <w:sz w:val="18"/>
                <w:szCs w:val="18"/>
                <w:lang w:val="en-GB" w:eastAsia="en-GB"/>
              </w:rPr>
            </w:pPr>
          </w:p>
          <w:p w14:paraId="60F43B4A" w14:textId="77777777" w:rsidR="00AD6B1A" w:rsidRDefault="00AD6B1A" w:rsidP="00CE3A8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14937946" w14:textId="77777777" w:rsidR="00AD6B1A" w:rsidRDefault="00AD6B1A" w:rsidP="00CE3A86">
            <w:pPr>
              <w:spacing w:after="0" w:line="240" w:lineRule="auto"/>
              <w:jc w:val="both"/>
              <w:rPr>
                <w:rFonts w:ascii="Arial" w:eastAsia="Times New Roman" w:hAnsi="Arial" w:cs="Times New Roman"/>
                <w:spacing w:val="-2"/>
                <w:sz w:val="18"/>
                <w:szCs w:val="18"/>
                <w:lang w:val="en-GB" w:eastAsia="en-GB"/>
              </w:rPr>
            </w:pPr>
          </w:p>
          <w:p w14:paraId="78A041C7" w14:textId="77777777" w:rsidR="00AD6B1A" w:rsidRDefault="00AD6B1A" w:rsidP="00CE3A86">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370856D8" w14:textId="77777777" w:rsidR="00AD6B1A" w:rsidRPr="00457CC8" w:rsidRDefault="00AD6B1A" w:rsidP="00CE3A86">
            <w:pPr>
              <w:autoSpaceDE w:val="0"/>
              <w:autoSpaceDN w:val="0"/>
              <w:adjustRightInd w:val="0"/>
              <w:spacing w:after="60" w:line="240" w:lineRule="auto"/>
              <w:ind w:right="20"/>
              <w:jc w:val="both"/>
              <w:rPr>
                <w:rFonts w:ascii="Arial" w:hAnsi="Arial" w:cs="Arial"/>
                <w:b/>
                <w:bCs/>
                <w:color w:val="000000"/>
                <w:sz w:val="18"/>
                <w:szCs w:val="18"/>
              </w:rPr>
            </w:pPr>
          </w:p>
          <w:p w14:paraId="55F87781" w14:textId="77777777" w:rsidR="00AD6B1A" w:rsidRPr="00457CC8" w:rsidRDefault="00AD6B1A" w:rsidP="00CE3A86">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380D844D" w14:textId="77777777" w:rsidR="00AD6B1A" w:rsidRPr="00457CC8" w:rsidRDefault="00AD6B1A" w:rsidP="00CE3A86">
            <w:pPr>
              <w:autoSpaceDE w:val="0"/>
              <w:autoSpaceDN w:val="0"/>
              <w:adjustRightInd w:val="0"/>
              <w:spacing w:after="0" w:line="240" w:lineRule="auto"/>
              <w:ind w:left="118" w:right="20"/>
              <w:rPr>
                <w:rFonts w:ascii="Arial" w:hAnsi="Arial" w:cs="Arial"/>
                <w:color w:val="000000"/>
                <w:sz w:val="18"/>
                <w:szCs w:val="18"/>
              </w:rPr>
            </w:pPr>
          </w:p>
          <w:p w14:paraId="79996226" w14:textId="77777777" w:rsidR="00AD6B1A" w:rsidRDefault="00AD6B1A" w:rsidP="00CE3A86">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0C574664" w14:textId="77777777" w:rsidR="00AD6B1A" w:rsidRDefault="00AD6B1A" w:rsidP="00CE3A86">
            <w:pPr>
              <w:spacing w:after="0" w:line="240" w:lineRule="auto"/>
              <w:jc w:val="both"/>
              <w:rPr>
                <w:rFonts w:ascii="Arial" w:eastAsia="Times New Roman" w:hAnsi="Arial" w:cs="Times New Roman"/>
                <w:spacing w:val="-2"/>
                <w:sz w:val="18"/>
                <w:szCs w:val="18"/>
                <w:lang w:val="en-GB" w:eastAsia="en-GB"/>
              </w:rPr>
            </w:pPr>
          </w:p>
        </w:tc>
      </w:tr>
      <w:bookmarkEnd w:id="14"/>
    </w:tbl>
    <w:p w14:paraId="6A59AEA4" w14:textId="77777777" w:rsidR="00AD6B1A" w:rsidRDefault="00AD6B1A" w:rsidP="00AD6B1A">
      <w:pPr>
        <w:spacing w:after="0" w:line="240" w:lineRule="auto"/>
        <w:jc w:val="both"/>
        <w:rPr>
          <w:rFonts w:ascii="Arial" w:eastAsia="Times New Roman" w:hAnsi="Arial" w:cs="Times New Roman"/>
          <w:sz w:val="18"/>
          <w:szCs w:val="18"/>
          <w:lang w:val="en-GB" w:eastAsia="en-GB"/>
        </w:rPr>
      </w:pPr>
    </w:p>
    <w:p w14:paraId="0D8DC86F" w14:textId="77777777" w:rsidR="00AD6B1A" w:rsidRDefault="00AD6B1A" w:rsidP="00AD6B1A">
      <w:pPr>
        <w:spacing w:after="0" w:line="240" w:lineRule="auto"/>
        <w:jc w:val="both"/>
        <w:rPr>
          <w:rFonts w:ascii="Arial" w:eastAsia="Times New Roman" w:hAnsi="Arial" w:cs="Times New Roman"/>
          <w:sz w:val="18"/>
          <w:szCs w:val="18"/>
          <w:lang w:val="en-GB" w:eastAsia="en-GB"/>
        </w:rPr>
      </w:pPr>
    </w:p>
    <w:bookmarkEnd w:id="0"/>
    <w:p w14:paraId="134F11A9" w14:textId="77777777" w:rsidR="00AD6B1A" w:rsidRDefault="00AD6B1A" w:rsidP="00AD6B1A">
      <w:pPr>
        <w:widowControl/>
        <w:spacing w:after="0" w:line="240" w:lineRule="auto"/>
        <w:rPr>
          <w:rFonts w:ascii="Arial" w:eastAsia="Times New Roman" w:hAnsi="Arial" w:cs="Times New Roman"/>
          <w:sz w:val="18"/>
          <w:szCs w:val="18"/>
          <w:lang w:val="en-GB" w:eastAsia="en-GB"/>
        </w:rPr>
        <w:sectPr w:rsidR="00AD6B1A" w:rsidSect="00457CC8">
          <w:type w:val="continuous"/>
          <w:pgSz w:w="11906" w:h="16838"/>
          <w:pgMar w:top="284" w:right="284" w:bottom="284" w:left="284" w:header="567" w:footer="567" w:gutter="0"/>
          <w:cols w:space="720"/>
        </w:sectPr>
      </w:pPr>
    </w:p>
    <w:bookmarkEnd w:id="1"/>
    <w:bookmarkEnd w:id="15"/>
    <w:p w14:paraId="5B6530DF" w14:textId="77777777" w:rsidR="00AD6B1A" w:rsidRDefault="00AD6B1A" w:rsidP="00AD6B1A">
      <w:pPr>
        <w:spacing w:after="0" w:line="252" w:lineRule="exact"/>
        <w:ind w:left="113" w:right="-20"/>
        <w:rPr>
          <w:rFonts w:ascii="Arial" w:eastAsia="Arial" w:hAnsi="Arial" w:cs="Arial"/>
          <w:b/>
          <w:bCs/>
        </w:rPr>
      </w:pPr>
    </w:p>
    <w:p w14:paraId="5410C8DB" w14:textId="77777777" w:rsidR="00AD6B1A" w:rsidRDefault="00AD6B1A" w:rsidP="00AD6B1A">
      <w:pPr>
        <w:spacing w:after="0" w:line="252" w:lineRule="exact"/>
        <w:ind w:left="113" w:right="-20"/>
        <w:rPr>
          <w:rFonts w:ascii="Arial" w:eastAsia="Arial" w:hAnsi="Arial" w:cs="Arial"/>
          <w:b/>
          <w:bCs/>
        </w:rPr>
      </w:pPr>
    </w:p>
    <w:p w14:paraId="22F65E57" w14:textId="77777777" w:rsidR="00AD6B1A" w:rsidRDefault="00AD6B1A" w:rsidP="00AD6B1A">
      <w:pPr>
        <w:spacing w:after="0" w:line="252" w:lineRule="exact"/>
        <w:ind w:left="113" w:right="-20"/>
        <w:rPr>
          <w:rFonts w:ascii="Arial" w:eastAsia="Arial" w:hAnsi="Arial" w:cs="Arial"/>
          <w:b/>
          <w:bCs/>
        </w:rPr>
      </w:pPr>
    </w:p>
    <w:p w14:paraId="608DEED8" w14:textId="77777777" w:rsidR="00AD6B1A" w:rsidRDefault="00AD6B1A" w:rsidP="00AD6B1A">
      <w:pPr>
        <w:spacing w:after="0" w:line="252" w:lineRule="exact"/>
        <w:ind w:left="113" w:right="-20"/>
        <w:rPr>
          <w:rFonts w:ascii="Arial" w:eastAsia="Arial" w:hAnsi="Arial" w:cs="Arial"/>
          <w:b/>
          <w:bCs/>
        </w:rPr>
      </w:pPr>
    </w:p>
    <w:p w14:paraId="375F98C9" w14:textId="77777777" w:rsidR="00457CC8" w:rsidRPr="00AD6B1A" w:rsidRDefault="00457CC8" w:rsidP="00AD6B1A"/>
    <w:sectPr w:rsidR="00457CC8" w:rsidRPr="00AD6B1A" w:rsidSect="00432CA6">
      <w:type w:val="continuous"/>
      <w:pgSz w:w="11906" w:h="16838"/>
      <w:pgMar w:top="284" w:right="284" w:bottom="284" w:left="2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64EB" w14:textId="77777777" w:rsidR="005C2D26" w:rsidRDefault="005C2D26" w:rsidP="00BD52A6">
      <w:pPr>
        <w:spacing w:after="0" w:line="240" w:lineRule="auto"/>
      </w:pPr>
      <w:r>
        <w:separator/>
      </w:r>
    </w:p>
  </w:endnote>
  <w:endnote w:type="continuationSeparator" w:id="0">
    <w:p w14:paraId="6D23975F" w14:textId="77777777" w:rsidR="005C2D26" w:rsidRDefault="005C2D2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EBC6" w14:textId="77777777" w:rsidR="005C2D26" w:rsidRDefault="005C2D26" w:rsidP="00BD52A6">
      <w:pPr>
        <w:spacing w:after="0" w:line="240" w:lineRule="auto"/>
      </w:pPr>
      <w:r>
        <w:separator/>
      </w:r>
    </w:p>
  </w:footnote>
  <w:footnote w:type="continuationSeparator" w:id="0">
    <w:p w14:paraId="3DA72508" w14:textId="77777777" w:rsidR="005C2D26" w:rsidRDefault="005C2D26" w:rsidP="00B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87882624">
    <w:abstractNumId w:val="23"/>
  </w:num>
  <w:num w:numId="2" w16cid:durableId="766006173">
    <w:abstractNumId w:val="11"/>
  </w:num>
  <w:num w:numId="3" w16cid:durableId="425735953">
    <w:abstractNumId w:val="15"/>
  </w:num>
  <w:num w:numId="4" w16cid:durableId="326981331">
    <w:abstractNumId w:val="19"/>
  </w:num>
  <w:num w:numId="5" w16cid:durableId="210658227">
    <w:abstractNumId w:val="24"/>
  </w:num>
  <w:num w:numId="6" w16cid:durableId="318384455">
    <w:abstractNumId w:val="3"/>
  </w:num>
  <w:num w:numId="7" w16cid:durableId="2107069388">
    <w:abstractNumId w:val="33"/>
  </w:num>
  <w:num w:numId="8" w16cid:durableId="2041280084">
    <w:abstractNumId w:val="30"/>
  </w:num>
  <w:num w:numId="9" w16cid:durableId="1478187761">
    <w:abstractNumId w:val="31"/>
  </w:num>
  <w:num w:numId="10" w16cid:durableId="2071340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112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929195">
    <w:abstractNumId w:val="35"/>
    <w:lvlOverride w:ilvl="0">
      <w:startOverride w:val="6"/>
    </w:lvlOverride>
  </w:num>
  <w:num w:numId="13" w16cid:durableId="546260174">
    <w:abstractNumId w:val="27"/>
  </w:num>
  <w:num w:numId="14" w16cid:durableId="324818768">
    <w:abstractNumId w:val="37"/>
  </w:num>
  <w:num w:numId="15" w16cid:durableId="1176071403">
    <w:abstractNumId w:val="18"/>
  </w:num>
  <w:num w:numId="16" w16cid:durableId="414591511">
    <w:abstractNumId w:val="1"/>
  </w:num>
  <w:num w:numId="17" w16cid:durableId="441652170">
    <w:abstractNumId w:val="2"/>
  </w:num>
  <w:num w:numId="18" w16cid:durableId="373163479">
    <w:abstractNumId w:val="8"/>
  </w:num>
  <w:num w:numId="19" w16cid:durableId="318385038">
    <w:abstractNumId w:val="0"/>
  </w:num>
  <w:num w:numId="20" w16cid:durableId="204221472">
    <w:abstractNumId w:val="26"/>
  </w:num>
  <w:num w:numId="21" w16cid:durableId="1553422631">
    <w:abstractNumId w:val="14"/>
  </w:num>
  <w:num w:numId="22" w16cid:durableId="2120488342">
    <w:abstractNumId w:val="5"/>
  </w:num>
  <w:num w:numId="23" w16cid:durableId="420835865">
    <w:abstractNumId w:val="12"/>
  </w:num>
  <w:num w:numId="24" w16cid:durableId="1387799077">
    <w:abstractNumId w:val="28"/>
  </w:num>
  <w:num w:numId="25" w16cid:durableId="178013931">
    <w:abstractNumId w:val="29"/>
  </w:num>
  <w:num w:numId="26" w16cid:durableId="1234392114">
    <w:abstractNumId w:val="22"/>
  </w:num>
  <w:num w:numId="27" w16cid:durableId="439643706">
    <w:abstractNumId w:val="9"/>
  </w:num>
  <w:num w:numId="28" w16cid:durableId="1636176021">
    <w:abstractNumId w:val="10"/>
  </w:num>
  <w:num w:numId="29" w16cid:durableId="1200825939">
    <w:abstractNumId w:val="21"/>
  </w:num>
  <w:num w:numId="30" w16cid:durableId="993795743">
    <w:abstractNumId w:val="32"/>
  </w:num>
  <w:num w:numId="31" w16cid:durableId="522940921">
    <w:abstractNumId w:val="4"/>
  </w:num>
  <w:num w:numId="32" w16cid:durableId="59250659">
    <w:abstractNumId w:val="6"/>
  </w:num>
  <w:num w:numId="33" w16cid:durableId="99230131">
    <w:abstractNumId w:val="20"/>
  </w:num>
  <w:num w:numId="34" w16cid:durableId="461579006">
    <w:abstractNumId w:val="34"/>
  </w:num>
  <w:num w:numId="35" w16cid:durableId="521089756">
    <w:abstractNumId w:val="17"/>
  </w:num>
  <w:num w:numId="36" w16cid:durableId="1322541482">
    <w:abstractNumId w:val="36"/>
  </w:num>
  <w:num w:numId="37" w16cid:durableId="1916435368">
    <w:abstractNumId w:val="7"/>
  </w:num>
  <w:num w:numId="38" w16cid:durableId="179721498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40C3C"/>
    <w:rsid w:val="00044E31"/>
    <w:rsid w:val="00050B86"/>
    <w:rsid w:val="00053932"/>
    <w:rsid w:val="00063594"/>
    <w:rsid w:val="00083EE7"/>
    <w:rsid w:val="00084CFD"/>
    <w:rsid w:val="00091D30"/>
    <w:rsid w:val="00093F1B"/>
    <w:rsid w:val="00094915"/>
    <w:rsid w:val="00096D4C"/>
    <w:rsid w:val="000B0F5E"/>
    <w:rsid w:val="000B2944"/>
    <w:rsid w:val="000C7B3B"/>
    <w:rsid w:val="000D67E4"/>
    <w:rsid w:val="000D6D7D"/>
    <w:rsid w:val="000E204E"/>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F0151"/>
    <w:rsid w:val="001F5B99"/>
    <w:rsid w:val="001F5CCE"/>
    <w:rsid w:val="00204115"/>
    <w:rsid w:val="00212178"/>
    <w:rsid w:val="00226995"/>
    <w:rsid w:val="002348EF"/>
    <w:rsid w:val="002409BF"/>
    <w:rsid w:val="00242090"/>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425150"/>
    <w:rsid w:val="00432CA6"/>
    <w:rsid w:val="004355B9"/>
    <w:rsid w:val="00441249"/>
    <w:rsid w:val="0044430F"/>
    <w:rsid w:val="00457CC8"/>
    <w:rsid w:val="004848A8"/>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2D26"/>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CFF"/>
    <w:rsid w:val="00723BA0"/>
    <w:rsid w:val="00737439"/>
    <w:rsid w:val="007417E1"/>
    <w:rsid w:val="0074428D"/>
    <w:rsid w:val="00762BDF"/>
    <w:rsid w:val="007661DA"/>
    <w:rsid w:val="007666FE"/>
    <w:rsid w:val="007679CD"/>
    <w:rsid w:val="0077547B"/>
    <w:rsid w:val="00777A7A"/>
    <w:rsid w:val="007831D8"/>
    <w:rsid w:val="007907C1"/>
    <w:rsid w:val="00800D5B"/>
    <w:rsid w:val="00802191"/>
    <w:rsid w:val="008048AA"/>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D0A"/>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9277D"/>
    <w:rsid w:val="00AA6322"/>
    <w:rsid w:val="00AA67B6"/>
    <w:rsid w:val="00AA6939"/>
    <w:rsid w:val="00AB14BA"/>
    <w:rsid w:val="00AD0953"/>
    <w:rsid w:val="00AD19EB"/>
    <w:rsid w:val="00AD38D2"/>
    <w:rsid w:val="00AD6B1A"/>
    <w:rsid w:val="00AF5729"/>
    <w:rsid w:val="00AF58AB"/>
    <w:rsid w:val="00AF7155"/>
    <w:rsid w:val="00B3224B"/>
    <w:rsid w:val="00B37DEE"/>
    <w:rsid w:val="00B440B2"/>
    <w:rsid w:val="00B53C9C"/>
    <w:rsid w:val="00B55633"/>
    <w:rsid w:val="00B56318"/>
    <w:rsid w:val="00B75B9A"/>
    <w:rsid w:val="00B86408"/>
    <w:rsid w:val="00B87FAD"/>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970"/>
    <w:rsid w:val="00DE6E93"/>
    <w:rsid w:val="00DF4310"/>
    <w:rsid w:val="00DF4C93"/>
    <w:rsid w:val="00E02F35"/>
    <w:rsid w:val="00E137E3"/>
    <w:rsid w:val="00E174E3"/>
    <w:rsid w:val="00E32CBD"/>
    <w:rsid w:val="00E356F8"/>
    <w:rsid w:val="00E357EF"/>
    <w:rsid w:val="00E36E13"/>
    <w:rsid w:val="00E37347"/>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2022</Abstract>
  <CompanyAddress/>
  <CompanyPhone>03001552535</CompanyPhone>
  <CompanyFax/>
  <CompanyEmail>lee.culshaw100@mod.gov.uk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995016D3-7062-43BD-B7EB-B6AB3E135BBE}"/>
</file>

<file path=customXml/itemProps4.xml><?xml version="1.0" encoding="utf-8"?>
<ds:datastoreItem xmlns:ds="http://schemas.openxmlformats.org/officeDocument/2006/customXml" ds:itemID="{01100575-9D25-414C-A9A9-4F3BE173E517}">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4d15bf3f-73fe-43db-b7a5-4a6474d9962f"/>
    <ds:schemaRef ds:uri="6df0d4cb-ea19-4609-809a-adc2394e8559"/>
    <ds:schemaRef ds:uri="http://www.w3.org/XML/1998/namespace"/>
    <ds:schemaRef ds:uri="http://purl.org/dc/dcmitype/"/>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Culshaw, Lee C1 (NAVY FD-COMRCL-SnrMgr1 Sourcing)</cp:lastModifiedBy>
  <cp:revision>247</cp:revision>
  <dcterms:created xsi:type="dcterms:W3CDTF">2020-04-17T09:57:00Z</dcterms:created>
  <dcterms:modified xsi:type="dcterms:W3CDTF">2023-04-16T21:41:00Z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69822088-e222-4752-9969-f8423fe4bf09</vt:lpwstr>
  </property>
  <property fmtid="{D5CDD505-2E9C-101B-9397-08002B2CF9AE}" pid="9" name="MSIP_Label_d8a60473-494b-4586-a1bb-b0e663054676_ContentBits">
    <vt:lpwstr>0</vt:lpwstr>
  </property>
  <property fmtid="{D5CDD505-2E9C-101B-9397-08002B2CF9AE}" pid="10" name="Order">
    <vt:r8>371600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