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850888" cy="1752374"/>
            <wp:effectExtent b="0" l="0" r="0" t="0"/>
            <wp:docPr descr="C:\Users\richard.attwood\AppData\Local\Microsoft\Windows\INetCache\Content.MSO\8DD461F2.tmp" id="4" name="image1.png"/>
            <a:graphic>
              <a:graphicData uri="http://schemas.openxmlformats.org/drawingml/2006/picture">
                <pic:pic>
                  <pic:nvPicPr>
                    <pic:cNvPr descr="C:\Users\richard.attwood\AppData\Local\Microsoft\Windows\INetCache\Content.MSO\8DD461F2.tmp" id="0" name="image1.png"/>
                    <pic:cNvPicPr preferRelativeResize="0"/>
                  </pic:nvPicPr>
                  <pic:blipFill>
                    <a:blip r:embed="rId7"/>
                    <a:srcRect b="0" l="0" r="0" t="0"/>
                    <a:stretch>
                      <a:fillRect/>
                    </a:stretch>
                  </pic:blipFill>
                  <pic:spPr>
                    <a:xfrm>
                      <a:off x="0" y="0"/>
                      <a:ext cx="5850888" cy="17523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7"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7"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GWG T148 Attachment 5 – Financial Viability Risk Assessment Instructions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5058.0" w:type="dxa"/>
        <w:jc w:val="center"/>
        <w:tblLayout w:type="fixed"/>
        <w:tblLook w:val="0000"/>
      </w:tblPr>
      <w:tblGrid>
        <w:gridCol w:w="2410"/>
        <w:gridCol w:w="807"/>
        <w:gridCol w:w="1841"/>
        <w:tblGridChange w:id="0">
          <w:tblGrid>
            <w:gridCol w:w="2410"/>
            <w:gridCol w:w="807"/>
            <w:gridCol w:w="1841"/>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6">
            <w:pPr>
              <w:spacing w:before="240" w:lineRule="auto"/>
              <w:jc w:val="center"/>
              <w:rPr/>
            </w:pPr>
            <w:r w:rsidDel="00000000" w:rsidR="00000000" w:rsidRPr="00000000">
              <w:rPr>
                <w:b w:val="1"/>
                <w:color w:val="000000"/>
                <w:sz w:val="28"/>
                <w:szCs w:val="28"/>
                <w:rtl w:val="0"/>
              </w:rPr>
              <w:t xml:space="preserve">Version / Update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7">
            <w:pPr>
              <w:spacing w:before="240" w:lineRule="auto"/>
              <w:jc w:val="center"/>
              <w:rPr/>
            </w:pPr>
            <w:r w:rsidDel="00000000" w:rsidR="00000000" w:rsidRPr="00000000">
              <w:rPr>
                <w:b w:val="1"/>
                <w:color w:val="000000"/>
                <w:sz w:val="28"/>
                <w:szCs w:val="28"/>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8">
            <w:pPr>
              <w:spacing w:before="240" w:lineRule="auto"/>
              <w:jc w:val="center"/>
              <w:rPr/>
            </w:pPr>
            <w:r w:rsidDel="00000000" w:rsidR="00000000" w:rsidRPr="00000000">
              <w:rPr>
                <w:b w:val="1"/>
                <w:color w:val="000000"/>
                <w:sz w:val="28"/>
                <w:szCs w:val="28"/>
                <w:rtl w:val="0"/>
              </w:rPr>
              <w:t xml:space="preserve">Owner</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9">
            <w:pPr>
              <w:spacing w:before="240" w:lineRule="auto"/>
              <w:jc w:val="center"/>
              <w:rPr/>
            </w:pPr>
            <w:r w:rsidDel="00000000" w:rsidR="00000000" w:rsidRPr="00000000">
              <w:rPr>
                <w:b w:val="1"/>
                <w:color w:val="000000"/>
                <w:sz w:val="24"/>
                <w:szCs w:val="24"/>
                <w:rtl w:val="0"/>
              </w:rPr>
              <w:t xml:space="preserve">GWG T148 v3.0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A">
            <w:pPr>
              <w:spacing w:before="240" w:lineRule="auto"/>
              <w:jc w:val="center"/>
              <w:rPr/>
            </w:pPr>
            <w:r w:rsidDel="00000000" w:rsidR="00000000" w:rsidRPr="00000000">
              <w:rPr>
                <w:b w:val="1"/>
                <w:color w:val="000000"/>
                <w:sz w:val="24"/>
                <w:szCs w:val="24"/>
                <w:rtl w:val="0"/>
              </w:rPr>
              <w:t xml:space="preserve">TBC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B">
            <w:pPr>
              <w:spacing w:before="240" w:lineRule="auto"/>
              <w:jc w:val="center"/>
              <w:rPr/>
            </w:pPr>
            <w:r w:rsidDel="00000000" w:rsidR="00000000" w:rsidRPr="00000000">
              <w:rPr>
                <w:b w:val="1"/>
                <w:color w:val="000000"/>
                <w:sz w:val="24"/>
                <w:szCs w:val="24"/>
                <w:rtl w:val="0"/>
              </w:rPr>
              <w:t xml:space="preserve">David Dawson</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C">
            <w:pPr>
              <w:spacing w:before="240" w:lineRule="auto"/>
              <w:jc w:val="center"/>
              <w:rPr/>
            </w:pPr>
            <w:r w:rsidDel="00000000" w:rsidR="00000000" w:rsidRPr="00000000">
              <w:rPr>
                <w:b w:val="1"/>
                <w:color w:val="000000"/>
                <w:sz w:val="28"/>
                <w:szCs w:val="28"/>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D">
            <w:pPr>
              <w:spacing w:before="240" w:lineRule="auto"/>
              <w:jc w:val="center"/>
              <w:rPr/>
            </w:pPr>
            <w:r w:rsidDel="00000000" w:rsidR="00000000" w:rsidRPr="00000000">
              <w:rPr>
                <w:b w:val="1"/>
                <w:color w:val="000000"/>
                <w:sz w:val="28"/>
                <w:szCs w:val="28"/>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E">
            <w:pPr>
              <w:spacing w:before="240" w:lineRule="auto"/>
              <w:jc w:val="center"/>
              <w:rPr/>
            </w:pPr>
            <w:r w:rsidDel="00000000" w:rsidR="00000000" w:rsidRPr="00000000">
              <w:rPr>
                <w:b w:val="1"/>
                <w:color w:val="000000"/>
                <w:sz w:val="28"/>
                <w:szCs w:val="28"/>
                <w:rtl w:val="0"/>
              </w:rPr>
              <w:t xml:space="preserve"> </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pageBreakBefore w:val="1"/>
        <w:widowControl w:val="0"/>
        <w:rPr>
          <w:color w:val="000000"/>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attachment and Attachment 5a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RM</w:t>
      </w:r>
      <w:r w:rsidDel="00000000" w:rsidR="00000000" w:rsidRPr="00000000">
        <w:rPr>
          <w:sz w:val="24"/>
          <w:szCs w:val="24"/>
          <w:rtl w:val="0"/>
        </w:rPr>
        <w:t xml:space="preserve">6329</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Assessing and Monitoring the Economic and Financial Standing of Bidders and Suppliers document  </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Introduction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has adapted the Cabinet Office’s Financial Viability Risk Assessment (FVRA) Tool (version 4.3.1) as the basis to conduct a financial assessment on all Bids. The </w:t>
      </w:r>
      <w:r w:rsidDel="00000000" w:rsidR="00000000" w:rsidRPr="00000000">
        <w:rPr>
          <w:sz w:val="24"/>
          <w:szCs w:val="24"/>
          <w:rtl w:val="0"/>
        </w:rPr>
        <w:t xml:space="preserve">RM6329 - Logistics, Warehousing, and Supply Chain Solutions FVRA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Tool is provided at Attachment 5a – Financial Viability Risk Assessment Tool and is to be completed and submitted by Bidders.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23" w:right="363" w:hanging="3.0000000000000004"/>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bidding</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a consortium, each consortium member must complete and submit their own Attachment 5a –Financial Viability Risk Assessment Tool.</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 w:line="240" w:lineRule="auto"/>
        <w:ind w:left="0" w:right="336" w:firstLine="0"/>
        <w:jc w:val="left"/>
        <w:rPr>
          <w:rFonts w:ascii="Arial" w:cs="Arial" w:eastAsia="Arial" w:hAnsi="Arial"/>
          <w:b w:val="0"/>
          <w:i w:val="0"/>
          <w:smallCaps w:val="0"/>
          <w:strike w:val="0"/>
          <w:color w:val="000000"/>
          <w:sz w:val="22"/>
          <w:szCs w:val="22"/>
          <w:u w:val="none"/>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vertAlign w:val="baseline"/>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May 2021 Guidance Note ‘Assessing and Monitoring the Economic and Financial Standing of Bidders and Suppliers’ (hereafter referred to as ‘The Guidance Note’) which can be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214" w:hanging="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found at: </w:t>
      </w:r>
      <w:hyperlink r:id="rId8">
        <w:r w:rsidDel="00000000" w:rsidR="00000000" w:rsidRPr="00000000">
          <w:rPr>
            <w:rFonts w:ascii="Arial" w:cs="Arial" w:eastAsia="Arial" w:hAnsi="Arial"/>
            <w:b w:val="0"/>
            <w:i w:val="0"/>
            <w:smallCaps w:val="0"/>
            <w:strike w:val="0"/>
            <w:color w:val="1155cc"/>
            <w:sz w:val="24"/>
            <w:szCs w:val="24"/>
            <w:u w:val="single"/>
            <w:vertAlign w:val="baselin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214" w:hanging="5"/>
        <w:jc w:val="left"/>
        <w:rPr>
          <w:rFonts w:ascii="Arial" w:cs="Arial" w:eastAsia="Arial" w:hAnsi="Arial"/>
          <w:b w:val="0"/>
          <w:i w:val="0"/>
          <w:smallCaps w:val="0"/>
          <w:strike w:val="0"/>
          <w:color w:val="0563c1"/>
          <w:sz w:val="24"/>
          <w:szCs w:val="24"/>
          <w:u w:val="singl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5" w:right="532" w:firstLine="8"/>
        <w:jc w:val="left"/>
        <w:rPr>
          <w:rFonts w:ascii="Arial" w:cs="Arial" w:eastAsia="Arial" w:hAnsi="Arial"/>
          <w:b w:val="0"/>
          <w:i w:val="0"/>
          <w:smallCaps w:val="0"/>
          <w:strike w:val="0"/>
          <w:color w:val="000000"/>
          <w:sz w:val="22"/>
          <w:szCs w:val="22"/>
          <w:u w:val="none"/>
          <w:vertAlign w:val="baseline"/>
        </w:rPr>
      </w:pPr>
      <w:r w:rsidDel="00000000" w:rsidR="00000000" w:rsidRPr="00000000">
        <w:rPr>
          <w:sz w:val="24"/>
          <w:szCs w:val="24"/>
          <w:rtl w:val="0"/>
        </w:rPr>
        <w:t xml:space="preserve">RM6329 - Logistics, Warehousing, and Supply Chain Solutions, Lot 1, 2, 3, 4, 6, 7 and 8</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has been classified as a</w:t>
      </w:r>
      <w:r w:rsidDel="00000000" w:rsidR="00000000" w:rsidRPr="00000000">
        <w:rPr>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Gold</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contract, via the Contract Tiering Tool. All Bidders tendering for this framework are required to complete Attachment 5a - Financial Viability Assessment Tool and upload it to Part 1.19 of Attachment 2a Selection Questionnaire in the eSourcing suite.</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5" w:right="532" w:firstLine="8"/>
        <w:jc w:val="left"/>
        <w:rPr>
          <w:rFonts w:ascii="Arial" w:cs="Arial" w:eastAsia="Arial" w:hAnsi="Arial"/>
          <w:b w:val="0"/>
          <w:i w:val="0"/>
          <w:smallCaps w:val="0"/>
          <w:strike w:val="0"/>
          <w:color w:val="000000"/>
          <w:sz w:val="22"/>
          <w:szCs w:val="22"/>
          <w:u w:val="none"/>
          <w:vertAlign w:val="baseline"/>
        </w:rPr>
      </w:pPr>
      <w:r w:rsidDel="00000000" w:rsidR="00000000" w:rsidRPr="00000000">
        <w:rPr>
          <w:sz w:val="24"/>
          <w:szCs w:val="24"/>
          <w:rtl w:val="0"/>
        </w:rPr>
        <w:t xml:space="preserve">RM6329 - Logistics, Warehousing, and Supply Chain Solutions, Lot 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has been classified as a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Bronze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contract, via the Contract Tiering Tool. You will only be required to complete Attachment 5b - Bronze FVRA Tool if you do not pass the Financial score as set out in part 1.18.1 of Attachment 2a Selection Questionnaire in the eSourcing suite.</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5" w:right="32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see Appendix 2 for instructions on how and where to submit the required information in the eSourcing suite.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Instructions and guidance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20" w:right="1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completing Attachment 5a –Financial Viability Risk Assessment Tool, Bidders are advised to review the first tab ‘Bidder Instructions’.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5" w:right="331" w:firstLine="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Important</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5" w:right="33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tab ‘Bidder Instructions’. Make sure you select the correct company/organisation type for the Lead Bidder from the dropdown provided, (row 39) before completing the Attachment 5a. Please ensure you only complete the tabs relevant to your organisation type.</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66" w:line="240" w:lineRule="auto"/>
        <w:ind w:left="720" w:right="33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3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1.1b Lead financial Input - only complete if you are Not for Profit/ Voluntary Organisation</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br w:type="textWrapping"/>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highlight w:val="whit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Gold</w:t>
      </w:r>
      <w:r w:rsidDel="00000000" w:rsidR="00000000" w:rsidRPr="00000000">
        <w:rPr>
          <w:b w:val="1"/>
          <w:sz w:val="24"/>
          <w:szCs w:val="24"/>
          <w:highlight w:val="whit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Bidders must correctly and accurately complete Attachment 5a –Financial Viability Risk Assessment Tool</w:t>
        <w:br w:type="textWrapp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544" w:firstLine="0"/>
        <w:jc w:val="left"/>
        <w:rPr>
          <w:strike w:val="1"/>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Bronze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idders will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required to complete Attachment 5b – Bronze FVRA Tool only if they</w:t>
      </w:r>
      <w:r w:rsidDel="00000000" w:rsidR="00000000" w:rsidRPr="00000000">
        <w:rPr>
          <w:sz w:val="24"/>
          <w:szCs w:val="24"/>
          <w:rtl w:val="0"/>
        </w:rPr>
        <w:t xml:space="preserve"> </w:t>
      </w:r>
      <w:r w:rsidDel="00000000" w:rsidR="00000000" w:rsidRPr="00000000">
        <w:rPr>
          <w:color w:val="ff0000"/>
          <w:sz w:val="24"/>
          <w:szCs w:val="24"/>
          <w:rtl w:val="0"/>
        </w:rPr>
        <w:t xml:space="preserve">do not pass the Financial score as set out in part 1.18.1 of Attachment 2a Selection Questionnaire </w:t>
      </w:r>
      <w:r w:rsidDel="00000000" w:rsidR="00000000" w:rsidRPr="00000000">
        <w:rPr>
          <w:strike w:val="1"/>
          <w:sz w:val="24"/>
          <w:szCs w:val="24"/>
          <w:rtl w:val="0"/>
        </w:rPr>
        <w:t xml:space="preserve">FAIL the financial risk assessment as specified in Attachment 2a Selection Questionnaire – Part 5 Financial Risk</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544"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of Proof will be in line with PCR2015 regulation 60</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https://www.legislation.gov.uk/uksi/2015/102/regulation/60/made</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992" w:right="0" w:hanging="992"/>
        <w:jc w:val="left"/>
        <w:rPr>
          <w:rFonts w:ascii="Arial" w:cs="Arial" w:eastAsia="Arial" w:hAnsi="Arial"/>
          <w:b w:val="0"/>
          <w:i w:val="0"/>
          <w:smallCaps w:val="0"/>
          <w:strike w:val="0"/>
          <w:color w:val="0563c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should complete all tabs in line with the instruction found within the Bidder instructions tab of the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RM</w:t>
      </w:r>
      <w:r w:rsidDel="00000000" w:rsidR="00000000" w:rsidRPr="00000000">
        <w:rPr>
          <w:sz w:val="24"/>
          <w:szCs w:val="24"/>
          <w:highlight w:val="white"/>
          <w:rtl w:val="0"/>
        </w:rPr>
        <w:t xml:space="preserve">6329</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Viability Risk Assessment Tool</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283" w:right="544"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283" w:right="544"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consortium member will be required to complete an Attachment 5a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445"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28"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78"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Bidders must provide copies of:</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published accounts for the last 3 years</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 published accounts for the last 3 years along with their completed Attachment 5a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Bidder must set out the following information:</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123"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653"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31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40" w:lineRule="auto"/>
        <w:ind w:left="730" w:right="308" w:firstLine="14.0000000000000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76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Prior to award of Framework Contracts  </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363" w:right="201" w:hanging="33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In line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511" w:right="43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720" w:right="734"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require the Bidder to resubmit Attachment 5a – Financial Viability Risk Assessment Tool using latest available</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513" w:right="566" w:hanging="3.000000000000113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15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15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resubmitted Attachment 5a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363" w:right="281" w:hanging="33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508" w:right="55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502" w:right="555" w:hanging="35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 w:line="240" w:lineRule="auto"/>
        <w:ind w:left="294" w:right="306"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1 – FVRA risk thresholds:</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8" w:right="208" w:firstLine="1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thresholds for</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sz w:val="24"/>
          <w:szCs w:val="24"/>
          <w:highlight w:val="white"/>
          <w:rtl w:val="0"/>
        </w:rPr>
        <w:t xml:space="preserve">RM6329 - Logistics, Warehousing, and Supply Chain Solutions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line with the tab ‘Authority RAG Thresholds’ of Attachment 5a – Financial Viability Risk Assessment Tool)</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8" w:right="208" w:firstLine="14.0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5381.0" w:type="dxa"/>
        <w:jc w:val="left"/>
        <w:tblInd w:w="5.0" w:type="dxa"/>
        <w:tblLayout w:type="fixed"/>
        <w:tblLook w:val="0000"/>
      </w:tblPr>
      <w:tblGrid>
        <w:gridCol w:w="450"/>
        <w:gridCol w:w="2525"/>
        <w:gridCol w:w="693"/>
        <w:gridCol w:w="656"/>
        <w:gridCol w:w="773"/>
        <w:gridCol w:w="284"/>
        <w:tblGridChange w:id="0">
          <w:tblGrid>
            <w:gridCol w:w="450"/>
            <w:gridCol w:w="2525"/>
            <w:gridCol w:w="693"/>
            <w:gridCol w:w="656"/>
            <w:gridCol w:w="773"/>
            <w:gridCol w:w="2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RM</w:t>
            </w:r>
            <w:r w:rsidDel="00000000" w:rsidR="00000000" w:rsidRPr="00000000">
              <w:rPr>
                <w:sz w:val="20"/>
                <w:szCs w:val="20"/>
                <w:rtl w:val="0"/>
              </w:rPr>
              <w:t xml:space="preserve">6329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8">
            <w:pPr>
              <w:widowControl w:val="0"/>
              <w:spacing w:line="276" w:lineRule="auto"/>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9">
            <w:pPr>
              <w:widowControl w:val="0"/>
              <w:spacing w:line="276" w:lineRule="auto"/>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A">
            <w:pPr>
              <w:widowControl w:val="0"/>
              <w:spacing w:line="276" w:lineRule="auto"/>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2"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3</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8</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0.</w:t>
            </w:r>
            <w:r w:rsidDel="00000000" w:rsidR="00000000" w:rsidRPr="00000000">
              <w:rPr>
                <w:sz w:val="20"/>
                <w:szCs w:val="20"/>
                <w:rtl w:val="0"/>
              </w:rPr>
              <w:t xml:space="preserve">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1.30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Notes:</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376" w:right="1892"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Sourcing Playbook thresholds have been applied as above </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3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1 &amp;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3a will not be assessed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310" w:line="240" w:lineRule="auto"/>
        <w:ind w:left="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Appendix 2 – How and where to submit the required information</w:t>
      </w:r>
      <w:r w:rsidDel="00000000" w:rsidR="00000000" w:rsidRPr="00000000">
        <w:rPr>
          <w:rtl w:val="0"/>
        </w:rPr>
      </w:r>
    </w:p>
    <w:tbl>
      <w:tblPr>
        <w:tblStyle w:val="Table4"/>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Zip folder  </w:t>
            </w: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Question to  </w:t>
            </w: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9" w:right="18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upload zip folder (qualification  </w:t>
            </w: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  </w:t>
            </w: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FVRA_ your  </w:t>
            </w: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as a  </w:t>
            </w: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zip folder  </w:t>
            </w: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EFS_ your  </w:t>
            </w: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w:t>
            </w: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3" w:right="18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Accounts (3 years) for</w:t>
            </w: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0" w:right="281"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w:t>
            </w: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48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48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account  </w:t>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5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period_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  </w:t>
            </w: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response to  </w:t>
            </w: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w:t>
            </w:r>
            <w:r w:rsidDel="00000000" w:rsidR="00000000" w:rsidRPr="00000000">
              <w:rPr>
                <w:sz w:val="24"/>
                <w:szCs w:val="24"/>
                <w:rtl w:val="0"/>
              </w:rPr>
              <w:t xml:space="preserve">1</w:t>
            </w:r>
            <w:r w:rsidDel="00000000" w:rsidR="00000000" w:rsidRPr="00000000">
              <w:rPr>
                <w:color w:val="ff0000"/>
                <w:sz w:val="24"/>
                <w:szCs w:val="24"/>
                <w:rtl w:val="0"/>
              </w:rPr>
              <w:t xml:space="preserve">1</w:t>
            </w:r>
            <w:r w:rsidDel="00000000" w:rsidR="00000000" w:rsidRPr="00000000">
              <w:rPr>
                <w:strike w:val="1"/>
                <w:sz w:val="24"/>
                <w:szCs w:val="24"/>
                <w:rtl w:val="0"/>
              </w:rPr>
              <w:t xml:space="preserve">2</w:t>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color w:val="ff0000"/>
                <w:sz w:val="24"/>
                <w:szCs w:val="24"/>
                <w:rtl w:val="0"/>
              </w:rPr>
              <w:t xml:space="preserve">1</w:t>
            </w:r>
            <w:r w:rsidDel="00000000" w:rsidR="00000000" w:rsidRPr="00000000">
              <w:rPr>
                <w:strike w:val="1"/>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 your  </w:t>
            </w: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255"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FVRA_consortium  </w:t>
            </w: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all  </w:t>
            </w: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w:t>
            </w: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157"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Accounts (3 years) for</w:t>
            </w: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w:t>
            </w: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w:t>
            </w: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account  </w:t>
            </w: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12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1" w:right="255"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response to  </w:t>
            </w: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w:t>
            </w:r>
            <w:r w:rsidDel="00000000" w:rsidR="00000000" w:rsidRPr="00000000">
              <w:rPr>
                <w:sz w:val="24"/>
                <w:szCs w:val="24"/>
                <w:rtl w:val="0"/>
              </w:rPr>
              <w:t xml:space="preserve">1</w:t>
            </w:r>
            <w:r w:rsidDel="00000000" w:rsidR="00000000" w:rsidRPr="00000000">
              <w:rPr>
                <w:color w:val="ff0000"/>
                <w:sz w:val="24"/>
                <w:szCs w:val="24"/>
                <w:rtl w:val="0"/>
              </w:rPr>
              <w:t xml:space="preserve">1</w:t>
            </w:r>
            <w:r w:rsidDel="00000000" w:rsidR="00000000" w:rsidRPr="00000000">
              <w:rPr>
                <w:strike w:val="1"/>
                <w:sz w:val="24"/>
                <w:szCs w:val="24"/>
                <w:rtl w:val="0"/>
              </w:rPr>
              <w:t xml:space="preserve">2</w:t>
            </w: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4"/>
                <w:szCs w:val="24"/>
                <w:rtl w:val="0"/>
              </w:rPr>
              <w:t xml:space="preserve">1</w:t>
            </w:r>
            <w:r w:rsidDel="00000000" w:rsidR="00000000" w:rsidRPr="00000000">
              <w:rPr>
                <w:color w:val="ff0000"/>
                <w:sz w:val="24"/>
                <w:szCs w:val="24"/>
                <w:rtl w:val="0"/>
              </w:rPr>
              <w:t xml:space="preserve">1</w:t>
            </w:r>
            <w:r w:rsidDel="00000000" w:rsidR="00000000" w:rsidRPr="00000000">
              <w:rPr>
                <w:strike w:val="1"/>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 consortia  </w:t>
            </w: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additional  </w:t>
            </w: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completed  </w:t>
            </w: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  </w:t>
            </w: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5" w:right="189" w:firstLine="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  </w:t>
            </w: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Ad1FVRA_ your  </w:t>
            </w: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w:t>
            </w: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Ad2FVRA_ your</w:t>
            </w: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456" w:lineRule="auto"/>
              <w:ind w:left="121" w:right="19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63"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AdFVRA_ your organisation  </w:t>
            </w: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bl>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bl>
      <w:tblPr>
        <w:tblStyle w:val="Table5"/>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255"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FVRA_consortium  </w:t>
            </w: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all  </w:t>
            </w: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w:t>
            </w: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157"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in one zip folder CMEFS_ your organisation  </w:t>
            </w: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Accounts (3 years) for</w:t>
            </w: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w:t>
            </w: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account  </w:t>
            </w: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12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1" w:right="255"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response to  </w:t>
            </w: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w:t>
            </w:r>
            <w:r w:rsidDel="00000000" w:rsidR="00000000" w:rsidRPr="00000000">
              <w:rPr>
                <w:sz w:val="24"/>
                <w:szCs w:val="24"/>
                <w:rtl w:val="0"/>
              </w:rPr>
              <w:t xml:space="preserve">1</w:t>
            </w:r>
            <w:r w:rsidDel="00000000" w:rsidR="00000000" w:rsidRPr="00000000">
              <w:rPr>
                <w:color w:val="ff0000"/>
                <w:sz w:val="24"/>
                <w:szCs w:val="24"/>
                <w:rtl w:val="0"/>
              </w:rPr>
              <w:t xml:space="preserve">1</w:t>
            </w:r>
            <w:r w:rsidDel="00000000" w:rsidR="00000000" w:rsidRPr="00000000">
              <w:rPr>
                <w:strike w:val="1"/>
                <w:sz w:val="24"/>
                <w:szCs w:val="24"/>
                <w:rtl w:val="0"/>
              </w:rPr>
              <w:t xml:space="preserve">2</w:t>
            </w: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4"/>
                <w:szCs w:val="24"/>
                <w:rtl w:val="0"/>
              </w:rPr>
              <w:t xml:space="preserve">1</w:t>
            </w:r>
            <w:r w:rsidDel="00000000" w:rsidR="00000000" w:rsidRPr="00000000">
              <w:rPr>
                <w:color w:val="ff0000"/>
                <w:sz w:val="24"/>
                <w:szCs w:val="24"/>
                <w:rtl w:val="0"/>
              </w:rPr>
              <w:t xml:space="preserve">1</w:t>
            </w:r>
            <w:r w:rsidDel="00000000" w:rsidR="00000000" w:rsidRPr="00000000">
              <w:rPr>
                <w:strike w:val="1"/>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 consortium  </w:t>
            </w: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additional  </w:t>
            </w: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completed  </w:t>
            </w: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  </w:t>
            </w: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5" w:right="189" w:firstLine="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  </w:t>
            </w: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Ad1FVRA_ your  </w:t>
            </w: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w:t>
            </w: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Ad2FVRA_ your</w:t>
            </w: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456" w:lineRule="auto"/>
              <w:ind w:left="121" w:right="19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63"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AdFVRA_ your organisation  </w:t>
            </w: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bl>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9"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rPr>
        <w:sz w:val="20"/>
        <w:szCs w:val="20"/>
      </w:rPr>
    </w:pPr>
    <w:r w:rsidDel="00000000" w:rsidR="00000000" w:rsidRPr="00000000">
      <w:rPr>
        <w:sz w:val="20"/>
        <w:szCs w:val="20"/>
        <w:rtl w:val="0"/>
      </w:rPr>
      <w:t xml:space="preserve">GWG T148 Attachment 5 Financial Viability Risk Assessment Guidance v3.0</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1"/>
      <w:suppressAutoHyphens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ubtitle">
    <w:name w:val="Subtitle"/>
    <w:basedOn w:val="Normal"/>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ListParagraph">
    <w:name w:val="List Paragraph"/>
    <w:basedOn w:val="Normal"/>
    <w:pPr>
      <w:ind w:left="720"/>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sz w:val="24"/>
      <w:u w:val="none"/>
    </w:rPr>
  </w:style>
  <w:style w:type="character" w:styleId="ListLabel2" w:customStyle="1">
    <w:name w:val="ListLabel 2"/>
    <w:rPr>
      <w:u w:val="none"/>
    </w:rPr>
  </w:style>
  <w:style w:type="character" w:styleId="ListLabel3" w:customStyle="1">
    <w:name w:val="ListLabel 3"/>
    <w:rPr>
      <w:u w:val="none"/>
    </w:rPr>
  </w:style>
  <w:style w:type="character" w:styleId="ListLabel4" w:customStyle="1">
    <w:name w:val="ListLabel 4"/>
    <w:rPr>
      <w:u w:val="none"/>
    </w:rPr>
  </w:style>
  <w:style w:type="character" w:styleId="ListLabel5" w:customStyle="1">
    <w:name w:val="ListLabel 5"/>
    <w:rPr>
      <w:u w:val="none"/>
    </w:rPr>
  </w:style>
  <w:style w:type="character" w:styleId="ListLabel6" w:customStyle="1">
    <w:name w:val="ListLabel 6"/>
    <w:rPr>
      <w:u w:val="none"/>
    </w:rPr>
  </w:style>
  <w:style w:type="character" w:styleId="ListLabel7" w:customStyle="1">
    <w:name w:val="ListLabel 7"/>
    <w:rPr>
      <w:u w:val="none"/>
    </w:rPr>
  </w:style>
  <w:style w:type="character" w:styleId="ListLabel8" w:customStyle="1">
    <w:name w:val="ListLabel 8"/>
    <w:rPr>
      <w:u w:val="none"/>
    </w:rPr>
  </w:style>
  <w:style w:type="character" w:styleId="ListLabel9" w:customStyle="1">
    <w:name w:val="ListLabel 9"/>
    <w:rPr>
      <w:u w:val="none"/>
    </w:rPr>
  </w:style>
  <w:style w:type="character" w:styleId="ListLabel10" w:customStyle="1">
    <w:name w:val="ListLabel 10"/>
    <w:rPr>
      <w:color w:val="1155cc"/>
      <w:sz w:val="24"/>
      <w:szCs w:val="24"/>
      <w:u w:val="single"/>
    </w:rPr>
  </w:style>
  <w:style w:type="character" w:styleId="Internetlink" w:customStyle="1">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styleId="HeaderChar" w:customStyle="1">
    <w:name w:val="Header Char"/>
    <w:basedOn w:val="DefaultParagraphFont"/>
    <w:rPr>
      <w:rFonts w:cs="Mangal"/>
      <w:szCs w:val="20"/>
    </w:rPr>
  </w:style>
  <w:style w:type="paragraph" w:styleId="Footer">
    <w:name w:val="footer"/>
    <w:basedOn w:val="Normal"/>
    <w:pPr>
      <w:tabs>
        <w:tab w:val="center" w:pos="4513"/>
        <w:tab w:val="right" w:pos="9026"/>
      </w:tabs>
    </w:pPr>
    <w:rPr>
      <w:rFonts w:cs="Mangal"/>
      <w:szCs w:val="20"/>
    </w:rPr>
  </w:style>
  <w:style w:type="character" w:styleId="FooterChar" w:customStyle="1">
    <w:name w:val="Footer Char"/>
    <w:basedOn w:val="DefaultParagraphFont"/>
    <w:rPr>
      <w:rFonts w:cs="Mangal"/>
      <w:szCs w:val="20"/>
    </w:rPr>
  </w:style>
  <w:style w:type="paragraph" w:styleId="NormalWeb">
    <w:name w:val="Normal (Web)"/>
    <w:basedOn w:val="Normal"/>
    <w:pPr>
      <w:suppressAutoHyphens w:val="0"/>
      <w:spacing w:after="100" w:before="100"/>
      <w:textAlignment w:val="auto"/>
    </w:pPr>
    <w:rPr>
      <w:rFonts w:ascii="Times New Roman" w:cs="Times New Roman" w:eastAsia="Times New Roman" w:hAnsi="Times New Roman"/>
      <w:sz w:val="24"/>
      <w:szCs w:val="24"/>
      <w:lang w:bidi="ar-SA" w:eastAsia="en-GB"/>
    </w:rPr>
  </w:style>
  <w:style w:type="numbering" w:styleId="NoList1" w:customStyle="1">
    <w:name w:val="No List_1"/>
    <w:basedOn w:val="NoList"/>
    <w:pPr>
      <w:numPr>
        <w:numId w:val="1"/>
      </w:numPr>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kSMb7QUz3TkSawWq0JT/9w3oA==">CgMxLjAyCGguZ2pkZ3hzMgloLjMwajB6bGwyCWguMWZvYjl0ZTgAciExRGdwdFRHUWVxZm5TZlpXQ1A3cFVHVFlEYmU2WDBTOEs=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2023-05-22T18:00:00Z</dcterms:created>
  <dc:creator>Caroline Bradshaw</dc:creator>
</cp:coreProperties>
</file>