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73F3D" w14:textId="6969C7CF" w:rsidR="005503B0" w:rsidRDefault="00AA6BAC" w:rsidP="005503B0">
      <w:r>
        <w:rPr>
          <w:noProof/>
          <w:lang w:eastAsia="en-GB"/>
        </w:rPr>
        <w:drawing>
          <wp:inline distT="0" distB="0" distL="0" distR="0" wp14:anchorId="6442FC83" wp14:editId="3632D94F">
            <wp:extent cx="5401054"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401054" cy="1402080"/>
                    </a:xfrm>
                    <a:prstGeom prst="rect">
                      <a:avLst/>
                    </a:prstGeom>
                  </pic:spPr>
                </pic:pic>
              </a:graphicData>
            </a:graphic>
          </wp:inline>
        </w:drawing>
      </w:r>
    </w:p>
    <w:p w14:paraId="00E20E1C" w14:textId="77777777" w:rsidR="005503B0" w:rsidRDefault="005503B0" w:rsidP="005503B0"/>
    <w:p w14:paraId="4A9FB0B5" w14:textId="56012537" w:rsidR="00A608AE" w:rsidRPr="004F6F51" w:rsidRDefault="00384F05" w:rsidP="00AE2C51">
      <w:pPr>
        <w:jc w:val="center"/>
        <w:rPr>
          <w:b/>
          <w:bCs/>
          <w:caps/>
          <w:sz w:val="22"/>
          <w:szCs w:val="22"/>
          <w:u w:val="single"/>
        </w:rPr>
      </w:pPr>
      <w:r w:rsidRPr="004F6F51">
        <w:rPr>
          <w:b/>
          <w:bCs/>
          <w:caps/>
          <w:sz w:val="22"/>
          <w:szCs w:val="22"/>
          <w:u w:val="single"/>
        </w:rPr>
        <w:t>Specification</w:t>
      </w:r>
    </w:p>
    <w:p w14:paraId="75857031" w14:textId="77777777" w:rsidR="005503B0" w:rsidRPr="004F6F51" w:rsidRDefault="005503B0" w:rsidP="005503B0">
      <w:pPr>
        <w:rPr>
          <w:sz w:val="22"/>
          <w:szCs w:val="22"/>
        </w:rPr>
      </w:pPr>
    </w:p>
    <w:tbl>
      <w:tblPr>
        <w:tblW w:w="895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rvice commencement and contract term, services, payment, governance and regulatory, contract management, TUPE"/>
      </w:tblPr>
      <w:tblGrid>
        <w:gridCol w:w="3705"/>
        <w:gridCol w:w="5254"/>
      </w:tblGrid>
      <w:tr w:rsidR="00A608AE" w:rsidRPr="007B1368" w14:paraId="63DFAA0E" w14:textId="77777777" w:rsidTr="0010591E">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D3FD67" w14:textId="77777777" w:rsidR="00A608AE" w:rsidRPr="004F6F51" w:rsidRDefault="00A608AE" w:rsidP="0010591E">
            <w:pPr>
              <w:jc w:val="both"/>
              <w:textAlignment w:val="baseline"/>
              <w:rPr>
                <w:rFonts w:eastAsia="Times New Roman"/>
                <w:sz w:val="22"/>
                <w:szCs w:val="22"/>
                <w:lang w:eastAsia="en-GB"/>
              </w:rPr>
            </w:pPr>
            <w:r w:rsidRPr="004F6F51">
              <w:rPr>
                <w:rFonts w:eastAsia="Times New Roman"/>
                <w:b/>
                <w:bCs/>
                <w:color w:val="000000"/>
                <w:sz w:val="22"/>
                <w:szCs w:val="22"/>
                <w:lang w:eastAsia="en-GB"/>
              </w:rPr>
              <w:t>Service Specification Name</w:t>
            </w:r>
            <w:r w:rsidRPr="004F6F51">
              <w:rPr>
                <w:rFonts w:eastAsia="Times New Roman"/>
                <w:color w:val="000000"/>
                <w:sz w:val="22"/>
                <w:szCs w:val="22"/>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AD63F0" w14:textId="72400CF6" w:rsidR="00A608AE" w:rsidRPr="004F6F51" w:rsidRDefault="00A608AE" w:rsidP="0010591E">
            <w:pPr>
              <w:ind w:left="153" w:right="129"/>
              <w:textAlignment w:val="baseline"/>
              <w:rPr>
                <w:rFonts w:eastAsia="Times New Roman"/>
                <w:sz w:val="22"/>
                <w:szCs w:val="22"/>
                <w:lang w:eastAsia="en-GB"/>
              </w:rPr>
            </w:pPr>
            <w:r w:rsidRPr="004F6F51">
              <w:rPr>
                <w:rFonts w:eastAsia="Times New Roman"/>
                <w:color w:val="000000"/>
                <w:sz w:val="22"/>
                <w:szCs w:val="22"/>
                <w:lang w:eastAsia="en-GB"/>
              </w:rPr>
              <w:t xml:space="preserve">North Northamptonshire Contraceptive Service </w:t>
            </w:r>
            <w:r w:rsidR="000E1765" w:rsidRPr="004F6F51">
              <w:rPr>
                <w:rFonts w:eastAsia="Times New Roman"/>
                <w:color w:val="000000"/>
                <w:sz w:val="22"/>
                <w:szCs w:val="22"/>
                <w:lang w:eastAsia="en-GB"/>
              </w:rPr>
              <w:t>– Long-Acting Reversible Contraception (LARC)</w:t>
            </w:r>
            <w:r w:rsidRPr="004F6F51">
              <w:rPr>
                <w:rFonts w:eastAsia="Times New Roman"/>
                <w:color w:val="000000"/>
                <w:sz w:val="22"/>
                <w:szCs w:val="22"/>
                <w:lang w:eastAsia="en-GB"/>
              </w:rPr>
              <w:t> </w:t>
            </w:r>
          </w:p>
        </w:tc>
      </w:tr>
      <w:tr w:rsidR="000E1765" w:rsidRPr="007B1368" w14:paraId="28594AA2" w14:textId="77777777" w:rsidTr="0010591E">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BB9F3" w14:textId="77777777" w:rsidR="000E1765" w:rsidRPr="004F6F51" w:rsidRDefault="000E1765" w:rsidP="000E1765">
            <w:pPr>
              <w:jc w:val="both"/>
              <w:textAlignment w:val="baseline"/>
              <w:rPr>
                <w:rFonts w:eastAsia="Times New Roman"/>
                <w:sz w:val="22"/>
                <w:szCs w:val="22"/>
                <w:lang w:eastAsia="en-GB"/>
              </w:rPr>
            </w:pPr>
            <w:r w:rsidRPr="004F6F51">
              <w:rPr>
                <w:rFonts w:eastAsia="Times New Roman"/>
                <w:b/>
                <w:bCs/>
                <w:color w:val="000000"/>
                <w:sz w:val="22"/>
                <w:szCs w:val="22"/>
                <w:lang w:eastAsia="en-GB"/>
              </w:rPr>
              <w:t>Service Summary</w:t>
            </w:r>
            <w:r w:rsidRPr="004F6F51">
              <w:rPr>
                <w:rFonts w:eastAsia="Times New Roman"/>
                <w:color w:val="000000"/>
                <w:sz w:val="22"/>
                <w:szCs w:val="22"/>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69511C" w14:textId="543EE745" w:rsidR="000E1765" w:rsidRPr="004F6F51" w:rsidRDefault="000E1765" w:rsidP="004F6F51">
            <w:pPr>
              <w:ind w:hanging="414"/>
              <w:jc w:val="center"/>
              <w:rPr>
                <w:b/>
                <w:bCs/>
                <w:caps/>
                <w:sz w:val="22"/>
                <w:szCs w:val="22"/>
                <w:u w:val="single"/>
              </w:rPr>
            </w:pPr>
            <w:r w:rsidRPr="004F6F51">
              <w:rPr>
                <w:rFonts w:eastAsia="MS ??"/>
                <w:bCs/>
                <w:sz w:val="22"/>
                <w:szCs w:val="22"/>
              </w:rPr>
              <w:t>Fitting and Removal of Contraceptive Implants</w:t>
            </w:r>
          </w:p>
        </w:tc>
      </w:tr>
      <w:tr w:rsidR="000E1765" w:rsidRPr="007B1368" w14:paraId="6E6A0325" w14:textId="77777777" w:rsidTr="0010591E">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90E9D1" w14:textId="77777777" w:rsidR="000E1765" w:rsidRPr="004F6F51" w:rsidRDefault="000E1765" w:rsidP="000E1765">
            <w:pPr>
              <w:jc w:val="both"/>
              <w:textAlignment w:val="baseline"/>
              <w:rPr>
                <w:rFonts w:eastAsia="Times New Roman"/>
                <w:sz w:val="22"/>
                <w:szCs w:val="22"/>
                <w:lang w:eastAsia="en-GB"/>
              </w:rPr>
            </w:pPr>
            <w:r w:rsidRPr="004F6F51">
              <w:rPr>
                <w:rFonts w:eastAsia="Times New Roman"/>
                <w:b/>
                <w:bCs/>
                <w:color w:val="000000"/>
                <w:sz w:val="22"/>
                <w:szCs w:val="22"/>
                <w:lang w:eastAsia="en-GB"/>
              </w:rPr>
              <w:t>Commissioning authority</w:t>
            </w:r>
            <w:r w:rsidRPr="004F6F51">
              <w:rPr>
                <w:rFonts w:eastAsia="Times New Roman"/>
                <w:color w:val="000000"/>
                <w:sz w:val="22"/>
                <w:szCs w:val="22"/>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66BCE9" w14:textId="77777777" w:rsidR="000E1765" w:rsidRPr="004F6F51" w:rsidRDefault="000E1765" w:rsidP="000E1765">
            <w:pPr>
              <w:ind w:left="153" w:right="129"/>
              <w:textAlignment w:val="baseline"/>
              <w:rPr>
                <w:rFonts w:eastAsia="Times New Roman"/>
                <w:sz w:val="22"/>
                <w:szCs w:val="22"/>
                <w:lang w:eastAsia="en-GB"/>
              </w:rPr>
            </w:pPr>
            <w:r w:rsidRPr="004F6F51">
              <w:rPr>
                <w:rFonts w:eastAsia="Times New Roman"/>
                <w:color w:val="000000"/>
                <w:sz w:val="22"/>
                <w:szCs w:val="22"/>
                <w:lang w:eastAsia="en-GB"/>
              </w:rPr>
              <w:t>North Northamptonshire Council </w:t>
            </w:r>
          </w:p>
        </w:tc>
      </w:tr>
      <w:tr w:rsidR="000E1765" w:rsidRPr="007B1368" w14:paraId="7644AA00" w14:textId="77777777" w:rsidTr="0010591E">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078DBC" w14:textId="77777777" w:rsidR="000E1765" w:rsidRPr="004F6F51" w:rsidRDefault="000E1765" w:rsidP="000E1765">
            <w:pPr>
              <w:jc w:val="both"/>
              <w:textAlignment w:val="baseline"/>
              <w:rPr>
                <w:rFonts w:eastAsia="Times New Roman"/>
                <w:sz w:val="22"/>
                <w:szCs w:val="22"/>
                <w:lang w:eastAsia="en-GB"/>
              </w:rPr>
            </w:pPr>
            <w:r w:rsidRPr="004F6F51">
              <w:rPr>
                <w:rFonts w:eastAsia="Times New Roman"/>
                <w:b/>
                <w:bCs/>
                <w:color w:val="000000"/>
                <w:sz w:val="22"/>
                <w:szCs w:val="22"/>
                <w:lang w:eastAsia="en-GB"/>
              </w:rPr>
              <w:t>Commissioning Lead</w:t>
            </w:r>
            <w:r w:rsidRPr="004F6F51">
              <w:rPr>
                <w:rFonts w:eastAsia="Times New Roman"/>
                <w:color w:val="000000"/>
                <w:sz w:val="22"/>
                <w:szCs w:val="22"/>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D569B2" w14:textId="77777777" w:rsidR="000E1765" w:rsidRPr="004F6F51" w:rsidRDefault="000E1765" w:rsidP="000E1765">
            <w:pPr>
              <w:ind w:left="153" w:right="129"/>
              <w:textAlignment w:val="baseline"/>
              <w:rPr>
                <w:rFonts w:eastAsia="Times New Roman"/>
                <w:sz w:val="22"/>
                <w:szCs w:val="22"/>
                <w:lang w:eastAsia="en-GB"/>
              </w:rPr>
            </w:pPr>
            <w:r w:rsidRPr="004F6F51">
              <w:rPr>
                <w:rFonts w:eastAsia="Times New Roman"/>
                <w:sz w:val="22"/>
                <w:szCs w:val="22"/>
                <w:lang w:eastAsia="en-GB"/>
              </w:rPr>
              <w:t>Yvonne Powell – Commissioning Manager</w:t>
            </w:r>
          </w:p>
        </w:tc>
      </w:tr>
      <w:tr w:rsidR="000E1765" w:rsidRPr="007B1368" w14:paraId="70E3D8CE" w14:textId="77777777" w:rsidTr="0010591E">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3AC81F" w14:textId="77777777" w:rsidR="000E1765" w:rsidRPr="004F6F51" w:rsidRDefault="000E1765" w:rsidP="000E1765">
            <w:pPr>
              <w:jc w:val="both"/>
              <w:textAlignment w:val="baseline"/>
              <w:rPr>
                <w:rFonts w:eastAsia="Times New Roman"/>
                <w:sz w:val="22"/>
                <w:szCs w:val="22"/>
                <w:lang w:eastAsia="en-GB"/>
              </w:rPr>
            </w:pPr>
            <w:r w:rsidRPr="004F6F51">
              <w:rPr>
                <w:rFonts w:eastAsia="Times New Roman"/>
                <w:b/>
                <w:bCs/>
                <w:color w:val="000000"/>
                <w:sz w:val="22"/>
                <w:szCs w:val="22"/>
                <w:lang w:eastAsia="en-GB"/>
              </w:rPr>
              <w:t>Period covered </w:t>
            </w:r>
            <w:r w:rsidRPr="004F6F51">
              <w:rPr>
                <w:rFonts w:eastAsia="Times New Roman"/>
                <w:color w:val="000000"/>
                <w:sz w:val="22"/>
                <w:szCs w:val="22"/>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1C2C7F" w14:textId="77777777" w:rsidR="000E1765" w:rsidRPr="004F6F51" w:rsidRDefault="000E1765" w:rsidP="000E1765">
            <w:pPr>
              <w:ind w:left="153" w:right="129"/>
              <w:textAlignment w:val="baseline"/>
              <w:rPr>
                <w:rFonts w:eastAsia="Times New Roman"/>
                <w:sz w:val="22"/>
                <w:szCs w:val="22"/>
                <w:lang w:eastAsia="en-GB"/>
              </w:rPr>
            </w:pPr>
            <w:r w:rsidRPr="004F6F51">
              <w:rPr>
                <w:rFonts w:eastAsia="Times New Roman"/>
                <w:color w:val="000000"/>
                <w:sz w:val="22"/>
                <w:szCs w:val="22"/>
                <w:lang w:eastAsia="en-GB"/>
              </w:rPr>
              <w:t>1</w:t>
            </w:r>
            <w:r w:rsidRPr="004F6F51">
              <w:rPr>
                <w:rFonts w:eastAsia="Times New Roman"/>
                <w:color w:val="000000"/>
                <w:sz w:val="22"/>
                <w:szCs w:val="22"/>
                <w:vertAlign w:val="superscript"/>
                <w:lang w:eastAsia="en-GB"/>
              </w:rPr>
              <w:t>st</w:t>
            </w:r>
            <w:r w:rsidRPr="004F6F51">
              <w:rPr>
                <w:rFonts w:eastAsia="Times New Roman"/>
                <w:color w:val="000000"/>
                <w:sz w:val="22"/>
                <w:szCs w:val="22"/>
                <w:lang w:eastAsia="en-GB"/>
              </w:rPr>
              <w:t xml:space="preserve"> April 2025 – 31</w:t>
            </w:r>
            <w:r w:rsidRPr="004F6F51">
              <w:rPr>
                <w:rFonts w:eastAsia="Times New Roman"/>
                <w:color w:val="000000"/>
                <w:sz w:val="22"/>
                <w:szCs w:val="22"/>
                <w:vertAlign w:val="superscript"/>
                <w:lang w:eastAsia="en-GB"/>
              </w:rPr>
              <w:t>st</w:t>
            </w:r>
            <w:r w:rsidRPr="004F6F51">
              <w:rPr>
                <w:rFonts w:eastAsia="Times New Roman"/>
                <w:color w:val="000000"/>
                <w:sz w:val="22"/>
                <w:szCs w:val="22"/>
                <w:lang w:eastAsia="en-GB"/>
              </w:rPr>
              <w:t xml:space="preserve"> March 2029 </w:t>
            </w:r>
          </w:p>
        </w:tc>
      </w:tr>
      <w:tr w:rsidR="000E1765" w:rsidRPr="007B1368" w14:paraId="598B2370" w14:textId="77777777" w:rsidTr="0010591E">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013A6A" w14:textId="77777777" w:rsidR="000E1765" w:rsidRPr="004F6F51" w:rsidRDefault="000E1765" w:rsidP="000E1765">
            <w:pPr>
              <w:jc w:val="both"/>
              <w:textAlignment w:val="baseline"/>
              <w:rPr>
                <w:rFonts w:eastAsia="Times New Roman"/>
                <w:sz w:val="22"/>
                <w:szCs w:val="22"/>
                <w:lang w:eastAsia="en-GB"/>
              </w:rPr>
            </w:pPr>
            <w:r w:rsidRPr="004F6F51">
              <w:rPr>
                <w:rFonts w:eastAsia="Times New Roman"/>
                <w:b/>
                <w:bCs/>
                <w:color w:val="000000"/>
                <w:sz w:val="22"/>
                <w:szCs w:val="22"/>
                <w:lang w:eastAsia="en-GB"/>
              </w:rPr>
              <w:t>Date of Review</w:t>
            </w:r>
            <w:r w:rsidRPr="004F6F51">
              <w:rPr>
                <w:rFonts w:eastAsia="Times New Roman"/>
                <w:color w:val="000000"/>
                <w:sz w:val="22"/>
                <w:szCs w:val="22"/>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2ADDC7" w14:textId="178A0650" w:rsidR="000E1765" w:rsidRPr="004F6F51" w:rsidRDefault="000E1765" w:rsidP="000E1765">
            <w:pPr>
              <w:ind w:left="153" w:right="129"/>
              <w:textAlignment w:val="baseline"/>
              <w:rPr>
                <w:rFonts w:eastAsia="Times New Roman"/>
                <w:sz w:val="22"/>
                <w:szCs w:val="22"/>
                <w:lang w:eastAsia="en-GB"/>
              </w:rPr>
            </w:pPr>
            <w:r w:rsidRPr="004F6F51">
              <w:rPr>
                <w:rFonts w:eastAsia="Times New Roman"/>
                <w:color w:val="000000"/>
                <w:sz w:val="22"/>
                <w:szCs w:val="22"/>
                <w:lang w:eastAsia="en-GB"/>
              </w:rPr>
              <w:t>Annual Review (</w:t>
            </w:r>
            <w:r w:rsidR="00844440" w:rsidRPr="004F6F51">
              <w:rPr>
                <w:rFonts w:eastAsia="Times New Roman"/>
                <w:color w:val="000000"/>
                <w:sz w:val="22"/>
                <w:szCs w:val="22"/>
                <w:lang w:eastAsia="en-GB"/>
              </w:rPr>
              <w:t>31</w:t>
            </w:r>
            <w:r w:rsidR="00844440" w:rsidRPr="004F6F51">
              <w:rPr>
                <w:rFonts w:eastAsia="Times New Roman"/>
                <w:color w:val="000000"/>
                <w:sz w:val="22"/>
                <w:szCs w:val="22"/>
                <w:vertAlign w:val="superscript"/>
                <w:lang w:eastAsia="en-GB"/>
              </w:rPr>
              <w:t>st</w:t>
            </w:r>
            <w:r w:rsidR="00844440" w:rsidRPr="004F6F51">
              <w:rPr>
                <w:rFonts w:eastAsia="Times New Roman"/>
                <w:color w:val="000000"/>
                <w:sz w:val="22"/>
                <w:szCs w:val="22"/>
                <w:lang w:eastAsia="en-GB"/>
              </w:rPr>
              <w:t xml:space="preserve"> May 2026 and recurrent thereafter</w:t>
            </w:r>
            <w:r w:rsidRPr="004F6F51">
              <w:rPr>
                <w:rFonts w:eastAsia="Times New Roman"/>
                <w:color w:val="000000"/>
                <w:sz w:val="22"/>
                <w:szCs w:val="22"/>
                <w:lang w:eastAsia="en-GB"/>
              </w:rPr>
              <w:t>) </w:t>
            </w:r>
          </w:p>
        </w:tc>
      </w:tr>
      <w:tr w:rsidR="000E1765" w:rsidRPr="007B1368" w14:paraId="7F459EDE" w14:textId="77777777" w:rsidTr="0010591E">
        <w:trPr>
          <w:trHeight w:val="300"/>
        </w:trPr>
        <w:tc>
          <w:tcPr>
            <w:tcW w:w="895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9DB5B2D" w14:textId="77777777" w:rsidR="000E1765" w:rsidRPr="004F6F51" w:rsidRDefault="000E1765" w:rsidP="000E1765">
            <w:pPr>
              <w:ind w:left="153" w:right="129"/>
              <w:textAlignment w:val="baseline"/>
              <w:rPr>
                <w:rFonts w:eastAsia="Times New Roman"/>
                <w:sz w:val="22"/>
                <w:szCs w:val="22"/>
                <w:lang w:eastAsia="en-GB"/>
              </w:rPr>
            </w:pPr>
            <w:r w:rsidRPr="004F6F51">
              <w:rPr>
                <w:rFonts w:eastAsia="Times New Roman"/>
                <w:sz w:val="22"/>
                <w:szCs w:val="22"/>
                <w:lang w:eastAsia="en-GB"/>
              </w:rPr>
              <w:t>SERVICE COMMENCEMENT AND CONTRACT TERM </w:t>
            </w:r>
          </w:p>
        </w:tc>
      </w:tr>
      <w:tr w:rsidR="000E1765" w:rsidRPr="007B1368" w14:paraId="7608E228" w14:textId="77777777" w:rsidTr="0010591E">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FF24D2" w14:textId="77777777" w:rsidR="000E1765" w:rsidRPr="004F6F51" w:rsidRDefault="000E1765" w:rsidP="000E1765">
            <w:pPr>
              <w:jc w:val="both"/>
              <w:textAlignment w:val="baseline"/>
              <w:rPr>
                <w:rFonts w:eastAsia="Times New Roman"/>
                <w:sz w:val="22"/>
                <w:szCs w:val="22"/>
                <w:lang w:eastAsia="en-GB"/>
              </w:rPr>
            </w:pPr>
            <w:r w:rsidRPr="004F6F51">
              <w:rPr>
                <w:rFonts w:eastAsia="Times New Roman"/>
                <w:b/>
                <w:bCs/>
                <w:sz w:val="22"/>
                <w:szCs w:val="22"/>
                <w:lang w:eastAsia="en-GB"/>
              </w:rPr>
              <w:t>Service Commencement Date</w:t>
            </w:r>
            <w:r w:rsidRPr="004F6F51">
              <w:rPr>
                <w:rFonts w:eastAsia="Times New Roman"/>
                <w:sz w:val="22"/>
                <w:szCs w:val="22"/>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344A08" w14:textId="77777777" w:rsidR="000E1765" w:rsidRPr="004F6F51" w:rsidRDefault="000E1765" w:rsidP="000E1765">
            <w:pPr>
              <w:ind w:left="153" w:right="129"/>
              <w:textAlignment w:val="baseline"/>
              <w:rPr>
                <w:rFonts w:eastAsia="Times New Roman"/>
                <w:sz w:val="22"/>
                <w:szCs w:val="22"/>
                <w:lang w:eastAsia="en-GB"/>
              </w:rPr>
            </w:pPr>
            <w:r w:rsidRPr="004F6F51">
              <w:rPr>
                <w:rFonts w:eastAsia="Times New Roman"/>
                <w:sz w:val="22"/>
                <w:szCs w:val="22"/>
                <w:lang w:eastAsia="en-GB"/>
              </w:rPr>
              <w:t>1</w:t>
            </w:r>
            <w:r w:rsidRPr="004F6F51">
              <w:rPr>
                <w:rFonts w:eastAsia="Times New Roman"/>
                <w:sz w:val="22"/>
                <w:szCs w:val="22"/>
                <w:vertAlign w:val="superscript"/>
                <w:lang w:eastAsia="en-GB"/>
              </w:rPr>
              <w:t>st</w:t>
            </w:r>
            <w:r w:rsidRPr="004F6F51">
              <w:rPr>
                <w:rFonts w:eastAsia="Times New Roman"/>
                <w:sz w:val="22"/>
                <w:szCs w:val="22"/>
                <w:lang w:eastAsia="en-GB"/>
              </w:rPr>
              <w:t xml:space="preserve"> April 2025</w:t>
            </w:r>
            <w:r w:rsidRPr="004F6F51">
              <w:rPr>
                <w:rFonts w:eastAsia="Times New Roman"/>
                <w:b/>
                <w:bCs/>
                <w:sz w:val="22"/>
                <w:szCs w:val="22"/>
                <w:lang w:eastAsia="en-GB"/>
              </w:rPr>
              <w:t> </w:t>
            </w:r>
            <w:r w:rsidRPr="004F6F51">
              <w:rPr>
                <w:rFonts w:eastAsia="Times New Roman"/>
                <w:sz w:val="22"/>
                <w:szCs w:val="22"/>
                <w:lang w:eastAsia="en-GB"/>
              </w:rPr>
              <w:t> </w:t>
            </w:r>
          </w:p>
        </w:tc>
      </w:tr>
      <w:tr w:rsidR="000E1765" w:rsidRPr="007B1368" w14:paraId="303D3B02" w14:textId="77777777" w:rsidTr="0010591E">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D8FCC9" w14:textId="77777777" w:rsidR="000E1765" w:rsidRPr="004F6F51" w:rsidRDefault="000E1765" w:rsidP="000E1765">
            <w:pPr>
              <w:jc w:val="both"/>
              <w:textAlignment w:val="baseline"/>
              <w:rPr>
                <w:rFonts w:eastAsia="Times New Roman"/>
                <w:sz w:val="22"/>
                <w:szCs w:val="22"/>
                <w:lang w:eastAsia="en-GB"/>
              </w:rPr>
            </w:pPr>
            <w:r w:rsidRPr="004F6F51">
              <w:rPr>
                <w:rFonts w:eastAsia="Times New Roman"/>
                <w:b/>
                <w:bCs/>
                <w:sz w:val="22"/>
                <w:szCs w:val="22"/>
                <w:lang w:eastAsia="en-GB"/>
              </w:rPr>
              <w:t>Contract Term</w:t>
            </w:r>
            <w:r w:rsidRPr="004F6F51">
              <w:rPr>
                <w:rFonts w:eastAsia="Times New Roman"/>
                <w:sz w:val="22"/>
                <w:szCs w:val="22"/>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6865C" w14:textId="4D79B8E9" w:rsidR="000E1765" w:rsidRPr="004F6F51" w:rsidRDefault="000E1765" w:rsidP="000E1765">
            <w:pPr>
              <w:ind w:left="153" w:right="129"/>
              <w:textAlignment w:val="baseline"/>
              <w:rPr>
                <w:rFonts w:eastAsia="Times New Roman"/>
                <w:sz w:val="22"/>
                <w:szCs w:val="22"/>
                <w:lang w:eastAsia="en-GB"/>
              </w:rPr>
            </w:pPr>
            <w:r w:rsidRPr="004F6F51">
              <w:rPr>
                <w:sz w:val="22"/>
                <w:szCs w:val="22"/>
              </w:rPr>
              <w:t xml:space="preserve">The contract will have a term of 2 years, with the option to extend up to two additional years, for a maximum total contract length of 4 years. </w:t>
            </w:r>
          </w:p>
        </w:tc>
      </w:tr>
      <w:tr w:rsidR="000E1765" w:rsidRPr="007B1368" w14:paraId="0F5BBEE2" w14:textId="77777777" w:rsidTr="0010591E">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0D8F6C" w14:textId="77777777" w:rsidR="000E1765" w:rsidRPr="004F6F51" w:rsidRDefault="000E1765" w:rsidP="000E1765">
            <w:pPr>
              <w:jc w:val="both"/>
              <w:textAlignment w:val="baseline"/>
              <w:rPr>
                <w:rFonts w:eastAsia="Times New Roman"/>
                <w:sz w:val="22"/>
                <w:szCs w:val="22"/>
                <w:lang w:eastAsia="en-GB"/>
              </w:rPr>
            </w:pPr>
            <w:r w:rsidRPr="004F6F51">
              <w:rPr>
                <w:rFonts w:eastAsia="Times New Roman"/>
                <w:b/>
                <w:bCs/>
                <w:sz w:val="22"/>
                <w:szCs w:val="22"/>
                <w:lang w:eastAsia="en-GB"/>
              </w:rPr>
              <w:t>Contract Value</w:t>
            </w:r>
            <w:r w:rsidRPr="004F6F51">
              <w:rPr>
                <w:rFonts w:eastAsia="Times New Roman"/>
                <w:sz w:val="22"/>
                <w:szCs w:val="22"/>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555EE" w14:textId="3F6B9AAB" w:rsidR="006C7C6B" w:rsidRPr="004F6F51" w:rsidRDefault="00B561DD" w:rsidP="008A0729">
            <w:pPr>
              <w:pStyle w:val="Default"/>
              <w:ind w:firstLine="153"/>
              <w:rPr>
                <w:color w:val="FF0000"/>
                <w:sz w:val="22"/>
                <w:szCs w:val="22"/>
              </w:rPr>
            </w:pPr>
            <w:r w:rsidRPr="004F6F51">
              <w:rPr>
                <w:color w:val="auto"/>
                <w:sz w:val="22"/>
                <w:szCs w:val="22"/>
              </w:rPr>
              <w:t>£300,000 per annum</w:t>
            </w:r>
          </w:p>
          <w:p w14:paraId="798C1DAF" w14:textId="22C6F841" w:rsidR="000E1765" w:rsidRPr="004F6F51" w:rsidRDefault="000E1765" w:rsidP="008A0729">
            <w:pPr>
              <w:ind w:left="153" w:right="129" w:firstLine="153"/>
              <w:textAlignment w:val="baseline"/>
              <w:rPr>
                <w:rFonts w:eastAsia="Times New Roman"/>
                <w:sz w:val="22"/>
                <w:szCs w:val="22"/>
                <w:highlight w:val="yellow"/>
                <w:lang w:eastAsia="en-GB"/>
              </w:rPr>
            </w:pPr>
          </w:p>
        </w:tc>
      </w:tr>
      <w:tr w:rsidR="000E1765" w:rsidRPr="007B1368" w14:paraId="73EEA0D5" w14:textId="77777777" w:rsidTr="0010591E">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B6A4C4" w14:textId="77777777" w:rsidR="000E1765" w:rsidRPr="004F6F51" w:rsidRDefault="000E1765" w:rsidP="000E1765">
            <w:pPr>
              <w:jc w:val="both"/>
              <w:textAlignment w:val="baseline"/>
              <w:rPr>
                <w:rFonts w:eastAsia="Times New Roman"/>
                <w:sz w:val="22"/>
                <w:szCs w:val="22"/>
                <w:lang w:eastAsia="en-GB"/>
              </w:rPr>
            </w:pPr>
            <w:r w:rsidRPr="004F6F51">
              <w:rPr>
                <w:rFonts w:eastAsia="Times New Roman"/>
                <w:b/>
                <w:bCs/>
                <w:sz w:val="22"/>
                <w:szCs w:val="22"/>
                <w:lang w:eastAsia="en-GB"/>
              </w:rPr>
              <w:t>Option to extend Contract Term</w:t>
            </w:r>
            <w:r w:rsidRPr="004F6F51">
              <w:rPr>
                <w:rFonts w:eastAsia="Times New Roman"/>
                <w:sz w:val="22"/>
                <w:szCs w:val="22"/>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DBC3AC" w14:textId="77777777" w:rsidR="000E1765" w:rsidRPr="004F6F51" w:rsidRDefault="000E1765" w:rsidP="004F6F51">
            <w:pPr>
              <w:ind w:firstLine="153"/>
              <w:jc w:val="both"/>
              <w:textAlignment w:val="baseline"/>
              <w:rPr>
                <w:rFonts w:eastAsia="Times New Roman"/>
                <w:sz w:val="22"/>
                <w:szCs w:val="22"/>
                <w:lang w:eastAsia="en-GB"/>
              </w:rPr>
            </w:pPr>
            <w:r w:rsidRPr="004F6F51">
              <w:rPr>
                <w:rFonts w:eastAsia="Times New Roman"/>
                <w:sz w:val="22"/>
                <w:szCs w:val="22"/>
                <w:lang w:eastAsia="en-GB"/>
              </w:rPr>
              <w:t>Yes </w:t>
            </w:r>
          </w:p>
        </w:tc>
      </w:tr>
      <w:tr w:rsidR="000E1765" w:rsidRPr="007B1368" w14:paraId="35E64251" w14:textId="77777777" w:rsidTr="0010591E">
        <w:trPr>
          <w:trHeight w:val="300"/>
        </w:trPr>
        <w:tc>
          <w:tcPr>
            <w:tcW w:w="3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9CF541" w14:textId="77777777" w:rsidR="000E1765" w:rsidRPr="004F6F51" w:rsidRDefault="000E1765" w:rsidP="000E1765">
            <w:pPr>
              <w:jc w:val="both"/>
              <w:textAlignment w:val="baseline"/>
              <w:rPr>
                <w:rFonts w:eastAsia="Times New Roman"/>
                <w:sz w:val="22"/>
                <w:szCs w:val="22"/>
                <w:lang w:eastAsia="en-GB"/>
              </w:rPr>
            </w:pPr>
            <w:r w:rsidRPr="004F6F51">
              <w:rPr>
                <w:rFonts w:eastAsia="Times New Roman"/>
                <w:b/>
                <w:bCs/>
                <w:sz w:val="22"/>
                <w:szCs w:val="22"/>
                <w:lang w:eastAsia="en-GB"/>
              </w:rPr>
              <w:t>Notice Period (for termination)</w:t>
            </w:r>
            <w:r w:rsidRPr="004F6F51">
              <w:rPr>
                <w:rFonts w:eastAsia="Times New Roman"/>
                <w:sz w:val="22"/>
                <w:szCs w:val="22"/>
                <w:lang w:eastAsia="en-GB"/>
              </w:rPr>
              <w:t> </w:t>
            </w:r>
          </w:p>
        </w:tc>
        <w:tc>
          <w:tcPr>
            <w:tcW w:w="5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798B6A" w14:textId="77777777" w:rsidR="000E1765" w:rsidRPr="004F6F51" w:rsidRDefault="000E1765" w:rsidP="004F6F51">
            <w:pPr>
              <w:ind w:firstLine="153"/>
              <w:jc w:val="both"/>
              <w:textAlignment w:val="baseline"/>
              <w:rPr>
                <w:rFonts w:eastAsia="Times New Roman"/>
                <w:sz w:val="22"/>
                <w:szCs w:val="22"/>
                <w:lang w:eastAsia="en-GB"/>
              </w:rPr>
            </w:pPr>
            <w:r w:rsidRPr="004F6F51">
              <w:rPr>
                <w:rFonts w:eastAsia="Times New Roman"/>
                <w:sz w:val="22"/>
                <w:szCs w:val="22"/>
                <w:lang w:eastAsia="en-GB"/>
              </w:rPr>
              <w:t>6 months </w:t>
            </w:r>
          </w:p>
        </w:tc>
      </w:tr>
    </w:tbl>
    <w:p w14:paraId="7676BBFF" w14:textId="77777777" w:rsidR="005503B0" w:rsidRPr="004F6F51" w:rsidRDefault="005503B0" w:rsidP="005503B0">
      <w:pPr>
        <w:rPr>
          <w:sz w:val="22"/>
          <w:szCs w:val="22"/>
        </w:rPr>
        <w:sectPr w:rsidR="005503B0" w:rsidRPr="004F6F51" w:rsidSect="005503B0">
          <w:headerReference w:type="even" r:id="rId12"/>
          <w:headerReference w:type="default" r:id="rId13"/>
          <w:headerReference w:type="first" r:id="rId14"/>
          <w:endnotePr>
            <w:numFmt w:val="decimal"/>
          </w:endnotePr>
          <w:pgSz w:w="11906" w:h="16838"/>
          <w:pgMar w:top="1418" w:right="1418" w:bottom="1418" w:left="1418" w:header="708" w:footer="708" w:gutter="0"/>
          <w:cols w:space="708"/>
          <w:docGrid w:linePitch="360"/>
        </w:sectPr>
      </w:pPr>
    </w:p>
    <w:sdt>
      <w:sdtPr>
        <w:rPr>
          <w:rFonts w:ascii="Arial" w:eastAsiaTheme="minorHAnsi" w:hAnsi="Arial" w:cs="Arial"/>
          <w:color w:val="auto"/>
          <w:sz w:val="22"/>
          <w:szCs w:val="22"/>
          <w:lang w:val="en-GB"/>
        </w:rPr>
        <w:id w:val="-805467577"/>
        <w:docPartObj>
          <w:docPartGallery w:val="Table of Contents"/>
          <w:docPartUnique/>
        </w:docPartObj>
      </w:sdtPr>
      <w:sdtEndPr>
        <w:rPr>
          <w:b/>
          <w:bCs/>
          <w:noProof/>
        </w:rPr>
      </w:sdtEndPr>
      <w:sdtContent>
        <w:p w14:paraId="74C11613" w14:textId="652F7097" w:rsidR="0011433F" w:rsidRPr="004F6F51" w:rsidRDefault="0011433F">
          <w:pPr>
            <w:pStyle w:val="TOCHeading"/>
            <w:rPr>
              <w:rFonts w:ascii="Arial" w:hAnsi="Arial" w:cs="Arial"/>
              <w:sz w:val="22"/>
              <w:szCs w:val="22"/>
            </w:rPr>
          </w:pPr>
          <w:r w:rsidRPr="004F6F51">
            <w:rPr>
              <w:rFonts w:ascii="Arial" w:hAnsi="Arial" w:cs="Arial"/>
              <w:sz w:val="22"/>
              <w:szCs w:val="22"/>
            </w:rPr>
            <w:t>Contents</w:t>
          </w:r>
        </w:p>
        <w:p w14:paraId="3646A9CE" w14:textId="27DCF408" w:rsidR="005B4E25" w:rsidRDefault="0011433F">
          <w:pPr>
            <w:pStyle w:val="TOC2"/>
            <w:rPr>
              <w:rFonts w:asciiTheme="minorHAnsi" w:eastAsiaTheme="minorEastAsia" w:hAnsiTheme="minorHAnsi" w:cstheme="minorBidi"/>
              <w:sz w:val="22"/>
              <w:szCs w:val="22"/>
              <w:lang w:eastAsia="en-GB"/>
            </w:rPr>
          </w:pPr>
          <w:r w:rsidRPr="004F6F51">
            <w:rPr>
              <w:sz w:val="22"/>
              <w:szCs w:val="22"/>
            </w:rPr>
            <w:fldChar w:fldCharType="begin"/>
          </w:r>
          <w:r w:rsidRPr="004F6F51">
            <w:rPr>
              <w:sz w:val="22"/>
              <w:szCs w:val="22"/>
            </w:rPr>
            <w:instrText xml:space="preserve"> TOC \o "1-3" \h \z \u </w:instrText>
          </w:r>
          <w:r w:rsidRPr="004F6F51">
            <w:rPr>
              <w:sz w:val="22"/>
              <w:szCs w:val="22"/>
            </w:rPr>
            <w:fldChar w:fldCharType="separate"/>
          </w:r>
          <w:hyperlink w:anchor="_Toc190354366" w:history="1">
            <w:r w:rsidR="005B4E25" w:rsidRPr="00DA43DD">
              <w:rPr>
                <w:rStyle w:val="Hyperlink"/>
              </w:rPr>
              <w:t>1. Introduction</w:t>
            </w:r>
            <w:r w:rsidR="005B4E25">
              <w:rPr>
                <w:webHidden/>
              </w:rPr>
              <w:tab/>
            </w:r>
            <w:r w:rsidR="005B4E25">
              <w:rPr>
                <w:webHidden/>
              </w:rPr>
              <w:fldChar w:fldCharType="begin"/>
            </w:r>
            <w:r w:rsidR="005B4E25">
              <w:rPr>
                <w:webHidden/>
              </w:rPr>
              <w:instrText xml:space="preserve"> PAGEREF _Toc190354366 \h </w:instrText>
            </w:r>
            <w:r w:rsidR="005B4E25">
              <w:rPr>
                <w:webHidden/>
              </w:rPr>
            </w:r>
            <w:r w:rsidR="005B4E25">
              <w:rPr>
                <w:webHidden/>
              </w:rPr>
              <w:fldChar w:fldCharType="separate"/>
            </w:r>
            <w:r w:rsidR="005B4E25">
              <w:rPr>
                <w:webHidden/>
              </w:rPr>
              <w:t>3</w:t>
            </w:r>
            <w:r w:rsidR="005B4E25">
              <w:rPr>
                <w:webHidden/>
              </w:rPr>
              <w:fldChar w:fldCharType="end"/>
            </w:r>
          </w:hyperlink>
        </w:p>
        <w:p w14:paraId="4FED0FD0" w14:textId="7727F263" w:rsidR="005B4E25" w:rsidRDefault="00640A75">
          <w:pPr>
            <w:pStyle w:val="TOC2"/>
            <w:rPr>
              <w:rFonts w:asciiTheme="minorHAnsi" w:eastAsiaTheme="minorEastAsia" w:hAnsiTheme="minorHAnsi" w:cstheme="minorBidi"/>
              <w:sz w:val="22"/>
              <w:szCs w:val="22"/>
              <w:lang w:eastAsia="en-GB"/>
            </w:rPr>
          </w:pPr>
          <w:hyperlink w:anchor="_Toc190354367" w:history="1">
            <w:r w:rsidR="005B4E25" w:rsidRPr="00DA43DD">
              <w:rPr>
                <w:rStyle w:val="Hyperlink"/>
              </w:rPr>
              <w:t>2. Strategic Background</w:t>
            </w:r>
            <w:r w:rsidR="005B4E25">
              <w:rPr>
                <w:webHidden/>
              </w:rPr>
              <w:tab/>
            </w:r>
            <w:r w:rsidR="005B4E25">
              <w:rPr>
                <w:webHidden/>
              </w:rPr>
              <w:fldChar w:fldCharType="begin"/>
            </w:r>
            <w:r w:rsidR="005B4E25">
              <w:rPr>
                <w:webHidden/>
              </w:rPr>
              <w:instrText xml:space="preserve"> PAGEREF _Toc190354367 \h </w:instrText>
            </w:r>
            <w:r w:rsidR="005B4E25">
              <w:rPr>
                <w:webHidden/>
              </w:rPr>
            </w:r>
            <w:r w:rsidR="005B4E25">
              <w:rPr>
                <w:webHidden/>
              </w:rPr>
              <w:fldChar w:fldCharType="separate"/>
            </w:r>
            <w:r w:rsidR="005B4E25">
              <w:rPr>
                <w:webHidden/>
              </w:rPr>
              <w:t>3</w:t>
            </w:r>
            <w:r w:rsidR="005B4E25">
              <w:rPr>
                <w:webHidden/>
              </w:rPr>
              <w:fldChar w:fldCharType="end"/>
            </w:r>
          </w:hyperlink>
        </w:p>
        <w:p w14:paraId="54847F72" w14:textId="0DF3A455" w:rsidR="005B4E25" w:rsidRDefault="00640A75">
          <w:pPr>
            <w:pStyle w:val="TOC2"/>
            <w:rPr>
              <w:rFonts w:asciiTheme="minorHAnsi" w:eastAsiaTheme="minorEastAsia" w:hAnsiTheme="minorHAnsi" w:cstheme="minorBidi"/>
              <w:sz w:val="22"/>
              <w:szCs w:val="22"/>
              <w:lang w:eastAsia="en-GB"/>
            </w:rPr>
          </w:pPr>
          <w:hyperlink w:anchor="_Toc190354368" w:history="1">
            <w:r w:rsidR="005B4E25" w:rsidRPr="00DA43DD">
              <w:rPr>
                <w:rStyle w:val="Hyperlink"/>
              </w:rPr>
              <w:t>3. Service description and scope</w:t>
            </w:r>
            <w:r w:rsidR="005B4E25">
              <w:rPr>
                <w:webHidden/>
              </w:rPr>
              <w:tab/>
            </w:r>
            <w:r w:rsidR="005B4E25">
              <w:rPr>
                <w:webHidden/>
              </w:rPr>
              <w:fldChar w:fldCharType="begin"/>
            </w:r>
            <w:r w:rsidR="005B4E25">
              <w:rPr>
                <w:webHidden/>
              </w:rPr>
              <w:instrText xml:space="preserve"> PAGEREF _Toc190354368 \h </w:instrText>
            </w:r>
            <w:r w:rsidR="005B4E25">
              <w:rPr>
                <w:webHidden/>
              </w:rPr>
            </w:r>
            <w:r w:rsidR="005B4E25">
              <w:rPr>
                <w:webHidden/>
              </w:rPr>
              <w:fldChar w:fldCharType="separate"/>
            </w:r>
            <w:r w:rsidR="005B4E25">
              <w:rPr>
                <w:webHidden/>
              </w:rPr>
              <w:t>4</w:t>
            </w:r>
            <w:r w:rsidR="005B4E25">
              <w:rPr>
                <w:webHidden/>
              </w:rPr>
              <w:fldChar w:fldCharType="end"/>
            </w:r>
          </w:hyperlink>
        </w:p>
        <w:p w14:paraId="7A1A0CEE" w14:textId="23037AC3" w:rsidR="005B4E25" w:rsidRDefault="00640A75">
          <w:pPr>
            <w:pStyle w:val="TOC2"/>
            <w:rPr>
              <w:rFonts w:asciiTheme="minorHAnsi" w:eastAsiaTheme="minorEastAsia" w:hAnsiTheme="minorHAnsi" w:cstheme="minorBidi"/>
              <w:sz w:val="22"/>
              <w:szCs w:val="22"/>
              <w:lang w:eastAsia="en-GB"/>
            </w:rPr>
          </w:pPr>
          <w:hyperlink w:anchor="_Toc190354369" w:history="1">
            <w:r w:rsidR="005B4E25" w:rsidRPr="00DA43DD">
              <w:rPr>
                <w:rStyle w:val="Hyperlink"/>
              </w:rPr>
              <w:t>4. Aims of the Service</w:t>
            </w:r>
            <w:r w:rsidR="005B4E25">
              <w:rPr>
                <w:webHidden/>
              </w:rPr>
              <w:tab/>
            </w:r>
            <w:r w:rsidR="005B4E25">
              <w:rPr>
                <w:webHidden/>
              </w:rPr>
              <w:fldChar w:fldCharType="begin"/>
            </w:r>
            <w:r w:rsidR="005B4E25">
              <w:rPr>
                <w:webHidden/>
              </w:rPr>
              <w:instrText xml:space="preserve"> PAGEREF _Toc190354369 \h </w:instrText>
            </w:r>
            <w:r w:rsidR="005B4E25">
              <w:rPr>
                <w:webHidden/>
              </w:rPr>
            </w:r>
            <w:r w:rsidR="005B4E25">
              <w:rPr>
                <w:webHidden/>
              </w:rPr>
              <w:fldChar w:fldCharType="separate"/>
            </w:r>
            <w:r w:rsidR="005B4E25">
              <w:rPr>
                <w:webHidden/>
              </w:rPr>
              <w:t>7</w:t>
            </w:r>
            <w:r w:rsidR="005B4E25">
              <w:rPr>
                <w:webHidden/>
              </w:rPr>
              <w:fldChar w:fldCharType="end"/>
            </w:r>
          </w:hyperlink>
        </w:p>
        <w:p w14:paraId="546F0277" w14:textId="39F41CCE" w:rsidR="005B4E25" w:rsidRDefault="00640A75">
          <w:pPr>
            <w:pStyle w:val="TOC2"/>
            <w:rPr>
              <w:rFonts w:asciiTheme="minorHAnsi" w:eastAsiaTheme="minorEastAsia" w:hAnsiTheme="minorHAnsi" w:cstheme="minorBidi"/>
              <w:sz w:val="22"/>
              <w:szCs w:val="22"/>
              <w:lang w:eastAsia="en-GB"/>
            </w:rPr>
          </w:pPr>
          <w:hyperlink w:anchor="_Toc190354370" w:history="1">
            <w:r w:rsidR="005B4E25" w:rsidRPr="00DA43DD">
              <w:rPr>
                <w:rStyle w:val="Hyperlink"/>
              </w:rPr>
              <w:t>5. Statement of Requirements</w:t>
            </w:r>
            <w:r w:rsidR="005B4E25">
              <w:rPr>
                <w:webHidden/>
              </w:rPr>
              <w:tab/>
            </w:r>
            <w:r w:rsidR="005B4E25">
              <w:rPr>
                <w:webHidden/>
              </w:rPr>
              <w:fldChar w:fldCharType="begin"/>
            </w:r>
            <w:r w:rsidR="005B4E25">
              <w:rPr>
                <w:webHidden/>
              </w:rPr>
              <w:instrText xml:space="preserve"> PAGEREF _Toc190354370 \h </w:instrText>
            </w:r>
            <w:r w:rsidR="005B4E25">
              <w:rPr>
                <w:webHidden/>
              </w:rPr>
            </w:r>
            <w:r w:rsidR="005B4E25">
              <w:rPr>
                <w:webHidden/>
              </w:rPr>
              <w:fldChar w:fldCharType="separate"/>
            </w:r>
            <w:r w:rsidR="005B4E25">
              <w:rPr>
                <w:webHidden/>
              </w:rPr>
              <w:t>10</w:t>
            </w:r>
            <w:r w:rsidR="005B4E25">
              <w:rPr>
                <w:webHidden/>
              </w:rPr>
              <w:fldChar w:fldCharType="end"/>
            </w:r>
          </w:hyperlink>
        </w:p>
        <w:p w14:paraId="41BE80BF" w14:textId="30F851E6" w:rsidR="005B4E25" w:rsidRDefault="00640A75">
          <w:pPr>
            <w:pStyle w:val="TOC2"/>
            <w:rPr>
              <w:rFonts w:asciiTheme="minorHAnsi" w:eastAsiaTheme="minorEastAsia" w:hAnsiTheme="minorHAnsi" w:cstheme="minorBidi"/>
              <w:sz w:val="22"/>
              <w:szCs w:val="22"/>
              <w:lang w:eastAsia="en-GB"/>
            </w:rPr>
          </w:pPr>
          <w:hyperlink w:anchor="_Toc190354371" w:history="1">
            <w:r w:rsidR="005B4E25" w:rsidRPr="00DA43DD">
              <w:rPr>
                <w:rStyle w:val="Hyperlink"/>
              </w:rPr>
              <w:t>6. Confidentiality, Data Management and UK General Data Protection Regulation (UK GDPR)</w:t>
            </w:r>
            <w:r w:rsidR="005B4E25">
              <w:rPr>
                <w:webHidden/>
              </w:rPr>
              <w:tab/>
            </w:r>
            <w:r w:rsidR="005B4E25">
              <w:rPr>
                <w:webHidden/>
              </w:rPr>
              <w:fldChar w:fldCharType="begin"/>
            </w:r>
            <w:r w:rsidR="005B4E25">
              <w:rPr>
                <w:webHidden/>
              </w:rPr>
              <w:instrText xml:space="preserve"> PAGEREF _Toc190354371 \h </w:instrText>
            </w:r>
            <w:r w:rsidR="005B4E25">
              <w:rPr>
                <w:webHidden/>
              </w:rPr>
            </w:r>
            <w:r w:rsidR="005B4E25">
              <w:rPr>
                <w:webHidden/>
              </w:rPr>
              <w:fldChar w:fldCharType="separate"/>
            </w:r>
            <w:r w:rsidR="005B4E25">
              <w:rPr>
                <w:webHidden/>
              </w:rPr>
              <w:t>12</w:t>
            </w:r>
            <w:r w:rsidR="005B4E25">
              <w:rPr>
                <w:webHidden/>
              </w:rPr>
              <w:fldChar w:fldCharType="end"/>
            </w:r>
          </w:hyperlink>
        </w:p>
        <w:p w14:paraId="445E0058" w14:textId="422F45FC" w:rsidR="005B4E25" w:rsidRDefault="00640A75">
          <w:pPr>
            <w:pStyle w:val="TOC2"/>
            <w:rPr>
              <w:rFonts w:asciiTheme="minorHAnsi" w:eastAsiaTheme="minorEastAsia" w:hAnsiTheme="minorHAnsi" w:cstheme="minorBidi"/>
              <w:sz w:val="22"/>
              <w:szCs w:val="22"/>
              <w:lang w:eastAsia="en-GB"/>
            </w:rPr>
          </w:pPr>
          <w:hyperlink w:anchor="_Toc190354372" w:history="1">
            <w:r w:rsidR="005B4E25" w:rsidRPr="00DA43DD">
              <w:rPr>
                <w:rStyle w:val="Hyperlink"/>
              </w:rPr>
              <w:t>7. Service Quality, Monitoring and Performance Requirements</w:t>
            </w:r>
            <w:r w:rsidR="005B4E25">
              <w:rPr>
                <w:webHidden/>
              </w:rPr>
              <w:tab/>
            </w:r>
            <w:r w:rsidR="005B4E25">
              <w:rPr>
                <w:webHidden/>
              </w:rPr>
              <w:fldChar w:fldCharType="begin"/>
            </w:r>
            <w:r w:rsidR="005B4E25">
              <w:rPr>
                <w:webHidden/>
              </w:rPr>
              <w:instrText xml:space="preserve"> PAGEREF _Toc190354372 \h </w:instrText>
            </w:r>
            <w:r w:rsidR="005B4E25">
              <w:rPr>
                <w:webHidden/>
              </w:rPr>
            </w:r>
            <w:r w:rsidR="005B4E25">
              <w:rPr>
                <w:webHidden/>
              </w:rPr>
              <w:fldChar w:fldCharType="separate"/>
            </w:r>
            <w:r w:rsidR="005B4E25">
              <w:rPr>
                <w:webHidden/>
              </w:rPr>
              <w:t>14</w:t>
            </w:r>
            <w:r w:rsidR="005B4E25">
              <w:rPr>
                <w:webHidden/>
              </w:rPr>
              <w:fldChar w:fldCharType="end"/>
            </w:r>
          </w:hyperlink>
        </w:p>
        <w:p w14:paraId="65400B74" w14:textId="457A2D45" w:rsidR="005B4E25" w:rsidRDefault="00640A75">
          <w:pPr>
            <w:pStyle w:val="TOC2"/>
            <w:rPr>
              <w:rFonts w:asciiTheme="minorHAnsi" w:eastAsiaTheme="minorEastAsia" w:hAnsiTheme="minorHAnsi" w:cstheme="minorBidi"/>
              <w:sz w:val="22"/>
              <w:szCs w:val="22"/>
              <w:lang w:eastAsia="en-GB"/>
            </w:rPr>
          </w:pPr>
          <w:hyperlink w:anchor="_Toc190354373" w:history="1">
            <w:r w:rsidR="005B4E25" w:rsidRPr="00DA43DD">
              <w:rPr>
                <w:rStyle w:val="Hyperlink"/>
              </w:rPr>
              <w:t>8. Quality Standards and monitoring</w:t>
            </w:r>
            <w:r w:rsidR="005B4E25">
              <w:rPr>
                <w:webHidden/>
              </w:rPr>
              <w:tab/>
            </w:r>
            <w:r w:rsidR="005B4E25">
              <w:rPr>
                <w:webHidden/>
              </w:rPr>
              <w:fldChar w:fldCharType="begin"/>
            </w:r>
            <w:r w:rsidR="005B4E25">
              <w:rPr>
                <w:webHidden/>
              </w:rPr>
              <w:instrText xml:space="preserve"> PAGEREF _Toc190354373 \h </w:instrText>
            </w:r>
            <w:r w:rsidR="005B4E25">
              <w:rPr>
                <w:webHidden/>
              </w:rPr>
            </w:r>
            <w:r w:rsidR="005B4E25">
              <w:rPr>
                <w:webHidden/>
              </w:rPr>
              <w:fldChar w:fldCharType="separate"/>
            </w:r>
            <w:r w:rsidR="005B4E25">
              <w:rPr>
                <w:webHidden/>
              </w:rPr>
              <w:t>15</w:t>
            </w:r>
            <w:r w:rsidR="005B4E25">
              <w:rPr>
                <w:webHidden/>
              </w:rPr>
              <w:fldChar w:fldCharType="end"/>
            </w:r>
          </w:hyperlink>
        </w:p>
        <w:p w14:paraId="65045906" w14:textId="253FDCC8" w:rsidR="005B4E25" w:rsidRDefault="00640A75">
          <w:pPr>
            <w:pStyle w:val="TOC2"/>
            <w:rPr>
              <w:rFonts w:asciiTheme="minorHAnsi" w:eastAsiaTheme="minorEastAsia" w:hAnsiTheme="minorHAnsi" w:cstheme="minorBidi"/>
              <w:sz w:val="22"/>
              <w:szCs w:val="22"/>
              <w:lang w:eastAsia="en-GB"/>
            </w:rPr>
          </w:pPr>
          <w:hyperlink w:anchor="_Toc190354374" w:history="1">
            <w:r w:rsidR="005B4E25" w:rsidRPr="00DA43DD">
              <w:rPr>
                <w:rStyle w:val="Hyperlink"/>
              </w:rPr>
              <w:t>9. Services Fee &amp; Invoicing Arrangements</w:t>
            </w:r>
            <w:r w:rsidR="005B4E25">
              <w:rPr>
                <w:webHidden/>
              </w:rPr>
              <w:tab/>
            </w:r>
            <w:r w:rsidR="005B4E25">
              <w:rPr>
                <w:webHidden/>
              </w:rPr>
              <w:fldChar w:fldCharType="begin"/>
            </w:r>
            <w:r w:rsidR="005B4E25">
              <w:rPr>
                <w:webHidden/>
              </w:rPr>
              <w:instrText xml:space="preserve"> PAGEREF _Toc190354374 \h </w:instrText>
            </w:r>
            <w:r w:rsidR="005B4E25">
              <w:rPr>
                <w:webHidden/>
              </w:rPr>
            </w:r>
            <w:r w:rsidR="005B4E25">
              <w:rPr>
                <w:webHidden/>
              </w:rPr>
              <w:fldChar w:fldCharType="separate"/>
            </w:r>
            <w:r w:rsidR="005B4E25">
              <w:rPr>
                <w:webHidden/>
              </w:rPr>
              <w:t>17</w:t>
            </w:r>
            <w:r w:rsidR="005B4E25">
              <w:rPr>
                <w:webHidden/>
              </w:rPr>
              <w:fldChar w:fldCharType="end"/>
            </w:r>
          </w:hyperlink>
        </w:p>
        <w:p w14:paraId="72D82CFE" w14:textId="2960BC48" w:rsidR="005B4E25" w:rsidRDefault="00640A75" w:rsidP="000B7BFA">
          <w:pPr>
            <w:pStyle w:val="TOC2"/>
            <w:ind w:left="426"/>
            <w:rPr>
              <w:rFonts w:asciiTheme="minorHAnsi" w:eastAsiaTheme="minorEastAsia" w:hAnsiTheme="minorHAnsi" w:cstheme="minorBidi"/>
              <w:sz w:val="22"/>
              <w:szCs w:val="22"/>
              <w:lang w:eastAsia="en-GB"/>
            </w:rPr>
          </w:pPr>
          <w:hyperlink w:anchor="_Toc190354375" w:history="1">
            <w:r w:rsidR="005B4E25" w:rsidRPr="00DA43DD">
              <w:rPr>
                <w:rStyle w:val="Hyperlink"/>
              </w:rPr>
              <w:t>Appendix 1 - Performance and Quality Indicators</w:t>
            </w:r>
            <w:r w:rsidR="005B4E25">
              <w:rPr>
                <w:webHidden/>
              </w:rPr>
              <w:tab/>
            </w:r>
            <w:r w:rsidR="005B4E25">
              <w:rPr>
                <w:webHidden/>
              </w:rPr>
              <w:fldChar w:fldCharType="begin"/>
            </w:r>
            <w:r w:rsidR="005B4E25">
              <w:rPr>
                <w:webHidden/>
              </w:rPr>
              <w:instrText xml:space="preserve"> PAGEREF _Toc190354375 \h </w:instrText>
            </w:r>
            <w:r w:rsidR="005B4E25">
              <w:rPr>
                <w:webHidden/>
              </w:rPr>
            </w:r>
            <w:r w:rsidR="005B4E25">
              <w:rPr>
                <w:webHidden/>
              </w:rPr>
              <w:fldChar w:fldCharType="separate"/>
            </w:r>
            <w:r w:rsidR="005B4E25">
              <w:rPr>
                <w:webHidden/>
              </w:rPr>
              <w:t>18</w:t>
            </w:r>
            <w:r w:rsidR="005B4E25">
              <w:rPr>
                <w:webHidden/>
              </w:rPr>
              <w:fldChar w:fldCharType="end"/>
            </w:r>
          </w:hyperlink>
        </w:p>
        <w:p w14:paraId="6A43091A" w14:textId="4297171C" w:rsidR="005B4E25" w:rsidRDefault="00640A75" w:rsidP="000B7BFA">
          <w:pPr>
            <w:pStyle w:val="TOC2"/>
            <w:ind w:left="426"/>
            <w:rPr>
              <w:rFonts w:asciiTheme="minorHAnsi" w:eastAsiaTheme="minorEastAsia" w:hAnsiTheme="minorHAnsi" w:cstheme="minorBidi"/>
              <w:sz w:val="22"/>
              <w:szCs w:val="22"/>
              <w:lang w:eastAsia="en-GB"/>
            </w:rPr>
          </w:pPr>
          <w:hyperlink w:anchor="_Toc190354376" w:history="1">
            <w:r w:rsidR="005B4E25" w:rsidRPr="00DA43DD">
              <w:rPr>
                <w:rStyle w:val="Hyperlink"/>
                <w:rFonts w:eastAsiaTheme="majorEastAsia"/>
                <w:kern w:val="2"/>
                <w14:ligatures w14:val="standardContextual"/>
              </w:rPr>
              <w:t>Appendix 2 - GP LARC Claim Form</w:t>
            </w:r>
            <w:r w:rsidR="005B4E25">
              <w:rPr>
                <w:webHidden/>
              </w:rPr>
              <w:tab/>
            </w:r>
            <w:r w:rsidR="005B4E25">
              <w:rPr>
                <w:webHidden/>
              </w:rPr>
              <w:fldChar w:fldCharType="begin"/>
            </w:r>
            <w:r w:rsidR="005B4E25">
              <w:rPr>
                <w:webHidden/>
              </w:rPr>
              <w:instrText xml:space="preserve"> PAGEREF _Toc190354376 \h </w:instrText>
            </w:r>
            <w:r w:rsidR="005B4E25">
              <w:rPr>
                <w:webHidden/>
              </w:rPr>
            </w:r>
            <w:r w:rsidR="005B4E25">
              <w:rPr>
                <w:webHidden/>
              </w:rPr>
              <w:fldChar w:fldCharType="separate"/>
            </w:r>
            <w:r w:rsidR="005B4E25">
              <w:rPr>
                <w:webHidden/>
              </w:rPr>
              <w:t>19</w:t>
            </w:r>
            <w:r w:rsidR="005B4E25">
              <w:rPr>
                <w:webHidden/>
              </w:rPr>
              <w:fldChar w:fldCharType="end"/>
            </w:r>
          </w:hyperlink>
        </w:p>
        <w:p w14:paraId="28C11BF7" w14:textId="69F3333D" w:rsidR="005B4E25" w:rsidRPr="005B4E25" w:rsidRDefault="00640A75" w:rsidP="000B7BFA">
          <w:pPr>
            <w:pStyle w:val="TOC1"/>
            <w:rPr>
              <w:rFonts w:asciiTheme="minorHAnsi" w:eastAsiaTheme="minorEastAsia" w:hAnsiTheme="minorHAnsi" w:cstheme="minorBidi"/>
              <w:sz w:val="22"/>
              <w:szCs w:val="22"/>
              <w:lang w:eastAsia="en-GB"/>
            </w:rPr>
          </w:pPr>
          <w:hyperlink w:anchor="_Toc190354377" w:history="1">
            <w:r w:rsidR="005B4E25" w:rsidRPr="00607C4E">
              <w:rPr>
                <w:rStyle w:val="Hyperlink"/>
                <w:rFonts w:eastAsiaTheme="majorEastAsia"/>
                <w:kern w:val="2"/>
                <w14:ligatures w14:val="standardContextual"/>
              </w:rPr>
              <w:t>Appendix 3 - Fitters Accreditation Return</w:t>
            </w:r>
            <w:r w:rsidR="005B4E25" w:rsidRPr="005B4E25">
              <w:rPr>
                <w:webHidden/>
              </w:rPr>
              <w:tab/>
            </w:r>
            <w:r w:rsidR="005B4E25" w:rsidRPr="005B4E25">
              <w:rPr>
                <w:webHidden/>
              </w:rPr>
              <w:fldChar w:fldCharType="begin"/>
            </w:r>
            <w:r w:rsidR="005B4E25" w:rsidRPr="005B4E25">
              <w:rPr>
                <w:webHidden/>
              </w:rPr>
              <w:instrText xml:space="preserve"> PAGEREF _Toc190354377 \h </w:instrText>
            </w:r>
            <w:r w:rsidR="005B4E25" w:rsidRPr="005B4E25">
              <w:rPr>
                <w:webHidden/>
              </w:rPr>
            </w:r>
            <w:r w:rsidR="005B4E25" w:rsidRPr="005B4E25">
              <w:rPr>
                <w:webHidden/>
              </w:rPr>
              <w:fldChar w:fldCharType="separate"/>
            </w:r>
            <w:r w:rsidR="005B4E25" w:rsidRPr="005B4E25">
              <w:rPr>
                <w:webHidden/>
              </w:rPr>
              <w:t>19</w:t>
            </w:r>
            <w:r w:rsidR="005B4E25" w:rsidRPr="005B4E25">
              <w:rPr>
                <w:webHidden/>
              </w:rPr>
              <w:fldChar w:fldCharType="end"/>
            </w:r>
          </w:hyperlink>
        </w:p>
        <w:p w14:paraId="135A8D54" w14:textId="62BEDB48" w:rsidR="005B4E25" w:rsidRPr="005B4E25" w:rsidRDefault="00640A75" w:rsidP="000B7BFA">
          <w:pPr>
            <w:pStyle w:val="TOC1"/>
            <w:rPr>
              <w:rFonts w:asciiTheme="minorHAnsi" w:eastAsiaTheme="minorEastAsia" w:hAnsiTheme="minorHAnsi" w:cstheme="minorBidi"/>
              <w:sz w:val="22"/>
              <w:szCs w:val="22"/>
              <w:lang w:eastAsia="en-GB"/>
            </w:rPr>
          </w:pPr>
          <w:hyperlink w:anchor="_Toc190354378" w:history="1">
            <w:r w:rsidR="005B4E25" w:rsidRPr="00607C4E">
              <w:rPr>
                <w:rStyle w:val="Hyperlink"/>
                <w:rFonts w:eastAsia="Times New Roman"/>
                <w:lang w:eastAsia="en-GB"/>
              </w:rPr>
              <w:t>Appendix 4 - Annual Audit Information</w:t>
            </w:r>
            <w:r w:rsidR="005B4E25" w:rsidRPr="005B4E25">
              <w:rPr>
                <w:webHidden/>
              </w:rPr>
              <w:tab/>
            </w:r>
            <w:r w:rsidR="005B4E25" w:rsidRPr="005B4E25">
              <w:rPr>
                <w:webHidden/>
              </w:rPr>
              <w:fldChar w:fldCharType="begin"/>
            </w:r>
            <w:r w:rsidR="005B4E25" w:rsidRPr="005B4E25">
              <w:rPr>
                <w:webHidden/>
              </w:rPr>
              <w:instrText xml:space="preserve"> PAGEREF _Toc190354378 \h </w:instrText>
            </w:r>
            <w:r w:rsidR="005B4E25" w:rsidRPr="005B4E25">
              <w:rPr>
                <w:webHidden/>
              </w:rPr>
            </w:r>
            <w:r w:rsidR="005B4E25" w:rsidRPr="005B4E25">
              <w:rPr>
                <w:webHidden/>
              </w:rPr>
              <w:fldChar w:fldCharType="separate"/>
            </w:r>
            <w:r w:rsidR="005B4E25" w:rsidRPr="005B4E25">
              <w:rPr>
                <w:webHidden/>
              </w:rPr>
              <w:t>21</w:t>
            </w:r>
            <w:r w:rsidR="005B4E25" w:rsidRPr="005B4E25">
              <w:rPr>
                <w:webHidden/>
              </w:rPr>
              <w:fldChar w:fldCharType="end"/>
            </w:r>
          </w:hyperlink>
        </w:p>
        <w:p w14:paraId="13EC84A5" w14:textId="3A268E1E" w:rsidR="005B4E25" w:rsidRPr="005B4E25" w:rsidRDefault="00640A75" w:rsidP="000B7BFA">
          <w:pPr>
            <w:pStyle w:val="TOC1"/>
            <w:rPr>
              <w:rFonts w:asciiTheme="minorHAnsi" w:eastAsiaTheme="minorEastAsia" w:hAnsiTheme="minorHAnsi" w:cstheme="minorBidi"/>
              <w:sz w:val="22"/>
              <w:szCs w:val="22"/>
              <w:lang w:eastAsia="en-GB"/>
            </w:rPr>
          </w:pPr>
          <w:hyperlink w:anchor="_Toc190354379" w:history="1">
            <w:r w:rsidR="005B4E25" w:rsidRPr="00607C4E">
              <w:rPr>
                <w:rStyle w:val="Hyperlink"/>
                <w:rFonts w:eastAsia="Times New Roman"/>
                <w:kern w:val="32"/>
              </w:rPr>
              <w:t>Appendix 5 – National Local Standards</w:t>
            </w:r>
            <w:r w:rsidR="005B4E25" w:rsidRPr="005B4E25">
              <w:rPr>
                <w:webHidden/>
              </w:rPr>
              <w:tab/>
            </w:r>
            <w:r w:rsidR="005B4E25" w:rsidRPr="005B4E25">
              <w:rPr>
                <w:webHidden/>
              </w:rPr>
              <w:fldChar w:fldCharType="begin"/>
            </w:r>
            <w:r w:rsidR="005B4E25" w:rsidRPr="005B4E25">
              <w:rPr>
                <w:webHidden/>
              </w:rPr>
              <w:instrText xml:space="preserve"> PAGEREF _Toc190354379 \h </w:instrText>
            </w:r>
            <w:r w:rsidR="005B4E25" w:rsidRPr="005B4E25">
              <w:rPr>
                <w:webHidden/>
              </w:rPr>
            </w:r>
            <w:r w:rsidR="005B4E25" w:rsidRPr="005B4E25">
              <w:rPr>
                <w:webHidden/>
              </w:rPr>
              <w:fldChar w:fldCharType="separate"/>
            </w:r>
            <w:r w:rsidR="005B4E25" w:rsidRPr="005B4E25">
              <w:rPr>
                <w:webHidden/>
              </w:rPr>
              <w:t>26</w:t>
            </w:r>
            <w:r w:rsidR="005B4E25" w:rsidRPr="005B4E25">
              <w:rPr>
                <w:webHidden/>
              </w:rPr>
              <w:fldChar w:fldCharType="end"/>
            </w:r>
          </w:hyperlink>
        </w:p>
        <w:p w14:paraId="73A95919" w14:textId="0E743200" w:rsidR="005B4E25" w:rsidRDefault="00640A75" w:rsidP="000B7BFA">
          <w:pPr>
            <w:pStyle w:val="TOC1"/>
            <w:rPr>
              <w:rFonts w:asciiTheme="minorHAnsi" w:eastAsiaTheme="minorEastAsia" w:hAnsiTheme="minorHAnsi" w:cstheme="minorBidi"/>
              <w:sz w:val="22"/>
              <w:szCs w:val="22"/>
              <w:lang w:eastAsia="en-GB"/>
            </w:rPr>
          </w:pPr>
          <w:hyperlink w:anchor="_Toc190354380" w:history="1">
            <w:r w:rsidR="005B4E25" w:rsidRPr="00DA43DD">
              <w:rPr>
                <w:rStyle w:val="Hyperlink"/>
                <w:rFonts w:eastAsia="Arial"/>
              </w:rPr>
              <w:t>Appendix 6 – Safeguarding Guidelines</w:t>
            </w:r>
            <w:r w:rsidR="005B4E25">
              <w:rPr>
                <w:webHidden/>
              </w:rPr>
              <w:tab/>
            </w:r>
            <w:r w:rsidR="005B4E25">
              <w:rPr>
                <w:webHidden/>
              </w:rPr>
              <w:fldChar w:fldCharType="begin"/>
            </w:r>
            <w:r w:rsidR="005B4E25">
              <w:rPr>
                <w:webHidden/>
              </w:rPr>
              <w:instrText xml:space="preserve"> PAGEREF _Toc190354380 \h </w:instrText>
            </w:r>
            <w:r w:rsidR="005B4E25">
              <w:rPr>
                <w:webHidden/>
              </w:rPr>
            </w:r>
            <w:r w:rsidR="005B4E25">
              <w:rPr>
                <w:webHidden/>
              </w:rPr>
              <w:fldChar w:fldCharType="separate"/>
            </w:r>
            <w:r w:rsidR="005B4E25">
              <w:rPr>
                <w:webHidden/>
              </w:rPr>
              <w:t>29</w:t>
            </w:r>
            <w:r w:rsidR="005B4E25">
              <w:rPr>
                <w:webHidden/>
              </w:rPr>
              <w:fldChar w:fldCharType="end"/>
            </w:r>
          </w:hyperlink>
        </w:p>
        <w:p w14:paraId="2E78D0AA" w14:textId="2149ECE0" w:rsidR="0011433F" w:rsidRPr="004F6F51" w:rsidRDefault="0011433F">
          <w:pPr>
            <w:rPr>
              <w:sz w:val="22"/>
              <w:szCs w:val="22"/>
            </w:rPr>
          </w:pPr>
          <w:r w:rsidRPr="004F6F51">
            <w:rPr>
              <w:b/>
              <w:bCs/>
              <w:noProof/>
              <w:sz w:val="22"/>
              <w:szCs w:val="22"/>
            </w:rPr>
            <w:fldChar w:fldCharType="end"/>
          </w:r>
        </w:p>
      </w:sdtContent>
    </w:sdt>
    <w:p w14:paraId="011E0B52" w14:textId="77777777" w:rsidR="005503B0" w:rsidRPr="004F6F51" w:rsidRDefault="005503B0" w:rsidP="005503B0">
      <w:pPr>
        <w:rPr>
          <w:sz w:val="22"/>
          <w:szCs w:val="22"/>
        </w:rPr>
      </w:pPr>
    </w:p>
    <w:p w14:paraId="78A500AF" w14:textId="77777777" w:rsidR="005503B0" w:rsidRPr="004F6F51" w:rsidRDefault="005503B0" w:rsidP="005503B0">
      <w:pPr>
        <w:rPr>
          <w:sz w:val="22"/>
          <w:szCs w:val="22"/>
        </w:rPr>
        <w:sectPr w:rsidR="005503B0" w:rsidRPr="004F6F51" w:rsidSect="00C841FB">
          <w:headerReference w:type="even" r:id="rId15"/>
          <w:headerReference w:type="default" r:id="rId16"/>
          <w:footerReference w:type="default" r:id="rId17"/>
          <w:headerReference w:type="first" r:id="rId18"/>
          <w:endnotePr>
            <w:numFmt w:val="decimal"/>
          </w:endnotePr>
          <w:pgSz w:w="11906" w:h="16838"/>
          <w:pgMar w:top="1418" w:right="1418" w:bottom="1418" w:left="1418" w:header="709" w:footer="709" w:gutter="0"/>
          <w:cols w:space="708"/>
          <w:docGrid w:linePitch="360"/>
        </w:sectPr>
      </w:pPr>
    </w:p>
    <w:p w14:paraId="45248EBC" w14:textId="712C2903" w:rsidR="005A72A9" w:rsidRPr="004F6F51" w:rsidRDefault="00563B80" w:rsidP="00563B80">
      <w:pPr>
        <w:pStyle w:val="Heading2"/>
        <w:rPr>
          <w:sz w:val="22"/>
          <w:szCs w:val="22"/>
        </w:rPr>
      </w:pPr>
      <w:bookmarkStart w:id="0" w:name="_Toc190354366"/>
      <w:r w:rsidRPr="004F6F51">
        <w:rPr>
          <w:sz w:val="22"/>
          <w:szCs w:val="22"/>
        </w:rPr>
        <w:lastRenderedPageBreak/>
        <w:t xml:space="preserve">1. </w:t>
      </w:r>
      <w:r w:rsidR="005A72A9" w:rsidRPr="004F6F51">
        <w:rPr>
          <w:sz w:val="22"/>
          <w:szCs w:val="22"/>
        </w:rPr>
        <w:t>Introduction</w:t>
      </w:r>
      <w:bookmarkEnd w:id="0"/>
    </w:p>
    <w:p w14:paraId="26849B8A" w14:textId="77777777" w:rsidR="005A72A9" w:rsidRPr="007B1368" w:rsidRDefault="005A72A9" w:rsidP="0046016B">
      <w:pPr>
        <w:spacing w:line="276" w:lineRule="auto"/>
        <w:rPr>
          <w:sz w:val="22"/>
          <w:szCs w:val="22"/>
        </w:rPr>
      </w:pPr>
    </w:p>
    <w:p w14:paraId="27E28843" w14:textId="2E0A45AE" w:rsidR="009307DC" w:rsidRPr="007B1368" w:rsidRDefault="009307DC" w:rsidP="007322A7">
      <w:pPr>
        <w:pStyle w:val="DefinedTermNumber"/>
        <w:numPr>
          <w:ilvl w:val="0"/>
          <w:numId w:val="0"/>
        </w:numPr>
        <w:spacing w:line="276" w:lineRule="auto"/>
        <w:rPr>
          <w:rFonts w:cs="Arial"/>
          <w:bCs/>
          <w:szCs w:val="22"/>
        </w:rPr>
      </w:pPr>
      <w:bookmarkStart w:id="1" w:name="_Hlk182401379"/>
      <w:r w:rsidRPr="007B1368">
        <w:rPr>
          <w:rFonts w:cs="Arial"/>
          <w:szCs w:val="22"/>
        </w:rPr>
        <w:t>North Northampto</w:t>
      </w:r>
      <w:r w:rsidR="004C251B" w:rsidRPr="007B1368">
        <w:rPr>
          <w:rFonts w:cs="Arial"/>
          <w:szCs w:val="22"/>
        </w:rPr>
        <w:t>nshire Council (the Council) seeks</w:t>
      </w:r>
      <w:r w:rsidRPr="007B1368">
        <w:rPr>
          <w:rFonts w:cs="Arial"/>
          <w:szCs w:val="22"/>
        </w:rPr>
        <w:t xml:space="preserve"> to commission general practices through Primary Care </w:t>
      </w:r>
      <w:r w:rsidR="00F30C54">
        <w:rPr>
          <w:rFonts w:cs="Arial"/>
          <w:szCs w:val="22"/>
        </w:rPr>
        <w:t>and Federation networks</w:t>
      </w:r>
      <w:r w:rsidRPr="007B1368">
        <w:rPr>
          <w:rFonts w:cs="Arial"/>
          <w:szCs w:val="22"/>
        </w:rPr>
        <w:t xml:space="preserve"> (the Provider)</w:t>
      </w:r>
      <w:r w:rsidR="004C251B" w:rsidRPr="007B1368">
        <w:rPr>
          <w:rFonts w:cs="Arial"/>
          <w:szCs w:val="22"/>
        </w:rPr>
        <w:t xml:space="preserve"> to deliver Long-Acting Reversible Contraceptive (LARC) services. These services will be provided by General Practitioners (GPs), nurse practitioners, and specialist family planning nurses and will include the fitting, removal, and management of contraceptive methods such as intrauterine contraception (IUC), intrauterine systems (IUSs), and sub-dermal contraceptive implants (SDI).</w:t>
      </w:r>
      <w:bookmarkStart w:id="2" w:name="_Hlk185515595"/>
    </w:p>
    <w:bookmarkEnd w:id="2"/>
    <w:p w14:paraId="235ABA93" w14:textId="6969ECC9" w:rsidR="000E1765" w:rsidRPr="007B1368" w:rsidRDefault="000E1765" w:rsidP="000B3CCD">
      <w:pPr>
        <w:spacing w:line="276" w:lineRule="auto"/>
        <w:jc w:val="both"/>
        <w:rPr>
          <w:rFonts w:eastAsia="Times New Roman"/>
          <w:bCs/>
          <w:sz w:val="22"/>
          <w:szCs w:val="22"/>
        </w:rPr>
      </w:pPr>
      <w:r w:rsidRPr="007B1368">
        <w:rPr>
          <w:rFonts w:eastAsia="Times New Roman"/>
          <w:bCs/>
          <w:sz w:val="22"/>
          <w:szCs w:val="22"/>
        </w:rPr>
        <w:t xml:space="preserve">This Service Specification </w:t>
      </w:r>
      <w:r w:rsidR="004C251B" w:rsidRPr="007B1368">
        <w:rPr>
          <w:rFonts w:eastAsia="Times New Roman"/>
          <w:bCs/>
          <w:sz w:val="22"/>
          <w:szCs w:val="22"/>
        </w:rPr>
        <w:t>outlines</w:t>
      </w:r>
      <w:r w:rsidRPr="007B1368">
        <w:rPr>
          <w:rFonts w:eastAsia="Times New Roman"/>
          <w:bCs/>
          <w:sz w:val="22"/>
          <w:szCs w:val="22"/>
        </w:rPr>
        <w:t xml:space="preserve"> the </w:t>
      </w:r>
      <w:r w:rsidR="00F512CC" w:rsidRPr="007B1368">
        <w:rPr>
          <w:rFonts w:eastAsia="Times New Roman"/>
          <w:bCs/>
          <w:sz w:val="22"/>
          <w:szCs w:val="22"/>
        </w:rPr>
        <w:t>Council’s</w:t>
      </w:r>
      <w:r w:rsidRPr="007B1368">
        <w:rPr>
          <w:rFonts w:eastAsia="Times New Roman"/>
          <w:bCs/>
          <w:sz w:val="22"/>
          <w:szCs w:val="22"/>
        </w:rPr>
        <w:t xml:space="preserve"> requirements </w:t>
      </w:r>
      <w:r w:rsidR="0010591E" w:rsidRPr="007B1368">
        <w:rPr>
          <w:rFonts w:eastAsia="Times New Roman"/>
          <w:bCs/>
          <w:sz w:val="22"/>
          <w:szCs w:val="22"/>
        </w:rPr>
        <w:t>for</w:t>
      </w:r>
      <w:r w:rsidRPr="007B1368">
        <w:rPr>
          <w:rFonts w:eastAsia="Times New Roman"/>
          <w:bCs/>
          <w:sz w:val="22"/>
          <w:szCs w:val="22"/>
        </w:rPr>
        <w:t xml:space="preserve"> a Locally Commissioned Public Health Service for the fitting</w:t>
      </w:r>
      <w:r w:rsidR="00FA7EBC" w:rsidRPr="007B1368">
        <w:rPr>
          <w:rFonts w:eastAsia="Times New Roman"/>
          <w:bCs/>
          <w:sz w:val="22"/>
          <w:szCs w:val="22"/>
        </w:rPr>
        <w:t>,</w:t>
      </w:r>
      <w:r w:rsidRPr="007B1368">
        <w:rPr>
          <w:rFonts w:eastAsia="Times New Roman"/>
          <w:bCs/>
          <w:sz w:val="22"/>
          <w:szCs w:val="22"/>
        </w:rPr>
        <w:t xml:space="preserve"> removal</w:t>
      </w:r>
      <w:r w:rsidR="00FA7EBC" w:rsidRPr="007B1368">
        <w:rPr>
          <w:rFonts w:eastAsia="Times New Roman"/>
          <w:bCs/>
          <w:sz w:val="22"/>
          <w:szCs w:val="22"/>
        </w:rPr>
        <w:t>, and management</w:t>
      </w:r>
      <w:r w:rsidRPr="007B1368">
        <w:rPr>
          <w:rFonts w:eastAsia="Times New Roman"/>
          <w:bCs/>
          <w:sz w:val="22"/>
          <w:szCs w:val="22"/>
        </w:rPr>
        <w:t xml:space="preserve"> of </w:t>
      </w:r>
      <w:r w:rsidR="0010591E" w:rsidRPr="007B1368">
        <w:rPr>
          <w:rFonts w:eastAsia="Times New Roman"/>
          <w:bCs/>
          <w:sz w:val="22"/>
          <w:szCs w:val="22"/>
        </w:rPr>
        <w:t>c</w:t>
      </w:r>
      <w:r w:rsidRPr="007B1368">
        <w:rPr>
          <w:rFonts w:eastAsia="Times New Roman"/>
          <w:bCs/>
          <w:sz w:val="22"/>
          <w:szCs w:val="22"/>
        </w:rPr>
        <w:t xml:space="preserve">ontraceptive </w:t>
      </w:r>
      <w:r w:rsidR="0010591E" w:rsidRPr="007B1368">
        <w:rPr>
          <w:rFonts w:eastAsia="Times New Roman"/>
          <w:bCs/>
          <w:sz w:val="22"/>
          <w:szCs w:val="22"/>
        </w:rPr>
        <w:t>i</w:t>
      </w:r>
      <w:r w:rsidRPr="007B1368">
        <w:rPr>
          <w:rFonts w:eastAsia="Times New Roman"/>
          <w:bCs/>
          <w:sz w:val="22"/>
          <w:szCs w:val="22"/>
        </w:rPr>
        <w:t xml:space="preserve">mplants within </w:t>
      </w:r>
      <w:r w:rsidR="000936BA" w:rsidRPr="007B1368">
        <w:rPr>
          <w:rFonts w:eastAsia="Times New Roman"/>
          <w:bCs/>
          <w:sz w:val="22"/>
          <w:szCs w:val="22"/>
        </w:rPr>
        <w:t>North Northamptonshire</w:t>
      </w:r>
      <w:r w:rsidRPr="007B1368">
        <w:rPr>
          <w:rFonts w:eastAsia="Times New Roman"/>
          <w:bCs/>
          <w:sz w:val="22"/>
          <w:szCs w:val="22"/>
        </w:rPr>
        <w:t>.</w:t>
      </w:r>
    </w:p>
    <w:bookmarkEnd w:id="1"/>
    <w:p w14:paraId="1E326FB9" w14:textId="375E92E5" w:rsidR="0010591E" w:rsidRPr="007B1368" w:rsidRDefault="0010591E" w:rsidP="0010591E">
      <w:pPr>
        <w:spacing w:line="276" w:lineRule="auto"/>
        <w:rPr>
          <w:rFonts w:eastAsia="Times New Roman"/>
          <w:bCs/>
          <w:sz w:val="22"/>
          <w:szCs w:val="22"/>
        </w:rPr>
      </w:pPr>
    </w:p>
    <w:p w14:paraId="206B6B3A" w14:textId="56ED7646" w:rsidR="004C251B" w:rsidRPr="007B1368" w:rsidRDefault="004C251B" w:rsidP="004C251B">
      <w:pPr>
        <w:spacing w:line="276" w:lineRule="auto"/>
        <w:rPr>
          <w:rFonts w:eastAsia="Times New Roman"/>
          <w:bCs/>
          <w:sz w:val="22"/>
          <w:szCs w:val="22"/>
        </w:rPr>
      </w:pPr>
      <w:r w:rsidRPr="007B1368">
        <w:rPr>
          <w:rFonts w:eastAsia="Times New Roman"/>
          <w:bCs/>
          <w:sz w:val="22"/>
          <w:szCs w:val="22"/>
        </w:rPr>
        <w:t>For clarity, this document uses the terms "female" and "male" to refer to biological sex (including intersex), irrespective of gender identity. The terms "women" and "men" are used to reflect the gender with which individuals identify.</w:t>
      </w:r>
    </w:p>
    <w:p w14:paraId="42362093" w14:textId="77777777" w:rsidR="004C251B" w:rsidRPr="007B1368" w:rsidRDefault="004C251B" w:rsidP="0010591E">
      <w:pPr>
        <w:spacing w:line="276" w:lineRule="auto"/>
        <w:rPr>
          <w:rFonts w:eastAsia="Times New Roman"/>
          <w:bCs/>
          <w:sz w:val="22"/>
          <w:szCs w:val="22"/>
        </w:rPr>
      </w:pPr>
    </w:p>
    <w:p w14:paraId="28621E3B" w14:textId="4D259BA0" w:rsidR="005A72A9" w:rsidRPr="004F6F51" w:rsidRDefault="00177E1D" w:rsidP="00177E1D">
      <w:pPr>
        <w:pStyle w:val="Heading2"/>
        <w:rPr>
          <w:sz w:val="22"/>
          <w:szCs w:val="22"/>
        </w:rPr>
      </w:pPr>
      <w:bookmarkStart w:id="3" w:name="_Toc190354367"/>
      <w:r w:rsidRPr="004F6F51">
        <w:rPr>
          <w:sz w:val="22"/>
          <w:szCs w:val="22"/>
        </w:rPr>
        <w:t xml:space="preserve">2. </w:t>
      </w:r>
      <w:r w:rsidR="00BD6D76" w:rsidRPr="004F6F51">
        <w:rPr>
          <w:sz w:val="22"/>
          <w:szCs w:val="22"/>
        </w:rPr>
        <w:t xml:space="preserve">Strategic </w:t>
      </w:r>
      <w:r w:rsidR="00893993" w:rsidRPr="004F6F51">
        <w:rPr>
          <w:sz w:val="22"/>
          <w:szCs w:val="22"/>
        </w:rPr>
        <w:t>B</w:t>
      </w:r>
      <w:r w:rsidR="005A72A9" w:rsidRPr="004F6F51">
        <w:rPr>
          <w:sz w:val="22"/>
          <w:szCs w:val="22"/>
        </w:rPr>
        <w:t>ackground</w:t>
      </w:r>
      <w:bookmarkEnd w:id="3"/>
    </w:p>
    <w:p w14:paraId="40E17D44" w14:textId="689E804B" w:rsidR="00135ED2" w:rsidRPr="004F6F51" w:rsidRDefault="00135ED2" w:rsidP="00135ED2">
      <w:pPr>
        <w:rPr>
          <w:sz w:val="22"/>
          <w:szCs w:val="22"/>
        </w:rPr>
      </w:pPr>
    </w:p>
    <w:p w14:paraId="5AA2C023" w14:textId="3BBB5EBD" w:rsidR="00F30C54" w:rsidRPr="007B1368" w:rsidRDefault="00135ED2" w:rsidP="00135ED2">
      <w:pPr>
        <w:rPr>
          <w:sz w:val="22"/>
          <w:szCs w:val="22"/>
        </w:rPr>
      </w:pPr>
      <w:r w:rsidRPr="007B1368">
        <w:rPr>
          <w:sz w:val="22"/>
          <w:szCs w:val="22"/>
        </w:rPr>
        <w:t xml:space="preserve">The Government’s </w:t>
      </w:r>
      <w:r w:rsidR="008F0FA1" w:rsidRPr="007B1368">
        <w:rPr>
          <w:sz w:val="22"/>
          <w:szCs w:val="22"/>
        </w:rPr>
        <w:t>‘</w:t>
      </w:r>
      <w:r w:rsidRPr="007B1368">
        <w:rPr>
          <w:sz w:val="22"/>
          <w:szCs w:val="22"/>
        </w:rPr>
        <w:t>Framework for Sexual Health Improvement in England</w:t>
      </w:r>
      <w:r w:rsidR="00BD6D76" w:rsidRPr="007B1368">
        <w:rPr>
          <w:sz w:val="22"/>
          <w:szCs w:val="22"/>
        </w:rPr>
        <w:t>,</w:t>
      </w:r>
      <w:r w:rsidRPr="007B1368">
        <w:rPr>
          <w:sz w:val="22"/>
          <w:szCs w:val="22"/>
        </w:rPr>
        <w:t xml:space="preserve"> 2013</w:t>
      </w:r>
      <w:r w:rsidR="008F0FA1" w:rsidRPr="007B1368">
        <w:rPr>
          <w:sz w:val="22"/>
          <w:szCs w:val="22"/>
        </w:rPr>
        <w:t>’</w:t>
      </w:r>
      <w:r w:rsidR="00F30C54" w:rsidRPr="007B1368">
        <w:rPr>
          <w:rStyle w:val="EndnoteReference"/>
          <w:rFonts w:eastAsia="Times New Roman"/>
          <w:color w:val="000000" w:themeColor="text1"/>
          <w:sz w:val="22"/>
          <w:szCs w:val="22"/>
          <w:lang w:eastAsia="en-GB"/>
        </w:rPr>
        <w:endnoteReference w:id="1"/>
      </w:r>
      <w:r w:rsidR="00F30C54" w:rsidRPr="007B1368">
        <w:rPr>
          <w:sz w:val="22"/>
          <w:szCs w:val="22"/>
        </w:rPr>
        <w:t xml:space="preserve"> and the ‘Women’s Health Strategy for England, 2022’</w:t>
      </w:r>
      <w:r w:rsidR="00F30C54" w:rsidRPr="007B1368">
        <w:rPr>
          <w:rStyle w:val="EndnoteReference"/>
          <w:rFonts w:eastAsia="Times New Roman"/>
          <w:sz w:val="22"/>
          <w:szCs w:val="22"/>
          <w:lang w:eastAsia="en-GB"/>
        </w:rPr>
        <w:endnoteReference w:id="2"/>
      </w:r>
      <w:r w:rsidR="00F30C54" w:rsidRPr="007B1368">
        <w:rPr>
          <w:sz w:val="22"/>
          <w:szCs w:val="22"/>
        </w:rPr>
        <w:t xml:space="preserve">  aim to enhance access and health outcomes in women's health across the life course.</w:t>
      </w:r>
    </w:p>
    <w:p w14:paraId="27A990E1" w14:textId="7B7C6101" w:rsidR="00F30C54" w:rsidRPr="007B1368" w:rsidRDefault="00F30C54" w:rsidP="00135ED2">
      <w:pPr>
        <w:rPr>
          <w:sz w:val="22"/>
          <w:szCs w:val="22"/>
        </w:rPr>
      </w:pPr>
    </w:p>
    <w:p w14:paraId="084EAC48" w14:textId="438B0E81" w:rsidR="00F30C54" w:rsidRPr="007B1368" w:rsidRDefault="00F30C54" w:rsidP="00BD6D76">
      <w:pPr>
        <w:rPr>
          <w:sz w:val="22"/>
          <w:szCs w:val="22"/>
        </w:rPr>
      </w:pPr>
      <w:r w:rsidRPr="007B1368">
        <w:rPr>
          <w:sz w:val="22"/>
          <w:szCs w:val="22"/>
        </w:rPr>
        <w:t>Locally, this service aligns with the ‘One Council Plan’</w:t>
      </w:r>
      <w:r w:rsidRPr="007B1368">
        <w:rPr>
          <w:rStyle w:val="EndnoteReference"/>
          <w:rFonts w:eastAsia="Times New Roman"/>
          <w:sz w:val="22"/>
          <w:szCs w:val="22"/>
          <w:lang w:eastAsia="en-GB"/>
        </w:rPr>
        <w:endnoteReference w:id="3"/>
      </w:r>
      <w:r w:rsidRPr="007B1368">
        <w:rPr>
          <w:sz w:val="22"/>
          <w:szCs w:val="22"/>
        </w:rPr>
        <w:t xml:space="preserve"> supporting the goal of creating a thriving, inclusive community, where everyone has opportunities to improve their health, wellbeing, and quality of life.</w:t>
      </w:r>
      <w:r w:rsidRPr="007B1368">
        <w:rPr>
          <w:rStyle w:val="EndnoteReference"/>
          <w:rFonts w:eastAsia="Times New Roman"/>
          <w:sz w:val="22"/>
          <w:szCs w:val="22"/>
          <w:lang w:eastAsia="en-GB"/>
        </w:rPr>
        <w:t xml:space="preserve"> </w:t>
      </w:r>
    </w:p>
    <w:p w14:paraId="329C87F3" w14:textId="4D33F955" w:rsidR="00F30C54" w:rsidRPr="007B1368" w:rsidRDefault="00F30C54" w:rsidP="00135ED2">
      <w:pPr>
        <w:rPr>
          <w:sz w:val="22"/>
          <w:szCs w:val="22"/>
        </w:rPr>
      </w:pPr>
    </w:p>
    <w:p w14:paraId="23ACB210" w14:textId="00133FD2" w:rsidR="00F30C54" w:rsidRPr="007B1368" w:rsidRDefault="00F30C54" w:rsidP="00135ED2">
      <w:pPr>
        <w:rPr>
          <w:sz w:val="22"/>
          <w:szCs w:val="22"/>
        </w:rPr>
      </w:pPr>
      <w:r w:rsidRPr="007B1368">
        <w:rPr>
          <w:sz w:val="22"/>
          <w:szCs w:val="22"/>
        </w:rPr>
        <w:t>Achieving this vision requires strong collaboration across primary and secondary care, including the North Northamptonshire Integrated Sexual Health Services (NNISH), to deliver a holistic, patient-centred approach to women’s healthcare.</w:t>
      </w:r>
    </w:p>
    <w:p w14:paraId="4865D894" w14:textId="3C5FC56F" w:rsidR="00F30C54" w:rsidRPr="007B1368" w:rsidRDefault="00F30C54" w:rsidP="00135ED2">
      <w:pPr>
        <w:rPr>
          <w:sz w:val="22"/>
          <w:szCs w:val="22"/>
        </w:rPr>
      </w:pPr>
    </w:p>
    <w:p w14:paraId="19B1857A" w14:textId="77777777" w:rsidR="00F30C54" w:rsidRPr="007B1368" w:rsidRDefault="00F30C54" w:rsidP="008F0FA1">
      <w:pPr>
        <w:pStyle w:val="paragraph"/>
        <w:spacing w:before="0" w:beforeAutospacing="0" w:after="0" w:afterAutospacing="0"/>
        <w:jc w:val="both"/>
        <w:textAlignment w:val="baseline"/>
        <w:rPr>
          <w:rFonts w:ascii="Arial" w:eastAsia="Arial" w:hAnsi="Arial" w:cs="Arial"/>
          <w:sz w:val="22"/>
          <w:szCs w:val="22"/>
        </w:rPr>
      </w:pPr>
      <w:r w:rsidRPr="007B1368">
        <w:rPr>
          <w:rFonts w:ascii="Arial" w:hAnsi="Arial" w:cs="Arial"/>
          <w:sz w:val="22"/>
          <w:szCs w:val="22"/>
        </w:rPr>
        <w:t xml:space="preserve">For more information on sexual and reproductive health in North Northamptonshire, refer to the </w:t>
      </w:r>
      <w:hyperlink r:id="rId19" w:history="1">
        <w:r w:rsidRPr="004F6F51">
          <w:rPr>
            <w:rStyle w:val="Hyperlink"/>
            <w:rFonts w:ascii="Arial" w:eastAsia="Arial" w:hAnsi="Arial" w:cs="Arial"/>
            <w:color w:val="auto"/>
            <w:sz w:val="22"/>
            <w:szCs w:val="22"/>
            <w:u w:val="none"/>
          </w:rPr>
          <w:t>Sexual Health Needs Assessment 2024</w:t>
        </w:r>
      </w:hyperlink>
      <w:r w:rsidRPr="004F6F51">
        <w:rPr>
          <w:rStyle w:val="EndnoteReference"/>
          <w:rFonts w:ascii="Arial" w:eastAsia="Arial" w:hAnsi="Arial" w:cs="Arial"/>
          <w:sz w:val="22"/>
          <w:szCs w:val="22"/>
        </w:rPr>
        <w:endnoteReference w:id="4"/>
      </w:r>
      <w:r w:rsidRPr="004F6F51">
        <w:rPr>
          <w:rStyle w:val="Hyperlink"/>
          <w:rFonts w:ascii="Arial" w:eastAsia="Arial" w:hAnsi="Arial" w:cs="Arial"/>
          <w:color w:val="auto"/>
          <w:sz w:val="22"/>
          <w:szCs w:val="22"/>
          <w:u w:val="none"/>
        </w:rPr>
        <w:t>.</w:t>
      </w:r>
    </w:p>
    <w:p w14:paraId="31FF923F" w14:textId="246744C9" w:rsidR="00F30C54" w:rsidRPr="007B1368" w:rsidRDefault="00F30C54" w:rsidP="007322A7">
      <w:pPr>
        <w:rPr>
          <w:sz w:val="22"/>
          <w:szCs w:val="22"/>
        </w:rPr>
      </w:pPr>
    </w:p>
    <w:p w14:paraId="4DF6053E" w14:textId="21E611FC" w:rsidR="00F30C54" w:rsidRPr="007B1368" w:rsidRDefault="00F30C54" w:rsidP="005A0804">
      <w:pPr>
        <w:jc w:val="both"/>
        <w:rPr>
          <w:rFonts w:eastAsia="Times New Roman"/>
          <w:b/>
          <w:bCs/>
          <w:color w:val="000000" w:themeColor="text1"/>
          <w:sz w:val="22"/>
          <w:szCs w:val="22"/>
          <w:lang w:eastAsia="en-GB"/>
        </w:rPr>
      </w:pPr>
      <w:r w:rsidRPr="007B1368">
        <w:rPr>
          <w:b/>
          <w:bCs/>
          <w:sz w:val="22"/>
          <w:szCs w:val="22"/>
        </w:rPr>
        <w:t>National Clinical Standards</w:t>
      </w:r>
    </w:p>
    <w:p w14:paraId="5D841DAF" w14:textId="77777777" w:rsidR="00F30C54" w:rsidRPr="007B1368" w:rsidRDefault="00F30C54" w:rsidP="0046016B">
      <w:pPr>
        <w:autoSpaceDE w:val="0"/>
        <w:autoSpaceDN w:val="0"/>
        <w:adjustRightInd w:val="0"/>
        <w:spacing w:line="276" w:lineRule="auto"/>
        <w:jc w:val="both"/>
        <w:rPr>
          <w:rFonts w:eastAsia="Arial"/>
          <w:sz w:val="22"/>
          <w:szCs w:val="22"/>
        </w:rPr>
      </w:pPr>
    </w:p>
    <w:p w14:paraId="5F818579" w14:textId="6E0534D1" w:rsidR="00F30C54" w:rsidRPr="007B1368" w:rsidRDefault="00F30C54" w:rsidP="00DE3377">
      <w:pPr>
        <w:autoSpaceDE w:val="0"/>
        <w:autoSpaceDN w:val="0"/>
        <w:adjustRightInd w:val="0"/>
        <w:spacing w:line="276" w:lineRule="auto"/>
        <w:jc w:val="both"/>
        <w:rPr>
          <w:sz w:val="22"/>
          <w:szCs w:val="22"/>
        </w:rPr>
      </w:pPr>
      <w:r w:rsidRPr="007B1368">
        <w:rPr>
          <w:rFonts w:eastAsia="Arial"/>
          <w:sz w:val="22"/>
          <w:szCs w:val="22"/>
        </w:rPr>
        <w:t>The Provider must a</w:t>
      </w:r>
      <w:r w:rsidRPr="007B1368">
        <w:rPr>
          <w:color w:val="000000"/>
          <w:sz w:val="22"/>
          <w:szCs w:val="22"/>
        </w:rPr>
        <w:t xml:space="preserve">dhere to national clinical guidance and standards </w:t>
      </w:r>
      <w:r w:rsidRPr="007B1368">
        <w:rPr>
          <w:sz w:val="22"/>
          <w:szCs w:val="22"/>
        </w:rPr>
        <w:t>for delivering sexual reproductive health advice and treatment to young people. This includes assessing Fraser competence for young people and complying with local safeguarding policies and procedures for children and vulnerable adults</w:t>
      </w:r>
      <w:r w:rsidR="00681ED9">
        <w:rPr>
          <w:sz w:val="22"/>
          <w:szCs w:val="22"/>
        </w:rPr>
        <w:t xml:space="preserve"> (see appendix 6)</w:t>
      </w:r>
      <w:r w:rsidRPr="007B1368">
        <w:rPr>
          <w:sz w:val="22"/>
          <w:szCs w:val="22"/>
        </w:rPr>
        <w:t>.</w:t>
      </w:r>
    </w:p>
    <w:p w14:paraId="2CCDE142" w14:textId="77777777" w:rsidR="00F30C54" w:rsidRPr="007B1368" w:rsidRDefault="00F30C54" w:rsidP="00DE3377">
      <w:pPr>
        <w:autoSpaceDE w:val="0"/>
        <w:autoSpaceDN w:val="0"/>
        <w:adjustRightInd w:val="0"/>
        <w:spacing w:line="276" w:lineRule="auto"/>
        <w:jc w:val="both"/>
        <w:rPr>
          <w:sz w:val="22"/>
          <w:szCs w:val="22"/>
        </w:rPr>
      </w:pPr>
    </w:p>
    <w:p w14:paraId="349DA5FD" w14:textId="55EACF8C" w:rsidR="00F30C54" w:rsidRPr="007B1368" w:rsidRDefault="00F30C54" w:rsidP="0046016B">
      <w:pPr>
        <w:autoSpaceDE w:val="0"/>
        <w:autoSpaceDN w:val="0"/>
        <w:adjustRightInd w:val="0"/>
        <w:spacing w:line="276" w:lineRule="auto"/>
        <w:jc w:val="both"/>
        <w:rPr>
          <w:sz w:val="22"/>
          <w:szCs w:val="22"/>
        </w:rPr>
      </w:pPr>
      <w:r w:rsidRPr="007B1368">
        <w:rPr>
          <w:sz w:val="22"/>
          <w:szCs w:val="22"/>
        </w:rPr>
        <w:t>The following list of national standards, guidelines, and evidence is not exhaustive and may be updated. Providers are required to ensure adherence to the latest versions:</w:t>
      </w:r>
    </w:p>
    <w:p w14:paraId="1C919BB7" w14:textId="77777777" w:rsidR="00F30C54" w:rsidRPr="007B1368" w:rsidRDefault="00F30C54" w:rsidP="0046016B">
      <w:pPr>
        <w:pStyle w:val="BodyTextMSBlock"/>
        <w:suppressAutoHyphens/>
        <w:spacing w:line="276" w:lineRule="auto"/>
        <w:rPr>
          <w:rFonts w:ascii="Arial" w:eastAsia="Arial" w:hAnsi="Arial" w:cs="Arial"/>
          <w:b/>
          <w:bCs/>
          <w:szCs w:val="22"/>
        </w:rPr>
      </w:pPr>
    </w:p>
    <w:p w14:paraId="190F6CC9" w14:textId="1209D638" w:rsidR="00F30C54" w:rsidRPr="007B1368" w:rsidRDefault="00640A75" w:rsidP="00762CBA">
      <w:pPr>
        <w:pStyle w:val="BodyTextMSBlock"/>
        <w:numPr>
          <w:ilvl w:val="0"/>
          <w:numId w:val="6"/>
        </w:numPr>
        <w:suppressAutoHyphens/>
        <w:spacing w:line="276" w:lineRule="auto"/>
        <w:rPr>
          <w:rFonts w:ascii="Arial" w:eastAsia="Arial" w:hAnsi="Arial" w:cs="Arial"/>
          <w:b/>
          <w:bCs/>
          <w:szCs w:val="22"/>
        </w:rPr>
      </w:pPr>
      <w:hyperlink r:id="rId20" w:history="1">
        <w:r w:rsidR="00F30C54" w:rsidRPr="004F6F51">
          <w:rPr>
            <w:rFonts w:ascii="Arial" w:eastAsiaTheme="minorHAnsi" w:hAnsi="Arial" w:cs="Arial"/>
            <w:szCs w:val="22"/>
          </w:rPr>
          <w:t>FSRH Clinical Guideline: Emergency Contraception (March 2017, amended July 2023) FSRH</w:t>
        </w:r>
      </w:hyperlink>
      <w:r w:rsidR="00F30C54" w:rsidRPr="004F6F51">
        <w:rPr>
          <w:rStyle w:val="EndnoteReference"/>
          <w:rFonts w:ascii="Arial" w:eastAsiaTheme="minorHAnsi" w:hAnsi="Arial" w:cs="Arial"/>
          <w:szCs w:val="22"/>
        </w:rPr>
        <w:endnoteReference w:id="5"/>
      </w:r>
    </w:p>
    <w:p w14:paraId="7FCD226C" w14:textId="39778799" w:rsidR="00F30C54" w:rsidRPr="004F6F51" w:rsidRDefault="00640A75" w:rsidP="00762CBA">
      <w:pPr>
        <w:pStyle w:val="BodyTextMSBlock"/>
        <w:numPr>
          <w:ilvl w:val="0"/>
          <w:numId w:val="6"/>
        </w:numPr>
        <w:suppressAutoHyphens/>
        <w:spacing w:line="276" w:lineRule="auto"/>
        <w:rPr>
          <w:rStyle w:val="Hyperlink"/>
          <w:rFonts w:ascii="Arial" w:eastAsia="Arial" w:hAnsi="Arial" w:cs="Arial"/>
          <w:b/>
          <w:bCs/>
          <w:color w:val="auto"/>
          <w:szCs w:val="22"/>
          <w:u w:val="none"/>
        </w:rPr>
      </w:pPr>
      <w:hyperlink r:id="rId21" w:history="1">
        <w:r w:rsidR="00F30C54" w:rsidRPr="004F6F51">
          <w:rPr>
            <w:rStyle w:val="Hyperlink"/>
            <w:rFonts w:ascii="Arial" w:hAnsi="Arial" w:cs="Arial"/>
            <w:color w:val="auto"/>
            <w:szCs w:val="22"/>
            <w:u w:val="none"/>
          </w:rPr>
          <w:t>FSRH (2015) 'Clinical Guideline: Barrier Methods for Contraception and STI Prevention'</w:t>
        </w:r>
      </w:hyperlink>
      <w:r w:rsidR="00F30C54" w:rsidRPr="004F6F51">
        <w:rPr>
          <w:rStyle w:val="EndnoteReference"/>
          <w:rFonts w:ascii="Arial" w:hAnsi="Arial" w:cs="Arial"/>
          <w:szCs w:val="22"/>
        </w:rPr>
        <w:endnoteReference w:id="6"/>
      </w:r>
    </w:p>
    <w:p w14:paraId="7BAE8D68" w14:textId="324AD2C0" w:rsidR="00F30C54" w:rsidRPr="004F6F51" w:rsidRDefault="00640A75" w:rsidP="00762CBA">
      <w:pPr>
        <w:pStyle w:val="BodyTextMSBlock"/>
        <w:numPr>
          <w:ilvl w:val="0"/>
          <w:numId w:val="6"/>
        </w:numPr>
        <w:suppressAutoHyphens/>
        <w:spacing w:line="276" w:lineRule="auto"/>
        <w:rPr>
          <w:rStyle w:val="Hyperlink"/>
          <w:rFonts w:ascii="Arial" w:eastAsia="Arial" w:hAnsi="Arial" w:cs="Arial"/>
          <w:b/>
          <w:bCs/>
          <w:color w:val="auto"/>
          <w:szCs w:val="22"/>
          <w:u w:val="none"/>
        </w:rPr>
      </w:pPr>
      <w:hyperlink r:id="rId22" w:history="1">
        <w:r w:rsidR="00F30C54" w:rsidRPr="004F6F51">
          <w:rPr>
            <w:rStyle w:val="Hyperlink"/>
            <w:rFonts w:ascii="Arial" w:hAnsi="Arial" w:cs="Arial"/>
            <w:color w:val="auto"/>
            <w:szCs w:val="22"/>
            <w:u w:val="none"/>
          </w:rPr>
          <w:t>FSRH (2019) 'Clinical Guideline: Contraceptive Choices for Young People'</w:t>
        </w:r>
      </w:hyperlink>
      <w:r w:rsidR="00F30C54" w:rsidRPr="004F6F51">
        <w:rPr>
          <w:rStyle w:val="EndnoteReference"/>
          <w:rFonts w:ascii="Arial" w:hAnsi="Arial" w:cs="Arial"/>
          <w:szCs w:val="22"/>
        </w:rPr>
        <w:endnoteReference w:id="7"/>
      </w:r>
    </w:p>
    <w:p w14:paraId="7273B881" w14:textId="7DE83645" w:rsidR="00F30C54" w:rsidRPr="004F6F51" w:rsidRDefault="00640A75" w:rsidP="00762CBA">
      <w:pPr>
        <w:pStyle w:val="BodyTextMSBlock"/>
        <w:numPr>
          <w:ilvl w:val="0"/>
          <w:numId w:val="6"/>
        </w:numPr>
        <w:suppressAutoHyphens/>
        <w:spacing w:line="276" w:lineRule="auto"/>
        <w:rPr>
          <w:rStyle w:val="Hyperlink"/>
          <w:rFonts w:ascii="Arial" w:eastAsia="Arial" w:hAnsi="Arial" w:cs="Arial"/>
          <w:b/>
          <w:bCs/>
          <w:color w:val="auto"/>
          <w:szCs w:val="22"/>
          <w:u w:val="none"/>
        </w:rPr>
      </w:pPr>
      <w:hyperlink r:id="rId23" w:history="1">
        <w:r w:rsidR="00F30C54" w:rsidRPr="004F6F51">
          <w:rPr>
            <w:rFonts w:ascii="Arial" w:eastAsiaTheme="minorHAnsi" w:hAnsi="Arial" w:cs="Arial"/>
            <w:szCs w:val="22"/>
          </w:rPr>
          <w:t>UK Medical Eligibility Criteria for Contraceptive Use (UKMEC) | FSRH</w:t>
        </w:r>
      </w:hyperlink>
      <w:r w:rsidR="00F30C54" w:rsidRPr="004F6F51">
        <w:rPr>
          <w:rStyle w:val="EndnoteReference"/>
          <w:rFonts w:ascii="Arial" w:eastAsiaTheme="minorHAnsi" w:hAnsi="Arial" w:cs="Arial"/>
          <w:szCs w:val="22"/>
        </w:rPr>
        <w:endnoteReference w:id="8"/>
      </w:r>
    </w:p>
    <w:p w14:paraId="3EB4B432" w14:textId="6BAADAC9" w:rsidR="00F30C54" w:rsidRPr="004F6F51" w:rsidRDefault="00640A75" w:rsidP="00762CBA">
      <w:pPr>
        <w:pStyle w:val="Default"/>
        <w:numPr>
          <w:ilvl w:val="0"/>
          <w:numId w:val="6"/>
        </w:numPr>
        <w:spacing w:line="276" w:lineRule="auto"/>
        <w:rPr>
          <w:rStyle w:val="Hyperlink"/>
          <w:color w:val="auto"/>
          <w:sz w:val="22"/>
          <w:szCs w:val="22"/>
          <w:u w:val="none"/>
        </w:rPr>
      </w:pPr>
      <w:hyperlink r:id="rId24" w:history="1">
        <w:r w:rsidR="00F30C54" w:rsidRPr="004F6F51">
          <w:rPr>
            <w:rStyle w:val="Hyperlink"/>
            <w:color w:val="auto"/>
            <w:sz w:val="22"/>
            <w:szCs w:val="22"/>
            <w:u w:val="none"/>
          </w:rPr>
          <w:t>NICE (2014): PH51 Contraceptive services for under 25s</w:t>
        </w:r>
      </w:hyperlink>
      <w:r w:rsidR="00F30C54" w:rsidRPr="004F6F51">
        <w:rPr>
          <w:rStyle w:val="EndnoteReference"/>
          <w:color w:val="auto"/>
          <w:sz w:val="22"/>
          <w:szCs w:val="22"/>
        </w:rPr>
        <w:endnoteReference w:id="9"/>
      </w:r>
    </w:p>
    <w:p w14:paraId="19F743F4" w14:textId="7A0C22A4" w:rsidR="00F30C54" w:rsidRPr="004F6F51" w:rsidRDefault="00F30C54" w:rsidP="004F6F51">
      <w:pPr>
        <w:pStyle w:val="BodyTextMSBlock"/>
        <w:numPr>
          <w:ilvl w:val="0"/>
          <w:numId w:val="6"/>
        </w:numPr>
        <w:suppressAutoHyphens/>
        <w:spacing w:line="276" w:lineRule="auto"/>
        <w:rPr>
          <w:rStyle w:val="Hyperlink"/>
          <w:rFonts w:ascii="Arial" w:hAnsi="Arial" w:cs="Arial"/>
          <w:color w:val="auto"/>
          <w:u w:val="none"/>
        </w:rPr>
      </w:pPr>
      <w:bookmarkStart w:id="4" w:name="_Hlk182401627"/>
      <w:r w:rsidRPr="007B1368">
        <w:rPr>
          <w:szCs w:val="22"/>
        </w:rPr>
        <w:t xml:space="preserve">Faculty of Sexual and Reproductive Healthcare Clinical Effectiveness Unit FSRH </w:t>
      </w:r>
      <w:r w:rsidRPr="004F6F51">
        <w:rPr>
          <w:rStyle w:val="Hyperlink"/>
          <w:rFonts w:ascii="Arial" w:hAnsi="Arial" w:cs="Arial"/>
          <w:color w:val="auto"/>
          <w:u w:val="none"/>
        </w:rPr>
        <w:t xml:space="preserve">Guidance (Feb, 2014): Progestogen-only Implants </w:t>
      </w:r>
      <w:hyperlink r:id="rId25" w:history="1">
        <w:r w:rsidRPr="004F6F51">
          <w:rPr>
            <w:rStyle w:val="Hyperlink"/>
            <w:rFonts w:ascii="Arial" w:hAnsi="Arial" w:cs="Arial"/>
            <w:color w:val="auto"/>
            <w:u w:val="none"/>
          </w:rPr>
          <w:t>FSRH Clinical Guideline: Progestogen-only Implant (February 2021, Amended July 2023) - Faculty of Sexual and Reproductive Healthcare</w:t>
        </w:r>
      </w:hyperlink>
      <w:r w:rsidRPr="004F6F51">
        <w:rPr>
          <w:rStyle w:val="Hyperlink"/>
          <w:rFonts w:ascii="Arial" w:hAnsi="Arial" w:cs="Arial"/>
          <w:color w:val="auto"/>
          <w:u w:val="none"/>
        </w:rPr>
        <w:endnoteReference w:id="10"/>
      </w:r>
    </w:p>
    <w:p w14:paraId="3BE57A53" w14:textId="74123CE9" w:rsidR="00F30C54" w:rsidRDefault="00F30C54" w:rsidP="00F30C54">
      <w:pPr>
        <w:pStyle w:val="BodyTextMSBlock"/>
        <w:numPr>
          <w:ilvl w:val="0"/>
          <w:numId w:val="6"/>
        </w:numPr>
        <w:suppressAutoHyphens/>
        <w:spacing w:line="276" w:lineRule="auto"/>
        <w:rPr>
          <w:szCs w:val="22"/>
        </w:rPr>
      </w:pPr>
      <w:r w:rsidRPr="004F6F51">
        <w:rPr>
          <w:rStyle w:val="Hyperlink"/>
          <w:rFonts w:ascii="Arial" w:hAnsi="Arial" w:cs="Arial"/>
          <w:color w:val="auto"/>
          <w:u w:val="none"/>
        </w:rPr>
        <w:t xml:space="preserve">National Institute for Health and Clinical Excellence (2019): Long-acting reversible contraception. </w:t>
      </w:r>
      <w:hyperlink r:id="rId26" w:history="1">
        <w:r w:rsidRPr="004F6F51">
          <w:rPr>
            <w:rStyle w:val="Hyperlink"/>
            <w:rFonts w:ascii="Arial" w:hAnsi="Arial" w:cs="Arial"/>
            <w:color w:val="auto"/>
            <w:u w:val="none"/>
          </w:rPr>
          <w:t>Overview | Long-acting reversible contraception | Guidance | NICE</w:t>
        </w:r>
      </w:hyperlink>
      <w:r w:rsidRPr="004F6F51">
        <w:rPr>
          <w:rStyle w:val="EndnoteReference"/>
          <w:szCs w:val="22"/>
        </w:rPr>
        <w:endnoteReference w:id="11"/>
      </w:r>
      <w:r w:rsidRPr="007B1368">
        <w:rPr>
          <w:szCs w:val="22"/>
        </w:rPr>
        <w:t xml:space="preserve"> </w:t>
      </w:r>
    </w:p>
    <w:p w14:paraId="7AB7B319" w14:textId="77777777" w:rsidR="00F30C54" w:rsidRPr="007B1368" w:rsidRDefault="00F30C54" w:rsidP="004F6F51">
      <w:pPr>
        <w:pStyle w:val="BodyTextMSBlock"/>
        <w:suppressAutoHyphens/>
        <w:spacing w:line="276" w:lineRule="auto"/>
        <w:ind w:left="720"/>
        <w:rPr>
          <w:szCs w:val="22"/>
        </w:rPr>
      </w:pPr>
    </w:p>
    <w:p w14:paraId="303B8699" w14:textId="77777777" w:rsidR="00F30C54" w:rsidRPr="007B1368" w:rsidRDefault="00F30C54" w:rsidP="008517AB">
      <w:pPr>
        <w:spacing w:line="259" w:lineRule="auto"/>
        <w:jc w:val="both"/>
        <w:rPr>
          <w:sz w:val="22"/>
          <w:szCs w:val="22"/>
        </w:rPr>
      </w:pPr>
      <w:r w:rsidRPr="007B1368">
        <w:rPr>
          <w:sz w:val="22"/>
          <w:szCs w:val="22"/>
        </w:rPr>
        <w:t>Level 3 Safeguarding Requirements:</w:t>
      </w:r>
    </w:p>
    <w:p w14:paraId="0FE09277" w14:textId="1E6BCE1B" w:rsidR="00F30C54" w:rsidRPr="007B1368" w:rsidRDefault="00F30C54" w:rsidP="00762CBA">
      <w:pPr>
        <w:pStyle w:val="ListParagraph"/>
        <w:numPr>
          <w:ilvl w:val="0"/>
          <w:numId w:val="6"/>
        </w:numPr>
        <w:spacing w:line="259" w:lineRule="auto"/>
        <w:jc w:val="both"/>
        <w:rPr>
          <w:sz w:val="22"/>
          <w:szCs w:val="22"/>
        </w:rPr>
      </w:pPr>
      <w:r w:rsidRPr="007B1368">
        <w:rPr>
          <w:sz w:val="22"/>
          <w:szCs w:val="22"/>
        </w:rPr>
        <w:t xml:space="preserve">All practitioners must complete </w:t>
      </w:r>
      <w:hyperlink r:id="rId27" w:history="1">
        <w:r w:rsidRPr="004F6F51">
          <w:rPr>
            <w:rStyle w:val="Hyperlink"/>
            <w:bCs/>
            <w:color w:val="auto"/>
            <w:sz w:val="22"/>
            <w:szCs w:val="22"/>
            <w:u w:val="none"/>
          </w:rPr>
          <w:t xml:space="preserve">Safeguarding Children and Adults Level 3 </w:t>
        </w:r>
      </w:hyperlink>
      <w:r w:rsidRPr="007B1368">
        <w:rPr>
          <w:sz w:val="22"/>
          <w:szCs w:val="22"/>
        </w:rPr>
        <w:t xml:space="preserve"> for both </w:t>
      </w:r>
      <w:r w:rsidRPr="007B1368">
        <w:rPr>
          <w:bCs/>
          <w:sz w:val="22"/>
          <w:szCs w:val="22"/>
        </w:rPr>
        <w:t>children and adults</w:t>
      </w:r>
      <w:r w:rsidRPr="007B1368">
        <w:rPr>
          <w:sz w:val="22"/>
          <w:szCs w:val="22"/>
        </w:rPr>
        <w:t>, in line with national safeguarding guidance</w:t>
      </w:r>
      <w:r w:rsidRPr="007B1368">
        <w:rPr>
          <w:rStyle w:val="EndnoteReference"/>
          <w:sz w:val="22"/>
          <w:szCs w:val="22"/>
        </w:rPr>
        <w:endnoteReference w:id="12"/>
      </w:r>
      <w:r w:rsidRPr="007B1368">
        <w:rPr>
          <w:sz w:val="22"/>
          <w:szCs w:val="22"/>
        </w:rPr>
        <w:t>. This training also ensures that staff are able to identify and act on safeguarding risks, including risks related to child sexual exploitation (CSE) and domestic abuse.</w:t>
      </w:r>
    </w:p>
    <w:p w14:paraId="024414E4" w14:textId="77777777" w:rsidR="00F30C54" w:rsidRPr="007B1368" w:rsidRDefault="00F30C54" w:rsidP="008A0729">
      <w:pPr>
        <w:pStyle w:val="ListParagraph"/>
        <w:autoSpaceDE w:val="0"/>
        <w:autoSpaceDN w:val="0"/>
        <w:adjustRightInd w:val="0"/>
        <w:spacing w:after="200" w:line="276" w:lineRule="auto"/>
        <w:contextualSpacing w:val="0"/>
        <w:jc w:val="both"/>
        <w:rPr>
          <w:sz w:val="22"/>
          <w:szCs w:val="22"/>
        </w:rPr>
      </w:pPr>
    </w:p>
    <w:p w14:paraId="364B4378" w14:textId="7C41498F" w:rsidR="00F30C54" w:rsidRPr="004F6F51" w:rsidRDefault="00F30C54" w:rsidP="00177E1D">
      <w:pPr>
        <w:pStyle w:val="Heading2"/>
        <w:rPr>
          <w:sz w:val="22"/>
          <w:szCs w:val="22"/>
        </w:rPr>
      </w:pPr>
      <w:bookmarkStart w:id="5" w:name="_Toc190354368"/>
      <w:bookmarkEnd w:id="4"/>
      <w:r w:rsidRPr="004F6F51">
        <w:rPr>
          <w:sz w:val="22"/>
          <w:szCs w:val="22"/>
        </w:rPr>
        <w:t>3. Service description and scope</w:t>
      </w:r>
      <w:bookmarkEnd w:id="5"/>
    </w:p>
    <w:p w14:paraId="2A5C7DE2" w14:textId="6F0DC4B3" w:rsidR="00F30C54" w:rsidRPr="004F6F51" w:rsidRDefault="00F30C54" w:rsidP="006539A7">
      <w:pPr>
        <w:rPr>
          <w:sz w:val="22"/>
          <w:szCs w:val="22"/>
        </w:rPr>
      </w:pPr>
    </w:p>
    <w:p w14:paraId="228363A5" w14:textId="604C16CC" w:rsidR="00F30C54" w:rsidRPr="007B1368" w:rsidRDefault="00F30C54" w:rsidP="006539A7">
      <w:pPr>
        <w:autoSpaceDE w:val="0"/>
        <w:autoSpaceDN w:val="0"/>
        <w:adjustRightInd w:val="0"/>
        <w:rPr>
          <w:color w:val="000000"/>
          <w:sz w:val="22"/>
          <w:szCs w:val="22"/>
        </w:rPr>
      </w:pPr>
      <w:r w:rsidRPr="007B1368">
        <w:rPr>
          <w:color w:val="000000"/>
          <w:sz w:val="22"/>
          <w:szCs w:val="22"/>
        </w:rPr>
        <w:t xml:space="preserve">The Council is commissioning and funding the Provider to offer long-acting reversible methods of contraception, as described in this specification. This section covers: </w:t>
      </w:r>
    </w:p>
    <w:p w14:paraId="22A05DF8" w14:textId="77777777" w:rsidR="00F30C54" w:rsidRPr="007B1368" w:rsidRDefault="00F30C54" w:rsidP="006539A7">
      <w:pPr>
        <w:autoSpaceDE w:val="0"/>
        <w:autoSpaceDN w:val="0"/>
        <w:adjustRightInd w:val="0"/>
        <w:rPr>
          <w:color w:val="000000"/>
          <w:sz w:val="22"/>
          <w:szCs w:val="22"/>
        </w:rPr>
      </w:pPr>
    </w:p>
    <w:p w14:paraId="22C92C4B" w14:textId="3589C746" w:rsidR="00F30C54" w:rsidRPr="007B1368" w:rsidRDefault="00F30C54" w:rsidP="00762CBA">
      <w:pPr>
        <w:pStyle w:val="ListParagraph"/>
        <w:numPr>
          <w:ilvl w:val="0"/>
          <w:numId w:val="22"/>
        </w:numPr>
        <w:autoSpaceDE w:val="0"/>
        <w:autoSpaceDN w:val="0"/>
        <w:adjustRightInd w:val="0"/>
        <w:rPr>
          <w:b/>
          <w:bCs/>
          <w:color w:val="000000"/>
          <w:sz w:val="22"/>
          <w:szCs w:val="22"/>
        </w:rPr>
      </w:pPr>
      <w:r w:rsidRPr="007B1368">
        <w:rPr>
          <w:b/>
          <w:bCs/>
          <w:color w:val="000000"/>
          <w:sz w:val="22"/>
          <w:szCs w:val="22"/>
        </w:rPr>
        <w:t>Component A</w:t>
      </w:r>
      <w:r w:rsidRPr="007B1368">
        <w:rPr>
          <w:color w:val="000000"/>
          <w:sz w:val="22"/>
          <w:szCs w:val="22"/>
        </w:rPr>
        <w:t>: Subdermal contraceptive implants (SDI)</w:t>
      </w:r>
    </w:p>
    <w:p w14:paraId="0562E04D" w14:textId="471C10A0" w:rsidR="00F30C54" w:rsidRPr="007B1368" w:rsidRDefault="00F30C54" w:rsidP="00762CBA">
      <w:pPr>
        <w:pStyle w:val="ListParagraph"/>
        <w:numPr>
          <w:ilvl w:val="0"/>
          <w:numId w:val="22"/>
        </w:numPr>
        <w:autoSpaceDE w:val="0"/>
        <w:autoSpaceDN w:val="0"/>
        <w:adjustRightInd w:val="0"/>
        <w:rPr>
          <w:color w:val="000000"/>
          <w:sz w:val="22"/>
          <w:szCs w:val="22"/>
        </w:rPr>
      </w:pPr>
      <w:r w:rsidRPr="007B1368">
        <w:rPr>
          <w:b/>
          <w:bCs/>
          <w:color w:val="000000"/>
          <w:sz w:val="22"/>
          <w:szCs w:val="22"/>
        </w:rPr>
        <w:t>Component B: I</w:t>
      </w:r>
      <w:r w:rsidRPr="007B1368">
        <w:rPr>
          <w:color w:val="000000"/>
          <w:sz w:val="22"/>
          <w:szCs w:val="22"/>
        </w:rPr>
        <w:t>ntrauterine devices/systems (IUD/IUS)</w:t>
      </w:r>
    </w:p>
    <w:p w14:paraId="3D439967" w14:textId="756F2872" w:rsidR="00F30C54" w:rsidRPr="007B1368" w:rsidRDefault="00F30C54" w:rsidP="00762CBA">
      <w:pPr>
        <w:pStyle w:val="ListParagraph"/>
        <w:numPr>
          <w:ilvl w:val="0"/>
          <w:numId w:val="22"/>
        </w:numPr>
        <w:autoSpaceDE w:val="0"/>
        <w:autoSpaceDN w:val="0"/>
        <w:adjustRightInd w:val="0"/>
        <w:rPr>
          <w:color w:val="000000"/>
          <w:sz w:val="22"/>
          <w:szCs w:val="22"/>
        </w:rPr>
      </w:pPr>
      <w:r w:rsidRPr="007B1368">
        <w:rPr>
          <w:b/>
          <w:color w:val="000000"/>
          <w:sz w:val="22"/>
          <w:szCs w:val="22"/>
        </w:rPr>
        <w:t>General requirements</w:t>
      </w:r>
      <w:r w:rsidRPr="007B1368">
        <w:rPr>
          <w:color w:val="000000"/>
          <w:sz w:val="22"/>
          <w:szCs w:val="22"/>
        </w:rPr>
        <w:t xml:space="preserve"> applicable to all services detailed in this specification </w:t>
      </w:r>
    </w:p>
    <w:p w14:paraId="0C1A25AE" w14:textId="77777777" w:rsidR="00F30C54" w:rsidRPr="007B1368" w:rsidRDefault="00F30C54" w:rsidP="008A0729">
      <w:pPr>
        <w:pStyle w:val="ListParagraph"/>
        <w:autoSpaceDE w:val="0"/>
        <w:autoSpaceDN w:val="0"/>
        <w:adjustRightInd w:val="0"/>
        <w:rPr>
          <w:color w:val="000000"/>
          <w:sz w:val="22"/>
          <w:szCs w:val="22"/>
        </w:rPr>
      </w:pPr>
    </w:p>
    <w:p w14:paraId="1FE2DAB6" w14:textId="14A9148B" w:rsidR="00F30C54" w:rsidRPr="007B1368" w:rsidRDefault="00F30C54" w:rsidP="00146125">
      <w:pPr>
        <w:autoSpaceDE w:val="0"/>
        <w:autoSpaceDN w:val="0"/>
        <w:adjustRightInd w:val="0"/>
        <w:rPr>
          <w:b/>
          <w:bCs/>
          <w:color w:val="000000"/>
          <w:sz w:val="22"/>
          <w:szCs w:val="22"/>
        </w:rPr>
      </w:pPr>
      <w:r w:rsidRPr="007B1368">
        <w:rPr>
          <w:b/>
          <w:bCs/>
          <w:color w:val="000000"/>
          <w:sz w:val="22"/>
          <w:szCs w:val="22"/>
        </w:rPr>
        <w:t>Component A: Subdermal Contraceptive Implants (SDI)</w:t>
      </w:r>
    </w:p>
    <w:p w14:paraId="3DDEF196" w14:textId="67DDEA2F" w:rsidR="00F30C54" w:rsidRPr="007B1368" w:rsidRDefault="00F30C54" w:rsidP="00146125">
      <w:pPr>
        <w:autoSpaceDE w:val="0"/>
        <w:autoSpaceDN w:val="0"/>
        <w:adjustRightInd w:val="0"/>
        <w:rPr>
          <w:b/>
          <w:bCs/>
          <w:color w:val="000000"/>
          <w:sz w:val="22"/>
          <w:szCs w:val="22"/>
        </w:rPr>
      </w:pPr>
    </w:p>
    <w:p w14:paraId="5CED4119" w14:textId="3C64D3CB" w:rsidR="00F30C54" w:rsidRPr="007B1368" w:rsidRDefault="00F30C54" w:rsidP="00146125">
      <w:pPr>
        <w:autoSpaceDE w:val="0"/>
        <w:autoSpaceDN w:val="0"/>
        <w:adjustRightInd w:val="0"/>
        <w:rPr>
          <w:color w:val="000000"/>
          <w:sz w:val="22"/>
          <w:szCs w:val="22"/>
        </w:rPr>
      </w:pPr>
      <w:r w:rsidRPr="007B1368">
        <w:rPr>
          <w:sz w:val="22"/>
          <w:szCs w:val="22"/>
        </w:rPr>
        <w:t>The provider must fit, monitor, check, and remove subdermal contraceptive implants in accordance with current clinical guidelines and their instructions for use. Only contraceptive implants licensed for use in the UK are to be used</w:t>
      </w:r>
      <w:r w:rsidRPr="004F6F51">
        <w:rPr>
          <w:sz w:val="22"/>
          <w:szCs w:val="22"/>
        </w:rPr>
        <w:t>.</w:t>
      </w:r>
      <w:r w:rsidRPr="007B1368">
        <w:rPr>
          <w:color w:val="000000"/>
          <w:sz w:val="22"/>
          <w:szCs w:val="22"/>
        </w:rPr>
        <w:t xml:space="preserve"> </w:t>
      </w:r>
    </w:p>
    <w:p w14:paraId="14E73E47" w14:textId="77777777" w:rsidR="00F30C54" w:rsidRPr="007B1368" w:rsidRDefault="00F30C54" w:rsidP="00146125">
      <w:pPr>
        <w:autoSpaceDE w:val="0"/>
        <w:autoSpaceDN w:val="0"/>
        <w:adjustRightInd w:val="0"/>
        <w:rPr>
          <w:color w:val="000000"/>
          <w:sz w:val="22"/>
          <w:szCs w:val="22"/>
        </w:rPr>
      </w:pPr>
    </w:p>
    <w:p w14:paraId="26774A4B" w14:textId="77777777" w:rsidR="00F30C54" w:rsidRPr="007B1368" w:rsidRDefault="00F30C54" w:rsidP="0078597C">
      <w:pPr>
        <w:autoSpaceDE w:val="0"/>
        <w:autoSpaceDN w:val="0"/>
        <w:adjustRightInd w:val="0"/>
        <w:rPr>
          <w:color w:val="000000"/>
          <w:sz w:val="22"/>
          <w:szCs w:val="22"/>
        </w:rPr>
      </w:pPr>
      <w:r w:rsidRPr="007B1368">
        <w:rPr>
          <w:color w:val="000000"/>
          <w:sz w:val="22"/>
          <w:szCs w:val="22"/>
        </w:rPr>
        <w:t xml:space="preserve">The provider must ensure that patients receive information and advice on all available contraceptive methods, supporting them in selecting the most appropriate method for their individual needs, in accordance with NICE Clinical Guideline CG30. </w:t>
      </w:r>
    </w:p>
    <w:p w14:paraId="0A8F600C" w14:textId="77777777" w:rsidR="00F30C54" w:rsidRPr="007B1368" w:rsidRDefault="00F30C54" w:rsidP="0078597C">
      <w:pPr>
        <w:autoSpaceDE w:val="0"/>
        <w:autoSpaceDN w:val="0"/>
        <w:adjustRightInd w:val="0"/>
        <w:rPr>
          <w:color w:val="000000"/>
          <w:sz w:val="22"/>
          <w:szCs w:val="22"/>
        </w:rPr>
      </w:pPr>
    </w:p>
    <w:p w14:paraId="2FFD3E1E" w14:textId="2C7CAD8C" w:rsidR="00F30C54" w:rsidRPr="007B1368" w:rsidRDefault="00F30C54" w:rsidP="0078597C">
      <w:pPr>
        <w:autoSpaceDE w:val="0"/>
        <w:autoSpaceDN w:val="0"/>
        <w:adjustRightInd w:val="0"/>
        <w:rPr>
          <w:color w:val="000000"/>
          <w:sz w:val="22"/>
          <w:szCs w:val="22"/>
        </w:rPr>
      </w:pPr>
      <w:r w:rsidRPr="007B1368">
        <w:rPr>
          <w:color w:val="000000"/>
          <w:sz w:val="22"/>
          <w:szCs w:val="22"/>
        </w:rPr>
        <w:t>In addition, the clinician must:</w:t>
      </w:r>
    </w:p>
    <w:p w14:paraId="7BBBBFE0" w14:textId="77777777" w:rsidR="00F30C54" w:rsidRPr="007B1368" w:rsidRDefault="00F30C54" w:rsidP="0078597C">
      <w:pPr>
        <w:autoSpaceDE w:val="0"/>
        <w:autoSpaceDN w:val="0"/>
        <w:adjustRightInd w:val="0"/>
        <w:rPr>
          <w:color w:val="000000"/>
          <w:sz w:val="22"/>
          <w:szCs w:val="22"/>
        </w:rPr>
      </w:pPr>
    </w:p>
    <w:p w14:paraId="2144C03E" w14:textId="06372DC3" w:rsidR="00F30C54" w:rsidRPr="007B1368" w:rsidRDefault="00F30C54" w:rsidP="00E259DD">
      <w:pPr>
        <w:pStyle w:val="ListParagraph"/>
        <w:numPr>
          <w:ilvl w:val="0"/>
          <w:numId w:val="43"/>
        </w:numPr>
        <w:autoSpaceDE w:val="0"/>
        <w:autoSpaceDN w:val="0"/>
        <w:adjustRightInd w:val="0"/>
        <w:rPr>
          <w:color w:val="000000"/>
          <w:sz w:val="22"/>
          <w:szCs w:val="22"/>
        </w:rPr>
      </w:pPr>
      <w:r w:rsidRPr="007B1368">
        <w:rPr>
          <w:color w:val="000000"/>
          <w:sz w:val="22"/>
          <w:szCs w:val="22"/>
        </w:rPr>
        <w:t>Take a sexual history in order to assess the appropriateness of fitting an implant.</w:t>
      </w:r>
    </w:p>
    <w:p w14:paraId="658FDEF7" w14:textId="77777777" w:rsidR="00F30C54" w:rsidRPr="007B1368" w:rsidRDefault="00F30C54" w:rsidP="00E259DD">
      <w:pPr>
        <w:autoSpaceDE w:val="0"/>
        <w:autoSpaceDN w:val="0"/>
        <w:adjustRightInd w:val="0"/>
        <w:rPr>
          <w:color w:val="000000"/>
          <w:sz w:val="22"/>
          <w:szCs w:val="22"/>
        </w:rPr>
      </w:pPr>
    </w:p>
    <w:p w14:paraId="46774A00" w14:textId="3CA7552E" w:rsidR="00F30C54" w:rsidRPr="007B1368" w:rsidRDefault="00F30C54" w:rsidP="00E259DD">
      <w:pPr>
        <w:pStyle w:val="ListParagraph"/>
        <w:numPr>
          <w:ilvl w:val="0"/>
          <w:numId w:val="43"/>
        </w:numPr>
        <w:autoSpaceDE w:val="0"/>
        <w:autoSpaceDN w:val="0"/>
        <w:adjustRightInd w:val="0"/>
        <w:rPr>
          <w:color w:val="000000"/>
          <w:sz w:val="22"/>
          <w:szCs w:val="22"/>
        </w:rPr>
      </w:pPr>
      <w:r w:rsidRPr="007B1368">
        <w:rPr>
          <w:color w:val="000000"/>
          <w:sz w:val="22"/>
          <w:szCs w:val="22"/>
        </w:rPr>
        <w:t>Provide information, advice and guidance about sexually transmitted infections (STIs), assess the need for STI screening, and refer patients to relevant services, where appropriate.</w:t>
      </w:r>
    </w:p>
    <w:p w14:paraId="1006CBE3" w14:textId="77777777" w:rsidR="00F30C54" w:rsidRPr="007B1368" w:rsidRDefault="00F30C54" w:rsidP="00E259DD">
      <w:pPr>
        <w:autoSpaceDE w:val="0"/>
        <w:autoSpaceDN w:val="0"/>
        <w:adjustRightInd w:val="0"/>
        <w:rPr>
          <w:color w:val="000000"/>
          <w:sz w:val="22"/>
          <w:szCs w:val="22"/>
        </w:rPr>
      </w:pPr>
    </w:p>
    <w:p w14:paraId="35CE0B9E" w14:textId="167E7907" w:rsidR="00F30C54" w:rsidRPr="007B1368" w:rsidRDefault="00F30C54" w:rsidP="00E259DD">
      <w:pPr>
        <w:pStyle w:val="ListParagraph"/>
        <w:numPr>
          <w:ilvl w:val="0"/>
          <w:numId w:val="43"/>
        </w:numPr>
        <w:autoSpaceDE w:val="0"/>
        <w:autoSpaceDN w:val="0"/>
        <w:adjustRightInd w:val="0"/>
        <w:rPr>
          <w:color w:val="000000"/>
          <w:sz w:val="22"/>
          <w:szCs w:val="22"/>
        </w:rPr>
      </w:pPr>
      <w:r w:rsidRPr="007B1368">
        <w:rPr>
          <w:color w:val="000000"/>
          <w:sz w:val="22"/>
          <w:szCs w:val="22"/>
        </w:rPr>
        <w:t>Provide written information to the patient during counselling, reinforcing it after fitting. This should include details about symptoms requiring urgent assessment, non-contraceptive benefits, and procedures for initiation and discontinuation.</w:t>
      </w:r>
    </w:p>
    <w:p w14:paraId="0A78A95F" w14:textId="2A982890" w:rsidR="00F30C54" w:rsidRPr="007B1368" w:rsidRDefault="00F30C54" w:rsidP="00146125">
      <w:pPr>
        <w:autoSpaceDE w:val="0"/>
        <w:autoSpaceDN w:val="0"/>
        <w:adjustRightInd w:val="0"/>
        <w:rPr>
          <w:color w:val="000000"/>
          <w:sz w:val="22"/>
          <w:szCs w:val="22"/>
        </w:rPr>
      </w:pPr>
    </w:p>
    <w:p w14:paraId="71195431" w14:textId="77777777" w:rsidR="00F30C54" w:rsidRPr="007B1368" w:rsidRDefault="00F30C54" w:rsidP="008A0729">
      <w:pPr>
        <w:pStyle w:val="ListParagraph"/>
        <w:rPr>
          <w:color w:val="000000"/>
          <w:sz w:val="22"/>
          <w:szCs w:val="22"/>
        </w:rPr>
      </w:pPr>
    </w:p>
    <w:p w14:paraId="728D0760" w14:textId="29B8A9DE" w:rsidR="00F30C54" w:rsidRPr="007B1368" w:rsidRDefault="00F30C54" w:rsidP="00146125">
      <w:pPr>
        <w:autoSpaceDE w:val="0"/>
        <w:autoSpaceDN w:val="0"/>
        <w:adjustRightInd w:val="0"/>
        <w:rPr>
          <w:b/>
          <w:bCs/>
          <w:color w:val="000000"/>
          <w:sz w:val="22"/>
          <w:szCs w:val="22"/>
        </w:rPr>
      </w:pPr>
      <w:r w:rsidRPr="007B1368">
        <w:rPr>
          <w:b/>
          <w:bCs/>
          <w:color w:val="000000"/>
          <w:sz w:val="22"/>
          <w:szCs w:val="22"/>
        </w:rPr>
        <w:t xml:space="preserve">Component B: Intrauterine Devices/Systems (IUD/IUS) </w:t>
      </w:r>
    </w:p>
    <w:p w14:paraId="4306B647" w14:textId="14BD6D9A" w:rsidR="00F30C54" w:rsidRPr="007B1368" w:rsidRDefault="00F30C54" w:rsidP="00146125">
      <w:pPr>
        <w:autoSpaceDE w:val="0"/>
        <w:autoSpaceDN w:val="0"/>
        <w:adjustRightInd w:val="0"/>
        <w:rPr>
          <w:b/>
          <w:bCs/>
          <w:color w:val="000000"/>
          <w:sz w:val="22"/>
          <w:szCs w:val="22"/>
        </w:rPr>
      </w:pPr>
    </w:p>
    <w:p w14:paraId="75DEF438" w14:textId="46B1026F" w:rsidR="00F30C54" w:rsidRPr="007B1368" w:rsidRDefault="00F30C54" w:rsidP="0078597C">
      <w:pPr>
        <w:pStyle w:val="DefinedTermNumber"/>
        <w:numPr>
          <w:ilvl w:val="0"/>
          <w:numId w:val="0"/>
        </w:numPr>
        <w:spacing w:line="276" w:lineRule="auto"/>
        <w:rPr>
          <w:rFonts w:cs="Arial"/>
          <w:bCs/>
          <w:szCs w:val="22"/>
        </w:rPr>
      </w:pPr>
      <w:r w:rsidRPr="007B1368">
        <w:rPr>
          <w:rFonts w:cs="Arial"/>
          <w:szCs w:val="22"/>
        </w:rPr>
        <w:t>The Provider must fit, monitor, check, and remove intrauterine contraceptive devices (IUDs) and systems (IUSs) in accordance with current clinical guidelines and manufacturers' instructions for use. Only IUDs/IUSs licensed for use in the UK are to be used.</w:t>
      </w:r>
    </w:p>
    <w:p w14:paraId="7EE6048E" w14:textId="79386B4B" w:rsidR="00F30C54" w:rsidRPr="007B1368" w:rsidRDefault="00F30C54" w:rsidP="00E259DD">
      <w:pPr>
        <w:autoSpaceDE w:val="0"/>
        <w:autoSpaceDN w:val="0"/>
        <w:adjustRightInd w:val="0"/>
        <w:rPr>
          <w:color w:val="000000"/>
          <w:sz w:val="22"/>
          <w:szCs w:val="22"/>
        </w:rPr>
      </w:pPr>
      <w:r w:rsidRPr="007B1368">
        <w:rPr>
          <w:color w:val="000000"/>
          <w:sz w:val="22"/>
          <w:szCs w:val="22"/>
        </w:rPr>
        <w:t>The Provider must ensure that patients receive comprehensive information and advice about the full range of contraceptive methods and are supported in determining the most appropriate option for their individual needs, in line with NICE Clinical Guideline CG30.</w:t>
      </w:r>
    </w:p>
    <w:p w14:paraId="4DB3FA57" w14:textId="5949C77A" w:rsidR="00F30C54" w:rsidRPr="007B1368" w:rsidRDefault="00F30C54" w:rsidP="00E259DD">
      <w:pPr>
        <w:autoSpaceDE w:val="0"/>
        <w:autoSpaceDN w:val="0"/>
        <w:adjustRightInd w:val="0"/>
        <w:rPr>
          <w:color w:val="000000"/>
          <w:sz w:val="22"/>
          <w:szCs w:val="22"/>
        </w:rPr>
      </w:pPr>
      <w:r w:rsidRPr="007B1368">
        <w:rPr>
          <w:color w:val="000000"/>
          <w:sz w:val="22"/>
          <w:szCs w:val="22"/>
        </w:rPr>
        <w:t>For patients opting for intrauterine contraception, the clinician must:</w:t>
      </w:r>
    </w:p>
    <w:p w14:paraId="19F46515" w14:textId="67EEB59D" w:rsidR="00F30C54" w:rsidRPr="007B1368" w:rsidRDefault="00F30C54" w:rsidP="00E259DD">
      <w:pPr>
        <w:pStyle w:val="ListParagraph"/>
        <w:numPr>
          <w:ilvl w:val="0"/>
          <w:numId w:val="42"/>
        </w:numPr>
        <w:autoSpaceDE w:val="0"/>
        <w:autoSpaceDN w:val="0"/>
        <w:adjustRightInd w:val="0"/>
        <w:rPr>
          <w:color w:val="000000"/>
          <w:sz w:val="22"/>
          <w:szCs w:val="22"/>
        </w:rPr>
      </w:pPr>
      <w:r w:rsidRPr="007B1368">
        <w:rPr>
          <w:color w:val="000000"/>
          <w:sz w:val="22"/>
          <w:szCs w:val="22"/>
        </w:rPr>
        <w:t xml:space="preserve">Take a sexual history to assess the appropriateness of fitting an IUD/IUS. </w:t>
      </w:r>
    </w:p>
    <w:p w14:paraId="0977F11C" w14:textId="3BFBD26E" w:rsidR="00F30C54" w:rsidRPr="007B1368" w:rsidRDefault="00F30C54" w:rsidP="00E259DD">
      <w:pPr>
        <w:pStyle w:val="ListParagraph"/>
        <w:numPr>
          <w:ilvl w:val="0"/>
          <w:numId w:val="42"/>
        </w:numPr>
        <w:autoSpaceDE w:val="0"/>
        <w:autoSpaceDN w:val="0"/>
        <w:adjustRightInd w:val="0"/>
        <w:rPr>
          <w:color w:val="000000"/>
          <w:sz w:val="22"/>
          <w:szCs w:val="22"/>
        </w:rPr>
      </w:pPr>
      <w:r w:rsidRPr="007B1368">
        <w:rPr>
          <w:color w:val="000000"/>
          <w:sz w:val="22"/>
          <w:szCs w:val="22"/>
        </w:rPr>
        <w:t xml:space="preserve">Provide information, advice and guidance about STIs, assess the need for screening, and refer to sexual health services, where necessary. </w:t>
      </w:r>
    </w:p>
    <w:p w14:paraId="5969835B" w14:textId="48AB0583" w:rsidR="00F30C54" w:rsidRPr="007B1368" w:rsidRDefault="00F30C54" w:rsidP="00E259DD">
      <w:pPr>
        <w:pStyle w:val="ListParagraph"/>
        <w:numPr>
          <w:ilvl w:val="0"/>
          <w:numId w:val="42"/>
        </w:numPr>
        <w:autoSpaceDE w:val="0"/>
        <w:autoSpaceDN w:val="0"/>
        <w:adjustRightInd w:val="0"/>
        <w:rPr>
          <w:color w:val="000000"/>
          <w:sz w:val="22"/>
          <w:szCs w:val="22"/>
        </w:rPr>
      </w:pPr>
      <w:r w:rsidRPr="007B1368">
        <w:rPr>
          <w:color w:val="000000"/>
          <w:sz w:val="22"/>
          <w:szCs w:val="22"/>
        </w:rPr>
        <w:t>Conduct Chlamydia screening for all patients before IUD/IUS insertion. If positive, ensure referral for further STI screening.</w:t>
      </w:r>
    </w:p>
    <w:p w14:paraId="3937E38B" w14:textId="62F14A49" w:rsidR="00F30C54" w:rsidRPr="007B1368" w:rsidRDefault="00F30C54" w:rsidP="00E259DD">
      <w:pPr>
        <w:pStyle w:val="ListParagraph"/>
        <w:numPr>
          <w:ilvl w:val="0"/>
          <w:numId w:val="42"/>
        </w:numPr>
        <w:rPr>
          <w:color w:val="000000"/>
          <w:sz w:val="22"/>
          <w:szCs w:val="22"/>
        </w:rPr>
      </w:pPr>
      <w:r w:rsidRPr="007B1368">
        <w:rPr>
          <w:color w:val="000000"/>
          <w:sz w:val="22"/>
          <w:szCs w:val="22"/>
        </w:rPr>
        <w:t>Provide written information for the patient at the time of counselling and reinforce it after fitting. This should include details about symptoms requiring urgent assessment, non-contraceptive benefits, and procedures for initiation and discontinuation.</w:t>
      </w:r>
    </w:p>
    <w:p w14:paraId="2386CAC4" w14:textId="029DF275" w:rsidR="00F30C54" w:rsidRPr="007B1368" w:rsidRDefault="00F30C54" w:rsidP="008A0729">
      <w:pPr>
        <w:pStyle w:val="ListParagraph"/>
        <w:autoSpaceDE w:val="0"/>
        <w:autoSpaceDN w:val="0"/>
        <w:adjustRightInd w:val="0"/>
        <w:ind w:left="1080"/>
        <w:rPr>
          <w:color w:val="000000"/>
          <w:sz w:val="22"/>
          <w:szCs w:val="22"/>
        </w:rPr>
      </w:pPr>
    </w:p>
    <w:p w14:paraId="12AD6CD0" w14:textId="5A2827CA" w:rsidR="00F30C54" w:rsidRPr="007B1368" w:rsidRDefault="00F30C54" w:rsidP="008A0729">
      <w:pPr>
        <w:autoSpaceDE w:val="0"/>
        <w:autoSpaceDN w:val="0"/>
        <w:adjustRightInd w:val="0"/>
        <w:spacing w:after="35"/>
        <w:rPr>
          <w:color w:val="000000"/>
          <w:sz w:val="22"/>
          <w:szCs w:val="22"/>
        </w:rPr>
      </w:pPr>
      <w:r w:rsidRPr="007B1368">
        <w:rPr>
          <w:b/>
          <w:color w:val="000000"/>
          <w:sz w:val="22"/>
          <w:szCs w:val="22"/>
        </w:rPr>
        <w:t>Note</w:t>
      </w:r>
      <w:r w:rsidRPr="007B1368">
        <w:rPr>
          <w:color w:val="000000"/>
          <w:sz w:val="22"/>
          <w:szCs w:val="22"/>
        </w:rPr>
        <w:t xml:space="preserve">: The use of specialist equipment for cervical anaesthesia, vaginal specula, and cervical dilators, and for the sterilisation of surgical instruments is outside the scope of this specification. </w:t>
      </w:r>
    </w:p>
    <w:p w14:paraId="0265B176" w14:textId="77777777" w:rsidR="00F30C54" w:rsidRPr="007B1368" w:rsidRDefault="00F30C54" w:rsidP="00F76E30">
      <w:pPr>
        <w:autoSpaceDE w:val="0"/>
        <w:autoSpaceDN w:val="0"/>
        <w:adjustRightInd w:val="0"/>
        <w:rPr>
          <w:color w:val="000000"/>
          <w:sz w:val="22"/>
          <w:szCs w:val="22"/>
        </w:rPr>
      </w:pPr>
    </w:p>
    <w:p w14:paraId="3E7C0A55" w14:textId="571A506A" w:rsidR="00F30C54" w:rsidRPr="007B1368" w:rsidRDefault="00F30C54" w:rsidP="006539A7">
      <w:pPr>
        <w:autoSpaceDE w:val="0"/>
        <w:autoSpaceDN w:val="0"/>
        <w:adjustRightInd w:val="0"/>
        <w:rPr>
          <w:color w:val="000000"/>
          <w:sz w:val="22"/>
          <w:szCs w:val="22"/>
        </w:rPr>
      </w:pPr>
      <w:r w:rsidRPr="007B1368">
        <w:rPr>
          <w:b/>
          <w:bCs/>
          <w:color w:val="000000"/>
          <w:sz w:val="22"/>
          <w:szCs w:val="22"/>
        </w:rPr>
        <w:t xml:space="preserve">General Requirements </w:t>
      </w:r>
    </w:p>
    <w:p w14:paraId="7023F920" w14:textId="77777777" w:rsidR="00F30C54" w:rsidRPr="007B1368" w:rsidRDefault="00F30C54" w:rsidP="00F76E30">
      <w:pPr>
        <w:autoSpaceDE w:val="0"/>
        <w:autoSpaceDN w:val="0"/>
        <w:adjustRightInd w:val="0"/>
        <w:spacing w:after="37"/>
        <w:rPr>
          <w:color w:val="000000"/>
          <w:sz w:val="22"/>
          <w:szCs w:val="22"/>
        </w:rPr>
      </w:pPr>
    </w:p>
    <w:p w14:paraId="37A52F21" w14:textId="09251F07" w:rsidR="00F30C54" w:rsidRPr="007B1368" w:rsidRDefault="00F30C54" w:rsidP="008A0729">
      <w:pPr>
        <w:autoSpaceDE w:val="0"/>
        <w:autoSpaceDN w:val="0"/>
        <w:adjustRightInd w:val="0"/>
        <w:spacing w:after="37"/>
        <w:rPr>
          <w:color w:val="000000"/>
          <w:sz w:val="22"/>
          <w:szCs w:val="22"/>
        </w:rPr>
      </w:pPr>
      <w:r w:rsidRPr="007B1368">
        <w:rPr>
          <w:color w:val="000000"/>
          <w:sz w:val="22"/>
          <w:szCs w:val="22"/>
        </w:rPr>
        <w:t xml:space="preserve">The Provider is required to ensure that all clinicians are competent and trained to offer the services described in this specification and have the skills to consult with patients in an appropriate manner. Clinicians should undertake continuing professional development in order to achieve or maintain accreditation. </w:t>
      </w:r>
    </w:p>
    <w:p w14:paraId="175457CB" w14:textId="7FE71B50" w:rsidR="00F30C54" w:rsidRPr="007B1368" w:rsidRDefault="00F30C54" w:rsidP="00F76E30">
      <w:pPr>
        <w:autoSpaceDE w:val="0"/>
        <w:autoSpaceDN w:val="0"/>
        <w:adjustRightInd w:val="0"/>
        <w:spacing w:after="37"/>
        <w:rPr>
          <w:color w:val="000000"/>
          <w:sz w:val="22"/>
          <w:szCs w:val="22"/>
        </w:rPr>
      </w:pPr>
    </w:p>
    <w:p w14:paraId="600FB8EF" w14:textId="00634592" w:rsidR="00F30C54" w:rsidRPr="007B1368" w:rsidRDefault="00F30C54" w:rsidP="00F76E30">
      <w:pPr>
        <w:autoSpaceDE w:val="0"/>
        <w:autoSpaceDN w:val="0"/>
        <w:adjustRightInd w:val="0"/>
        <w:spacing w:after="37"/>
        <w:rPr>
          <w:b/>
          <w:color w:val="000000"/>
          <w:sz w:val="22"/>
          <w:szCs w:val="22"/>
        </w:rPr>
      </w:pPr>
      <w:r w:rsidRPr="007B1368">
        <w:rPr>
          <w:b/>
          <w:color w:val="000000"/>
          <w:sz w:val="22"/>
          <w:szCs w:val="22"/>
        </w:rPr>
        <w:t>Service Delivery</w:t>
      </w:r>
    </w:p>
    <w:p w14:paraId="7B709AB9" w14:textId="77777777" w:rsidR="00F30C54" w:rsidRPr="007B1368" w:rsidRDefault="00F30C54" w:rsidP="00F76E30">
      <w:pPr>
        <w:autoSpaceDE w:val="0"/>
        <w:autoSpaceDN w:val="0"/>
        <w:adjustRightInd w:val="0"/>
        <w:spacing w:after="37"/>
        <w:rPr>
          <w:color w:val="000000"/>
          <w:sz w:val="22"/>
          <w:szCs w:val="22"/>
        </w:rPr>
      </w:pPr>
    </w:p>
    <w:p w14:paraId="03F3BBB0" w14:textId="45E5091F" w:rsidR="00F30C54" w:rsidRPr="007B1368" w:rsidRDefault="00F30C54" w:rsidP="00A85B26">
      <w:pPr>
        <w:pStyle w:val="ListParagraph"/>
        <w:numPr>
          <w:ilvl w:val="0"/>
          <w:numId w:val="44"/>
        </w:numPr>
        <w:autoSpaceDE w:val="0"/>
        <w:autoSpaceDN w:val="0"/>
        <w:adjustRightInd w:val="0"/>
        <w:spacing w:after="37"/>
        <w:rPr>
          <w:color w:val="000000"/>
          <w:sz w:val="22"/>
          <w:szCs w:val="22"/>
        </w:rPr>
      </w:pPr>
      <w:r w:rsidRPr="007B1368">
        <w:rPr>
          <w:color w:val="000000"/>
          <w:sz w:val="22"/>
          <w:szCs w:val="22"/>
        </w:rPr>
        <w:t xml:space="preserve">Routine annual checks are not required; however, patients experiencing problems or requesting implant removal must be seen promptly. Implants should be removed or replaced within three years. </w:t>
      </w:r>
    </w:p>
    <w:p w14:paraId="7E9BC765" w14:textId="77777777" w:rsidR="00F30C54" w:rsidRPr="007B1368" w:rsidRDefault="00F30C54" w:rsidP="00A85B26">
      <w:pPr>
        <w:pStyle w:val="ListParagraph"/>
        <w:autoSpaceDE w:val="0"/>
        <w:autoSpaceDN w:val="0"/>
        <w:adjustRightInd w:val="0"/>
        <w:spacing w:after="37"/>
        <w:rPr>
          <w:color w:val="000000"/>
          <w:sz w:val="22"/>
          <w:szCs w:val="22"/>
        </w:rPr>
      </w:pPr>
    </w:p>
    <w:p w14:paraId="777A09AA" w14:textId="323D5761" w:rsidR="00F30C54" w:rsidRPr="007B1368" w:rsidRDefault="00F30C54" w:rsidP="0023474F">
      <w:pPr>
        <w:pStyle w:val="ListParagraph"/>
        <w:numPr>
          <w:ilvl w:val="0"/>
          <w:numId w:val="44"/>
        </w:numPr>
        <w:autoSpaceDE w:val="0"/>
        <w:autoSpaceDN w:val="0"/>
        <w:adjustRightInd w:val="0"/>
        <w:spacing w:after="37"/>
        <w:rPr>
          <w:color w:val="000000"/>
          <w:sz w:val="22"/>
          <w:szCs w:val="22"/>
        </w:rPr>
      </w:pPr>
      <w:r w:rsidRPr="007B1368">
        <w:rPr>
          <w:color w:val="000000"/>
          <w:sz w:val="22"/>
          <w:szCs w:val="22"/>
        </w:rPr>
        <w:t xml:space="preserve">The Provider is required to provide and maintain all necessary equipment for fitting/removing contraceptive implants. Procedures must be carried out in a suitable treatment room, with specialist equipment for local anaesthesia, forceps, and sterilisation adhering to relevant guidelines. </w:t>
      </w:r>
    </w:p>
    <w:p w14:paraId="3F8D27AB" w14:textId="77777777" w:rsidR="00F30C54" w:rsidRPr="007B1368" w:rsidRDefault="00F30C54" w:rsidP="00F76E30">
      <w:pPr>
        <w:autoSpaceDE w:val="0"/>
        <w:autoSpaceDN w:val="0"/>
        <w:adjustRightInd w:val="0"/>
        <w:spacing w:after="37"/>
        <w:rPr>
          <w:color w:val="000000"/>
          <w:sz w:val="22"/>
          <w:szCs w:val="22"/>
        </w:rPr>
      </w:pPr>
    </w:p>
    <w:p w14:paraId="6905A490" w14:textId="77777777" w:rsidR="00F30C54" w:rsidRPr="007B1368" w:rsidRDefault="00F30C54">
      <w:pPr>
        <w:autoSpaceDE w:val="0"/>
        <w:autoSpaceDN w:val="0"/>
        <w:adjustRightInd w:val="0"/>
        <w:spacing w:after="37"/>
        <w:rPr>
          <w:color w:val="000000"/>
          <w:sz w:val="22"/>
          <w:szCs w:val="22"/>
        </w:rPr>
      </w:pPr>
      <w:r w:rsidRPr="007B1368">
        <w:rPr>
          <w:b/>
          <w:color w:val="000000"/>
          <w:sz w:val="22"/>
          <w:szCs w:val="22"/>
        </w:rPr>
        <w:t>Clinical Guidelines and Safeguarding</w:t>
      </w:r>
    </w:p>
    <w:p w14:paraId="2F72D631" w14:textId="77777777" w:rsidR="00F30C54" w:rsidRPr="007B1368" w:rsidRDefault="00F30C54">
      <w:pPr>
        <w:autoSpaceDE w:val="0"/>
        <w:autoSpaceDN w:val="0"/>
        <w:adjustRightInd w:val="0"/>
        <w:spacing w:after="37"/>
        <w:rPr>
          <w:color w:val="000000"/>
          <w:sz w:val="22"/>
          <w:szCs w:val="22"/>
        </w:rPr>
      </w:pPr>
    </w:p>
    <w:p w14:paraId="1FD1B585" w14:textId="507AC172" w:rsidR="00F30C54" w:rsidRPr="007B1368" w:rsidRDefault="00F30C54" w:rsidP="007F69C0">
      <w:pPr>
        <w:pStyle w:val="ListParagraph"/>
        <w:numPr>
          <w:ilvl w:val="0"/>
          <w:numId w:val="45"/>
        </w:numPr>
        <w:autoSpaceDE w:val="0"/>
        <w:autoSpaceDN w:val="0"/>
        <w:adjustRightInd w:val="0"/>
        <w:spacing w:after="37"/>
        <w:rPr>
          <w:color w:val="000000"/>
          <w:sz w:val="22"/>
          <w:szCs w:val="22"/>
        </w:rPr>
      </w:pPr>
      <w:r w:rsidRPr="007B1368">
        <w:rPr>
          <w:color w:val="000000"/>
          <w:sz w:val="22"/>
          <w:szCs w:val="22"/>
        </w:rPr>
        <w:t xml:space="preserve">The Provider is required to adhere to national and local guidelines for offering contraception and sexual health advice and treatment to young people ages 16 and under. This includes completing Fraser competence assessments. </w:t>
      </w:r>
    </w:p>
    <w:p w14:paraId="3F7ED100" w14:textId="43CEC7DF" w:rsidR="00F30C54" w:rsidRPr="007B1368" w:rsidRDefault="00F30C54">
      <w:pPr>
        <w:autoSpaceDE w:val="0"/>
        <w:autoSpaceDN w:val="0"/>
        <w:adjustRightInd w:val="0"/>
        <w:spacing w:after="37"/>
        <w:rPr>
          <w:color w:val="000000"/>
          <w:sz w:val="22"/>
          <w:szCs w:val="22"/>
        </w:rPr>
      </w:pPr>
    </w:p>
    <w:p w14:paraId="1FC12CF6" w14:textId="1EE06F8D" w:rsidR="00F30C54" w:rsidRPr="007B1368" w:rsidRDefault="00F30C54" w:rsidP="007F69C0">
      <w:pPr>
        <w:pStyle w:val="ListParagraph"/>
        <w:numPr>
          <w:ilvl w:val="0"/>
          <w:numId w:val="45"/>
        </w:numPr>
        <w:autoSpaceDE w:val="0"/>
        <w:autoSpaceDN w:val="0"/>
        <w:adjustRightInd w:val="0"/>
        <w:spacing w:after="37"/>
        <w:rPr>
          <w:color w:val="000000"/>
          <w:sz w:val="22"/>
          <w:szCs w:val="22"/>
        </w:rPr>
      </w:pPr>
      <w:r w:rsidRPr="007B1368">
        <w:rPr>
          <w:color w:val="000000"/>
          <w:sz w:val="22"/>
          <w:szCs w:val="22"/>
        </w:rPr>
        <w:t xml:space="preserve">The Provider must comply with national and local policies and procedures for safeguarding children and vulnerable adults. </w:t>
      </w:r>
    </w:p>
    <w:p w14:paraId="638235C9" w14:textId="77777777" w:rsidR="00F30C54" w:rsidRPr="007B1368" w:rsidRDefault="00F30C54" w:rsidP="00F76E30">
      <w:pPr>
        <w:autoSpaceDE w:val="0"/>
        <w:autoSpaceDN w:val="0"/>
        <w:adjustRightInd w:val="0"/>
        <w:spacing w:after="37"/>
        <w:rPr>
          <w:color w:val="000000"/>
          <w:sz w:val="22"/>
          <w:szCs w:val="22"/>
        </w:rPr>
      </w:pPr>
    </w:p>
    <w:p w14:paraId="7FB84ADF" w14:textId="5B23E880" w:rsidR="00F30C54" w:rsidRPr="007B1368" w:rsidRDefault="00F30C54" w:rsidP="008A0729">
      <w:pPr>
        <w:autoSpaceDE w:val="0"/>
        <w:autoSpaceDN w:val="0"/>
        <w:adjustRightInd w:val="0"/>
        <w:spacing w:after="37"/>
        <w:rPr>
          <w:b/>
          <w:color w:val="000000"/>
          <w:sz w:val="22"/>
          <w:szCs w:val="22"/>
        </w:rPr>
      </w:pPr>
      <w:r w:rsidRPr="007B1368">
        <w:rPr>
          <w:b/>
          <w:color w:val="000000"/>
          <w:sz w:val="22"/>
          <w:szCs w:val="22"/>
        </w:rPr>
        <w:lastRenderedPageBreak/>
        <w:t>Patient Counselling and Support</w:t>
      </w:r>
    </w:p>
    <w:p w14:paraId="0B9B4D92" w14:textId="77777777" w:rsidR="00F30C54" w:rsidRPr="007B1368" w:rsidRDefault="00F30C54" w:rsidP="008A0729">
      <w:pPr>
        <w:autoSpaceDE w:val="0"/>
        <w:autoSpaceDN w:val="0"/>
        <w:adjustRightInd w:val="0"/>
        <w:spacing w:after="37"/>
        <w:rPr>
          <w:b/>
          <w:color w:val="000000"/>
          <w:sz w:val="22"/>
          <w:szCs w:val="22"/>
        </w:rPr>
      </w:pPr>
    </w:p>
    <w:p w14:paraId="3D571773" w14:textId="755EE599" w:rsidR="00F30C54" w:rsidRPr="007B1368" w:rsidRDefault="00F30C54" w:rsidP="007F69C0">
      <w:pPr>
        <w:pStyle w:val="ListParagraph"/>
        <w:numPr>
          <w:ilvl w:val="0"/>
          <w:numId w:val="46"/>
        </w:numPr>
        <w:autoSpaceDE w:val="0"/>
        <w:autoSpaceDN w:val="0"/>
        <w:adjustRightInd w:val="0"/>
        <w:spacing w:after="37"/>
        <w:rPr>
          <w:color w:val="000000"/>
          <w:sz w:val="22"/>
          <w:szCs w:val="22"/>
        </w:rPr>
      </w:pPr>
      <w:r w:rsidRPr="007B1368">
        <w:rPr>
          <w:sz w:val="22"/>
          <w:szCs w:val="22"/>
        </w:rPr>
        <w:t>Women must be provided with both oral and written information regarding the implant's duration, effectiveness, side effects and their management, as well as any symptoms that may require urgent assessment. The patient’s understanding of contraceptive implants must be confirmed before fitting.</w:t>
      </w:r>
    </w:p>
    <w:p w14:paraId="092D2E8E" w14:textId="7514C084" w:rsidR="00F30C54" w:rsidRPr="007B1368" w:rsidRDefault="00F30C54" w:rsidP="00204C1F">
      <w:pPr>
        <w:pStyle w:val="Default"/>
        <w:rPr>
          <w:sz w:val="22"/>
          <w:szCs w:val="22"/>
        </w:rPr>
      </w:pPr>
      <w:r w:rsidRPr="007B1368">
        <w:rPr>
          <w:sz w:val="22"/>
          <w:szCs w:val="22"/>
        </w:rPr>
        <w:t xml:space="preserve"> </w:t>
      </w:r>
    </w:p>
    <w:p w14:paraId="44C7314D" w14:textId="0E856BD6" w:rsidR="00F30C54" w:rsidRPr="007B1368" w:rsidRDefault="00F30C54" w:rsidP="00204C1F">
      <w:pPr>
        <w:pStyle w:val="Default"/>
        <w:rPr>
          <w:sz w:val="22"/>
          <w:szCs w:val="22"/>
        </w:rPr>
      </w:pPr>
    </w:p>
    <w:p w14:paraId="2F869E26" w14:textId="24C0C5BF" w:rsidR="00F30C54" w:rsidRPr="007B1368" w:rsidRDefault="00F30C54" w:rsidP="007F69C0">
      <w:pPr>
        <w:pStyle w:val="Default"/>
        <w:numPr>
          <w:ilvl w:val="0"/>
          <w:numId w:val="46"/>
        </w:numPr>
        <w:rPr>
          <w:sz w:val="22"/>
          <w:szCs w:val="22"/>
        </w:rPr>
      </w:pPr>
      <w:r w:rsidRPr="007B1368">
        <w:rPr>
          <w:sz w:val="22"/>
          <w:szCs w:val="22"/>
        </w:rPr>
        <w:t>Comprehensive counselling should be provided to ensure that women have all the necessary information to make an informed choice that best suits their individual contraceptive and reproductive health needs and personal preferences.</w:t>
      </w:r>
    </w:p>
    <w:p w14:paraId="126EEE5B" w14:textId="39347BE0" w:rsidR="00F30C54" w:rsidRPr="007B1368" w:rsidRDefault="00F30C54" w:rsidP="00204C1F">
      <w:pPr>
        <w:pStyle w:val="Default"/>
        <w:rPr>
          <w:sz w:val="22"/>
          <w:szCs w:val="22"/>
        </w:rPr>
      </w:pPr>
    </w:p>
    <w:p w14:paraId="3D657B64" w14:textId="77777777" w:rsidR="00F30C54" w:rsidRPr="007B1368" w:rsidRDefault="00F30C54" w:rsidP="00FB03B8">
      <w:pPr>
        <w:tabs>
          <w:tab w:val="left" w:pos="284"/>
        </w:tabs>
        <w:rPr>
          <w:b/>
          <w:sz w:val="22"/>
          <w:szCs w:val="22"/>
        </w:rPr>
      </w:pPr>
      <w:r w:rsidRPr="007B1368">
        <w:rPr>
          <w:b/>
          <w:sz w:val="22"/>
          <w:szCs w:val="22"/>
        </w:rPr>
        <w:t>Follow-Up and Problem Management</w:t>
      </w:r>
    </w:p>
    <w:p w14:paraId="37C26719" w14:textId="77777777" w:rsidR="00F30C54" w:rsidRPr="007B1368" w:rsidRDefault="00F30C54" w:rsidP="00FB03B8">
      <w:pPr>
        <w:tabs>
          <w:tab w:val="left" w:pos="284"/>
        </w:tabs>
        <w:rPr>
          <w:b/>
          <w:sz w:val="22"/>
          <w:szCs w:val="22"/>
        </w:rPr>
      </w:pPr>
    </w:p>
    <w:p w14:paraId="1EEEBF96" w14:textId="6194D034" w:rsidR="00F30C54" w:rsidRPr="007B1368" w:rsidRDefault="00F30C54" w:rsidP="007F69C0">
      <w:pPr>
        <w:pStyle w:val="ListParagraph"/>
        <w:numPr>
          <w:ilvl w:val="0"/>
          <w:numId w:val="47"/>
        </w:numPr>
        <w:rPr>
          <w:sz w:val="22"/>
          <w:szCs w:val="22"/>
        </w:rPr>
      </w:pPr>
      <w:r w:rsidRPr="007B1368">
        <w:rPr>
          <w:sz w:val="22"/>
          <w:szCs w:val="22"/>
        </w:rPr>
        <w:t>The Provider must follow recommendations in NICE clinical guidelines for managing issues related to long-acting reversible contraception (LARC).</w:t>
      </w:r>
    </w:p>
    <w:p w14:paraId="358B3BFF" w14:textId="77777777" w:rsidR="00F30C54" w:rsidRPr="007B1368" w:rsidRDefault="00F30C54" w:rsidP="00FB03B8">
      <w:pPr>
        <w:tabs>
          <w:tab w:val="left" w:pos="284"/>
        </w:tabs>
        <w:rPr>
          <w:sz w:val="22"/>
          <w:szCs w:val="22"/>
        </w:rPr>
      </w:pPr>
    </w:p>
    <w:p w14:paraId="439D2C77" w14:textId="3DCBF55A" w:rsidR="00F30C54" w:rsidRPr="007B1368" w:rsidRDefault="00F30C54" w:rsidP="007F69C0">
      <w:pPr>
        <w:pStyle w:val="ListParagraph"/>
        <w:numPr>
          <w:ilvl w:val="0"/>
          <w:numId w:val="47"/>
        </w:numPr>
        <w:tabs>
          <w:tab w:val="left" w:pos="284"/>
        </w:tabs>
        <w:rPr>
          <w:sz w:val="22"/>
          <w:szCs w:val="22"/>
        </w:rPr>
      </w:pPr>
      <w:r w:rsidRPr="007B1368">
        <w:rPr>
          <w:sz w:val="22"/>
          <w:szCs w:val="22"/>
        </w:rPr>
        <w:t>The provider will promote safer sex, assess STI risk, and advise testing where appropriate. STI screening should be offered to all women identified as at risk of STIs when requesting IUC, and they should be referred to local sexual health services as needed.</w:t>
      </w:r>
    </w:p>
    <w:p w14:paraId="3185AD17" w14:textId="77777777" w:rsidR="00F30C54" w:rsidRPr="007B1368" w:rsidRDefault="00F30C54" w:rsidP="00FB03B8">
      <w:pPr>
        <w:tabs>
          <w:tab w:val="left" w:pos="284"/>
        </w:tabs>
        <w:rPr>
          <w:sz w:val="22"/>
          <w:szCs w:val="22"/>
        </w:rPr>
      </w:pPr>
    </w:p>
    <w:p w14:paraId="5CF639FB" w14:textId="080B3890" w:rsidR="00F30C54" w:rsidRPr="007B1368" w:rsidRDefault="00F30C54" w:rsidP="00FB03B8">
      <w:pPr>
        <w:tabs>
          <w:tab w:val="left" w:pos="284"/>
        </w:tabs>
        <w:rPr>
          <w:b/>
          <w:sz w:val="22"/>
          <w:szCs w:val="22"/>
        </w:rPr>
      </w:pPr>
      <w:r w:rsidRPr="007B1368">
        <w:rPr>
          <w:b/>
          <w:sz w:val="22"/>
          <w:szCs w:val="22"/>
        </w:rPr>
        <w:t>Promoting Health and Wellbeing</w:t>
      </w:r>
    </w:p>
    <w:p w14:paraId="206DF93C" w14:textId="77777777" w:rsidR="00F30C54" w:rsidRPr="007B1368" w:rsidRDefault="00F30C54" w:rsidP="00FB03B8">
      <w:pPr>
        <w:tabs>
          <w:tab w:val="left" w:pos="284"/>
        </w:tabs>
        <w:rPr>
          <w:bCs/>
          <w:sz w:val="22"/>
          <w:szCs w:val="22"/>
          <w:lang w:val="en-US"/>
        </w:rPr>
      </w:pPr>
    </w:p>
    <w:p w14:paraId="76283BBB" w14:textId="35E2D994" w:rsidR="00F30C54" w:rsidRPr="007B1368" w:rsidRDefault="00F30C54" w:rsidP="00FB03B8">
      <w:pPr>
        <w:rPr>
          <w:sz w:val="22"/>
          <w:szCs w:val="22"/>
        </w:rPr>
      </w:pPr>
      <w:r w:rsidRPr="004F6F51">
        <w:rPr>
          <w:bCs/>
          <w:sz w:val="22"/>
          <w:szCs w:val="22"/>
        </w:rPr>
        <w:t xml:space="preserve">Under the Make Every Contact Count (MECC) initiative, </w:t>
      </w:r>
      <w:r w:rsidRPr="004F6F51">
        <w:rPr>
          <w:sz w:val="22"/>
          <w:szCs w:val="22"/>
        </w:rPr>
        <w:t xml:space="preserve">the Provider must systematically deliver brief interventions, behavioural support, signposting and/or an “opt-out” approach to appropriate prevention services. For example, smoking, physical activity, diet, nutrition, and substance misuse support. </w:t>
      </w:r>
    </w:p>
    <w:p w14:paraId="0A2DB523" w14:textId="77777777" w:rsidR="00F30C54" w:rsidRPr="007B1368" w:rsidRDefault="00F30C54" w:rsidP="00F76E30">
      <w:pPr>
        <w:autoSpaceDE w:val="0"/>
        <w:autoSpaceDN w:val="0"/>
        <w:adjustRightInd w:val="0"/>
        <w:spacing w:after="37"/>
        <w:rPr>
          <w:color w:val="000000"/>
          <w:sz w:val="22"/>
          <w:szCs w:val="22"/>
        </w:rPr>
      </w:pPr>
    </w:p>
    <w:p w14:paraId="5C643E3E" w14:textId="0D7D5108" w:rsidR="00F30C54" w:rsidRPr="007B1368" w:rsidRDefault="00F30C54" w:rsidP="008A0729">
      <w:pPr>
        <w:autoSpaceDE w:val="0"/>
        <w:autoSpaceDN w:val="0"/>
        <w:adjustRightInd w:val="0"/>
        <w:rPr>
          <w:b/>
          <w:color w:val="000000"/>
          <w:sz w:val="22"/>
          <w:szCs w:val="22"/>
        </w:rPr>
      </w:pPr>
      <w:r w:rsidRPr="007B1368">
        <w:rPr>
          <w:b/>
          <w:color w:val="000000"/>
          <w:sz w:val="22"/>
          <w:szCs w:val="22"/>
        </w:rPr>
        <w:t>Monitoring and Compliance</w:t>
      </w:r>
    </w:p>
    <w:p w14:paraId="1B9A6212" w14:textId="77777777" w:rsidR="00F30C54" w:rsidRPr="007B1368" w:rsidRDefault="00F30C54" w:rsidP="008A0729">
      <w:pPr>
        <w:autoSpaceDE w:val="0"/>
        <w:autoSpaceDN w:val="0"/>
        <w:adjustRightInd w:val="0"/>
        <w:rPr>
          <w:color w:val="000000"/>
          <w:sz w:val="22"/>
          <w:szCs w:val="22"/>
        </w:rPr>
      </w:pPr>
    </w:p>
    <w:p w14:paraId="24743DB7" w14:textId="7D73BE9B" w:rsidR="00F30C54" w:rsidRPr="007B1368" w:rsidRDefault="00F30C54" w:rsidP="008A0729">
      <w:pPr>
        <w:autoSpaceDE w:val="0"/>
        <w:autoSpaceDN w:val="0"/>
        <w:adjustRightInd w:val="0"/>
        <w:rPr>
          <w:color w:val="000000"/>
          <w:sz w:val="22"/>
          <w:szCs w:val="22"/>
        </w:rPr>
      </w:pPr>
      <w:r w:rsidRPr="007B1368">
        <w:rPr>
          <w:color w:val="000000"/>
          <w:sz w:val="22"/>
          <w:szCs w:val="22"/>
        </w:rPr>
        <w:t xml:space="preserve">The Council may arrange at least one service monitoring meeting per annum. </w:t>
      </w:r>
    </w:p>
    <w:p w14:paraId="1AE54B9B" w14:textId="77777777" w:rsidR="00F30C54" w:rsidRPr="007B1368" w:rsidRDefault="00F30C54" w:rsidP="008A0729">
      <w:pPr>
        <w:rPr>
          <w:sz w:val="22"/>
          <w:szCs w:val="22"/>
        </w:rPr>
      </w:pPr>
    </w:p>
    <w:p w14:paraId="3EC6A3D6" w14:textId="77777777" w:rsidR="00F30C54" w:rsidRPr="007B1368" w:rsidRDefault="00F30C54" w:rsidP="0070402D">
      <w:pPr>
        <w:pStyle w:val="Default"/>
        <w:rPr>
          <w:b/>
          <w:bCs/>
          <w:sz w:val="22"/>
          <w:szCs w:val="22"/>
        </w:rPr>
      </w:pPr>
      <w:r w:rsidRPr="007B1368">
        <w:rPr>
          <w:b/>
          <w:bCs/>
          <w:sz w:val="22"/>
          <w:szCs w:val="22"/>
        </w:rPr>
        <w:t xml:space="preserve">Interdependencies with other services </w:t>
      </w:r>
    </w:p>
    <w:p w14:paraId="67B5536B" w14:textId="77777777" w:rsidR="00F30C54" w:rsidRPr="007B1368" w:rsidRDefault="00F30C54" w:rsidP="004447F2">
      <w:pPr>
        <w:spacing w:line="276" w:lineRule="auto"/>
        <w:rPr>
          <w:sz w:val="22"/>
          <w:szCs w:val="22"/>
        </w:rPr>
      </w:pPr>
    </w:p>
    <w:p w14:paraId="07E11A5D" w14:textId="2E8B9315" w:rsidR="00F30C54" w:rsidRPr="007B1368" w:rsidRDefault="00F30C54" w:rsidP="00085A80">
      <w:pPr>
        <w:jc w:val="both"/>
        <w:textAlignment w:val="baseline"/>
        <w:rPr>
          <w:rFonts w:eastAsia="Times New Roman"/>
          <w:sz w:val="22"/>
          <w:szCs w:val="22"/>
          <w:lang w:eastAsia="en-GB"/>
        </w:rPr>
      </w:pPr>
      <w:r w:rsidRPr="007B1368">
        <w:rPr>
          <w:rFonts w:eastAsia="Times New Roman"/>
          <w:sz w:val="22"/>
          <w:szCs w:val="22"/>
          <w:lang w:eastAsia="en-GB"/>
        </w:rPr>
        <w:t>The Provider will be expected establish, maintain, and work collaboratively with other relevant agencies within the wider sexual health system. These interdependencies ensure seamless service delivery and integration across pathways.  </w:t>
      </w:r>
    </w:p>
    <w:p w14:paraId="005F913E" w14:textId="670DA61F" w:rsidR="00F30C54" w:rsidRPr="007B1368" w:rsidRDefault="00F30C54" w:rsidP="00C151B8">
      <w:pPr>
        <w:jc w:val="both"/>
        <w:textAlignment w:val="baseline"/>
        <w:rPr>
          <w:rFonts w:eastAsia="Times New Roman"/>
          <w:sz w:val="22"/>
          <w:szCs w:val="22"/>
          <w:lang w:eastAsia="en-GB"/>
        </w:rPr>
      </w:pPr>
    </w:p>
    <w:p w14:paraId="11AAE934" w14:textId="25486CE5" w:rsidR="00F30C54" w:rsidRPr="007B1368" w:rsidRDefault="00F30C54" w:rsidP="00C151B8">
      <w:pPr>
        <w:jc w:val="both"/>
        <w:textAlignment w:val="baseline"/>
        <w:rPr>
          <w:rFonts w:eastAsia="Times New Roman"/>
          <w:b/>
          <w:sz w:val="22"/>
          <w:szCs w:val="22"/>
          <w:lang w:eastAsia="en-GB"/>
        </w:rPr>
      </w:pPr>
      <w:r w:rsidRPr="007B1368">
        <w:rPr>
          <w:rFonts w:eastAsia="Times New Roman"/>
          <w:b/>
          <w:sz w:val="22"/>
          <w:szCs w:val="22"/>
          <w:lang w:eastAsia="en-GB"/>
        </w:rPr>
        <w:t>Key Agencies and Partners</w:t>
      </w:r>
    </w:p>
    <w:p w14:paraId="26365E09" w14:textId="77777777" w:rsidR="00F30C54" w:rsidRPr="007B1368" w:rsidRDefault="00F30C54" w:rsidP="00C151B8">
      <w:pPr>
        <w:jc w:val="both"/>
        <w:textAlignment w:val="baseline"/>
        <w:rPr>
          <w:rFonts w:eastAsia="Times New Roman"/>
          <w:sz w:val="22"/>
          <w:szCs w:val="22"/>
          <w:lang w:eastAsia="en-GB"/>
        </w:rPr>
      </w:pPr>
    </w:p>
    <w:p w14:paraId="574D1FD3" w14:textId="384025A5" w:rsidR="00F30C54" w:rsidRPr="007B1368" w:rsidRDefault="00F30C54" w:rsidP="00762CBA">
      <w:pPr>
        <w:pStyle w:val="ListParagraph"/>
        <w:numPr>
          <w:ilvl w:val="0"/>
          <w:numId w:val="23"/>
        </w:numPr>
        <w:jc w:val="both"/>
        <w:textAlignment w:val="baseline"/>
        <w:rPr>
          <w:rFonts w:eastAsia="Times New Roman"/>
          <w:sz w:val="22"/>
          <w:szCs w:val="22"/>
          <w:lang w:eastAsia="en-GB"/>
        </w:rPr>
      </w:pPr>
      <w:r w:rsidRPr="007B1368">
        <w:rPr>
          <w:rFonts w:eastAsia="Times New Roman"/>
          <w:sz w:val="22"/>
          <w:szCs w:val="22"/>
          <w:lang w:eastAsia="en-GB"/>
        </w:rPr>
        <w:t>North Northamptonshire Integrated Sexual Health (NNISH) Service</w:t>
      </w:r>
    </w:p>
    <w:p w14:paraId="32195CC8" w14:textId="77777777" w:rsidR="00F30C54" w:rsidRPr="007B1368" w:rsidRDefault="00F30C54" w:rsidP="00762CBA">
      <w:pPr>
        <w:pStyle w:val="ListParagraph"/>
        <w:numPr>
          <w:ilvl w:val="0"/>
          <w:numId w:val="23"/>
        </w:numPr>
        <w:jc w:val="both"/>
        <w:textAlignment w:val="baseline"/>
        <w:rPr>
          <w:rFonts w:eastAsia="Times New Roman"/>
          <w:sz w:val="22"/>
          <w:szCs w:val="22"/>
          <w:lang w:eastAsia="en-GB"/>
        </w:rPr>
      </w:pPr>
      <w:r w:rsidRPr="007B1368">
        <w:rPr>
          <w:rFonts w:eastAsia="Times New Roman"/>
          <w:sz w:val="22"/>
          <w:szCs w:val="22"/>
          <w:lang w:eastAsia="en-GB"/>
        </w:rPr>
        <w:t>Pharmacies</w:t>
      </w:r>
    </w:p>
    <w:p w14:paraId="67FC15D7" w14:textId="0FF0EA2F" w:rsidR="00F30C54" w:rsidRPr="007B1368" w:rsidRDefault="00F30C54" w:rsidP="00762CBA">
      <w:pPr>
        <w:pStyle w:val="ListParagraph"/>
        <w:numPr>
          <w:ilvl w:val="0"/>
          <w:numId w:val="23"/>
        </w:numPr>
        <w:jc w:val="both"/>
        <w:textAlignment w:val="baseline"/>
        <w:rPr>
          <w:rFonts w:eastAsia="Times New Roman"/>
          <w:sz w:val="22"/>
          <w:szCs w:val="22"/>
          <w:lang w:eastAsia="en-GB"/>
        </w:rPr>
      </w:pPr>
      <w:r w:rsidRPr="007B1368">
        <w:rPr>
          <w:rFonts w:eastAsia="Times New Roman"/>
          <w:sz w:val="22"/>
          <w:szCs w:val="22"/>
          <w:lang w:eastAsia="en-GB"/>
        </w:rPr>
        <w:t>Integrated Care Board (ICB)</w:t>
      </w:r>
    </w:p>
    <w:p w14:paraId="2F328AD1" w14:textId="2854CC3E" w:rsidR="00F30C54" w:rsidRPr="007B1368" w:rsidRDefault="00F30C54" w:rsidP="00762CBA">
      <w:pPr>
        <w:pStyle w:val="ListParagraph"/>
        <w:numPr>
          <w:ilvl w:val="0"/>
          <w:numId w:val="23"/>
        </w:numPr>
        <w:jc w:val="both"/>
        <w:textAlignment w:val="baseline"/>
        <w:rPr>
          <w:rFonts w:eastAsia="Times New Roman"/>
          <w:sz w:val="22"/>
          <w:szCs w:val="22"/>
          <w:lang w:eastAsia="en-GB"/>
        </w:rPr>
      </w:pPr>
      <w:r w:rsidRPr="007B1368">
        <w:rPr>
          <w:rFonts w:eastAsia="Times New Roman"/>
          <w:sz w:val="22"/>
          <w:szCs w:val="22"/>
          <w:lang w:eastAsia="en-GB"/>
        </w:rPr>
        <w:t xml:space="preserve">NHS England </w:t>
      </w:r>
    </w:p>
    <w:p w14:paraId="4750F573" w14:textId="17C6F567" w:rsidR="00F30C54" w:rsidRPr="007B1368" w:rsidRDefault="00F30C54" w:rsidP="00762CBA">
      <w:pPr>
        <w:pStyle w:val="ListParagraph"/>
        <w:numPr>
          <w:ilvl w:val="0"/>
          <w:numId w:val="23"/>
        </w:numPr>
        <w:jc w:val="both"/>
        <w:textAlignment w:val="baseline"/>
        <w:rPr>
          <w:rFonts w:eastAsia="Times New Roman"/>
          <w:sz w:val="22"/>
          <w:szCs w:val="22"/>
          <w:lang w:eastAsia="en-GB"/>
        </w:rPr>
      </w:pPr>
      <w:r w:rsidRPr="007B1368">
        <w:rPr>
          <w:rFonts w:eastAsia="Times New Roman"/>
          <w:sz w:val="22"/>
          <w:szCs w:val="22"/>
          <w:lang w:eastAsia="en-GB"/>
        </w:rPr>
        <w:t>Office of Health Improvement and Disparities (OHID), Previously known as public Health England</w:t>
      </w:r>
    </w:p>
    <w:p w14:paraId="226A1BEF" w14:textId="37F27BC3" w:rsidR="00F30C54" w:rsidRPr="007B1368" w:rsidRDefault="00F30C54" w:rsidP="00762CBA">
      <w:pPr>
        <w:pStyle w:val="ListParagraph"/>
        <w:numPr>
          <w:ilvl w:val="0"/>
          <w:numId w:val="23"/>
        </w:numPr>
        <w:jc w:val="both"/>
        <w:textAlignment w:val="baseline"/>
        <w:rPr>
          <w:color w:val="000000"/>
          <w:sz w:val="22"/>
          <w:szCs w:val="22"/>
        </w:rPr>
      </w:pPr>
      <w:r w:rsidRPr="007B1368">
        <w:rPr>
          <w:color w:val="000000"/>
          <w:sz w:val="22"/>
          <w:szCs w:val="22"/>
        </w:rPr>
        <w:t>Safeguarding Children/Adults Boards</w:t>
      </w:r>
    </w:p>
    <w:p w14:paraId="6C82CA38" w14:textId="4EA24A2A" w:rsidR="00F30C54" w:rsidRPr="007B1368" w:rsidRDefault="00F30C54" w:rsidP="00762CBA">
      <w:pPr>
        <w:pStyle w:val="ListParagraph"/>
        <w:numPr>
          <w:ilvl w:val="0"/>
          <w:numId w:val="23"/>
        </w:numPr>
        <w:jc w:val="both"/>
        <w:textAlignment w:val="baseline"/>
        <w:rPr>
          <w:color w:val="000000"/>
          <w:sz w:val="22"/>
          <w:szCs w:val="22"/>
        </w:rPr>
      </w:pPr>
      <w:r w:rsidRPr="007B1368">
        <w:rPr>
          <w:color w:val="000000"/>
          <w:sz w:val="22"/>
          <w:szCs w:val="22"/>
        </w:rPr>
        <w:t>Safeguarding Teams within NHS and local authorities</w:t>
      </w:r>
    </w:p>
    <w:p w14:paraId="43041196" w14:textId="40DB6536" w:rsidR="00F30C54" w:rsidRPr="007B1368" w:rsidRDefault="00F30C54" w:rsidP="0070402D">
      <w:pPr>
        <w:jc w:val="both"/>
        <w:textAlignment w:val="baseline"/>
        <w:rPr>
          <w:color w:val="000000"/>
          <w:sz w:val="22"/>
          <w:szCs w:val="22"/>
        </w:rPr>
      </w:pPr>
    </w:p>
    <w:p w14:paraId="207059C8" w14:textId="7FFB9C3F" w:rsidR="00F30C54" w:rsidRPr="007B1368" w:rsidRDefault="00F30C54" w:rsidP="0070402D">
      <w:pPr>
        <w:spacing w:after="160" w:line="259" w:lineRule="auto"/>
        <w:jc w:val="both"/>
        <w:rPr>
          <w:b/>
          <w:bCs/>
          <w:i/>
          <w:iCs/>
          <w:sz w:val="22"/>
          <w:szCs w:val="22"/>
        </w:rPr>
      </w:pPr>
      <w:r w:rsidRPr="007B1368">
        <w:rPr>
          <w:sz w:val="22"/>
          <w:szCs w:val="22"/>
        </w:rPr>
        <w:lastRenderedPageBreak/>
        <w:t>The Provider must work within recognised referral pathways for other services, including (but not limited to):</w:t>
      </w:r>
    </w:p>
    <w:p w14:paraId="11310F5F" w14:textId="77777777" w:rsidR="00F30C54" w:rsidRPr="007B1368" w:rsidRDefault="00F30C54" w:rsidP="00762CBA">
      <w:pPr>
        <w:pStyle w:val="ListParagraph"/>
        <w:numPr>
          <w:ilvl w:val="2"/>
          <w:numId w:val="30"/>
        </w:numPr>
        <w:spacing w:after="160" w:line="259" w:lineRule="auto"/>
        <w:ind w:left="709" w:hanging="425"/>
        <w:rPr>
          <w:sz w:val="22"/>
          <w:szCs w:val="22"/>
        </w:rPr>
      </w:pPr>
      <w:r w:rsidRPr="007B1368">
        <w:rPr>
          <w:sz w:val="22"/>
          <w:szCs w:val="22"/>
        </w:rPr>
        <w:t>NNISH Service</w:t>
      </w:r>
    </w:p>
    <w:p w14:paraId="22276E74" w14:textId="77777777" w:rsidR="00F30C54" w:rsidRPr="007B1368" w:rsidRDefault="00F30C54" w:rsidP="00762CBA">
      <w:pPr>
        <w:pStyle w:val="ListParagraph"/>
        <w:numPr>
          <w:ilvl w:val="2"/>
          <w:numId w:val="30"/>
        </w:numPr>
        <w:spacing w:after="160" w:line="259" w:lineRule="auto"/>
        <w:ind w:left="709" w:hanging="425"/>
        <w:rPr>
          <w:sz w:val="22"/>
          <w:szCs w:val="22"/>
        </w:rPr>
      </w:pPr>
      <w:r w:rsidRPr="007B1368">
        <w:rPr>
          <w:sz w:val="22"/>
          <w:szCs w:val="22"/>
        </w:rPr>
        <w:t>Termination services</w:t>
      </w:r>
    </w:p>
    <w:p w14:paraId="5DC521CB" w14:textId="77777777" w:rsidR="00F30C54" w:rsidRPr="007B1368" w:rsidRDefault="00F30C54" w:rsidP="00762CBA">
      <w:pPr>
        <w:pStyle w:val="ListParagraph"/>
        <w:numPr>
          <w:ilvl w:val="2"/>
          <w:numId w:val="30"/>
        </w:numPr>
        <w:spacing w:after="160" w:line="259" w:lineRule="auto"/>
        <w:ind w:left="709" w:hanging="425"/>
        <w:rPr>
          <w:sz w:val="22"/>
          <w:szCs w:val="22"/>
        </w:rPr>
      </w:pPr>
      <w:r w:rsidRPr="007B1368">
        <w:rPr>
          <w:sz w:val="22"/>
          <w:szCs w:val="22"/>
        </w:rPr>
        <w:t>Maternity services</w:t>
      </w:r>
    </w:p>
    <w:p w14:paraId="6EAE57CA" w14:textId="77777777" w:rsidR="00F30C54" w:rsidRPr="007B1368" w:rsidRDefault="00F30C54" w:rsidP="00762CBA">
      <w:pPr>
        <w:pStyle w:val="ListParagraph"/>
        <w:numPr>
          <w:ilvl w:val="2"/>
          <w:numId w:val="30"/>
        </w:numPr>
        <w:spacing w:after="160" w:line="259" w:lineRule="auto"/>
        <w:ind w:left="709" w:hanging="425"/>
        <w:rPr>
          <w:sz w:val="22"/>
          <w:szCs w:val="22"/>
        </w:rPr>
      </w:pPr>
      <w:r w:rsidRPr="007B1368">
        <w:rPr>
          <w:sz w:val="22"/>
          <w:szCs w:val="22"/>
        </w:rPr>
        <w:t>Sexual Assault Referral Centres (SARCs)</w:t>
      </w:r>
    </w:p>
    <w:p w14:paraId="316AC191" w14:textId="77777777" w:rsidR="00F30C54" w:rsidRPr="007B1368" w:rsidRDefault="00F30C54" w:rsidP="00762CBA">
      <w:pPr>
        <w:pStyle w:val="ListParagraph"/>
        <w:numPr>
          <w:ilvl w:val="2"/>
          <w:numId w:val="30"/>
        </w:numPr>
        <w:spacing w:after="160" w:line="259" w:lineRule="auto"/>
        <w:ind w:left="709" w:hanging="425"/>
        <w:rPr>
          <w:sz w:val="22"/>
          <w:szCs w:val="22"/>
        </w:rPr>
      </w:pPr>
      <w:r w:rsidRPr="007B1368">
        <w:rPr>
          <w:sz w:val="22"/>
          <w:szCs w:val="22"/>
        </w:rPr>
        <w:t>Gynaecology</w:t>
      </w:r>
    </w:p>
    <w:p w14:paraId="6790A1C7" w14:textId="77777777" w:rsidR="00F30C54" w:rsidRPr="007B1368" w:rsidRDefault="00F30C54" w:rsidP="00762CBA">
      <w:pPr>
        <w:pStyle w:val="ListParagraph"/>
        <w:numPr>
          <w:ilvl w:val="2"/>
          <w:numId w:val="30"/>
        </w:numPr>
        <w:spacing w:after="160" w:line="259" w:lineRule="auto"/>
        <w:ind w:left="709" w:hanging="425"/>
        <w:rPr>
          <w:sz w:val="22"/>
          <w:szCs w:val="22"/>
        </w:rPr>
      </w:pPr>
      <w:r w:rsidRPr="007B1368">
        <w:rPr>
          <w:sz w:val="22"/>
          <w:szCs w:val="22"/>
        </w:rPr>
        <w:t>Urology</w:t>
      </w:r>
    </w:p>
    <w:p w14:paraId="329B41C9" w14:textId="77777777" w:rsidR="00F30C54" w:rsidRPr="007B1368" w:rsidRDefault="00F30C54" w:rsidP="00762CBA">
      <w:pPr>
        <w:pStyle w:val="ListParagraph"/>
        <w:numPr>
          <w:ilvl w:val="2"/>
          <w:numId w:val="30"/>
        </w:numPr>
        <w:spacing w:after="160" w:line="259" w:lineRule="auto"/>
        <w:ind w:left="709" w:hanging="425"/>
        <w:rPr>
          <w:sz w:val="22"/>
          <w:szCs w:val="22"/>
        </w:rPr>
      </w:pPr>
      <w:r w:rsidRPr="007B1368">
        <w:rPr>
          <w:sz w:val="22"/>
          <w:szCs w:val="22"/>
        </w:rPr>
        <w:t>Local sterilisation services</w:t>
      </w:r>
    </w:p>
    <w:p w14:paraId="0937847B" w14:textId="77777777" w:rsidR="00F30C54" w:rsidRPr="007B1368" w:rsidRDefault="00F30C54" w:rsidP="00762CBA">
      <w:pPr>
        <w:pStyle w:val="ListParagraph"/>
        <w:numPr>
          <w:ilvl w:val="2"/>
          <w:numId w:val="30"/>
        </w:numPr>
        <w:spacing w:after="160" w:line="259" w:lineRule="auto"/>
        <w:ind w:left="709" w:hanging="425"/>
        <w:rPr>
          <w:sz w:val="22"/>
          <w:szCs w:val="22"/>
        </w:rPr>
      </w:pPr>
      <w:r w:rsidRPr="007B1368">
        <w:rPr>
          <w:sz w:val="22"/>
          <w:szCs w:val="22"/>
        </w:rPr>
        <w:t>Pharmacies</w:t>
      </w:r>
    </w:p>
    <w:p w14:paraId="31E20899" w14:textId="77777777" w:rsidR="00F30C54" w:rsidRPr="007B1368" w:rsidRDefault="00F30C54" w:rsidP="00762CBA">
      <w:pPr>
        <w:pStyle w:val="ListParagraph"/>
        <w:numPr>
          <w:ilvl w:val="2"/>
          <w:numId w:val="30"/>
        </w:numPr>
        <w:spacing w:after="160" w:line="259" w:lineRule="auto"/>
        <w:ind w:left="709" w:hanging="425"/>
        <w:rPr>
          <w:sz w:val="22"/>
          <w:szCs w:val="22"/>
        </w:rPr>
      </w:pPr>
      <w:r w:rsidRPr="007B1368">
        <w:rPr>
          <w:sz w:val="22"/>
          <w:szCs w:val="22"/>
        </w:rPr>
        <w:t>Substance misuse services</w:t>
      </w:r>
    </w:p>
    <w:p w14:paraId="4770ABF9" w14:textId="77777777" w:rsidR="00F30C54" w:rsidRPr="007B1368" w:rsidRDefault="00F30C54" w:rsidP="00762CBA">
      <w:pPr>
        <w:pStyle w:val="ListParagraph"/>
        <w:numPr>
          <w:ilvl w:val="2"/>
          <w:numId w:val="30"/>
        </w:numPr>
        <w:spacing w:after="160" w:line="259" w:lineRule="auto"/>
        <w:ind w:left="709" w:hanging="425"/>
        <w:rPr>
          <w:sz w:val="22"/>
          <w:szCs w:val="22"/>
        </w:rPr>
      </w:pPr>
      <w:r w:rsidRPr="007B1368">
        <w:rPr>
          <w:sz w:val="22"/>
          <w:szCs w:val="22"/>
        </w:rPr>
        <w:t>Mental health services</w:t>
      </w:r>
    </w:p>
    <w:p w14:paraId="488259DB" w14:textId="77777777" w:rsidR="00F30C54" w:rsidRPr="007B1368" w:rsidRDefault="00F30C54" w:rsidP="00762CBA">
      <w:pPr>
        <w:pStyle w:val="ListParagraph"/>
        <w:numPr>
          <w:ilvl w:val="2"/>
          <w:numId w:val="30"/>
        </w:numPr>
        <w:spacing w:after="160" w:line="259" w:lineRule="auto"/>
        <w:ind w:left="709" w:hanging="425"/>
        <w:rPr>
          <w:sz w:val="22"/>
          <w:szCs w:val="22"/>
        </w:rPr>
      </w:pPr>
      <w:r w:rsidRPr="007B1368">
        <w:rPr>
          <w:sz w:val="22"/>
          <w:szCs w:val="22"/>
        </w:rPr>
        <w:t>Weight management services</w:t>
      </w:r>
    </w:p>
    <w:p w14:paraId="4BBDFDB3" w14:textId="658729A8" w:rsidR="00F30C54" w:rsidRPr="007B1368" w:rsidRDefault="00F30C54" w:rsidP="00762CBA">
      <w:pPr>
        <w:pStyle w:val="ListParagraph"/>
        <w:numPr>
          <w:ilvl w:val="2"/>
          <w:numId w:val="30"/>
        </w:numPr>
        <w:spacing w:after="160" w:line="259" w:lineRule="auto"/>
        <w:ind w:left="709" w:hanging="425"/>
        <w:rPr>
          <w:sz w:val="22"/>
          <w:szCs w:val="22"/>
        </w:rPr>
      </w:pPr>
      <w:r w:rsidRPr="007B1368">
        <w:rPr>
          <w:sz w:val="22"/>
          <w:szCs w:val="22"/>
        </w:rPr>
        <w:t>Smoking cessation services</w:t>
      </w:r>
    </w:p>
    <w:p w14:paraId="0D5611A3" w14:textId="10CFFF2E" w:rsidR="00F30C54" w:rsidRPr="007B1368" w:rsidRDefault="00F30C54" w:rsidP="00762CBA">
      <w:pPr>
        <w:pStyle w:val="ListParagraph"/>
        <w:numPr>
          <w:ilvl w:val="2"/>
          <w:numId w:val="30"/>
        </w:numPr>
        <w:spacing w:after="160" w:line="259" w:lineRule="auto"/>
        <w:ind w:left="709" w:hanging="425"/>
        <w:rPr>
          <w:sz w:val="22"/>
          <w:szCs w:val="22"/>
        </w:rPr>
      </w:pPr>
      <w:r w:rsidRPr="007B1368">
        <w:rPr>
          <w:sz w:val="22"/>
          <w:szCs w:val="22"/>
        </w:rPr>
        <w:t>Safeguarding children and vulnerable adults services</w:t>
      </w:r>
    </w:p>
    <w:p w14:paraId="56BAE6ED" w14:textId="77777777" w:rsidR="00F30C54" w:rsidRPr="007B1368" w:rsidRDefault="00F30C54" w:rsidP="00FE5564">
      <w:pPr>
        <w:spacing w:after="160" w:line="259" w:lineRule="auto"/>
        <w:rPr>
          <w:b/>
          <w:bCs/>
          <w:sz w:val="22"/>
          <w:szCs w:val="22"/>
        </w:rPr>
      </w:pPr>
      <w:r w:rsidRPr="007B1368">
        <w:rPr>
          <w:b/>
          <w:bCs/>
          <w:sz w:val="22"/>
          <w:szCs w:val="22"/>
        </w:rPr>
        <w:t>Practice to Practice Referrals</w:t>
      </w:r>
    </w:p>
    <w:p w14:paraId="221F380D" w14:textId="77777777" w:rsidR="00F30C54" w:rsidRPr="007B1368" w:rsidRDefault="00F30C54" w:rsidP="00AA1F93">
      <w:pPr>
        <w:spacing w:after="160" w:line="259" w:lineRule="auto"/>
        <w:rPr>
          <w:sz w:val="22"/>
          <w:szCs w:val="22"/>
        </w:rPr>
      </w:pPr>
      <w:r w:rsidRPr="007B1368">
        <w:rPr>
          <w:sz w:val="22"/>
          <w:szCs w:val="22"/>
        </w:rPr>
        <w:t xml:space="preserve">The provider may offer services to any eligible service user, promoting cross-practice collaboration and improved access. Providers can establish referral arrangements with other practices or deliver services at the PCN level (with agreement from other practices). </w:t>
      </w:r>
    </w:p>
    <w:p w14:paraId="5C805D74" w14:textId="77227B4B" w:rsidR="00F30C54" w:rsidRPr="007B1368" w:rsidRDefault="00F30C54" w:rsidP="00AA1F93">
      <w:pPr>
        <w:spacing w:after="160" w:line="259" w:lineRule="auto"/>
        <w:rPr>
          <w:sz w:val="22"/>
          <w:szCs w:val="22"/>
        </w:rPr>
      </w:pPr>
      <w:r w:rsidRPr="007B1368">
        <w:rPr>
          <w:sz w:val="22"/>
          <w:szCs w:val="22"/>
        </w:rPr>
        <w:t>This must include sharing relevant patient records for safe LARC service delivery. If the provider serves users registered with other practices, they must ensure access within four weeks. If this timeline cannot be met, users must be promptly referred back to the referring practice for alternative arrangements.</w:t>
      </w:r>
    </w:p>
    <w:p w14:paraId="558CDE82" w14:textId="4CEE4418" w:rsidR="00F30C54" w:rsidRPr="007B1368" w:rsidRDefault="00F30C54" w:rsidP="00AA1F93">
      <w:pPr>
        <w:spacing w:after="160" w:line="259" w:lineRule="auto"/>
        <w:rPr>
          <w:sz w:val="22"/>
          <w:szCs w:val="22"/>
        </w:rPr>
      </w:pPr>
      <w:r w:rsidRPr="007B1368">
        <w:rPr>
          <w:sz w:val="22"/>
          <w:szCs w:val="22"/>
        </w:rPr>
        <w:t>Providers will take clinical responsibility for referred service users from the moment the referral is accepted, covering the assessment, procedure, and follow-up for up to six weeks. After this period, responsibility transfers back to the referring GP. The provider must send a discharge summary to the referring practice, including details of the clinical episode and any ongoing care instructions.</w:t>
      </w:r>
    </w:p>
    <w:p w14:paraId="2796CB8F" w14:textId="134F0A30" w:rsidR="00F30C54" w:rsidRPr="007B1368" w:rsidRDefault="00F30C54" w:rsidP="00D7403E">
      <w:pPr>
        <w:pStyle w:val="Default"/>
        <w:rPr>
          <w:sz w:val="22"/>
          <w:szCs w:val="22"/>
        </w:rPr>
      </w:pPr>
      <w:r w:rsidRPr="007B1368">
        <w:rPr>
          <w:sz w:val="22"/>
          <w:szCs w:val="22"/>
        </w:rPr>
        <w:t xml:space="preserve">The following additional interdependencies will need to be established: </w:t>
      </w:r>
    </w:p>
    <w:p w14:paraId="5F0BE239" w14:textId="4B210F37" w:rsidR="00F30C54" w:rsidRPr="007B1368" w:rsidRDefault="00F30C54" w:rsidP="00762CBA">
      <w:pPr>
        <w:pStyle w:val="Default"/>
        <w:numPr>
          <w:ilvl w:val="0"/>
          <w:numId w:val="24"/>
        </w:numPr>
        <w:spacing w:after="20"/>
        <w:rPr>
          <w:sz w:val="22"/>
          <w:szCs w:val="22"/>
        </w:rPr>
      </w:pPr>
      <w:r w:rsidRPr="007B1368">
        <w:rPr>
          <w:sz w:val="22"/>
          <w:szCs w:val="22"/>
        </w:rPr>
        <w:t xml:space="preserve">Suppliers of intrauterine devices/systems. </w:t>
      </w:r>
    </w:p>
    <w:p w14:paraId="65F2842A" w14:textId="5C6A677D" w:rsidR="00F30C54" w:rsidRPr="007B1368" w:rsidRDefault="00F30C54" w:rsidP="00762CBA">
      <w:pPr>
        <w:pStyle w:val="Default"/>
        <w:numPr>
          <w:ilvl w:val="0"/>
          <w:numId w:val="24"/>
        </w:numPr>
        <w:spacing w:after="20"/>
        <w:rPr>
          <w:sz w:val="22"/>
          <w:szCs w:val="22"/>
        </w:rPr>
      </w:pPr>
      <w:r w:rsidRPr="007B1368">
        <w:rPr>
          <w:sz w:val="22"/>
          <w:szCs w:val="22"/>
        </w:rPr>
        <w:t xml:space="preserve">Supplies of contraceptive implants. </w:t>
      </w:r>
    </w:p>
    <w:p w14:paraId="23C528D5" w14:textId="0DF5AF52" w:rsidR="00F30C54" w:rsidRPr="007B1368" w:rsidRDefault="00F30C54" w:rsidP="00762CBA">
      <w:pPr>
        <w:pStyle w:val="Default"/>
        <w:numPr>
          <w:ilvl w:val="0"/>
          <w:numId w:val="24"/>
        </w:numPr>
        <w:spacing w:after="20"/>
        <w:rPr>
          <w:sz w:val="22"/>
          <w:szCs w:val="22"/>
        </w:rPr>
      </w:pPr>
      <w:r w:rsidRPr="007B1368">
        <w:rPr>
          <w:sz w:val="22"/>
          <w:szCs w:val="22"/>
        </w:rPr>
        <w:t>Training providers to support the development and verification of clinical skills and competencies.</w:t>
      </w:r>
    </w:p>
    <w:p w14:paraId="2B2C71BC" w14:textId="5F926D9F" w:rsidR="00F30C54" w:rsidRPr="007B1368" w:rsidRDefault="00F30C54" w:rsidP="00762CBA">
      <w:pPr>
        <w:pStyle w:val="Default"/>
        <w:numPr>
          <w:ilvl w:val="0"/>
          <w:numId w:val="24"/>
        </w:numPr>
        <w:rPr>
          <w:sz w:val="22"/>
          <w:szCs w:val="22"/>
        </w:rPr>
      </w:pPr>
      <w:r w:rsidRPr="007B1368">
        <w:rPr>
          <w:sz w:val="22"/>
          <w:szCs w:val="22"/>
        </w:rPr>
        <w:t>Providers of sexual health services, including local pharmacies delivering emergency hormonal contraception.</w:t>
      </w:r>
    </w:p>
    <w:p w14:paraId="0F8453CB" w14:textId="77777777" w:rsidR="00F30C54" w:rsidRPr="007B1368" w:rsidRDefault="00F30C54" w:rsidP="003A3833">
      <w:pPr>
        <w:pStyle w:val="Default"/>
        <w:ind w:left="720"/>
        <w:rPr>
          <w:sz w:val="22"/>
          <w:szCs w:val="22"/>
        </w:rPr>
      </w:pPr>
    </w:p>
    <w:p w14:paraId="485DB99B" w14:textId="16C0D102" w:rsidR="00F30C54" w:rsidRPr="007B1368" w:rsidRDefault="00F30C54" w:rsidP="003A3833">
      <w:pPr>
        <w:pStyle w:val="Heading2"/>
        <w:rPr>
          <w:sz w:val="22"/>
          <w:szCs w:val="22"/>
        </w:rPr>
      </w:pPr>
      <w:bookmarkStart w:id="6" w:name="_Toc190354369"/>
      <w:r w:rsidRPr="007B1368">
        <w:rPr>
          <w:sz w:val="22"/>
          <w:szCs w:val="22"/>
        </w:rPr>
        <w:t>4. Aims of the Service</w:t>
      </w:r>
      <w:bookmarkEnd w:id="6"/>
    </w:p>
    <w:p w14:paraId="4EA63A16" w14:textId="5031E248" w:rsidR="00F30C54" w:rsidRPr="007B1368" w:rsidRDefault="00F30C54" w:rsidP="00762CBA">
      <w:pPr>
        <w:pStyle w:val="BodyText"/>
        <w:numPr>
          <w:ilvl w:val="0"/>
          <w:numId w:val="16"/>
        </w:numPr>
        <w:spacing w:before="120"/>
        <w:ind w:right="174"/>
        <w:rPr>
          <w:rFonts w:cs="Arial"/>
          <w:bCs/>
          <w:sz w:val="22"/>
          <w:szCs w:val="22"/>
        </w:rPr>
      </w:pPr>
      <w:r w:rsidRPr="007B1368">
        <w:rPr>
          <w:rFonts w:cs="Arial"/>
          <w:bCs/>
          <w:sz w:val="22"/>
          <w:szCs w:val="22"/>
        </w:rPr>
        <w:t xml:space="preserve">Improve sexual and reproductive health and wellbeing outcomes for North </w:t>
      </w:r>
      <w:proofErr w:type="spellStart"/>
      <w:r w:rsidRPr="007B1368">
        <w:rPr>
          <w:rFonts w:cs="Arial"/>
          <w:bCs/>
          <w:sz w:val="22"/>
          <w:szCs w:val="22"/>
        </w:rPr>
        <w:t>Northamptonshire</w:t>
      </w:r>
      <w:proofErr w:type="spellEnd"/>
      <w:r w:rsidRPr="007B1368">
        <w:rPr>
          <w:rFonts w:cs="Arial"/>
          <w:bCs/>
          <w:sz w:val="22"/>
          <w:szCs w:val="22"/>
        </w:rPr>
        <w:t xml:space="preserve"> residents.</w:t>
      </w:r>
    </w:p>
    <w:p w14:paraId="5A0F4278" w14:textId="43EA9960" w:rsidR="00F30C54" w:rsidRPr="007B1368" w:rsidRDefault="00F30C54" w:rsidP="00762CBA">
      <w:pPr>
        <w:pStyle w:val="BodyText"/>
        <w:numPr>
          <w:ilvl w:val="0"/>
          <w:numId w:val="16"/>
        </w:numPr>
        <w:spacing w:before="120"/>
        <w:ind w:right="174"/>
        <w:rPr>
          <w:rFonts w:cs="Arial"/>
          <w:bCs/>
          <w:sz w:val="22"/>
          <w:szCs w:val="22"/>
        </w:rPr>
      </w:pPr>
      <w:r w:rsidRPr="007B1368">
        <w:rPr>
          <w:rFonts w:cs="Arial"/>
          <w:bCs/>
          <w:sz w:val="22"/>
          <w:szCs w:val="22"/>
        </w:rPr>
        <w:t>Reduce the rate of unplanned pregnancies, particularly in under-18s.</w:t>
      </w:r>
    </w:p>
    <w:p w14:paraId="1675E5B0" w14:textId="03B8A826" w:rsidR="00F30C54" w:rsidRPr="007B1368" w:rsidRDefault="00F30C54" w:rsidP="00762CBA">
      <w:pPr>
        <w:pStyle w:val="BodyText"/>
        <w:numPr>
          <w:ilvl w:val="0"/>
          <w:numId w:val="16"/>
        </w:numPr>
        <w:spacing w:before="120"/>
        <w:ind w:right="174"/>
        <w:rPr>
          <w:rFonts w:cs="Arial"/>
          <w:bCs/>
          <w:sz w:val="22"/>
          <w:szCs w:val="22"/>
        </w:rPr>
      </w:pPr>
      <w:r w:rsidRPr="007B1368">
        <w:rPr>
          <w:rFonts w:cs="Arial"/>
          <w:bCs/>
          <w:sz w:val="22"/>
          <w:szCs w:val="22"/>
        </w:rPr>
        <w:t>Increase awareness of the benefits of LARC as part of a range of contraceptive options.</w:t>
      </w:r>
    </w:p>
    <w:p w14:paraId="43F96096" w14:textId="4AA3EAC9" w:rsidR="00F30C54" w:rsidRPr="007B1368" w:rsidRDefault="00F30C54" w:rsidP="00762CBA">
      <w:pPr>
        <w:pStyle w:val="BodyText"/>
        <w:numPr>
          <w:ilvl w:val="0"/>
          <w:numId w:val="16"/>
        </w:numPr>
        <w:spacing w:before="120"/>
        <w:ind w:right="174"/>
        <w:rPr>
          <w:rFonts w:cs="Arial"/>
          <w:bCs/>
          <w:sz w:val="22"/>
          <w:szCs w:val="22"/>
        </w:rPr>
      </w:pPr>
      <w:r w:rsidRPr="007B1368">
        <w:rPr>
          <w:rFonts w:cs="Arial"/>
          <w:bCs/>
          <w:sz w:val="22"/>
          <w:szCs w:val="22"/>
        </w:rPr>
        <w:t xml:space="preserve">Mainstream LARC as a core contraceptive option for North </w:t>
      </w:r>
      <w:proofErr w:type="spellStart"/>
      <w:r w:rsidRPr="007B1368">
        <w:rPr>
          <w:rFonts w:cs="Arial"/>
          <w:bCs/>
          <w:sz w:val="22"/>
          <w:szCs w:val="22"/>
        </w:rPr>
        <w:t>Northamptonshire</w:t>
      </w:r>
      <w:proofErr w:type="spellEnd"/>
      <w:r w:rsidRPr="007B1368">
        <w:rPr>
          <w:rFonts w:cs="Arial"/>
          <w:bCs/>
          <w:sz w:val="22"/>
          <w:szCs w:val="22"/>
        </w:rPr>
        <w:t xml:space="preserve"> </w:t>
      </w:r>
      <w:r w:rsidRPr="007B1368">
        <w:rPr>
          <w:rFonts w:cs="Arial"/>
          <w:bCs/>
          <w:sz w:val="22"/>
          <w:szCs w:val="22"/>
        </w:rPr>
        <w:lastRenderedPageBreak/>
        <w:t>residents.</w:t>
      </w:r>
    </w:p>
    <w:p w14:paraId="5D07BF91" w14:textId="08282C7F" w:rsidR="00F30C54" w:rsidRPr="007B1368" w:rsidRDefault="00F30C54" w:rsidP="00762CBA">
      <w:pPr>
        <w:pStyle w:val="BodyText"/>
        <w:numPr>
          <w:ilvl w:val="0"/>
          <w:numId w:val="16"/>
        </w:numPr>
        <w:spacing w:before="120"/>
        <w:ind w:right="174"/>
        <w:rPr>
          <w:rFonts w:cs="Arial"/>
          <w:bCs/>
          <w:sz w:val="22"/>
          <w:szCs w:val="22"/>
        </w:rPr>
      </w:pPr>
      <w:r w:rsidRPr="007B1368">
        <w:rPr>
          <w:rFonts w:cs="Arial"/>
          <w:bCs/>
          <w:sz w:val="22"/>
          <w:szCs w:val="22"/>
        </w:rPr>
        <w:t>Support an integrated, multi-disciplinary system that enables easy and swift access to advice and contraception.</w:t>
      </w:r>
    </w:p>
    <w:p w14:paraId="50AC79B3" w14:textId="0E7FA32B" w:rsidR="00F30C54" w:rsidRPr="007B1368" w:rsidRDefault="00F30C54" w:rsidP="00726EE3">
      <w:pPr>
        <w:pStyle w:val="ParagraphText"/>
        <w:spacing w:before="120" w:after="120"/>
        <w:ind w:right="28"/>
        <w:jc w:val="both"/>
        <w:rPr>
          <w:rFonts w:cs="Arial"/>
          <w:b/>
          <w:sz w:val="22"/>
          <w:szCs w:val="22"/>
        </w:rPr>
      </w:pPr>
      <w:r w:rsidRPr="007B1368">
        <w:rPr>
          <w:rFonts w:cs="Arial"/>
          <w:b/>
          <w:sz w:val="22"/>
          <w:szCs w:val="22"/>
        </w:rPr>
        <w:t xml:space="preserve">Objectives of the Service </w:t>
      </w:r>
    </w:p>
    <w:p w14:paraId="1815FB70" w14:textId="65479A91" w:rsidR="00F30C54" w:rsidRPr="007B1368" w:rsidRDefault="00F30C54" w:rsidP="00762CBA">
      <w:pPr>
        <w:pStyle w:val="ParagraphText"/>
        <w:numPr>
          <w:ilvl w:val="0"/>
          <w:numId w:val="17"/>
        </w:numPr>
        <w:spacing w:before="120" w:after="120"/>
        <w:ind w:right="28"/>
        <w:jc w:val="both"/>
        <w:rPr>
          <w:rFonts w:cs="Arial"/>
          <w:sz w:val="22"/>
          <w:szCs w:val="22"/>
        </w:rPr>
      </w:pPr>
      <w:r w:rsidRPr="007B1368">
        <w:rPr>
          <w:rFonts w:cs="Arial"/>
          <w:sz w:val="22"/>
          <w:szCs w:val="22"/>
        </w:rPr>
        <w:t>Deliver a user-friendly, non-judgemental, person-centred, and confidential LARC service.</w:t>
      </w:r>
    </w:p>
    <w:p w14:paraId="1E5BB162" w14:textId="0407E998" w:rsidR="00F30C54" w:rsidRPr="007B1368" w:rsidRDefault="00F30C54" w:rsidP="00762CBA">
      <w:pPr>
        <w:pStyle w:val="ParagraphText"/>
        <w:numPr>
          <w:ilvl w:val="0"/>
          <w:numId w:val="17"/>
        </w:numPr>
        <w:spacing w:before="120" w:after="120"/>
        <w:ind w:right="28"/>
        <w:jc w:val="both"/>
        <w:rPr>
          <w:rFonts w:cs="Arial"/>
          <w:sz w:val="22"/>
          <w:szCs w:val="22"/>
        </w:rPr>
      </w:pPr>
      <w:bookmarkStart w:id="7" w:name="_Hlk185496262"/>
      <w:r w:rsidRPr="007B1368">
        <w:rPr>
          <w:rFonts w:cs="Arial"/>
          <w:sz w:val="22"/>
          <w:szCs w:val="22"/>
        </w:rPr>
        <w:t>Ensure the availability of post-coital IUD fitting for emergency contraception, typically within five days (120 hours) after unprotected sex, to prevent pregnancy and reduce unintended conceptions.</w:t>
      </w:r>
      <w:bookmarkEnd w:id="7"/>
    </w:p>
    <w:p w14:paraId="3EB0D132" w14:textId="0B3C3C30" w:rsidR="00F30C54" w:rsidRPr="007B1368" w:rsidRDefault="00F30C54" w:rsidP="00762CBA">
      <w:pPr>
        <w:pStyle w:val="ParagraphText"/>
        <w:numPr>
          <w:ilvl w:val="0"/>
          <w:numId w:val="17"/>
        </w:numPr>
        <w:spacing w:before="120" w:after="120"/>
        <w:ind w:right="28"/>
        <w:jc w:val="both"/>
        <w:rPr>
          <w:rFonts w:cs="Arial"/>
          <w:sz w:val="22"/>
          <w:szCs w:val="22"/>
        </w:rPr>
      </w:pPr>
      <w:r w:rsidRPr="007B1368">
        <w:rPr>
          <w:rFonts w:cs="Arial"/>
          <w:sz w:val="22"/>
          <w:szCs w:val="22"/>
        </w:rPr>
        <w:t>Maintain robust information governance systems, ensuring reporting to mandatory national datasets.</w:t>
      </w:r>
    </w:p>
    <w:p w14:paraId="6A652C2A" w14:textId="6F647C21" w:rsidR="00F30C54" w:rsidRPr="007B1368" w:rsidRDefault="00F30C54" w:rsidP="00762CBA">
      <w:pPr>
        <w:pStyle w:val="ParagraphText"/>
        <w:numPr>
          <w:ilvl w:val="0"/>
          <w:numId w:val="17"/>
        </w:numPr>
        <w:spacing w:before="120" w:after="120"/>
        <w:ind w:right="28"/>
        <w:jc w:val="both"/>
        <w:rPr>
          <w:rFonts w:cs="Arial"/>
          <w:sz w:val="22"/>
          <w:szCs w:val="22"/>
        </w:rPr>
      </w:pPr>
      <w:r w:rsidRPr="007B1368">
        <w:rPr>
          <w:rFonts w:cs="Arial"/>
          <w:sz w:val="22"/>
          <w:szCs w:val="22"/>
        </w:rPr>
        <w:t>Provide timely referral and signposting of service users to other relevant services as noted in “interdependencies with other services” section above.</w:t>
      </w:r>
    </w:p>
    <w:p w14:paraId="4A388A35" w14:textId="0D484A2E" w:rsidR="00F30C54" w:rsidRPr="007B1368" w:rsidRDefault="00F30C54" w:rsidP="00762CBA">
      <w:pPr>
        <w:pStyle w:val="ParagraphText"/>
        <w:numPr>
          <w:ilvl w:val="0"/>
          <w:numId w:val="17"/>
        </w:numPr>
        <w:spacing w:before="120" w:after="120"/>
        <w:ind w:right="28"/>
        <w:jc w:val="both"/>
        <w:rPr>
          <w:rFonts w:cs="Arial"/>
          <w:sz w:val="22"/>
          <w:szCs w:val="22"/>
        </w:rPr>
      </w:pPr>
      <w:r w:rsidRPr="007B1368">
        <w:rPr>
          <w:rFonts w:cs="Arial"/>
          <w:bCs/>
          <w:sz w:val="22"/>
          <w:szCs w:val="22"/>
        </w:rPr>
        <w:t>Increase awareness of LARC and contraceptive options</w:t>
      </w:r>
      <w:r w:rsidRPr="007B1368">
        <w:rPr>
          <w:rFonts w:cs="Arial"/>
          <w:sz w:val="22"/>
          <w:szCs w:val="22"/>
        </w:rPr>
        <w:t xml:space="preserve"> through advice, support, and education for service users and healthcare professionals.</w:t>
      </w:r>
    </w:p>
    <w:p w14:paraId="3E0AF51F" w14:textId="64FA5F26" w:rsidR="00F30C54" w:rsidRPr="007B1368" w:rsidRDefault="00F30C54" w:rsidP="00762CBA">
      <w:pPr>
        <w:pStyle w:val="ParagraphText"/>
        <w:numPr>
          <w:ilvl w:val="0"/>
          <w:numId w:val="17"/>
        </w:numPr>
        <w:spacing w:before="120" w:after="120" w:line="240" w:lineRule="auto"/>
        <w:ind w:right="28"/>
        <w:jc w:val="both"/>
        <w:rPr>
          <w:rFonts w:cs="Arial"/>
          <w:sz w:val="22"/>
          <w:szCs w:val="22"/>
        </w:rPr>
      </w:pPr>
      <w:r w:rsidRPr="007B1368">
        <w:rPr>
          <w:rFonts w:cs="Arial"/>
          <w:sz w:val="22"/>
          <w:szCs w:val="22"/>
        </w:rPr>
        <w:t>Provide sexual health information on safer sex practices, contraceptive methods, and access to free condoms, with a particular focus on high-need communities.</w:t>
      </w:r>
    </w:p>
    <w:p w14:paraId="266211AD" w14:textId="589360E7" w:rsidR="00F30C54" w:rsidRPr="007B1368" w:rsidRDefault="00F30C54" w:rsidP="00762CBA">
      <w:pPr>
        <w:pStyle w:val="ListParagraph"/>
        <w:numPr>
          <w:ilvl w:val="0"/>
          <w:numId w:val="17"/>
        </w:numPr>
        <w:spacing w:line="276" w:lineRule="auto"/>
        <w:jc w:val="both"/>
        <w:rPr>
          <w:rFonts w:eastAsia="Times New Roman"/>
          <w:sz w:val="22"/>
          <w:szCs w:val="22"/>
          <w:lang w:eastAsia="en-GB"/>
        </w:rPr>
      </w:pPr>
      <w:r w:rsidRPr="007B1368">
        <w:rPr>
          <w:rFonts w:eastAsia="Times New Roman"/>
          <w:sz w:val="22"/>
          <w:szCs w:val="22"/>
          <w:lang w:eastAsia="en-GB"/>
        </w:rPr>
        <w:t>Contribute to reducing unplanned pregnancies and abortion rates, particularly among the teenage population. Fraser competencies should be applied to assess the appropriateness of providing services to individuals under the age of 16.</w:t>
      </w:r>
    </w:p>
    <w:p w14:paraId="5E527ADD" w14:textId="1A051E56" w:rsidR="00F30C54" w:rsidRPr="007B1368" w:rsidRDefault="00F30C54" w:rsidP="00104F4A">
      <w:pPr>
        <w:pStyle w:val="ListParagraph"/>
        <w:numPr>
          <w:ilvl w:val="0"/>
          <w:numId w:val="17"/>
        </w:numPr>
        <w:spacing w:line="276" w:lineRule="auto"/>
        <w:jc w:val="both"/>
        <w:rPr>
          <w:rFonts w:eastAsia="Times New Roman"/>
          <w:sz w:val="22"/>
          <w:szCs w:val="22"/>
          <w:lang w:eastAsia="en-GB"/>
        </w:rPr>
      </w:pPr>
      <w:r w:rsidRPr="007B1368">
        <w:rPr>
          <w:rFonts w:eastAsia="Times New Roman"/>
          <w:sz w:val="22"/>
          <w:szCs w:val="22"/>
          <w:lang w:eastAsia="en-GB"/>
        </w:rPr>
        <w:t xml:space="preserve">Providers must recognise and address evidence of child sexual exploitation (CSE), ensuring involvement of other agencies and onward referrals as appropriate. Providers must </w:t>
      </w:r>
      <w:r w:rsidRPr="004F6F51">
        <w:rPr>
          <w:rFonts w:eastAsia="Times New Roman"/>
          <w:sz w:val="22"/>
          <w:szCs w:val="22"/>
          <w:lang w:eastAsia="en-GB"/>
        </w:rPr>
        <w:t>refer to safeguarding partnership</w:t>
      </w:r>
      <w:r w:rsidRPr="004F6F51">
        <w:rPr>
          <w:rStyle w:val="EndnoteReference"/>
          <w:rFonts w:eastAsia="Times New Roman"/>
          <w:sz w:val="22"/>
          <w:szCs w:val="22"/>
          <w:lang w:eastAsia="en-GB"/>
        </w:rPr>
        <w:endnoteReference w:id="13"/>
      </w:r>
      <w:r w:rsidRPr="007B1368">
        <w:rPr>
          <w:rFonts w:eastAsia="Times New Roman"/>
          <w:sz w:val="22"/>
          <w:szCs w:val="22"/>
          <w:highlight w:val="yellow"/>
          <w:lang w:eastAsia="en-GB"/>
        </w:rPr>
        <w:t xml:space="preserve"> </w:t>
      </w:r>
    </w:p>
    <w:p w14:paraId="73E07F9D" w14:textId="1B946B69" w:rsidR="00F30C54" w:rsidRPr="007B1368" w:rsidRDefault="00F30C54" w:rsidP="00104F4A">
      <w:pPr>
        <w:pStyle w:val="ListParagraph"/>
        <w:spacing w:line="276" w:lineRule="auto"/>
        <w:jc w:val="both"/>
        <w:rPr>
          <w:rFonts w:eastAsia="Times New Roman"/>
          <w:sz w:val="22"/>
          <w:szCs w:val="22"/>
          <w:lang w:eastAsia="en-GB"/>
        </w:rPr>
      </w:pPr>
    </w:p>
    <w:p w14:paraId="2087E537" w14:textId="3B0C8148" w:rsidR="00F30C54" w:rsidRPr="007B1368" w:rsidRDefault="00F30C54" w:rsidP="004F6F51">
      <w:pPr>
        <w:pStyle w:val="ListParagraph"/>
        <w:numPr>
          <w:ilvl w:val="0"/>
          <w:numId w:val="17"/>
        </w:numPr>
        <w:spacing w:line="276" w:lineRule="auto"/>
        <w:jc w:val="both"/>
        <w:rPr>
          <w:b/>
          <w:bCs/>
          <w:sz w:val="22"/>
          <w:szCs w:val="22"/>
        </w:rPr>
      </w:pPr>
      <w:r w:rsidRPr="007B1368">
        <w:rPr>
          <w:b/>
          <w:bCs/>
          <w:sz w:val="22"/>
          <w:szCs w:val="22"/>
        </w:rPr>
        <w:t xml:space="preserve">Expected Outcomes  </w:t>
      </w:r>
    </w:p>
    <w:p w14:paraId="605D83DC" w14:textId="04E58893" w:rsidR="00F30C54" w:rsidRPr="007B1368" w:rsidRDefault="00F30C54" w:rsidP="00762CBA">
      <w:pPr>
        <w:pStyle w:val="ParagraphText"/>
        <w:numPr>
          <w:ilvl w:val="0"/>
          <w:numId w:val="18"/>
        </w:numPr>
        <w:spacing w:before="120" w:after="120"/>
        <w:ind w:right="28"/>
        <w:jc w:val="both"/>
        <w:rPr>
          <w:rFonts w:cs="Arial"/>
          <w:sz w:val="22"/>
          <w:szCs w:val="22"/>
        </w:rPr>
      </w:pPr>
      <w:r w:rsidRPr="007B1368">
        <w:rPr>
          <w:rFonts w:cs="Arial"/>
          <w:sz w:val="22"/>
          <w:szCs w:val="22"/>
        </w:rPr>
        <w:t>Increased number of women using long-acting reversible contraception (LARC).</w:t>
      </w:r>
    </w:p>
    <w:p w14:paraId="7E9880E2" w14:textId="77777777" w:rsidR="00F30C54" w:rsidRPr="007B1368" w:rsidRDefault="00F30C54" w:rsidP="00762CBA">
      <w:pPr>
        <w:pStyle w:val="ParagraphText"/>
        <w:numPr>
          <w:ilvl w:val="0"/>
          <w:numId w:val="18"/>
        </w:numPr>
        <w:spacing w:before="120" w:after="120"/>
        <w:ind w:right="28"/>
        <w:jc w:val="both"/>
        <w:rPr>
          <w:rFonts w:cs="Arial"/>
          <w:sz w:val="22"/>
          <w:szCs w:val="22"/>
        </w:rPr>
      </w:pPr>
      <w:r w:rsidRPr="007B1368">
        <w:rPr>
          <w:rFonts w:cs="Arial"/>
          <w:sz w:val="22"/>
          <w:szCs w:val="22"/>
        </w:rPr>
        <w:t>Reduction in under-18 conception rates.</w:t>
      </w:r>
    </w:p>
    <w:p w14:paraId="3B9568DF" w14:textId="77777777" w:rsidR="00F30C54" w:rsidRPr="007B1368" w:rsidRDefault="00F30C54" w:rsidP="00762CBA">
      <w:pPr>
        <w:pStyle w:val="ParagraphText"/>
        <w:numPr>
          <w:ilvl w:val="0"/>
          <w:numId w:val="18"/>
        </w:numPr>
        <w:spacing w:before="120" w:after="120"/>
        <w:ind w:right="28"/>
        <w:jc w:val="both"/>
        <w:rPr>
          <w:rFonts w:cs="Arial"/>
          <w:sz w:val="22"/>
          <w:szCs w:val="22"/>
        </w:rPr>
      </w:pPr>
      <w:r w:rsidRPr="007B1368">
        <w:rPr>
          <w:rFonts w:cs="Arial"/>
          <w:sz w:val="22"/>
          <w:szCs w:val="22"/>
        </w:rPr>
        <w:t>Reduction in the number of terminations of unplanned pregnancies.</w:t>
      </w:r>
    </w:p>
    <w:p w14:paraId="1729FC1F" w14:textId="6DE4F5C5" w:rsidR="00F30C54" w:rsidRPr="007B1368" w:rsidRDefault="00F30C54" w:rsidP="00762CBA">
      <w:pPr>
        <w:pStyle w:val="ParagraphText"/>
        <w:numPr>
          <w:ilvl w:val="0"/>
          <w:numId w:val="18"/>
        </w:numPr>
        <w:spacing w:before="120" w:after="120" w:line="240" w:lineRule="auto"/>
        <w:ind w:right="28"/>
        <w:jc w:val="both"/>
        <w:rPr>
          <w:rFonts w:cs="Arial"/>
          <w:sz w:val="22"/>
          <w:szCs w:val="22"/>
        </w:rPr>
      </w:pPr>
      <w:r w:rsidRPr="007B1368">
        <w:rPr>
          <w:rFonts w:cs="Arial"/>
          <w:sz w:val="22"/>
          <w:szCs w:val="22"/>
        </w:rPr>
        <w:t>Reduction in the number of repeat terminations of pregnancy.</w:t>
      </w:r>
    </w:p>
    <w:p w14:paraId="01BE801E" w14:textId="3F675D20" w:rsidR="00F30C54" w:rsidRPr="007B1368" w:rsidRDefault="00F30C54" w:rsidP="00EE44F5">
      <w:pPr>
        <w:pStyle w:val="BodyText"/>
        <w:ind w:left="0" w:right="174"/>
        <w:rPr>
          <w:rFonts w:cs="Arial"/>
          <w:b/>
          <w:bCs/>
          <w:sz w:val="22"/>
          <w:szCs w:val="22"/>
        </w:rPr>
      </w:pPr>
      <w:r w:rsidRPr="007B1368">
        <w:rPr>
          <w:rFonts w:cs="Arial"/>
          <w:b/>
          <w:bCs/>
          <w:sz w:val="22"/>
          <w:szCs w:val="22"/>
        </w:rPr>
        <w:t xml:space="preserve">Eligibility </w:t>
      </w:r>
    </w:p>
    <w:p w14:paraId="3CC82D60" w14:textId="3049F3A4" w:rsidR="00F30C54" w:rsidRPr="007B1368" w:rsidRDefault="00F30C54" w:rsidP="00565244">
      <w:pPr>
        <w:spacing w:before="100" w:beforeAutospacing="1" w:after="100" w:afterAutospacing="1"/>
        <w:rPr>
          <w:rFonts w:eastAsia="Times New Roman"/>
          <w:sz w:val="22"/>
          <w:szCs w:val="22"/>
          <w:lang w:eastAsia="en-GB"/>
        </w:rPr>
      </w:pPr>
      <w:r w:rsidRPr="007B1368">
        <w:rPr>
          <w:rFonts w:eastAsia="Times New Roman"/>
          <w:sz w:val="22"/>
          <w:szCs w:val="22"/>
          <w:lang w:eastAsia="en-GB"/>
        </w:rPr>
        <w:t>In line with recommendations by the Faculty of Sexual and Reproductive Health (FSRH), LARC methods, such as IUDs, IUSs, implants, and injections, are available to all women of reproductive age. This typically includes individuals from around 13 years old up to the age of menopause (usually around 55 years old)</w:t>
      </w:r>
      <w:r w:rsidRPr="007B1368">
        <w:rPr>
          <w:rStyle w:val="EndnoteReference"/>
          <w:rFonts w:eastAsia="Times New Roman"/>
          <w:sz w:val="22"/>
          <w:szCs w:val="22"/>
          <w:lang w:eastAsia="en-GB"/>
        </w:rPr>
        <w:endnoteReference w:id="14"/>
      </w:r>
      <w:r w:rsidRPr="007B1368">
        <w:rPr>
          <w:rFonts w:eastAsia="Times New Roman"/>
          <w:sz w:val="22"/>
          <w:szCs w:val="22"/>
          <w:lang w:eastAsia="en-GB"/>
        </w:rPr>
        <w:t>. Those eligible for LARC contraception services include:</w:t>
      </w:r>
    </w:p>
    <w:p w14:paraId="66818441" w14:textId="77777777" w:rsidR="00F30C54" w:rsidRPr="007B1368" w:rsidRDefault="00F30C54" w:rsidP="00762CBA">
      <w:pPr>
        <w:numPr>
          <w:ilvl w:val="0"/>
          <w:numId w:val="15"/>
        </w:numPr>
        <w:spacing w:before="100" w:beforeAutospacing="1" w:after="100" w:afterAutospacing="1"/>
        <w:rPr>
          <w:rFonts w:eastAsia="Times New Roman"/>
          <w:sz w:val="22"/>
          <w:szCs w:val="22"/>
          <w:lang w:eastAsia="en-GB"/>
        </w:rPr>
      </w:pPr>
      <w:r w:rsidRPr="007B1368">
        <w:rPr>
          <w:rFonts w:eastAsia="Times New Roman"/>
          <w:sz w:val="22"/>
          <w:szCs w:val="22"/>
          <w:lang w:eastAsia="en-GB"/>
        </w:rPr>
        <w:t>Any female resident of North Northamptonshire.</w:t>
      </w:r>
    </w:p>
    <w:p w14:paraId="11BB9D4A" w14:textId="77777777" w:rsidR="00F30C54" w:rsidRPr="007B1368" w:rsidRDefault="00F30C54" w:rsidP="00762CBA">
      <w:pPr>
        <w:numPr>
          <w:ilvl w:val="0"/>
          <w:numId w:val="15"/>
        </w:numPr>
        <w:spacing w:before="100" w:beforeAutospacing="1" w:after="100" w:afterAutospacing="1"/>
        <w:rPr>
          <w:rFonts w:eastAsia="Times New Roman"/>
          <w:sz w:val="22"/>
          <w:szCs w:val="22"/>
          <w:lang w:eastAsia="en-GB"/>
        </w:rPr>
      </w:pPr>
      <w:r w:rsidRPr="007B1368">
        <w:rPr>
          <w:rFonts w:eastAsia="Times New Roman"/>
          <w:sz w:val="22"/>
          <w:szCs w:val="22"/>
          <w:lang w:eastAsia="en-GB"/>
        </w:rPr>
        <w:t>Any female who is registered with a GP practice in North Northamptonshire.</w:t>
      </w:r>
    </w:p>
    <w:p w14:paraId="65D9F251" w14:textId="343D5747" w:rsidR="00F30C54" w:rsidRPr="007B1368" w:rsidRDefault="00F30C54" w:rsidP="00762CBA">
      <w:pPr>
        <w:numPr>
          <w:ilvl w:val="0"/>
          <w:numId w:val="15"/>
        </w:numPr>
        <w:spacing w:before="100" w:beforeAutospacing="1" w:after="100" w:afterAutospacing="1"/>
        <w:rPr>
          <w:rFonts w:eastAsia="Times New Roman"/>
          <w:sz w:val="22"/>
          <w:szCs w:val="22"/>
          <w:lang w:eastAsia="en-GB"/>
        </w:rPr>
      </w:pPr>
      <w:r w:rsidRPr="007B1368">
        <w:rPr>
          <w:rFonts w:eastAsia="Times New Roman"/>
          <w:sz w:val="22"/>
          <w:szCs w:val="22"/>
          <w:lang w:eastAsia="en-GB"/>
        </w:rPr>
        <w:t>Any female who works in North Northamptonshire.</w:t>
      </w:r>
    </w:p>
    <w:p w14:paraId="24BE581F" w14:textId="11334FFF" w:rsidR="00F30C54" w:rsidRPr="007B1368" w:rsidRDefault="00F30C54" w:rsidP="006B2A54">
      <w:pPr>
        <w:spacing w:after="120" w:line="300" w:lineRule="atLeast"/>
        <w:jc w:val="both"/>
        <w:rPr>
          <w:rFonts w:eastAsia="Times New Roman"/>
          <w:b/>
          <w:bCs/>
          <w:sz w:val="22"/>
          <w:szCs w:val="22"/>
          <w:lang w:eastAsia="en-GB"/>
        </w:rPr>
      </w:pPr>
      <w:r w:rsidRPr="007B1368">
        <w:rPr>
          <w:rFonts w:eastAsia="Times New Roman"/>
          <w:b/>
          <w:bCs/>
          <w:sz w:val="22"/>
          <w:szCs w:val="22"/>
          <w:lang w:eastAsia="en-GB"/>
        </w:rPr>
        <w:lastRenderedPageBreak/>
        <w:t>Exclusion Criteria</w:t>
      </w:r>
    </w:p>
    <w:p w14:paraId="7A3C391F" w14:textId="516979CC" w:rsidR="00F30C54" w:rsidRPr="007B1368" w:rsidRDefault="00F30C54" w:rsidP="007F34C6">
      <w:pPr>
        <w:pStyle w:val="ListParagraph"/>
        <w:numPr>
          <w:ilvl w:val="0"/>
          <w:numId w:val="19"/>
        </w:numPr>
        <w:spacing w:before="100" w:beforeAutospacing="1" w:after="100" w:afterAutospacing="1"/>
        <w:rPr>
          <w:rFonts w:eastAsia="Times New Roman"/>
          <w:sz w:val="22"/>
          <w:szCs w:val="22"/>
          <w:lang w:eastAsia="en-GB"/>
        </w:rPr>
      </w:pPr>
      <w:r w:rsidRPr="007B1368">
        <w:rPr>
          <w:rFonts w:eastAsia="Times New Roman"/>
          <w:sz w:val="22"/>
          <w:szCs w:val="22"/>
          <w:lang w:eastAsia="en-GB"/>
        </w:rPr>
        <w:t>Refer to manufacturers and British Association for Sexual Health and HIV (BASHH) guidance on contraceptive implants. If the use of a contraceptive implant is contraindicated, a choice of other more suitable methods of contraception must be offered.</w:t>
      </w:r>
    </w:p>
    <w:p w14:paraId="465A7D9C" w14:textId="77777777" w:rsidR="00F30C54" w:rsidRPr="007B1368" w:rsidRDefault="00F30C54" w:rsidP="006D5C32">
      <w:pPr>
        <w:pStyle w:val="ListParagraph"/>
        <w:spacing w:before="100" w:beforeAutospacing="1" w:after="100" w:afterAutospacing="1"/>
        <w:rPr>
          <w:rFonts w:eastAsia="Times New Roman"/>
          <w:sz w:val="22"/>
          <w:szCs w:val="22"/>
          <w:lang w:eastAsia="en-GB"/>
        </w:rPr>
      </w:pPr>
    </w:p>
    <w:p w14:paraId="0411BA7E" w14:textId="1CB81582" w:rsidR="00F30C54" w:rsidRPr="007B1368" w:rsidRDefault="00F30C54" w:rsidP="00762CBA">
      <w:pPr>
        <w:pStyle w:val="ListParagraph"/>
        <w:numPr>
          <w:ilvl w:val="0"/>
          <w:numId w:val="19"/>
        </w:numPr>
        <w:spacing w:before="100" w:beforeAutospacing="1" w:after="120" w:afterAutospacing="1" w:line="276" w:lineRule="auto"/>
        <w:jc w:val="both"/>
        <w:rPr>
          <w:rFonts w:eastAsia="Times New Roman"/>
          <w:sz w:val="22"/>
          <w:szCs w:val="22"/>
          <w:lang w:eastAsia="en-GB"/>
        </w:rPr>
      </w:pPr>
      <w:r w:rsidRPr="007B1368">
        <w:rPr>
          <w:rFonts w:eastAsia="Times New Roman"/>
          <w:sz w:val="22"/>
          <w:szCs w:val="22"/>
          <w:lang w:eastAsia="en-GB"/>
        </w:rPr>
        <w:t xml:space="preserve">The management of gynaecological conditions, including the fitting, monitoring, and removal of devices for non-contraceptive purposes (such as the treatment of menorrhagia, hormone replacement therapy (HRT), endometriosis, etc.), is not in scope for this service. </w:t>
      </w:r>
    </w:p>
    <w:p w14:paraId="60E17A9A" w14:textId="3E8129CE" w:rsidR="00F30C54" w:rsidRPr="007B1368" w:rsidRDefault="00F30C54" w:rsidP="00074E61">
      <w:pPr>
        <w:rPr>
          <w:rFonts w:eastAsia="Arial"/>
          <w:b/>
          <w:bCs/>
          <w:sz w:val="22"/>
          <w:szCs w:val="22"/>
        </w:rPr>
      </w:pPr>
      <w:r w:rsidRPr="007B1368">
        <w:rPr>
          <w:rFonts w:eastAsia="Arial"/>
          <w:b/>
          <w:bCs/>
          <w:sz w:val="22"/>
          <w:szCs w:val="22"/>
        </w:rPr>
        <w:t>Access to Service</w:t>
      </w:r>
    </w:p>
    <w:p w14:paraId="7FA560D5" w14:textId="2D83DEF9" w:rsidR="00F30C54" w:rsidRPr="007B1368" w:rsidRDefault="00F30C54" w:rsidP="00616F33">
      <w:pPr>
        <w:pStyle w:val="ListParagraph"/>
        <w:numPr>
          <w:ilvl w:val="0"/>
          <w:numId w:val="48"/>
        </w:numPr>
        <w:spacing w:before="100" w:beforeAutospacing="1" w:after="100" w:afterAutospacing="1"/>
        <w:jc w:val="both"/>
        <w:rPr>
          <w:sz w:val="22"/>
          <w:szCs w:val="22"/>
        </w:rPr>
      </w:pPr>
      <w:r w:rsidRPr="007B1368">
        <w:rPr>
          <w:b/>
          <w:sz w:val="22"/>
          <w:szCs w:val="22"/>
        </w:rPr>
        <w:t>Timely Appointments:</w:t>
      </w:r>
      <w:r w:rsidRPr="007B1368">
        <w:rPr>
          <w:sz w:val="22"/>
          <w:szCs w:val="22"/>
        </w:rPr>
        <w:t xml:space="preserve"> Appointments must be provided in a timely manner, ideally within 6 to 8 weeks of a self-referral or professional referral. For emergency contraception referrals, appointments should be offered within five days.</w:t>
      </w:r>
    </w:p>
    <w:p w14:paraId="370DB15A" w14:textId="77777777" w:rsidR="00F30C54" w:rsidRPr="007B1368" w:rsidRDefault="00F30C54" w:rsidP="00616F33">
      <w:pPr>
        <w:pStyle w:val="ListParagraph"/>
        <w:spacing w:before="100" w:beforeAutospacing="1" w:after="100" w:afterAutospacing="1"/>
        <w:jc w:val="both"/>
        <w:rPr>
          <w:sz w:val="22"/>
          <w:szCs w:val="22"/>
        </w:rPr>
      </w:pPr>
    </w:p>
    <w:p w14:paraId="7732CF96" w14:textId="229FFEF8" w:rsidR="00F30C54" w:rsidRPr="007B1368" w:rsidRDefault="00F30C54" w:rsidP="00616F33">
      <w:pPr>
        <w:pStyle w:val="ListParagraph"/>
        <w:numPr>
          <w:ilvl w:val="0"/>
          <w:numId w:val="48"/>
        </w:numPr>
        <w:spacing w:before="100" w:beforeAutospacing="1" w:after="100" w:afterAutospacing="1"/>
        <w:jc w:val="both"/>
        <w:rPr>
          <w:rFonts w:eastAsia="Times New Roman"/>
          <w:sz w:val="22"/>
          <w:szCs w:val="22"/>
          <w:lang w:eastAsia="en-GB"/>
        </w:rPr>
      </w:pPr>
      <w:r w:rsidRPr="007B1368">
        <w:rPr>
          <w:rFonts w:eastAsia="Times New Roman"/>
          <w:b/>
          <w:sz w:val="22"/>
          <w:szCs w:val="22"/>
          <w:lang w:eastAsia="en-GB"/>
        </w:rPr>
        <w:t>Chaperone Availability:</w:t>
      </w:r>
      <w:r w:rsidRPr="007B1368">
        <w:rPr>
          <w:rFonts w:eastAsia="Times New Roman"/>
          <w:sz w:val="22"/>
          <w:szCs w:val="22"/>
          <w:lang w:eastAsia="en-GB"/>
        </w:rPr>
        <w:t xml:space="preserve"> All patients undergoing intimate examinations must always be offered the presence of a chaperone, regardless of the clinician’s gender.</w:t>
      </w:r>
      <w:r w:rsidRPr="004F6F51">
        <w:rPr>
          <w:sz w:val="22"/>
          <w:szCs w:val="22"/>
        </w:rPr>
        <w:t xml:space="preserve"> </w:t>
      </w:r>
    </w:p>
    <w:p w14:paraId="4EBDC62D" w14:textId="77777777" w:rsidR="00F30C54" w:rsidRPr="007B1368" w:rsidRDefault="00F30C54" w:rsidP="00616F33">
      <w:pPr>
        <w:pStyle w:val="ListParagraph"/>
        <w:rPr>
          <w:rFonts w:eastAsia="Times New Roman"/>
          <w:sz w:val="22"/>
          <w:szCs w:val="22"/>
          <w:lang w:eastAsia="en-GB"/>
        </w:rPr>
      </w:pPr>
    </w:p>
    <w:p w14:paraId="1CC79790" w14:textId="77777777" w:rsidR="00F30C54" w:rsidRPr="007B1368" w:rsidRDefault="00F30C54" w:rsidP="00616F33">
      <w:pPr>
        <w:pStyle w:val="ListParagraph"/>
        <w:numPr>
          <w:ilvl w:val="0"/>
          <w:numId w:val="48"/>
        </w:numPr>
        <w:shd w:val="clear" w:color="auto" w:fill="FFFFFF"/>
        <w:spacing w:line="276" w:lineRule="auto"/>
        <w:jc w:val="both"/>
        <w:rPr>
          <w:sz w:val="22"/>
          <w:szCs w:val="22"/>
        </w:rPr>
      </w:pPr>
      <w:r w:rsidRPr="007B1368">
        <w:rPr>
          <w:b/>
          <w:sz w:val="22"/>
          <w:szCs w:val="22"/>
        </w:rPr>
        <w:t>Equitable Access:</w:t>
      </w:r>
      <w:r w:rsidRPr="007B1368">
        <w:rPr>
          <w:sz w:val="22"/>
          <w:szCs w:val="22"/>
        </w:rPr>
        <w:t xml:space="preserve"> The Provider must ensure that the service is accessible to all eligible women, regardless of disability, gender, ethnicity, sexuality, locality, or financial situation.</w:t>
      </w:r>
    </w:p>
    <w:p w14:paraId="7854CB19" w14:textId="77777777" w:rsidR="00F30C54" w:rsidRPr="007B1368" w:rsidRDefault="00F30C54" w:rsidP="00616F33">
      <w:pPr>
        <w:pStyle w:val="ListParagraph"/>
        <w:rPr>
          <w:sz w:val="22"/>
          <w:szCs w:val="22"/>
        </w:rPr>
      </w:pPr>
    </w:p>
    <w:p w14:paraId="18DB631E" w14:textId="5038ED8A" w:rsidR="00F30C54" w:rsidRPr="007B1368" w:rsidRDefault="00F30C54" w:rsidP="00616F33">
      <w:pPr>
        <w:shd w:val="clear" w:color="auto" w:fill="FFFFFF"/>
        <w:spacing w:line="276" w:lineRule="auto"/>
        <w:jc w:val="both"/>
        <w:rPr>
          <w:sz w:val="22"/>
          <w:szCs w:val="22"/>
        </w:rPr>
      </w:pPr>
      <w:r w:rsidRPr="007B1368">
        <w:rPr>
          <w:sz w:val="22"/>
          <w:szCs w:val="22"/>
        </w:rPr>
        <w:t xml:space="preserve"> The service must be delivered in a manner that is:</w:t>
      </w:r>
    </w:p>
    <w:p w14:paraId="3EE9B603" w14:textId="77777777" w:rsidR="00F30C54" w:rsidRPr="007B1368" w:rsidRDefault="00F30C54" w:rsidP="00822EB7">
      <w:pPr>
        <w:shd w:val="clear" w:color="auto" w:fill="FFFFFF"/>
        <w:spacing w:line="276" w:lineRule="auto"/>
        <w:jc w:val="both"/>
        <w:rPr>
          <w:sz w:val="22"/>
          <w:szCs w:val="22"/>
        </w:rPr>
      </w:pPr>
    </w:p>
    <w:p w14:paraId="01D25FF8" w14:textId="0A7D8F68" w:rsidR="00F30C54" w:rsidRPr="007B1368" w:rsidRDefault="00F30C54" w:rsidP="00762CBA">
      <w:pPr>
        <w:numPr>
          <w:ilvl w:val="0"/>
          <w:numId w:val="7"/>
        </w:numPr>
        <w:spacing w:line="276" w:lineRule="auto"/>
        <w:jc w:val="both"/>
        <w:rPr>
          <w:sz w:val="22"/>
          <w:szCs w:val="22"/>
        </w:rPr>
      </w:pPr>
      <w:r w:rsidRPr="007B1368">
        <w:rPr>
          <w:sz w:val="22"/>
          <w:szCs w:val="22"/>
        </w:rPr>
        <w:t>Confidential.</w:t>
      </w:r>
    </w:p>
    <w:p w14:paraId="7EB8569A" w14:textId="5D785958" w:rsidR="00F30C54" w:rsidRPr="007B1368" w:rsidRDefault="00F30C54" w:rsidP="00762CBA">
      <w:pPr>
        <w:numPr>
          <w:ilvl w:val="0"/>
          <w:numId w:val="7"/>
        </w:numPr>
        <w:spacing w:line="276" w:lineRule="auto"/>
        <w:jc w:val="both"/>
        <w:rPr>
          <w:sz w:val="22"/>
          <w:szCs w:val="22"/>
        </w:rPr>
      </w:pPr>
      <w:r w:rsidRPr="007B1368">
        <w:rPr>
          <w:sz w:val="22"/>
          <w:szCs w:val="22"/>
        </w:rPr>
        <w:t>Non-judgmental, offering culturally sensitive services in a safe environment where individuals can discuss their sexual health needs without fear of judgement or subjectivity.</w:t>
      </w:r>
    </w:p>
    <w:p w14:paraId="00DF43EB" w14:textId="12EF1795" w:rsidR="00F30C54" w:rsidRPr="007B1368" w:rsidRDefault="00F30C54" w:rsidP="00762CBA">
      <w:pPr>
        <w:numPr>
          <w:ilvl w:val="0"/>
          <w:numId w:val="7"/>
        </w:numPr>
        <w:spacing w:line="276" w:lineRule="auto"/>
        <w:jc w:val="both"/>
        <w:rPr>
          <w:sz w:val="22"/>
          <w:szCs w:val="22"/>
        </w:rPr>
      </w:pPr>
      <w:r w:rsidRPr="007B1368">
        <w:rPr>
          <w:sz w:val="22"/>
          <w:szCs w:val="22"/>
        </w:rPr>
        <w:t>Proactive in safeguarding, identifying and supporting young people and vulnerable adults, and collaborating with key partners to ensure their safety.</w:t>
      </w:r>
      <w:r w:rsidRPr="004F6F51">
        <w:rPr>
          <w:sz w:val="22"/>
          <w:szCs w:val="22"/>
        </w:rPr>
        <w:t xml:space="preserve"> </w:t>
      </w:r>
    </w:p>
    <w:p w14:paraId="103D3D0E" w14:textId="6E4A30C0" w:rsidR="00F30C54" w:rsidRPr="007B1368" w:rsidRDefault="00F30C54" w:rsidP="00762CBA">
      <w:pPr>
        <w:widowControl w:val="0"/>
        <w:numPr>
          <w:ilvl w:val="0"/>
          <w:numId w:val="7"/>
        </w:numPr>
        <w:autoSpaceDE w:val="0"/>
        <w:autoSpaceDN w:val="0"/>
        <w:adjustRightInd w:val="0"/>
        <w:spacing w:line="276" w:lineRule="auto"/>
        <w:jc w:val="both"/>
        <w:rPr>
          <w:sz w:val="22"/>
          <w:szCs w:val="22"/>
        </w:rPr>
      </w:pPr>
      <w:r w:rsidRPr="007B1368">
        <w:rPr>
          <w:sz w:val="22"/>
          <w:szCs w:val="22"/>
        </w:rPr>
        <w:t>Friendly, welcoming, and comfortable.</w:t>
      </w:r>
    </w:p>
    <w:p w14:paraId="185BFBC9" w14:textId="51A14003" w:rsidR="00F30C54" w:rsidRPr="007B1368" w:rsidRDefault="00F30C54" w:rsidP="00762CBA">
      <w:pPr>
        <w:widowControl w:val="0"/>
        <w:numPr>
          <w:ilvl w:val="0"/>
          <w:numId w:val="7"/>
        </w:numPr>
        <w:autoSpaceDE w:val="0"/>
        <w:autoSpaceDN w:val="0"/>
        <w:adjustRightInd w:val="0"/>
        <w:spacing w:line="276" w:lineRule="auto"/>
        <w:jc w:val="both"/>
        <w:rPr>
          <w:sz w:val="22"/>
          <w:szCs w:val="22"/>
        </w:rPr>
      </w:pPr>
      <w:r w:rsidRPr="007B1368">
        <w:rPr>
          <w:sz w:val="22"/>
          <w:szCs w:val="22"/>
        </w:rPr>
        <w:t xml:space="preserve">Compliant with the requirements set out in the Equality Act 2010. </w:t>
      </w:r>
    </w:p>
    <w:p w14:paraId="5633E9FD" w14:textId="77777777" w:rsidR="00F30C54" w:rsidRPr="007B1368" w:rsidRDefault="00F30C54" w:rsidP="00074E61">
      <w:pPr>
        <w:rPr>
          <w:b/>
          <w:sz w:val="22"/>
          <w:szCs w:val="22"/>
        </w:rPr>
      </w:pPr>
    </w:p>
    <w:p w14:paraId="4A001256" w14:textId="77777777" w:rsidR="00F30C54" w:rsidRPr="007B1368" w:rsidRDefault="00F30C54" w:rsidP="005A66F0">
      <w:pPr>
        <w:pStyle w:val="DefinedTermNumber"/>
        <w:numPr>
          <w:ilvl w:val="0"/>
          <w:numId w:val="0"/>
        </w:numPr>
        <w:rPr>
          <w:rFonts w:cs="Arial"/>
          <w:b/>
          <w:bCs/>
          <w:szCs w:val="22"/>
        </w:rPr>
      </w:pPr>
      <w:r w:rsidRPr="007B1368">
        <w:rPr>
          <w:rFonts w:cs="Arial"/>
          <w:b/>
          <w:bCs/>
          <w:szCs w:val="22"/>
        </w:rPr>
        <w:t>Premises</w:t>
      </w:r>
    </w:p>
    <w:p w14:paraId="7FCC4F05" w14:textId="7B5F4AC6" w:rsidR="00F30C54" w:rsidRPr="007B1368" w:rsidRDefault="00F30C54" w:rsidP="005A66F0">
      <w:pPr>
        <w:pStyle w:val="BodyText"/>
        <w:spacing w:after="0" w:line="276" w:lineRule="auto"/>
        <w:ind w:left="0" w:right="193"/>
        <w:jc w:val="both"/>
        <w:rPr>
          <w:rFonts w:cs="Arial"/>
          <w:sz w:val="22"/>
          <w:szCs w:val="22"/>
        </w:rPr>
      </w:pPr>
      <w:r w:rsidRPr="007B1368">
        <w:rPr>
          <w:rFonts w:cs="Arial"/>
          <w:sz w:val="22"/>
          <w:szCs w:val="22"/>
        </w:rPr>
        <w:t>The Provider must ensure that the premises meet the standards required by the General Medical Council (GMC)</w:t>
      </w:r>
      <w:r w:rsidRPr="007B1368">
        <w:rPr>
          <w:rStyle w:val="EndnoteReference"/>
          <w:rFonts w:cs="Arial"/>
          <w:sz w:val="22"/>
          <w:szCs w:val="22"/>
        </w:rPr>
        <w:endnoteReference w:id="15"/>
      </w:r>
      <w:r w:rsidRPr="007B1368">
        <w:rPr>
          <w:rFonts w:cs="Arial"/>
          <w:sz w:val="22"/>
          <w:szCs w:val="22"/>
        </w:rPr>
        <w:t xml:space="preserve"> and provide a safe, clean, and suitable environment for delivering services. The following requirements apply: </w:t>
      </w:r>
    </w:p>
    <w:p w14:paraId="5C007497" w14:textId="77777777" w:rsidR="00F30C54" w:rsidRPr="007B1368" w:rsidRDefault="00F30C54" w:rsidP="005A66F0">
      <w:pPr>
        <w:pStyle w:val="BodyText"/>
        <w:spacing w:after="0" w:line="276" w:lineRule="auto"/>
        <w:ind w:left="0" w:right="193"/>
        <w:jc w:val="both"/>
        <w:rPr>
          <w:rFonts w:cs="Arial"/>
          <w:b/>
          <w:bCs/>
          <w:sz w:val="22"/>
          <w:szCs w:val="22"/>
        </w:rPr>
      </w:pPr>
    </w:p>
    <w:p w14:paraId="643D14C4" w14:textId="4602008F" w:rsidR="00F30C54" w:rsidRPr="007B1368" w:rsidRDefault="00F30C54" w:rsidP="00EE4C1D">
      <w:pPr>
        <w:pStyle w:val="ListParagraph"/>
        <w:numPr>
          <w:ilvl w:val="0"/>
          <w:numId w:val="7"/>
        </w:numPr>
        <w:rPr>
          <w:sz w:val="22"/>
          <w:szCs w:val="22"/>
        </w:rPr>
      </w:pPr>
      <w:r w:rsidRPr="007B1368">
        <w:rPr>
          <w:sz w:val="22"/>
          <w:szCs w:val="22"/>
        </w:rPr>
        <w:t>The premises must have sufficient space for customers, patients and staff members.</w:t>
      </w:r>
      <w:r w:rsidRPr="004F6F51">
        <w:rPr>
          <w:sz w:val="22"/>
          <w:szCs w:val="22"/>
        </w:rPr>
        <w:t xml:space="preserve"> </w:t>
      </w:r>
      <w:r w:rsidRPr="007B1368">
        <w:rPr>
          <w:sz w:val="22"/>
          <w:szCs w:val="22"/>
        </w:rPr>
        <w:t>The layout must ensure consultations are private and uninterrupted, preventing unauthorised entry by staff or customers during consultations.</w:t>
      </w:r>
    </w:p>
    <w:p w14:paraId="55DC53DA" w14:textId="77777777" w:rsidR="00F30C54" w:rsidRPr="007B1368" w:rsidRDefault="00F30C54" w:rsidP="00EE4C1D">
      <w:pPr>
        <w:pStyle w:val="ListParagraph"/>
        <w:rPr>
          <w:sz w:val="22"/>
          <w:szCs w:val="22"/>
        </w:rPr>
      </w:pPr>
    </w:p>
    <w:p w14:paraId="606F0B16" w14:textId="77777777" w:rsidR="00F30C54" w:rsidRPr="007B1368" w:rsidRDefault="00F30C54" w:rsidP="00EE4C1D">
      <w:pPr>
        <w:pStyle w:val="ListParagraph"/>
        <w:numPr>
          <w:ilvl w:val="0"/>
          <w:numId w:val="7"/>
        </w:numPr>
        <w:rPr>
          <w:sz w:val="22"/>
          <w:szCs w:val="22"/>
        </w:rPr>
      </w:pPr>
      <w:r w:rsidRPr="007B1368">
        <w:rPr>
          <w:sz w:val="22"/>
          <w:szCs w:val="22"/>
        </w:rPr>
        <w:t>Premises must be kept clean, hygienic, and in good repair to maintain a safe and professional environment.</w:t>
      </w:r>
    </w:p>
    <w:p w14:paraId="7C3768CB" w14:textId="0850939E" w:rsidR="00F30C54" w:rsidRPr="007B1368" w:rsidRDefault="00F30C54" w:rsidP="00EE4C1D">
      <w:pPr>
        <w:pStyle w:val="ListParagraph"/>
        <w:numPr>
          <w:ilvl w:val="0"/>
          <w:numId w:val="7"/>
        </w:numPr>
        <w:rPr>
          <w:sz w:val="22"/>
          <w:szCs w:val="22"/>
        </w:rPr>
      </w:pPr>
      <w:r w:rsidRPr="007B1368">
        <w:rPr>
          <w:sz w:val="22"/>
          <w:szCs w:val="22"/>
        </w:rPr>
        <w:lastRenderedPageBreak/>
        <w:t>Consultation areas must guarantee privacy and confidentiality. For remote consultations, the Provider must explain the reason for the call, confirm the patient’s consent to proceed, and ensure information shared cannot be overheard.</w:t>
      </w:r>
    </w:p>
    <w:p w14:paraId="163BC52E" w14:textId="77777777" w:rsidR="00F30C54" w:rsidRPr="007B1368" w:rsidRDefault="00F30C54" w:rsidP="00EE4C1D">
      <w:pPr>
        <w:pStyle w:val="ListParagraph"/>
        <w:rPr>
          <w:sz w:val="22"/>
          <w:szCs w:val="22"/>
        </w:rPr>
      </w:pPr>
    </w:p>
    <w:p w14:paraId="6A76E297" w14:textId="7B0FC38A" w:rsidR="00F30C54" w:rsidRPr="007B1368" w:rsidRDefault="00F30C54" w:rsidP="00EE4C1D">
      <w:pPr>
        <w:pStyle w:val="ListParagraph"/>
        <w:numPr>
          <w:ilvl w:val="0"/>
          <w:numId w:val="7"/>
        </w:numPr>
        <w:rPr>
          <w:sz w:val="22"/>
          <w:szCs w:val="22"/>
        </w:rPr>
      </w:pPr>
      <w:r w:rsidRPr="007B1368">
        <w:rPr>
          <w:sz w:val="22"/>
          <w:szCs w:val="22"/>
        </w:rPr>
        <w:t>Consultation areas must not be used for storage, except for essential stock required during consultations.</w:t>
      </w:r>
    </w:p>
    <w:p w14:paraId="0D120BF4" w14:textId="77777777" w:rsidR="00F30C54" w:rsidRPr="007B1368" w:rsidRDefault="00F30C54" w:rsidP="00EE4C1D">
      <w:pPr>
        <w:pStyle w:val="ListParagraph"/>
        <w:rPr>
          <w:sz w:val="22"/>
          <w:szCs w:val="22"/>
        </w:rPr>
      </w:pPr>
    </w:p>
    <w:p w14:paraId="5E4CA616" w14:textId="77777777" w:rsidR="00F30C54" w:rsidRPr="007B1368" w:rsidRDefault="00F30C54" w:rsidP="00EE4C1D">
      <w:pPr>
        <w:pStyle w:val="Default"/>
        <w:numPr>
          <w:ilvl w:val="0"/>
          <w:numId w:val="7"/>
        </w:numPr>
        <w:spacing w:line="276" w:lineRule="auto"/>
        <w:ind w:right="-1"/>
        <w:jc w:val="both"/>
        <w:rPr>
          <w:color w:val="auto"/>
          <w:sz w:val="22"/>
          <w:szCs w:val="22"/>
        </w:rPr>
      </w:pPr>
      <w:r w:rsidRPr="007B1368">
        <w:rPr>
          <w:color w:val="auto"/>
          <w:sz w:val="22"/>
          <w:szCs w:val="22"/>
        </w:rPr>
        <w:t>Treatment rooms must be equipped with:</w:t>
      </w:r>
    </w:p>
    <w:p w14:paraId="3D8C86B7" w14:textId="77777777" w:rsidR="00F30C54" w:rsidRPr="007B1368" w:rsidRDefault="00F30C54" w:rsidP="004F6F51">
      <w:pPr>
        <w:pStyle w:val="Default"/>
        <w:numPr>
          <w:ilvl w:val="1"/>
          <w:numId w:val="53"/>
        </w:numPr>
        <w:spacing w:line="276" w:lineRule="auto"/>
        <w:ind w:right="-1"/>
        <w:jc w:val="both"/>
        <w:rPr>
          <w:color w:val="auto"/>
          <w:sz w:val="22"/>
          <w:szCs w:val="22"/>
        </w:rPr>
      </w:pPr>
      <w:r w:rsidRPr="007B1368">
        <w:rPr>
          <w:color w:val="auto"/>
          <w:sz w:val="22"/>
          <w:szCs w:val="22"/>
        </w:rPr>
        <w:t>A couch and sufficient space to perform procedures.</w:t>
      </w:r>
    </w:p>
    <w:p w14:paraId="5318E376" w14:textId="77777777" w:rsidR="00F30C54" w:rsidRPr="007B1368" w:rsidRDefault="00F30C54" w:rsidP="004F6F51">
      <w:pPr>
        <w:pStyle w:val="Default"/>
        <w:numPr>
          <w:ilvl w:val="1"/>
          <w:numId w:val="53"/>
        </w:numPr>
        <w:spacing w:line="276" w:lineRule="auto"/>
        <w:ind w:right="-1"/>
        <w:jc w:val="both"/>
        <w:rPr>
          <w:color w:val="auto"/>
          <w:sz w:val="22"/>
          <w:szCs w:val="22"/>
        </w:rPr>
      </w:pPr>
      <w:r w:rsidRPr="007B1368">
        <w:rPr>
          <w:color w:val="auto"/>
          <w:sz w:val="22"/>
          <w:szCs w:val="22"/>
        </w:rPr>
        <w:t>Handwashing facilities to maintain hygiene.</w:t>
      </w:r>
    </w:p>
    <w:p w14:paraId="7CDAFC8E" w14:textId="77777777" w:rsidR="00F30C54" w:rsidRPr="007B1368" w:rsidRDefault="00F30C54" w:rsidP="004F6F51">
      <w:pPr>
        <w:pStyle w:val="Default"/>
        <w:numPr>
          <w:ilvl w:val="1"/>
          <w:numId w:val="53"/>
        </w:numPr>
        <w:spacing w:line="276" w:lineRule="auto"/>
        <w:ind w:right="-1"/>
        <w:jc w:val="both"/>
        <w:rPr>
          <w:color w:val="auto"/>
          <w:sz w:val="22"/>
          <w:szCs w:val="22"/>
        </w:rPr>
      </w:pPr>
      <w:r w:rsidRPr="007B1368">
        <w:rPr>
          <w:color w:val="auto"/>
          <w:sz w:val="22"/>
          <w:szCs w:val="22"/>
        </w:rPr>
        <w:t>Equipment for resuscitation, as necessary.</w:t>
      </w:r>
    </w:p>
    <w:p w14:paraId="1885B5C6" w14:textId="07F7BF1C" w:rsidR="00F30C54" w:rsidRPr="007B1368" w:rsidRDefault="00F30C54" w:rsidP="00EE4C1D">
      <w:pPr>
        <w:pStyle w:val="Default"/>
        <w:spacing w:line="276" w:lineRule="auto"/>
        <w:ind w:left="720" w:right="-1"/>
        <w:jc w:val="both"/>
        <w:rPr>
          <w:color w:val="auto"/>
          <w:sz w:val="22"/>
          <w:szCs w:val="22"/>
        </w:rPr>
      </w:pPr>
    </w:p>
    <w:p w14:paraId="49A1459F" w14:textId="77777777" w:rsidR="00F30C54" w:rsidRPr="007B1368" w:rsidRDefault="00F30C54" w:rsidP="008A0729">
      <w:pPr>
        <w:pStyle w:val="Default"/>
        <w:spacing w:line="276" w:lineRule="auto"/>
        <w:ind w:right="-1"/>
        <w:jc w:val="both"/>
        <w:rPr>
          <w:color w:val="auto"/>
          <w:sz w:val="22"/>
          <w:szCs w:val="22"/>
        </w:rPr>
      </w:pPr>
    </w:p>
    <w:p w14:paraId="47987A2C" w14:textId="19257D53" w:rsidR="00F30C54" w:rsidRPr="007B1368" w:rsidRDefault="00F30C54" w:rsidP="00EF68F7">
      <w:pPr>
        <w:pStyle w:val="Heading2"/>
        <w:rPr>
          <w:sz w:val="22"/>
          <w:szCs w:val="22"/>
        </w:rPr>
      </w:pPr>
      <w:bookmarkStart w:id="8" w:name="_Toc190354370"/>
      <w:r w:rsidRPr="007B1368">
        <w:rPr>
          <w:sz w:val="22"/>
          <w:szCs w:val="22"/>
        </w:rPr>
        <w:t>5. Statement of Requirements</w:t>
      </w:r>
      <w:bookmarkEnd w:id="8"/>
    </w:p>
    <w:p w14:paraId="7A169C70" w14:textId="77777777" w:rsidR="00F30C54" w:rsidRPr="007B1368" w:rsidRDefault="00F30C54" w:rsidP="008A0729">
      <w:pPr>
        <w:rPr>
          <w:sz w:val="22"/>
          <w:szCs w:val="22"/>
        </w:rPr>
      </w:pPr>
    </w:p>
    <w:p w14:paraId="3E279292" w14:textId="29D47403" w:rsidR="00F30C54" w:rsidRPr="007B1368" w:rsidRDefault="00F30C54" w:rsidP="00502EA4">
      <w:pPr>
        <w:rPr>
          <w:sz w:val="22"/>
          <w:szCs w:val="22"/>
        </w:rPr>
      </w:pPr>
      <w:r w:rsidRPr="007B1368">
        <w:rPr>
          <w:sz w:val="22"/>
          <w:szCs w:val="22"/>
        </w:rPr>
        <w:t>The Provider is responsible for ensuring that robust clinical governance arrangements are in place to deliver safe, effective, and high quality services. The Provider must adhere to Department of Heath guidance including:</w:t>
      </w:r>
    </w:p>
    <w:p w14:paraId="7BE2F1A1" w14:textId="77777777" w:rsidR="00F30C54" w:rsidRPr="007B1368" w:rsidRDefault="00F30C54" w:rsidP="00502EA4">
      <w:pPr>
        <w:rPr>
          <w:sz w:val="22"/>
          <w:szCs w:val="22"/>
        </w:rPr>
      </w:pPr>
    </w:p>
    <w:p w14:paraId="6EC3327C" w14:textId="1BACC444" w:rsidR="00F30C54" w:rsidRPr="007B1368" w:rsidRDefault="00F30C54">
      <w:pPr>
        <w:rPr>
          <w:color w:val="000000"/>
          <w:sz w:val="22"/>
          <w:szCs w:val="22"/>
        </w:rPr>
      </w:pPr>
      <w:r w:rsidRPr="007B1368">
        <w:rPr>
          <w:b/>
          <w:color w:val="000000"/>
          <w:sz w:val="22"/>
          <w:szCs w:val="22"/>
        </w:rPr>
        <w:t>Incident Reporting:</w:t>
      </w:r>
      <w:r w:rsidRPr="007B1368">
        <w:rPr>
          <w:color w:val="000000"/>
          <w:sz w:val="22"/>
          <w:szCs w:val="22"/>
        </w:rPr>
        <w:t xml:space="preserve"> Establish processes and procedures for reporting incidents, including serious untoward incidents (SUIs). The Provider is required to inform the Council’s Commissioner</w:t>
      </w:r>
      <w:r w:rsidR="00BF7D2C">
        <w:rPr>
          <w:color w:val="000000"/>
          <w:sz w:val="22"/>
          <w:szCs w:val="22"/>
        </w:rPr>
        <w:t>,</w:t>
      </w:r>
      <w:r w:rsidRPr="007B1368">
        <w:rPr>
          <w:color w:val="000000"/>
          <w:sz w:val="22"/>
          <w:szCs w:val="22"/>
        </w:rPr>
        <w:t xml:space="preserve"> Director of Public Health about incidents, near misses, complaints, compliments and other patient feedback. </w:t>
      </w:r>
    </w:p>
    <w:p w14:paraId="79649CEF" w14:textId="0CF46BC5" w:rsidR="00F30C54" w:rsidRPr="007B1368" w:rsidRDefault="00F30C54">
      <w:pPr>
        <w:rPr>
          <w:color w:val="000000"/>
          <w:sz w:val="22"/>
          <w:szCs w:val="22"/>
        </w:rPr>
      </w:pPr>
    </w:p>
    <w:p w14:paraId="2966F01C" w14:textId="05209E43" w:rsidR="00F30C54" w:rsidRPr="007B1368" w:rsidRDefault="00F30C54" w:rsidP="00506CCD">
      <w:pPr>
        <w:rPr>
          <w:b/>
          <w:bCs/>
          <w:sz w:val="22"/>
          <w:szCs w:val="22"/>
        </w:rPr>
      </w:pPr>
      <w:r w:rsidRPr="007B1368">
        <w:rPr>
          <w:b/>
          <w:bCs/>
          <w:sz w:val="22"/>
          <w:szCs w:val="22"/>
        </w:rPr>
        <w:t>5.1 Clinical Skills and competencies</w:t>
      </w:r>
    </w:p>
    <w:p w14:paraId="23C80F4F" w14:textId="1C1CFB4F" w:rsidR="00F30C54" w:rsidRPr="007B1368" w:rsidRDefault="00F30C54" w:rsidP="00506CCD">
      <w:pPr>
        <w:rPr>
          <w:b/>
          <w:bCs/>
          <w:sz w:val="22"/>
          <w:szCs w:val="22"/>
        </w:rPr>
      </w:pPr>
    </w:p>
    <w:p w14:paraId="21C6EF79" w14:textId="5672610F" w:rsidR="00F30C54" w:rsidRPr="007B1368" w:rsidRDefault="00F30C54" w:rsidP="00506CCD">
      <w:pPr>
        <w:rPr>
          <w:sz w:val="22"/>
          <w:szCs w:val="22"/>
        </w:rPr>
      </w:pPr>
      <w:r w:rsidRPr="007B1368">
        <w:rPr>
          <w:sz w:val="22"/>
          <w:szCs w:val="22"/>
        </w:rPr>
        <w:t xml:space="preserve">The Provider is responsible for ensuring that clinicians are competent and trained to offer the services described in this specification. </w:t>
      </w:r>
      <w:r w:rsidRPr="004F6F51">
        <w:rPr>
          <w:sz w:val="22"/>
          <w:szCs w:val="22"/>
        </w:rPr>
        <w:t>Please see Appendix 5 for training requirements.</w:t>
      </w:r>
    </w:p>
    <w:p w14:paraId="0588AF39" w14:textId="77777777" w:rsidR="00F30C54" w:rsidRPr="007B1368" w:rsidRDefault="00F30C54" w:rsidP="00502EA4">
      <w:pPr>
        <w:pStyle w:val="Default"/>
        <w:rPr>
          <w:color w:val="auto"/>
          <w:sz w:val="22"/>
          <w:szCs w:val="22"/>
        </w:rPr>
      </w:pPr>
    </w:p>
    <w:p w14:paraId="6E82EB78" w14:textId="3D551EBB" w:rsidR="00F30C54" w:rsidRPr="007B1368" w:rsidRDefault="00F30C54" w:rsidP="00502EA4">
      <w:pPr>
        <w:pStyle w:val="Default"/>
        <w:rPr>
          <w:b/>
          <w:bCs/>
          <w:sz w:val="22"/>
          <w:szCs w:val="22"/>
        </w:rPr>
      </w:pPr>
      <w:r w:rsidRPr="007B1368">
        <w:rPr>
          <w:b/>
          <w:bCs/>
          <w:sz w:val="22"/>
          <w:szCs w:val="22"/>
        </w:rPr>
        <w:t>Eligibility for IUCD Insertion (Intrauterine Device/Systems)</w:t>
      </w:r>
    </w:p>
    <w:p w14:paraId="388F5C93" w14:textId="2707BA4D" w:rsidR="00F30C54" w:rsidRPr="007B1368" w:rsidRDefault="00F30C54" w:rsidP="00502EA4">
      <w:pPr>
        <w:pStyle w:val="Default"/>
        <w:rPr>
          <w:sz w:val="22"/>
          <w:szCs w:val="22"/>
        </w:rPr>
      </w:pPr>
      <w:r w:rsidRPr="007B1368">
        <w:rPr>
          <w:b/>
          <w:bCs/>
          <w:sz w:val="22"/>
          <w:szCs w:val="22"/>
        </w:rPr>
        <w:t xml:space="preserve"> </w:t>
      </w:r>
    </w:p>
    <w:p w14:paraId="6EDF5555" w14:textId="78CB57F0" w:rsidR="00F30C54" w:rsidRPr="007B1368" w:rsidRDefault="00F30C54" w:rsidP="00502EA4">
      <w:pPr>
        <w:pStyle w:val="Default"/>
        <w:rPr>
          <w:sz w:val="22"/>
          <w:szCs w:val="22"/>
        </w:rPr>
      </w:pPr>
      <w:r w:rsidRPr="007B1368">
        <w:rPr>
          <w:sz w:val="22"/>
          <w:szCs w:val="22"/>
        </w:rPr>
        <w:t xml:space="preserve">To be eligible to provide IUCD insertion under the Council contract, clinicians must: </w:t>
      </w:r>
    </w:p>
    <w:p w14:paraId="2BF99D7B" w14:textId="77777777" w:rsidR="00F30C54" w:rsidRPr="007B1368" w:rsidRDefault="00F30C54" w:rsidP="00502EA4">
      <w:pPr>
        <w:pStyle w:val="Default"/>
        <w:rPr>
          <w:sz w:val="22"/>
          <w:szCs w:val="22"/>
        </w:rPr>
      </w:pPr>
    </w:p>
    <w:p w14:paraId="1C25A4E6" w14:textId="7D026BCA" w:rsidR="00F30C54" w:rsidRPr="007B1368" w:rsidRDefault="00F30C54" w:rsidP="00762CBA">
      <w:pPr>
        <w:pStyle w:val="Default"/>
        <w:numPr>
          <w:ilvl w:val="0"/>
          <w:numId w:val="28"/>
        </w:numPr>
        <w:spacing w:after="33"/>
        <w:rPr>
          <w:sz w:val="22"/>
          <w:szCs w:val="22"/>
        </w:rPr>
      </w:pPr>
      <w:r w:rsidRPr="007B1368">
        <w:rPr>
          <w:sz w:val="22"/>
          <w:szCs w:val="22"/>
        </w:rPr>
        <w:t xml:space="preserve">Hold and retain Faculty of Sexual and Reproductive Health (FSRH) Letter of Competency (LoC) Intrauterine Techniques or be able to evidence 12 insertions and management of </w:t>
      </w:r>
      <w:r w:rsidRPr="007B1368">
        <w:rPr>
          <w:rStyle w:val="Strong"/>
          <w:b w:val="0"/>
          <w:bCs w:val="0"/>
          <w:sz w:val="22"/>
          <w:szCs w:val="22"/>
        </w:rPr>
        <w:t>intrauterine devices (</w:t>
      </w:r>
      <w:r w:rsidRPr="007B1368">
        <w:rPr>
          <w:sz w:val="22"/>
          <w:szCs w:val="22"/>
        </w:rPr>
        <w:t>IUCD) insertions a year for the past 3 years.</w:t>
      </w:r>
    </w:p>
    <w:p w14:paraId="472A2887" w14:textId="77777777" w:rsidR="00F30C54" w:rsidRPr="007B1368" w:rsidRDefault="00F30C54" w:rsidP="00502EA4">
      <w:pPr>
        <w:pStyle w:val="Default"/>
        <w:rPr>
          <w:sz w:val="22"/>
          <w:szCs w:val="22"/>
        </w:rPr>
      </w:pPr>
    </w:p>
    <w:p w14:paraId="6B33C373" w14:textId="167FD92C" w:rsidR="00F30C54" w:rsidRPr="007B1368" w:rsidRDefault="00F30C54" w:rsidP="00762CBA">
      <w:pPr>
        <w:pStyle w:val="Default"/>
        <w:numPr>
          <w:ilvl w:val="0"/>
          <w:numId w:val="28"/>
        </w:numPr>
        <w:rPr>
          <w:sz w:val="22"/>
          <w:szCs w:val="22"/>
        </w:rPr>
      </w:pPr>
      <w:r w:rsidRPr="007B1368">
        <w:rPr>
          <w:sz w:val="22"/>
          <w:szCs w:val="22"/>
        </w:rPr>
        <w:t xml:space="preserve">Or, if previously trained, but not practiced within the last 2 years, contact </w:t>
      </w:r>
      <w:r w:rsidRPr="00330FE7">
        <w:rPr>
          <w:sz w:val="22"/>
          <w:szCs w:val="22"/>
        </w:rPr>
        <w:t xml:space="preserve">Local Medical Committee (LMC) </w:t>
      </w:r>
      <w:r w:rsidRPr="00BF7D2C">
        <w:rPr>
          <w:sz w:val="22"/>
          <w:szCs w:val="22"/>
        </w:rPr>
        <w:t xml:space="preserve"> for support in refreshing and reassessing</w:t>
      </w:r>
      <w:r w:rsidRPr="007B1368">
        <w:rPr>
          <w:sz w:val="22"/>
          <w:szCs w:val="22"/>
        </w:rPr>
        <w:t xml:space="preserve"> competencies. Attendance at local training facilities may be required. </w:t>
      </w:r>
    </w:p>
    <w:p w14:paraId="3BDDFFF3" w14:textId="77777777" w:rsidR="00F30C54" w:rsidRPr="007B1368" w:rsidRDefault="00F30C54" w:rsidP="00502EA4">
      <w:pPr>
        <w:pStyle w:val="Default"/>
        <w:rPr>
          <w:sz w:val="22"/>
          <w:szCs w:val="22"/>
        </w:rPr>
      </w:pPr>
    </w:p>
    <w:p w14:paraId="4EB0D9C7" w14:textId="15BFEFC2" w:rsidR="00F30C54" w:rsidRPr="007B1368" w:rsidRDefault="00F30C54" w:rsidP="00502EA4">
      <w:pPr>
        <w:pStyle w:val="Default"/>
        <w:rPr>
          <w:sz w:val="22"/>
          <w:szCs w:val="22"/>
        </w:rPr>
      </w:pPr>
      <w:r w:rsidRPr="007B1368">
        <w:rPr>
          <w:sz w:val="22"/>
          <w:szCs w:val="22"/>
        </w:rPr>
        <w:t>The on-going annual requirements are:</w:t>
      </w:r>
    </w:p>
    <w:p w14:paraId="7F5DA0E4" w14:textId="77777777" w:rsidR="00F30C54" w:rsidRPr="007B1368" w:rsidRDefault="00F30C54" w:rsidP="00502EA4">
      <w:pPr>
        <w:pStyle w:val="Default"/>
        <w:rPr>
          <w:sz w:val="22"/>
          <w:szCs w:val="22"/>
        </w:rPr>
      </w:pPr>
    </w:p>
    <w:p w14:paraId="37E4B9C8" w14:textId="77777777" w:rsidR="00F30C54" w:rsidRPr="007B1368" w:rsidRDefault="00F30C54" w:rsidP="00762CBA">
      <w:pPr>
        <w:pStyle w:val="Default"/>
        <w:numPr>
          <w:ilvl w:val="0"/>
          <w:numId w:val="25"/>
        </w:numPr>
        <w:spacing w:after="35"/>
        <w:rPr>
          <w:sz w:val="22"/>
          <w:szCs w:val="22"/>
        </w:rPr>
      </w:pPr>
      <w:r w:rsidRPr="007B1368">
        <w:rPr>
          <w:sz w:val="22"/>
          <w:szCs w:val="22"/>
        </w:rPr>
        <w:t xml:space="preserve">Log 12 </w:t>
      </w:r>
      <w:r w:rsidRPr="007B1368">
        <w:rPr>
          <w:rStyle w:val="Strong"/>
          <w:b w:val="0"/>
          <w:bCs w:val="0"/>
          <w:sz w:val="22"/>
          <w:szCs w:val="22"/>
        </w:rPr>
        <w:t>Intrauterine Contraceptive Device (IUD) Insertion and Contraceptive Procedures</w:t>
      </w:r>
      <w:r w:rsidRPr="007B1368">
        <w:rPr>
          <w:sz w:val="22"/>
          <w:szCs w:val="22"/>
        </w:rPr>
        <w:t xml:space="preserve"> (IUCE) procedures within a 12-month period within the past 24 months.</w:t>
      </w:r>
    </w:p>
    <w:p w14:paraId="16A7C762" w14:textId="2795C64A" w:rsidR="00F30C54" w:rsidRPr="007B1368" w:rsidRDefault="00F30C54" w:rsidP="001E0A25">
      <w:pPr>
        <w:pStyle w:val="Default"/>
        <w:spacing w:after="35"/>
        <w:ind w:left="720"/>
        <w:rPr>
          <w:sz w:val="22"/>
          <w:szCs w:val="22"/>
        </w:rPr>
      </w:pPr>
      <w:r w:rsidRPr="007B1368">
        <w:rPr>
          <w:sz w:val="22"/>
          <w:szCs w:val="22"/>
        </w:rPr>
        <w:t xml:space="preserve"> </w:t>
      </w:r>
    </w:p>
    <w:p w14:paraId="53731465" w14:textId="77777777" w:rsidR="00F30C54" w:rsidRPr="007B1368" w:rsidRDefault="00F30C54" w:rsidP="00762CBA">
      <w:pPr>
        <w:pStyle w:val="Default"/>
        <w:numPr>
          <w:ilvl w:val="0"/>
          <w:numId w:val="25"/>
        </w:numPr>
        <w:spacing w:after="35"/>
        <w:rPr>
          <w:sz w:val="22"/>
          <w:szCs w:val="22"/>
        </w:rPr>
      </w:pPr>
      <w:r w:rsidRPr="007B1368">
        <w:rPr>
          <w:sz w:val="22"/>
          <w:szCs w:val="22"/>
        </w:rPr>
        <w:t xml:space="preserve">Complete two relevant continual professional development (CPD) credits within the last 5 years, including peer observation or audit. </w:t>
      </w:r>
    </w:p>
    <w:p w14:paraId="3B8A96C9" w14:textId="77777777" w:rsidR="00F30C54" w:rsidRPr="007B1368" w:rsidRDefault="00F30C54" w:rsidP="001B007B">
      <w:pPr>
        <w:pStyle w:val="ListParagraph"/>
        <w:rPr>
          <w:sz w:val="22"/>
          <w:szCs w:val="22"/>
        </w:rPr>
      </w:pPr>
    </w:p>
    <w:p w14:paraId="2A836081" w14:textId="5A0D7084" w:rsidR="00F30C54" w:rsidRPr="007B1368" w:rsidRDefault="00F30C54" w:rsidP="00762CBA">
      <w:pPr>
        <w:pStyle w:val="Default"/>
        <w:numPr>
          <w:ilvl w:val="0"/>
          <w:numId w:val="25"/>
        </w:numPr>
        <w:spacing w:after="35"/>
        <w:rPr>
          <w:sz w:val="22"/>
          <w:szCs w:val="22"/>
        </w:rPr>
      </w:pPr>
      <w:r w:rsidRPr="007B1368">
        <w:rPr>
          <w:sz w:val="22"/>
          <w:szCs w:val="22"/>
        </w:rPr>
        <w:lastRenderedPageBreak/>
        <w:t xml:space="preserve">Provide evidence of annual appraisal, including discussion of contraception and </w:t>
      </w:r>
      <w:r w:rsidRPr="007B1368">
        <w:rPr>
          <w:rStyle w:val="Strong"/>
          <w:b w:val="0"/>
          <w:bCs w:val="0"/>
          <w:sz w:val="22"/>
          <w:szCs w:val="22"/>
        </w:rPr>
        <w:t>Intrauterine Contraceptive Device Insertion and Management</w:t>
      </w:r>
      <w:r w:rsidRPr="007B1368">
        <w:rPr>
          <w:sz w:val="22"/>
          <w:szCs w:val="22"/>
        </w:rPr>
        <w:t xml:space="preserve"> (IUCDE). </w:t>
      </w:r>
    </w:p>
    <w:p w14:paraId="50A26E57" w14:textId="2F0CD9F7" w:rsidR="00F30C54" w:rsidRPr="007B1368" w:rsidRDefault="00F30C54" w:rsidP="001B007B">
      <w:pPr>
        <w:pStyle w:val="Default"/>
        <w:spacing w:after="35"/>
        <w:rPr>
          <w:sz w:val="22"/>
          <w:szCs w:val="22"/>
        </w:rPr>
      </w:pPr>
    </w:p>
    <w:p w14:paraId="5565B176" w14:textId="77777777" w:rsidR="00F30C54" w:rsidRPr="007B1368" w:rsidRDefault="00F30C54" w:rsidP="00762CBA">
      <w:pPr>
        <w:pStyle w:val="Default"/>
        <w:numPr>
          <w:ilvl w:val="0"/>
          <w:numId w:val="25"/>
        </w:numPr>
        <w:spacing w:after="35"/>
        <w:rPr>
          <w:sz w:val="22"/>
          <w:szCs w:val="22"/>
        </w:rPr>
      </w:pPr>
      <w:r w:rsidRPr="007B1368">
        <w:rPr>
          <w:sz w:val="22"/>
          <w:szCs w:val="22"/>
        </w:rPr>
        <w:t>Provide evidence of GMC registration.</w:t>
      </w:r>
    </w:p>
    <w:p w14:paraId="04CE6107" w14:textId="77777777" w:rsidR="00F30C54" w:rsidRPr="007B1368" w:rsidRDefault="00F30C54" w:rsidP="001B007B">
      <w:pPr>
        <w:pStyle w:val="ListParagraph"/>
        <w:rPr>
          <w:sz w:val="22"/>
          <w:szCs w:val="22"/>
        </w:rPr>
      </w:pPr>
    </w:p>
    <w:p w14:paraId="4E9FB65B" w14:textId="77777777" w:rsidR="00F30C54" w:rsidRPr="007B1368" w:rsidRDefault="00F30C54" w:rsidP="00762CBA">
      <w:pPr>
        <w:pStyle w:val="Default"/>
        <w:numPr>
          <w:ilvl w:val="0"/>
          <w:numId w:val="25"/>
        </w:numPr>
        <w:spacing w:after="35"/>
        <w:rPr>
          <w:sz w:val="22"/>
          <w:szCs w:val="22"/>
        </w:rPr>
      </w:pPr>
      <w:r w:rsidRPr="007B1368">
        <w:rPr>
          <w:sz w:val="22"/>
          <w:szCs w:val="22"/>
        </w:rPr>
        <w:t>Confirm no ongoing serious incidents/investigations with the employer or professional body and notify the Council’s lead commissioner if this changes.</w:t>
      </w:r>
    </w:p>
    <w:p w14:paraId="4B2455A7" w14:textId="77777777" w:rsidR="00F30C54" w:rsidRPr="007B1368" w:rsidRDefault="00F30C54" w:rsidP="001B007B">
      <w:pPr>
        <w:pStyle w:val="ListParagraph"/>
        <w:rPr>
          <w:sz w:val="22"/>
          <w:szCs w:val="22"/>
        </w:rPr>
      </w:pPr>
    </w:p>
    <w:p w14:paraId="0056AEE4" w14:textId="7D6A06D6" w:rsidR="00F30C54" w:rsidRPr="007B1368" w:rsidRDefault="00F30C54" w:rsidP="00762CBA">
      <w:pPr>
        <w:pStyle w:val="Default"/>
        <w:numPr>
          <w:ilvl w:val="0"/>
          <w:numId w:val="25"/>
        </w:numPr>
        <w:spacing w:after="35"/>
        <w:rPr>
          <w:sz w:val="22"/>
          <w:szCs w:val="22"/>
        </w:rPr>
      </w:pPr>
      <w:r w:rsidRPr="007B1368">
        <w:rPr>
          <w:sz w:val="22"/>
          <w:szCs w:val="22"/>
        </w:rPr>
        <w:t>Undertake anaphylaxis and Basic Life Support (BLS) training annually.</w:t>
      </w:r>
    </w:p>
    <w:p w14:paraId="1C305984" w14:textId="77777777" w:rsidR="00F30C54" w:rsidRPr="007B1368" w:rsidRDefault="00F30C54" w:rsidP="00502EA4">
      <w:pPr>
        <w:pStyle w:val="Default"/>
        <w:rPr>
          <w:sz w:val="22"/>
          <w:szCs w:val="22"/>
        </w:rPr>
      </w:pPr>
    </w:p>
    <w:p w14:paraId="187FFFED" w14:textId="0A0236BF" w:rsidR="00F30C54" w:rsidRPr="007B1368" w:rsidRDefault="00F30C54" w:rsidP="00502EA4">
      <w:pPr>
        <w:pStyle w:val="Default"/>
        <w:rPr>
          <w:b/>
          <w:sz w:val="22"/>
          <w:szCs w:val="22"/>
        </w:rPr>
      </w:pPr>
      <w:r w:rsidRPr="007B1368">
        <w:rPr>
          <w:b/>
          <w:sz w:val="22"/>
          <w:szCs w:val="22"/>
        </w:rPr>
        <w:t>Eligibility for Implant Insertion (Subdermal Contraceptive Implants)</w:t>
      </w:r>
    </w:p>
    <w:p w14:paraId="11FAE088" w14:textId="77777777" w:rsidR="00F30C54" w:rsidRPr="007B1368" w:rsidRDefault="00F30C54" w:rsidP="00502EA4">
      <w:pPr>
        <w:pStyle w:val="Default"/>
        <w:rPr>
          <w:sz w:val="22"/>
          <w:szCs w:val="22"/>
        </w:rPr>
      </w:pPr>
    </w:p>
    <w:p w14:paraId="346E4D9D" w14:textId="77777777" w:rsidR="00F30C54" w:rsidRPr="007B1368" w:rsidRDefault="00F30C54" w:rsidP="00502EA4">
      <w:pPr>
        <w:pStyle w:val="Default"/>
        <w:rPr>
          <w:sz w:val="22"/>
          <w:szCs w:val="22"/>
        </w:rPr>
      </w:pPr>
      <w:r w:rsidRPr="007B1368">
        <w:rPr>
          <w:sz w:val="22"/>
          <w:szCs w:val="22"/>
        </w:rPr>
        <w:t>To deliver implant insertions, clinicians must:</w:t>
      </w:r>
    </w:p>
    <w:p w14:paraId="68DADEB6" w14:textId="77777777" w:rsidR="00F30C54" w:rsidRPr="007B1368" w:rsidRDefault="00F30C54" w:rsidP="00502EA4">
      <w:pPr>
        <w:pStyle w:val="Default"/>
        <w:rPr>
          <w:sz w:val="22"/>
          <w:szCs w:val="22"/>
        </w:rPr>
      </w:pPr>
    </w:p>
    <w:p w14:paraId="247B592A" w14:textId="77777777" w:rsidR="00F30C54" w:rsidRPr="007B1368" w:rsidRDefault="00F30C54" w:rsidP="00502EA4">
      <w:pPr>
        <w:pStyle w:val="Default"/>
        <w:rPr>
          <w:sz w:val="22"/>
          <w:szCs w:val="22"/>
        </w:rPr>
      </w:pPr>
      <w:r w:rsidRPr="007B1368">
        <w:rPr>
          <w:sz w:val="22"/>
          <w:szCs w:val="22"/>
        </w:rPr>
        <w:t xml:space="preserve">Hold and retain Fertility and Sexual Health Local Ongoing Certification (FSHLOC) in Subdermal Contraceptive Implant Techniques. </w:t>
      </w:r>
    </w:p>
    <w:p w14:paraId="6AF80EB4" w14:textId="77777777" w:rsidR="00F30C54" w:rsidRPr="007B1368" w:rsidRDefault="00F30C54" w:rsidP="00502EA4">
      <w:pPr>
        <w:pStyle w:val="Default"/>
        <w:rPr>
          <w:sz w:val="22"/>
          <w:szCs w:val="22"/>
        </w:rPr>
      </w:pPr>
    </w:p>
    <w:p w14:paraId="737E67C9" w14:textId="2D5651DC" w:rsidR="00F30C54" w:rsidRPr="007B1368" w:rsidRDefault="00F30C54" w:rsidP="00502EA4">
      <w:pPr>
        <w:pStyle w:val="Default"/>
        <w:rPr>
          <w:sz w:val="22"/>
          <w:szCs w:val="22"/>
        </w:rPr>
      </w:pPr>
      <w:r w:rsidRPr="007B1368">
        <w:rPr>
          <w:sz w:val="22"/>
          <w:szCs w:val="22"/>
        </w:rPr>
        <w:t>The on-going annual requirements are:</w:t>
      </w:r>
    </w:p>
    <w:p w14:paraId="638F24C2" w14:textId="77777777" w:rsidR="00F30C54" w:rsidRPr="007B1368" w:rsidRDefault="00F30C54" w:rsidP="00502EA4">
      <w:pPr>
        <w:pStyle w:val="Default"/>
        <w:rPr>
          <w:sz w:val="22"/>
          <w:szCs w:val="22"/>
        </w:rPr>
      </w:pPr>
    </w:p>
    <w:p w14:paraId="53606F2C" w14:textId="52DFE98F" w:rsidR="00F30C54" w:rsidRPr="007B1368" w:rsidRDefault="00F30C54" w:rsidP="00762CBA">
      <w:pPr>
        <w:pStyle w:val="Default"/>
        <w:numPr>
          <w:ilvl w:val="0"/>
          <w:numId w:val="27"/>
        </w:numPr>
        <w:spacing w:after="33"/>
        <w:rPr>
          <w:sz w:val="22"/>
          <w:szCs w:val="22"/>
        </w:rPr>
      </w:pPr>
      <w:r w:rsidRPr="007B1368">
        <w:rPr>
          <w:sz w:val="22"/>
          <w:szCs w:val="22"/>
        </w:rPr>
        <w:t>Comply with local anaesthesia ongoing certification in SDI re-certification requirements.</w:t>
      </w:r>
    </w:p>
    <w:p w14:paraId="731005F6" w14:textId="77777777" w:rsidR="00F30C54" w:rsidRPr="007B1368" w:rsidRDefault="00F30C54" w:rsidP="001B007B">
      <w:pPr>
        <w:pStyle w:val="Default"/>
        <w:spacing w:after="33"/>
        <w:ind w:left="720"/>
        <w:rPr>
          <w:sz w:val="22"/>
          <w:szCs w:val="22"/>
        </w:rPr>
      </w:pPr>
    </w:p>
    <w:p w14:paraId="35A0F09A" w14:textId="77777777" w:rsidR="00F30C54" w:rsidRPr="007B1368" w:rsidRDefault="00F30C54" w:rsidP="00762CBA">
      <w:pPr>
        <w:pStyle w:val="Default"/>
        <w:numPr>
          <w:ilvl w:val="0"/>
          <w:numId w:val="27"/>
        </w:numPr>
        <w:spacing w:after="33"/>
        <w:rPr>
          <w:sz w:val="22"/>
          <w:szCs w:val="22"/>
        </w:rPr>
      </w:pPr>
      <w:r w:rsidRPr="007B1368">
        <w:rPr>
          <w:sz w:val="22"/>
          <w:szCs w:val="22"/>
        </w:rPr>
        <w:t>Provide evidence of annual appraisal, including discussions of contraception and subdermal implant procedures and management.</w:t>
      </w:r>
    </w:p>
    <w:p w14:paraId="1060A665" w14:textId="77777777" w:rsidR="00F30C54" w:rsidRPr="007B1368" w:rsidRDefault="00F30C54" w:rsidP="001B007B">
      <w:pPr>
        <w:pStyle w:val="ListParagraph"/>
        <w:rPr>
          <w:sz w:val="22"/>
          <w:szCs w:val="22"/>
        </w:rPr>
      </w:pPr>
    </w:p>
    <w:p w14:paraId="4EEE95D7" w14:textId="6603F32D" w:rsidR="00F30C54" w:rsidRPr="007B1368" w:rsidRDefault="00F30C54" w:rsidP="00762CBA">
      <w:pPr>
        <w:pStyle w:val="Default"/>
        <w:numPr>
          <w:ilvl w:val="0"/>
          <w:numId w:val="27"/>
        </w:numPr>
        <w:spacing w:after="33"/>
        <w:rPr>
          <w:sz w:val="22"/>
          <w:szCs w:val="22"/>
        </w:rPr>
      </w:pPr>
      <w:r w:rsidRPr="007B1368">
        <w:rPr>
          <w:sz w:val="22"/>
          <w:szCs w:val="22"/>
        </w:rPr>
        <w:t>Provide evidence of GMC registration and hold a license.</w:t>
      </w:r>
    </w:p>
    <w:p w14:paraId="707B8222" w14:textId="77777777" w:rsidR="00F30C54" w:rsidRPr="007B1368" w:rsidRDefault="00F30C54" w:rsidP="001B007B">
      <w:pPr>
        <w:pStyle w:val="ListParagraph"/>
        <w:rPr>
          <w:sz w:val="22"/>
          <w:szCs w:val="22"/>
        </w:rPr>
      </w:pPr>
    </w:p>
    <w:p w14:paraId="31F7314C" w14:textId="4648B8F7" w:rsidR="00F30C54" w:rsidRPr="007B1368" w:rsidRDefault="00F30C54" w:rsidP="00762CBA">
      <w:pPr>
        <w:pStyle w:val="Default"/>
        <w:numPr>
          <w:ilvl w:val="0"/>
          <w:numId w:val="27"/>
        </w:numPr>
        <w:spacing w:after="33"/>
        <w:rPr>
          <w:sz w:val="22"/>
          <w:szCs w:val="22"/>
        </w:rPr>
      </w:pPr>
      <w:r w:rsidRPr="007B1368">
        <w:rPr>
          <w:sz w:val="22"/>
          <w:szCs w:val="22"/>
        </w:rPr>
        <w:t>Confirm no ongoing serious incidents/investigations with the employer or professional body and notify the Council lead commissioner of any changes.</w:t>
      </w:r>
    </w:p>
    <w:p w14:paraId="64E73BF3" w14:textId="77777777" w:rsidR="00F30C54" w:rsidRPr="004F6F51" w:rsidRDefault="00F30C54" w:rsidP="00CC45BD">
      <w:pPr>
        <w:pStyle w:val="Default"/>
        <w:spacing w:after="33"/>
        <w:rPr>
          <w:sz w:val="22"/>
          <w:szCs w:val="22"/>
        </w:rPr>
      </w:pPr>
    </w:p>
    <w:p w14:paraId="32924B9C" w14:textId="43E7940D" w:rsidR="00F30C54" w:rsidRPr="004F6F51" w:rsidRDefault="00F30C54" w:rsidP="00CC45BD">
      <w:pPr>
        <w:pStyle w:val="Default"/>
        <w:spacing w:after="33"/>
        <w:rPr>
          <w:b/>
          <w:sz w:val="22"/>
          <w:szCs w:val="22"/>
        </w:rPr>
      </w:pPr>
      <w:r w:rsidRPr="004F6F51">
        <w:rPr>
          <w:b/>
          <w:sz w:val="22"/>
          <w:szCs w:val="22"/>
        </w:rPr>
        <w:t>General Clinical Competency Requirements</w:t>
      </w:r>
    </w:p>
    <w:p w14:paraId="262799DB" w14:textId="77777777" w:rsidR="00F30C54" w:rsidRPr="004F6F51" w:rsidRDefault="00F30C54" w:rsidP="00CC45BD">
      <w:pPr>
        <w:pStyle w:val="Default"/>
        <w:spacing w:after="33"/>
        <w:rPr>
          <w:sz w:val="22"/>
          <w:szCs w:val="22"/>
        </w:rPr>
      </w:pPr>
    </w:p>
    <w:p w14:paraId="77E33AB3" w14:textId="53759B58" w:rsidR="00F30C54" w:rsidRPr="007B1368" w:rsidRDefault="00F30C54" w:rsidP="00CC45BD">
      <w:pPr>
        <w:autoSpaceDE w:val="0"/>
        <w:autoSpaceDN w:val="0"/>
        <w:adjustRightInd w:val="0"/>
        <w:rPr>
          <w:sz w:val="22"/>
          <w:szCs w:val="22"/>
        </w:rPr>
      </w:pPr>
      <w:r w:rsidRPr="007B1368">
        <w:rPr>
          <w:sz w:val="22"/>
          <w:szCs w:val="22"/>
        </w:rPr>
        <w:t xml:space="preserve">All health professionals this service must also: </w:t>
      </w:r>
    </w:p>
    <w:p w14:paraId="61D55B6E" w14:textId="77777777" w:rsidR="00F30C54" w:rsidRPr="007B1368" w:rsidRDefault="00F30C54" w:rsidP="00CC45BD">
      <w:pPr>
        <w:autoSpaceDE w:val="0"/>
        <w:autoSpaceDN w:val="0"/>
        <w:adjustRightInd w:val="0"/>
        <w:rPr>
          <w:sz w:val="22"/>
          <w:szCs w:val="22"/>
        </w:rPr>
      </w:pPr>
    </w:p>
    <w:p w14:paraId="634FE647" w14:textId="073313EC" w:rsidR="00F30C54" w:rsidRPr="007B1368" w:rsidRDefault="00F30C54" w:rsidP="00762CBA">
      <w:pPr>
        <w:pStyle w:val="ListParagraph"/>
        <w:numPr>
          <w:ilvl w:val="0"/>
          <w:numId w:val="21"/>
        </w:numPr>
        <w:rPr>
          <w:sz w:val="22"/>
          <w:szCs w:val="22"/>
          <w:lang w:eastAsia="en-GB"/>
        </w:rPr>
      </w:pPr>
      <w:r w:rsidRPr="007B1368">
        <w:rPr>
          <w:sz w:val="22"/>
          <w:szCs w:val="22"/>
          <w:lang w:eastAsia="en-GB"/>
        </w:rPr>
        <w:t>Be competent in consultation skills and patient-centred care.</w:t>
      </w:r>
    </w:p>
    <w:p w14:paraId="0B421860" w14:textId="559C7FA0" w:rsidR="00F30C54" w:rsidRPr="007B1368" w:rsidRDefault="00F30C54" w:rsidP="00762CBA">
      <w:pPr>
        <w:pStyle w:val="ListParagraph"/>
        <w:numPr>
          <w:ilvl w:val="0"/>
          <w:numId w:val="21"/>
        </w:numPr>
        <w:rPr>
          <w:sz w:val="22"/>
          <w:szCs w:val="22"/>
          <w:lang w:eastAsia="en-GB"/>
        </w:rPr>
      </w:pPr>
      <w:r w:rsidRPr="007B1368">
        <w:rPr>
          <w:sz w:val="22"/>
          <w:szCs w:val="22"/>
          <w:lang w:eastAsia="en-GB"/>
        </w:rPr>
        <w:t>Have up-to-date resuscitation and anaphylaxis training in line with UK guidelines. </w:t>
      </w:r>
    </w:p>
    <w:p w14:paraId="01ADC18B" w14:textId="3D9AA0CB" w:rsidR="00F30C54" w:rsidRPr="007B1368" w:rsidRDefault="00F30C54" w:rsidP="00762CBA">
      <w:pPr>
        <w:pStyle w:val="ListParagraph"/>
        <w:numPr>
          <w:ilvl w:val="0"/>
          <w:numId w:val="21"/>
        </w:numPr>
        <w:rPr>
          <w:sz w:val="22"/>
          <w:szCs w:val="22"/>
          <w:lang w:eastAsia="en-GB"/>
        </w:rPr>
      </w:pPr>
      <w:r w:rsidRPr="007B1368">
        <w:rPr>
          <w:sz w:val="22"/>
          <w:szCs w:val="22"/>
          <w:lang w:eastAsia="en-GB"/>
        </w:rPr>
        <w:t>Be capable of administering intramuscular injections.</w:t>
      </w:r>
    </w:p>
    <w:p w14:paraId="01E69A7C" w14:textId="16138F68" w:rsidR="00F30C54" w:rsidRPr="007B1368" w:rsidRDefault="00F30C54" w:rsidP="00762CBA">
      <w:pPr>
        <w:pStyle w:val="ListParagraph"/>
        <w:numPr>
          <w:ilvl w:val="0"/>
          <w:numId w:val="21"/>
        </w:numPr>
        <w:rPr>
          <w:sz w:val="22"/>
          <w:szCs w:val="22"/>
          <w:lang w:eastAsia="en-GB"/>
        </w:rPr>
      </w:pPr>
      <w:r w:rsidRPr="007B1368">
        <w:rPr>
          <w:sz w:val="22"/>
          <w:szCs w:val="22"/>
          <w:lang w:eastAsia="en-GB"/>
        </w:rPr>
        <w:t>Review and comply with current FSRH guidance on subdermal implants.</w:t>
      </w:r>
    </w:p>
    <w:p w14:paraId="06C1483E" w14:textId="77777777" w:rsidR="00F30C54" w:rsidRPr="007B1368" w:rsidRDefault="00F30C54" w:rsidP="00762CBA">
      <w:pPr>
        <w:pStyle w:val="ListParagraph"/>
        <w:numPr>
          <w:ilvl w:val="0"/>
          <w:numId w:val="21"/>
        </w:numPr>
        <w:rPr>
          <w:sz w:val="22"/>
          <w:szCs w:val="22"/>
          <w:lang w:eastAsia="en-GB"/>
        </w:rPr>
      </w:pPr>
      <w:r w:rsidRPr="007B1368">
        <w:rPr>
          <w:sz w:val="22"/>
          <w:szCs w:val="22"/>
          <w:lang w:eastAsia="en-GB"/>
        </w:rPr>
        <w:t>Be able to confirm having read the 6 principles of care.</w:t>
      </w:r>
    </w:p>
    <w:p w14:paraId="3FFD17AF" w14:textId="77777777" w:rsidR="00F30C54" w:rsidRPr="007B1368" w:rsidRDefault="00F30C54" w:rsidP="00762CBA">
      <w:pPr>
        <w:pStyle w:val="ListParagraph"/>
        <w:numPr>
          <w:ilvl w:val="0"/>
          <w:numId w:val="21"/>
        </w:numPr>
        <w:rPr>
          <w:sz w:val="22"/>
          <w:szCs w:val="22"/>
          <w:lang w:eastAsia="en-GB"/>
        </w:rPr>
      </w:pPr>
      <w:r w:rsidRPr="007B1368">
        <w:rPr>
          <w:sz w:val="22"/>
          <w:szCs w:val="22"/>
        </w:rPr>
        <w:t>Complete Module 17 of the e-SRH.</w:t>
      </w:r>
    </w:p>
    <w:p w14:paraId="6B826A62" w14:textId="77777777" w:rsidR="00F30C54" w:rsidRPr="004F6F51" w:rsidRDefault="00F30C54" w:rsidP="00CC45BD">
      <w:pPr>
        <w:rPr>
          <w:sz w:val="22"/>
          <w:szCs w:val="22"/>
          <w:lang w:eastAsia="en-GB"/>
        </w:rPr>
      </w:pPr>
    </w:p>
    <w:p w14:paraId="564D0B33" w14:textId="77777777" w:rsidR="00F30C54" w:rsidRPr="007B1368" w:rsidRDefault="00F30C54" w:rsidP="00111471">
      <w:pPr>
        <w:rPr>
          <w:b/>
          <w:sz w:val="22"/>
          <w:szCs w:val="22"/>
          <w:lang w:val="en-US"/>
        </w:rPr>
      </w:pPr>
      <w:r w:rsidRPr="007B1368">
        <w:rPr>
          <w:b/>
          <w:sz w:val="22"/>
          <w:szCs w:val="22"/>
          <w:lang w:val="en-US"/>
        </w:rPr>
        <w:t xml:space="preserve">5.1.1 Professional Registration </w:t>
      </w:r>
    </w:p>
    <w:p w14:paraId="64B38FF2" w14:textId="77777777" w:rsidR="00F30C54" w:rsidRPr="007B1368" w:rsidRDefault="00F30C54" w:rsidP="00111471">
      <w:pPr>
        <w:spacing w:before="100" w:beforeAutospacing="1" w:after="100" w:afterAutospacing="1"/>
        <w:rPr>
          <w:b/>
          <w:sz w:val="22"/>
          <w:szCs w:val="22"/>
          <w:lang w:val="en-US"/>
        </w:rPr>
      </w:pPr>
      <w:r w:rsidRPr="007B1368">
        <w:rPr>
          <w:bCs/>
          <w:sz w:val="22"/>
          <w:szCs w:val="22"/>
          <w:lang w:val="en-US"/>
        </w:rPr>
        <w:t xml:space="preserve">The provider </w:t>
      </w:r>
      <w:r w:rsidRPr="007B1368">
        <w:rPr>
          <w:rFonts w:eastAsia="Times New Roman"/>
          <w:bCs/>
          <w:sz w:val="22"/>
          <w:szCs w:val="22"/>
          <w:lang w:eastAsia="en-GB"/>
        </w:rPr>
        <w:t>must ensure that any healthcare professionals are registered with the relevant regulatory body to practice legally</w:t>
      </w:r>
      <w:r w:rsidRPr="007B1368">
        <w:rPr>
          <w:rFonts w:eastAsia="Times New Roman"/>
          <w:sz w:val="22"/>
          <w:szCs w:val="22"/>
          <w:lang w:eastAsia="en-GB"/>
        </w:rPr>
        <w:t xml:space="preserve"> and safely. These bodies ensure that professionals are adequately trained and competent in their field, for example:</w:t>
      </w:r>
    </w:p>
    <w:p w14:paraId="57A630BF" w14:textId="52B413EB" w:rsidR="00F30C54" w:rsidRPr="007B1368" w:rsidRDefault="00F30C54" w:rsidP="00762CBA">
      <w:pPr>
        <w:pStyle w:val="ListParagraph"/>
        <w:numPr>
          <w:ilvl w:val="0"/>
          <w:numId w:val="26"/>
        </w:numPr>
        <w:rPr>
          <w:sz w:val="22"/>
          <w:szCs w:val="22"/>
          <w:lang w:val="en-US"/>
        </w:rPr>
      </w:pPr>
      <w:r w:rsidRPr="007B1368">
        <w:rPr>
          <w:sz w:val="22"/>
          <w:szCs w:val="22"/>
        </w:rPr>
        <w:t xml:space="preserve">Doctors (GPs, consultants, etc.) must be registered with the </w:t>
      </w:r>
      <w:r w:rsidRPr="007B1368">
        <w:rPr>
          <w:rStyle w:val="Strong"/>
          <w:b w:val="0"/>
          <w:bCs w:val="0"/>
          <w:sz w:val="22"/>
          <w:szCs w:val="22"/>
        </w:rPr>
        <w:t>GMC t</w:t>
      </w:r>
      <w:r w:rsidRPr="007B1368">
        <w:rPr>
          <w:sz w:val="22"/>
          <w:szCs w:val="22"/>
        </w:rPr>
        <w:t>o practice medicine in the UK.</w:t>
      </w:r>
      <w:r w:rsidRPr="007B1368">
        <w:rPr>
          <w:rStyle w:val="Strong"/>
          <w:b w:val="0"/>
          <w:bCs w:val="0"/>
          <w:sz w:val="22"/>
          <w:szCs w:val="22"/>
        </w:rPr>
        <w:t xml:space="preserve"> </w:t>
      </w:r>
    </w:p>
    <w:p w14:paraId="1DA8F691" w14:textId="18202178" w:rsidR="00F30C54" w:rsidRPr="007B1368" w:rsidRDefault="00F30C54" w:rsidP="00762CBA">
      <w:pPr>
        <w:pStyle w:val="ListParagraph"/>
        <w:numPr>
          <w:ilvl w:val="0"/>
          <w:numId w:val="26"/>
        </w:numPr>
        <w:spacing w:before="100" w:beforeAutospacing="1" w:after="100" w:afterAutospacing="1"/>
        <w:rPr>
          <w:rFonts w:eastAsia="Times New Roman"/>
          <w:sz w:val="22"/>
          <w:szCs w:val="22"/>
          <w:lang w:eastAsia="en-GB"/>
        </w:rPr>
      </w:pPr>
      <w:r w:rsidRPr="007B1368">
        <w:rPr>
          <w:rFonts w:eastAsia="Times New Roman"/>
          <w:sz w:val="22"/>
          <w:szCs w:val="22"/>
          <w:lang w:eastAsia="en-GB"/>
        </w:rPr>
        <w:lastRenderedPageBreak/>
        <w:t>Nurses, including nurse practitioners and advanced nurse practitioners, must be registered with the Nursing and Midwifery Council (NMC).</w:t>
      </w:r>
    </w:p>
    <w:p w14:paraId="23B0A4E1" w14:textId="77777777" w:rsidR="00F30C54" w:rsidRPr="007B1368" w:rsidRDefault="00F30C54" w:rsidP="00F77C5F">
      <w:pPr>
        <w:pStyle w:val="ListParagraph"/>
        <w:spacing w:before="100" w:beforeAutospacing="1" w:after="100" w:afterAutospacing="1"/>
        <w:rPr>
          <w:rFonts w:eastAsia="Times New Roman"/>
          <w:sz w:val="22"/>
          <w:szCs w:val="22"/>
          <w:lang w:eastAsia="en-GB"/>
        </w:rPr>
      </w:pPr>
    </w:p>
    <w:p w14:paraId="7607D0B8" w14:textId="77777777" w:rsidR="00F30C54" w:rsidRPr="007B1368" w:rsidRDefault="00F30C54" w:rsidP="00762CBA">
      <w:pPr>
        <w:pStyle w:val="ListParagraph"/>
        <w:numPr>
          <w:ilvl w:val="0"/>
          <w:numId w:val="26"/>
        </w:numPr>
        <w:spacing w:before="100" w:beforeAutospacing="1" w:after="100" w:afterAutospacing="1"/>
        <w:rPr>
          <w:rFonts w:eastAsia="Times New Roman"/>
          <w:sz w:val="22"/>
          <w:szCs w:val="22"/>
          <w:lang w:eastAsia="en-GB"/>
        </w:rPr>
      </w:pPr>
      <w:r w:rsidRPr="007B1368">
        <w:rPr>
          <w:rFonts w:eastAsia="Times New Roman"/>
          <w:sz w:val="22"/>
          <w:szCs w:val="22"/>
          <w:lang w:eastAsia="en-GB"/>
        </w:rPr>
        <w:t>Other healthcare professionals, such as physician associates, must be registered with the Health and Care Professions Council (HCPC).</w:t>
      </w:r>
    </w:p>
    <w:p w14:paraId="66E2CD94" w14:textId="6EDE466C" w:rsidR="00F30C54" w:rsidRPr="007B1368" w:rsidRDefault="00F30C54" w:rsidP="00506CCD">
      <w:pPr>
        <w:rPr>
          <w:b/>
          <w:sz w:val="22"/>
          <w:szCs w:val="22"/>
          <w:lang w:val="en-US"/>
        </w:rPr>
      </w:pPr>
      <w:r w:rsidRPr="007B1368">
        <w:rPr>
          <w:b/>
          <w:sz w:val="22"/>
          <w:szCs w:val="22"/>
          <w:lang w:val="en-US"/>
        </w:rPr>
        <w:t>5.1.2 Accreditation</w:t>
      </w:r>
    </w:p>
    <w:p w14:paraId="25F59DFA" w14:textId="77777777" w:rsidR="00F30C54" w:rsidRPr="007B1368" w:rsidRDefault="00F30C54" w:rsidP="00506CCD">
      <w:pPr>
        <w:rPr>
          <w:b/>
          <w:sz w:val="22"/>
          <w:szCs w:val="22"/>
          <w:lang w:val="en-US"/>
        </w:rPr>
      </w:pPr>
    </w:p>
    <w:p w14:paraId="5ABA5949" w14:textId="371DB150" w:rsidR="00F30C54" w:rsidRPr="007B1368" w:rsidRDefault="00F30C54" w:rsidP="00506CCD">
      <w:pPr>
        <w:tabs>
          <w:tab w:val="num" w:pos="786"/>
          <w:tab w:val="num" w:pos="1440"/>
        </w:tabs>
        <w:autoSpaceDE w:val="0"/>
        <w:autoSpaceDN w:val="0"/>
        <w:adjustRightInd w:val="0"/>
        <w:rPr>
          <w:rFonts w:eastAsia="Times New Roman"/>
          <w:sz w:val="22"/>
          <w:szCs w:val="22"/>
          <w:lang w:val="en-US"/>
        </w:rPr>
      </w:pPr>
      <w:r w:rsidRPr="007B1368">
        <w:rPr>
          <w:rFonts w:eastAsia="Times New Roman"/>
          <w:sz w:val="22"/>
          <w:szCs w:val="22"/>
          <w:lang w:val="en-US"/>
        </w:rPr>
        <w:t>All health professionals who deliver this service must have undertaken appropriate training to develop and maintain the relevant skills. T</w:t>
      </w:r>
      <w:r w:rsidRPr="007B1368">
        <w:rPr>
          <w:sz w:val="22"/>
          <w:szCs w:val="22"/>
        </w:rPr>
        <w:t>his should be based on the current requirements set down by the Faculty of Sexual and Reproductive Health Care (FSRHC) for the letter of competence in sub-dermal implants (LoC-SDI), or Royal College of Nursing (RCN) guidance on insertion and removal of sub-dermal implants together with RCN accreditation.</w:t>
      </w:r>
    </w:p>
    <w:p w14:paraId="3A001AB7" w14:textId="77777777" w:rsidR="00F30C54" w:rsidRPr="007B1368" w:rsidRDefault="00F30C54" w:rsidP="00506CCD">
      <w:pPr>
        <w:autoSpaceDE w:val="0"/>
        <w:autoSpaceDN w:val="0"/>
        <w:adjustRightInd w:val="0"/>
        <w:rPr>
          <w:sz w:val="22"/>
          <w:szCs w:val="22"/>
        </w:rPr>
      </w:pPr>
    </w:p>
    <w:p w14:paraId="310DA61D" w14:textId="69D2D0C6" w:rsidR="00F30C54" w:rsidRPr="007B1368" w:rsidRDefault="00F30C54" w:rsidP="00506CCD">
      <w:pPr>
        <w:autoSpaceDE w:val="0"/>
        <w:autoSpaceDN w:val="0"/>
        <w:adjustRightInd w:val="0"/>
        <w:rPr>
          <w:rFonts w:eastAsia="Times New Roman"/>
          <w:sz w:val="22"/>
          <w:szCs w:val="22"/>
          <w:lang w:val="en-US"/>
        </w:rPr>
      </w:pPr>
      <w:r w:rsidRPr="007B1368">
        <w:rPr>
          <w:rFonts w:eastAsia="Times New Roman"/>
          <w:sz w:val="22"/>
          <w:szCs w:val="22"/>
          <w:lang w:val="en-US"/>
        </w:rPr>
        <w:t>To obtain the Letters of Competency, health professionals must:</w:t>
      </w:r>
    </w:p>
    <w:p w14:paraId="73AA72E2" w14:textId="77777777" w:rsidR="00F30C54" w:rsidRPr="007B1368" w:rsidRDefault="00F30C54" w:rsidP="00506CCD">
      <w:pPr>
        <w:autoSpaceDE w:val="0"/>
        <w:autoSpaceDN w:val="0"/>
        <w:adjustRightInd w:val="0"/>
        <w:rPr>
          <w:rFonts w:eastAsia="Times New Roman"/>
          <w:sz w:val="22"/>
          <w:szCs w:val="22"/>
          <w:lang w:val="en-US"/>
        </w:rPr>
      </w:pPr>
    </w:p>
    <w:p w14:paraId="6D064BD3" w14:textId="3A309AA2" w:rsidR="00F30C54" w:rsidRPr="007B1368" w:rsidRDefault="00F30C54" w:rsidP="00762CBA">
      <w:pPr>
        <w:pStyle w:val="ListParagraph"/>
        <w:numPr>
          <w:ilvl w:val="0"/>
          <w:numId w:val="8"/>
        </w:numPr>
        <w:autoSpaceDE w:val="0"/>
        <w:autoSpaceDN w:val="0"/>
        <w:adjustRightInd w:val="0"/>
        <w:spacing w:after="200" w:line="276" w:lineRule="auto"/>
        <w:contextualSpacing w:val="0"/>
        <w:rPr>
          <w:rFonts w:eastAsia="Times New Roman"/>
          <w:sz w:val="22"/>
          <w:szCs w:val="22"/>
          <w:lang w:val="en-US"/>
        </w:rPr>
      </w:pPr>
      <w:r w:rsidRPr="007B1368">
        <w:rPr>
          <w:rFonts w:eastAsia="Times New Roman"/>
          <w:sz w:val="22"/>
          <w:szCs w:val="22"/>
          <w:lang w:val="en-US"/>
        </w:rPr>
        <w:t>Hold a current FSRH Diploma, N-FSRH Diploma, MFSRH or FFSRH or;</w:t>
      </w:r>
    </w:p>
    <w:p w14:paraId="4A4A18CB" w14:textId="6770FE3F" w:rsidR="00F30C54" w:rsidRPr="007B1368" w:rsidRDefault="00F30C54" w:rsidP="00762CBA">
      <w:pPr>
        <w:pStyle w:val="ListParagraph"/>
        <w:numPr>
          <w:ilvl w:val="0"/>
          <w:numId w:val="8"/>
        </w:numPr>
        <w:autoSpaceDE w:val="0"/>
        <w:autoSpaceDN w:val="0"/>
        <w:adjustRightInd w:val="0"/>
        <w:spacing w:after="200" w:line="276" w:lineRule="auto"/>
        <w:contextualSpacing w:val="0"/>
        <w:rPr>
          <w:rFonts w:eastAsia="Times New Roman"/>
          <w:sz w:val="22"/>
          <w:szCs w:val="22"/>
          <w:lang w:val="en-US"/>
        </w:rPr>
      </w:pPr>
      <w:r w:rsidRPr="007B1368">
        <w:rPr>
          <w:rFonts w:eastAsia="Times New Roman"/>
          <w:sz w:val="22"/>
          <w:szCs w:val="22"/>
          <w:lang w:val="en-US"/>
        </w:rPr>
        <w:t>Have passed the Electronic Knowledge Assessment (EKA) in SRH</w:t>
      </w:r>
    </w:p>
    <w:p w14:paraId="43265D9E" w14:textId="77777777" w:rsidR="00F30C54" w:rsidRPr="007B1368" w:rsidRDefault="00F30C54" w:rsidP="00506CCD">
      <w:pPr>
        <w:autoSpaceDE w:val="0"/>
        <w:autoSpaceDN w:val="0"/>
        <w:adjustRightInd w:val="0"/>
        <w:rPr>
          <w:b/>
          <w:bCs/>
          <w:sz w:val="22"/>
          <w:szCs w:val="22"/>
        </w:rPr>
      </w:pPr>
      <w:r w:rsidRPr="007B1368">
        <w:rPr>
          <w:b/>
          <w:bCs/>
          <w:sz w:val="22"/>
          <w:szCs w:val="22"/>
        </w:rPr>
        <w:t xml:space="preserve">Continuing Professional Development </w:t>
      </w:r>
    </w:p>
    <w:p w14:paraId="31E23DA8" w14:textId="77777777" w:rsidR="00F30C54" w:rsidRPr="007B1368" w:rsidRDefault="00F30C54" w:rsidP="00506CCD">
      <w:pPr>
        <w:autoSpaceDE w:val="0"/>
        <w:autoSpaceDN w:val="0"/>
        <w:adjustRightInd w:val="0"/>
        <w:rPr>
          <w:sz w:val="22"/>
          <w:szCs w:val="22"/>
        </w:rPr>
      </w:pPr>
    </w:p>
    <w:p w14:paraId="4F6425E7" w14:textId="78F8A105" w:rsidR="00F30C54" w:rsidRPr="007B1368" w:rsidRDefault="00F30C54" w:rsidP="00506CCD">
      <w:pPr>
        <w:autoSpaceDE w:val="0"/>
        <w:autoSpaceDN w:val="0"/>
        <w:adjustRightInd w:val="0"/>
        <w:rPr>
          <w:sz w:val="22"/>
          <w:szCs w:val="22"/>
        </w:rPr>
      </w:pPr>
      <w:r w:rsidRPr="007B1368">
        <w:rPr>
          <w:sz w:val="22"/>
          <w:szCs w:val="22"/>
        </w:rPr>
        <w:t xml:space="preserve">The Provider is required to maintain evidence of continuing professional development in relation to this service. This evidence may be required as part of the re-accreditation process. </w:t>
      </w:r>
    </w:p>
    <w:p w14:paraId="500F00E2" w14:textId="77777777" w:rsidR="00F30C54" w:rsidRPr="007B1368" w:rsidRDefault="00F30C54" w:rsidP="00506CCD">
      <w:pPr>
        <w:autoSpaceDE w:val="0"/>
        <w:autoSpaceDN w:val="0"/>
        <w:adjustRightInd w:val="0"/>
        <w:rPr>
          <w:sz w:val="22"/>
          <w:szCs w:val="22"/>
        </w:rPr>
      </w:pPr>
    </w:p>
    <w:p w14:paraId="6AA1C281" w14:textId="73C731E9" w:rsidR="00F30C54" w:rsidRPr="007B1368" w:rsidRDefault="00F30C54" w:rsidP="00506CCD">
      <w:pPr>
        <w:autoSpaceDE w:val="0"/>
        <w:autoSpaceDN w:val="0"/>
        <w:adjustRightInd w:val="0"/>
        <w:rPr>
          <w:sz w:val="22"/>
          <w:szCs w:val="22"/>
        </w:rPr>
      </w:pPr>
      <w:r w:rsidRPr="007B1368">
        <w:rPr>
          <w:sz w:val="22"/>
          <w:szCs w:val="22"/>
        </w:rPr>
        <w:t xml:space="preserve">Clinical updates and training may include supervised practice, liaison or clinical audit sessions, or attendance at appropriate postgraduate meetings, lectures, or events. </w:t>
      </w:r>
    </w:p>
    <w:p w14:paraId="5AAFB7FD" w14:textId="77777777" w:rsidR="00F30C54" w:rsidRPr="007B1368" w:rsidRDefault="00F30C54" w:rsidP="00506CCD">
      <w:pPr>
        <w:autoSpaceDE w:val="0"/>
        <w:autoSpaceDN w:val="0"/>
        <w:adjustRightInd w:val="0"/>
        <w:rPr>
          <w:sz w:val="22"/>
          <w:szCs w:val="22"/>
        </w:rPr>
      </w:pPr>
    </w:p>
    <w:p w14:paraId="223238AF" w14:textId="54CF5249" w:rsidR="00F30C54" w:rsidRPr="007B1368" w:rsidRDefault="00F30C54" w:rsidP="00506CCD">
      <w:pPr>
        <w:autoSpaceDE w:val="0"/>
        <w:autoSpaceDN w:val="0"/>
        <w:adjustRightInd w:val="0"/>
        <w:rPr>
          <w:sz w:val="22"/>
          <w:szCs w:val="22"/>
        </w:rPr>
      </w:pPr>
      <w:r w:rsidRPr="007B1368">
        <w:rPr>
          <w:sz w:val="22"/>
          <w:szCs w:val="22"/>
        </w:rPr>
        <w:t xml:space="preserve">Maintaining clinical competence is not always easy in smaller practices where there may be only a limited number of insertions per year. The recommended number of procedures per year, according to updated FSRH Guidance (April 2014) is at least six, including one insertion and one removal. It may be necessary for small practices to have a single nominated practitioner who can undertake the necessary training, keep updated and undertake sufficient numbers of insertions to allow them to maintain their clinical competence. The number of insertions performed by each practitioner must be recorded. </w:t>
      </w:r>
    </w:p>
    <w:p w14:paraId="7BB547E5" w14:textId="77777777" w:rsidR="00F30C54" w:rsidRPr="007B1368" w:rsidRDefault="00F30C54" w:rsidP="00506CCD">
      <w:pPr>
        <w:autoSpaceDE w:val="0"/>
        <w:autoSpaceDN w:val="0"/>
        <w:adjustRightInd w:val="0"/>
        <w:rPr>
          <w:sz w:val="22"/>
          <w:szCs w:val="22"/>
        </w:rPr>
      </w:pPr>
    </w:p>
    <w:p w14:paraId="264F16B1" w14:textId="56BA92FA" w:rsidR="00F30C54" w:rsidRPr="007B1368" w:rsidRDefault="00F30C54" w:rsidP="00EF68F7">
      <w:pPr>
        <w:tabs>
          <w:tab w:val="num" w:pos="786"/>
        </w:tabs>
        <w:autoSpaceDE w:val="0"/>
        <w:autoSpaceDN w:val="0"/>
        <w:adjustRightInd w:val="0"/>
        <w:rPr>
          <w:sz w:val="22"/>
          <w:szCs w:val="22"/>
        </w:rPr>
      </w:pPr>
      <w:r w:rsidRPr="007B1368">
        <w:rPr>
          <w:rFonts w:eastAsia="Times New Roman"/>
          <w:sz w:val="22"/>
          <w:szCs w:val="22"/>
          <w:lang w:val="en-US"/>
        </w:rPr>
        <w:t>Training requirements will be subject to change in line with the Faculty of Sexual and Reproductive Healthcare guidance.</w:t>
      </w:r>
      <w:r w:rsidRPr="004F6F51">
        <w:rPr>
          <w:rFonts w:eastAsia="Times New Roman"/>
          <w:sz w:val="22"/>
          <w:szCs w:val="22"/>
          <w:lang w:eastAsia="en-GB"/>
        </w:rPr>
        <w:t xml:space="preserve"> </w:t>
      </w:r>
    </w:p>
    <w:p w14:paraId="4EA56B11" w14:textId="3447425F" w:rsidR="00F30C54" w:rsidRPr="007B1368" w:rsidRDefault="00F30C54" w:rsidP="00EF68F7">
      <w:pPr>
        <w:tabs>
          <w:tab w:val="num" w:pos="786"/>
        </w:tabs>
        <w:autoSpaceDE w:val="0"/>
        <w:autoSpaceDN w:val="0"/>
        <w:adjustRightInd w:val="0"/>
        <w:rPr>
          <w:sz w:val="22"/>
          <w:szCs w:val="22"/>
        </w:rPr>
      </w:pPr>
    </w:p>
    <w:p w14:paraId="188EBEF5" w14:textId="7A18F813" w:rsidR="00F30C54" w:rsidRPr="007B1368" w:rsidRDefault="00F30C54" w:rsidP="00773D16">
      <w:pPr>
        <w:pStyle w:val="Heading2"/>
        <w:rPr>
          <w:sz w:val="22"/>
          <w:szCs w:val="22"/>
        </w:rPr>
      </w:pPr>
      <w:bookmarkStart w:id="9" w:name="_Toc190354371"/>
      <w:r w:rsidRPr="007B1368">
        <w:rPr>
          <w:sz w:val="22"/>
          <w:szCs w:val="22"/>
        </w:rPr>
        <w:t>6. Confidentiality, Data Management and UK General Data Protection Regulation (UK GDPR)</w:t>
      </w:r>
      <w:bookmarkEnd w:id="9"/>
    </w:p>
    <w:p w14:paraId="25D8EB9A" w14:textId="77777777" w:rsidR="00F30C54" w:rsidRPr="007B1368" w:rsidRDefault="00F30C54" w:rsidP="0046016B">
      <w:pPr>
        <w:pStyle w:val="Default"/>
        <w:spacing w:line="276" w:lineRule="auto"/>
        <w:ind w:right="-1"/>
        <w:jc w:val="both"/>
        <w:rPr>
          <w:color w:val="auto"/>
          <w:sz w:val="22"/>
          <w:szCs w:val="22"/>
        </w:rPr>
      </w:pPr>
      <w:bookmarkStart w:id="10" w:name="_Hlk92804423"/>
    </w:p>
    <w:p w14:paraId="5B33F4FB" w14:textId="46DB5FA1" w:rsidR="00F30C54" w:rsidRPr="007B1368" w:rsidRDefault="00F30C54" w:rsidP="00983BE8">
      <w:pPr>
        <w:pStyle w:val="NoSpacing"/>
        <w:spacing w:line="276" w:lineRule="auto"/>
        <w:rPr>
          <w:rFonts w:ascii="Arial" w:hAnsi="Arial" w:cs="Arial"/>
          <w:b/>
          <w:szCs w:val="22"/>
        </w:rPr>
      </w:pPr>
      <w:r w:rsidRPr="007B1368">
        <w:rPr>
          <w:rFonts w:ascii="Arial" w:hAnsi="Arial" w:cs="Arial"/>
          <w:b/>
          <w:szCs w:val="22"/>
        </w:rPr>
        <w:t>Confidentiality</w:t>
      </w:r>
    </w:p>
    <w:p w14:paraId="68F07F46" w14:textId="77777777" w:rsidR="00F30C54" w:rsidRPr="007B1368" w:rsidRDefault="00F30C54" w:rsidP="00983BE8">
      <w:pPr>
        <w:pStyle w:val="NoSpacing"/>
        <w:spacing w:line="276" w:lineRule="auto"/>
        <w:rPr>
          <w:rFonts w:ascii="Arial" w:hAnsi="Arial" w:cs="Arial"/>
          <w:szCs w:val="22"/>
        </w:rPr>
      </w:pPr>
    </w:p>
    <w:p w14:paraId="79615FA4" w14:textId="357AFEE4" w:rsidR="00F30C54" w:rsidRPr="007B1368" w:rsidRDefault="00F30C54" w:rsidP="00983BE8">
      <w:pPr>
        <w:pStyle w:val="NoSpacing"/>
        <w:spacing w:line="276" w:lineRule="auto"/>
        <w:rPr>
          <w:rFonts w:ascii="Arial" w:hAnsi="Arial" w:cs="Arial"/>
          <w:szCs w:val="22"/>
        </w:rPr>
      </w:pPr>
      <w:r w:rsidRPr="007B1368">
        <w:rPr>
          <w:rFonts w:ascii="Arial" w:hAnsi="Arial" w:cs="Arial"/>
          <w:szCs w:val="22"/>
        </w:rPr>
        <w:t>The Provider must:</w:t>
      </w:r>
    </w:p>
    <w:p w14:paraId="4A91438C" w14:textId="77777777" w:rsidR="00F30C54" w:rsidRPr="007B1368" w:rsidRDefault="00F30C54" w:rsidP="00983BE8">
      <w:pPr>
        <w:pStyle w:val="NoSpacing"/>
        <w:spacing w:line="276" w:lineRule="auto"/>
        <w:rPr>
          <w:rFonts w:ascii="Arial" w:hAnsi="Arial" w:cs="Arial"/>
          <w:szCs w:val="22"/>
        </w:rPr>
      </w:pPr>
    </w:p>
    <w:p w14:paraId="72DAFFEF" w14:textId="595B53EF" w:rsidR="00F30C54" w:rsidRPr="007B1368" w:rsidRDefault="00F30C54" w:rsidP="00E63157">
      <w:pPr>
        <w:pStyle w:val="ListParagraph"/>
        <w:numPr>
          <w:ilvl w:val="0"/>
          <w:numId w:val="49"/>
        </w:numPr>
        <w:rPr>
          <w:sz w:val="22"/>
          <w:szCs w:val="22"/>
        </w:rPr>
      </w:pPr>
      <w:r w:rsidRPr="007B1368">
        <w:rPr>
          <w:sz w:val="22"/>
          <w:szCs w:val="22"/>
        </w:rPr>
        <w:t>Provide clear and accessible information to service users regarding confidentiality practices and circumstances under which confidentiality may need to be breached (e.g., safeguarding concerns).</w:t>
      </w:r>
    </w:p>
    <w:p w14:paraId="49B0F3E0" w14:textId="77777777" w:rsidR="00F30C54" w:rsidRPr="007B1368" w:rsidRDefault="00F30C54" w:rsidP="00983BE8">
      <w:pPr>
        <w:pStyle w:val="Default"/>
        <w:rPr>
          <w:sz w:val="22"/>
          <w:szCs w:val="22"/>
        </w:rPr>
      </w:pPr>
    </w:p>
    <w:p w14:paraId="37753E72" w14:textId="77777777" w:rsidR="00F30C54" w:rsidRPr="007B1368" w:rsidRDefault="00F30C54" w:rsidP="00E63157">
      <w:pPr>
        <w:pStyle w:val="Default"/>
        <w:numPr>
          <w:ilvl w:val="0"/>
          <w:numId w:val="49"/>
        </w:numPr>
        <w:rPr>
          <w:sz w:val="22"/>
          <w:szCs w:val="22"/>
        </w:rPr>
      </w:pPr>
      <w:r w:rsidRPr="007B1368">
        <w:rPr>
          <w:sz w:val="22"/>
          <w:szCs w:val="22"/>
        </w:rPr>
        <w:lastRenderedPageBreak/>
        <w:t xml:space="preserve">The Provider will ensure compliance with national and local guidance for obtaining informed patient consent. </w:t>
      </w:r>
    </w:p>
    <w:p w14:paraId="1E1FC8C5" w14:textId="77777777" w:rsidR="00F30C54" w:rsidRPr="007B1368" w:rsidRDefault="00F30C54" w:rsidP="007A1689">
      <w:pPr>
        <w:pStyle w:val="ListParagraph"/>
        <w:rPr>
          <w:sz w:val="22"/>
          <w:szCs w:val="22"/>
        </w:rPr>
      </w:pPr>
    </w:p>
    <w:p w14:paraId="1DAA5F66" w14:textId="5F487042" w:rsidR="00F30C54" w:rsidRPr="007B1368" w:rsidRDefault="00F30C54" w:rsidP="00E63157">
      <w:pPr>
        <w:pStyle w:val="Default"/>
        <w:numPr>
          <w:ilvl w:val="0"/>
          <w:numId w:val="49"/>
        </w:numPr>
        <w:rPr>
          <w:sz w:val="22"/>
          <w:szCs w:val="22"/>
        </w:rPr>
      </w:pPr>
      <w:r w:rsidRPr="007B1368">
        <w:rPr>
          <w:sz w:val="22"/>
          <w:szCs w:val="22"/>
        </w:rPr>
        <w:t xml:space="preserve">Record patient consent using an appropriate consent form, aligned with the current Department of Health guidance. </w:t>
      </w:r>
    </w:p>
    <w:p w14:paraId="64E78D4C" w14:textId="7DD5FC87" w:rsidR="00F30C54" w:rsidRPr="007B1368" w:rsidRDefault="00F30C54" w:rsidP="00983BE8">
      <w:pPr>
        <w:pStyle w:val="Default"/>
        <w:rPr>
          <w:sz w:val="22"/>
          <w:szCs w:val="22"/>
        </w:rPr>
      </w:pPr>
    </w:p>
    <w:p w14:paraId="38205FC3" w14:textId="77777777" w:rsidR="00F30C54" w:rsidRPr="007B1368" w:rsidRDefault="00F30C54" w:rsidP="00E63157">
      <w:pPr>
        <w:pStyle w:val="NoSpacing"/>
        <w:numPr>
          <w:ilvl w:val="0"/>
          <w:numId w:val="49"/>
        </w:numPr>
        <w:spacing w:line="276" w:lineRule="auto"/>
        <w:rPr>
          <w:rFonts w:ascii="Arial" w:hAnsi="Arial" w:cs="Arial"/>
          <w:szCs w:val="22"/>
        </w:rPr>
      </w:pPr>
      <w:r w:rsidRPr="007B1368">
        <w:rPr>
          <w:rFonts w:ascii="Arial" w:hAnsi="Arial" w:cs="Arial"/>
          <w:szCs w:val="22"/>
        </w:rPr>
        <w:t xml:space="preserve">Obtain patient consent for sharing information with health professionals for the purposes of treatment and prevention. </w:t>
      </w:r>
    </w:p>
    <w:p w14:paraId="1020643D" w14:textId="77777777" w:rsidR="00F30C54" w:rsidRPr="004F6F51" w:rsidRDefault="00F30C54" w:rsidP="007A1689">
      <w:pPr>
        <w:pStyle w:val="ListParagraph"/>
        <w:rPr>
          <w:sz w:val="22"/>
          <w:szCs w:val="22"/>
        </w:rPr>
      </w:pPr>
    </w:p>
    <w:p w14:paraId="2F800A9D" w14:textId="77777777" w:rsidR="00F30C54" w:rsidRPr="007B1368" w:rsidRDefault="00F30C54" w:rsidP="00E63157">
      <w:pPr>
        <w:pStyle w:val="NoSpacing"/>
        <w:numPr>
          <w:ilvl w:val="0"/>
          <w:numId w:val="49"/>
        </w:numPr>
        <w:spacing w:line="276" w:lineRule="auto"/>
        <w:rPr>
          <w:rFonts w:ascii="Arial" w:hAnsi="Arial" w:cs="Arial"/>
          <w:szCs w:val="22"/>
        </w:rPr>
      </w:pPr>
      <w:r w:rsidRPr="007B1368">
        <w:rPr>
          <w:rFonts w:ascii="Arial" w:hAnsi="Arial" w:cs="Arial"/>
          <w:szCs w:val="22"/>
        </w:rPr>
        <w:t xml:space="preserve">Ensure clients have been informed that their anonymised data will be used for contract monitoring and public health analysis. </w:t>
      </w:r>
    </w:p>
    <w:p w14:paraId="38B6E340" w14:textId="77777777" w:rsidR="00F30C54" w:rsidRPr="004F6F51" w:rsidRDefault="00F30C54" w:rsidP="007A1689">
      <w:pPr>
        <w:pStyle w:val="ListParagraph"/>
        <w:rPr>
          <w:sz w:val="22"/>
          <w:szCs w:val="22"/>
        </w:rPr>
      </w:pPr>
    </w:p>
    <w:p w14:paraId="31DB8D21" w14:textId="2827DBBF" w:rsidR="00F30C54" w:rsidRPr="007B1368" w:rsidRDefault="00F30C54" w:rsidP="00E63157">
      <w:pPr>
        <w:pStyle w:val="NoSpacing"/>
        <w:numPr>
          <w:ilvl w:val="0"/>
          <w:numId w:val="49"/>
        </w:numPr>
        <w:spacing w:line="276" w:lineRule="auto"/>
        <w:rPr>
          <w:rFonts w:ascii="Arial" w:hAnsi="Arial" w:cs="Arial"/>
          <w:szCs w:val="22"/>
        </w:rPr>
      </w:pPr>
      <w:r w:rsidRPr="007B1368">
        <w:rPr>
          <w:rFonts w:ascii="Arial" w:hAnsi="Arial" w:cs="Arial"/>
          <w:szCs w:val="22"/>
        </w:rPr>
        <w:t>Adhere to the Faculty of Sexual and Reproductive Healthcare (FSRH) Standard Statement on Confidentiality.</w:t>
      </w:r>
    </w:p>
    <w:p w14:paraId="52F74F0D" w14:textId="77777777" w:rsidR="00F30C54" w:rsidRPr="007B1368" w:rsidRDefault="00F30C54" w:rsidP="007378F6">
      <w:pPr>
        <w:autoSpaceDE w:val="0"/>
        <w:autoSpaceDN w:val="0"/>
        <w:adjustRightInd w:val="0"/>
        <w:ind w:right="-1"/>
        <w:jc w:val="both"/>
        <w:rPr>
          <w:sz w:val="22"/>
          <w:szCs w:val="22"/>
        </w:rPr>
      </w:pPr>
    </w:p>
    <w:p w14:paraId="1026BFA1" w14:textId="42DE5B7D" w:rsidR="00F30C54" w:rsidRPr="007B1368" w:rsidRDefault="00F30C54" w:rsidP="007378F6">
      <w:pPr>
        <w:autoSpaceDE w:val="0"/>
        <w:autoSpaceDN w:val="0"/>
        <w:adjustRightInd w:val="0"/>
        <w:ind w:right="-1"/>
        <w:jc w:val="both"/>
        <w:rPr>
          <w:b/>
          <w:sz w:val="22"/>
          <w:szCs w:val="22"/>
        </w:rPr>
      </w:pPr>
      <w:r w:rsidRPr="007B1368">
        <w:rPr>
          <w:b/>
          <w:sz w:val="22"/>
          <w:szCs w:val="22"/>
        </w:rPr>
        <w:t>Data Management and UK GDPR Compliance</w:t>
      </w:r>
    </w:p>
    <w:p w14:paraId="6768B089" w14:textId="23386581" w:rsidR="00F30C54" w:rsidRPr="007B1368" w:rsidRDefault="00F30C54" w:rsidP="007378F6">
      <w:pPr>
        <w:autoSpaceDE w:val="0"/>
        <w:autoSpaceDN w:val="0"/>
        <w:adjustRightInd w:val="0"/>
        <w:ind w:right="-1"/>
        <w:jc w:val="both"/>
        <w:rPr>
          <w:sz w:val="22"/>
          <w:szCs w:val="22"/>
        </w:rPr>
      </w:pPr>
    </w:p>
    <w:p w14:paraId="459ACA1F" w14:textId="68C11EE8" w:rsidR="00F30C54" w:rsidRPr="007B1368" w:rsidRDefault="00F30C54" w:rsidP="007378F6">
      <w:pPr>
        <w:autoSpaceDE w:val="0"/>
        <w:autoSpaceDN w:val="0"/>
        <w:adjustRightInd w:val="0"/>
        <w:ind w:right="-1"/>
        <w:jc w:val="both"/>
        <w:rPr>
          <w:sz w:val="22"/>
          <w:szCs w:val="22"/>
        </w:rPr>
      </w:pPr>
      <w:r w:rsidRPr="007B1368">
        <w:rPr>
          <w:sz w:val="22"/>
          <w:szCs w:val="22"/>
        </w:rPr>
        <w:t>The Provider must:</w:t>
      </w:r>
    </w:p>
    <w:p w14:paraId="53CB89D0" w14:textId="77777777" w:rsidR="00F30C54" w:rsidRPr="007B1368" w:rsidRDefault="00F30C54" w:rsidP="007378F6">
      <w:pPr>
        <w:autoSpaceDE w:val="0"/>
        <w:autoSpaceDN w:val="0"/>
        <w:adjustRightInd w:val="0"/>
        <w:ind w:right="-1"/>
        <w:jc w:val="both"/>
        <w:rPr>
          <w:sz w:val="22"/>
          <w:szCs w:val="22"/>
        </w:rPr>
      </w:pPr>
    </w:p>
    <w:p w14:paraId="38EEC1B6" w14:textId="77777777" w:rsidR="00F30C54" w:rsidRPr="007B1368" w:rsidRDefault="00F30C54" w:rsidP="007A1689">
      <w:pPr>
        <w:pStyle w:val="ListParagraph"/>
        <w:numPr>
          <w:ilvl w:val="0"/>
          <w:numId w:val="49"/>
        </w:numPr>
        <w:autoSpaceDE w:val="0"/>
        <w:autoSpaceDN w:val="0"/>
        <w:adjustRightInd w:val="0"/>
        <w:ind w:right="-1"/>
        <w:jc w:val="both"/>
        <w:rPr>
          <w:sz w:val="22"/>
          <w:szCs w:val="22"/>
        </w:rPr>
      </w:pPr>
      <w:r w:rsidRPr="007B1368">
        <w:rPr>
          <w:sz w:val="22"/>
          <w:szCs w:val="22"/>
        </w:rPr>
        <w:t>Ensure compliance with the requirements set out in the Information Governance Toolkit, completing the associated annual assessment. This can be found on the website of NHS Digital (also known as the Health and Social Care Information Centre)</w:t>
      </w:r>
      <w:r w:rsidRPr="004F6F51">
        <w:rPr>
          <w:sz w:val="22"/>
          <w:szCs w:val="22"/>
          <w:vertAlign w:val="superscript"/>
        </w:rPr>
        <w:endnoteReference w:id="16"/>
      </w:r>
      <w:r w:rsidRPr="007B1368">
        <w:rPr>
          <w:sz w:val="22"/>
          <w:szCs w:val="22"/>
        </w:rPr>
        <w:t xml:space="preserve">. </w:t>
      </w:r>
    </w:p>
    <w:p w14:paraId="415F8518" w14:textId="77777777" w:rsidR="00F30C54" w:rsidRPr="007B1368" w:rsidRDefault="00F30C54" w:rsidP="007A1689">
      <w:pPr>
        <w:pStyle w:val="ListParagraph"/>
        <w:autoSpaceDE w:val="0"/>
        <w:autoSpaceDN w:val="0"/>
        <w:adjustRightInd w:val="0"/>
        <w:ind w:right="-1"/>
        <w:jc w:val="both"/>
        <w:rPr>
          <w:sz w:val="22"/>
          <w:szCs w:val="22"/>
        </w:rPr>
      </w:pPr>
    </w:p>
    <w:p w14:paraId="2593D7B4" w14:textId="5BD97B64" w:rsidR="00F30C54" w:rsidRPr="007B1368" w:rsidRDefault="00F30C54" w:rsidP="007A1689">
      <w:pPr>
        <w:pStyle w:val="ListParagraph"/>
        <w:numPr>
          <w:ilvl w:val="0"/>
          <w:numId w:val="49"/>
        </w:numPr>
        <w:autoSpaceDE w:val="0"/>
        <w:autoSpaceDN w:val="0"/>
        <w:adjustRightInd w:val="0"/>
        <w:ind w:right="-1"/>
        <w:jc w:val="both"/>
        <w:rPr>
          <w:sz w:val="22"/>
          <w:szCs w:val="22"/>
        </w:rPr>
      </w:pPr>
      <w:r w:rsidRPr="007B1368">
        <w:rPr>
          <w:sz w:val="22"/>
          <w:szCs w:val="22"/>
        </w:rPr>
        <w:t>Maintain robust systems for data security and protection in accordance with UK GDPR and local information governance policies.</w:t>
      </w:r>
    </w:p>
    <w:p w14:paraId="25EFF79F" w14:textId="77777777" w:rsidR="00F30C54" w:rsidRPr="007B1368" w:rsidRDefault="00F30C54" w:rsidP="007A1689">
      <w:pPr>
        <w:pStyle w:val="ListParagraph"/>
        <w:autoSpaceDE w:val="0"/>
        <w:autoSpaceDN w:val="0"/>
        <w:adjustRightInd w:val="0"/>
        <w:ind w:right="-1"/>
        <w:jc w:val="both"/>
        <w:rPr>
          <w:sz w:val="22"/>
          <w:szCs w:val="22"/>
        </w:rPr>
      </w:pPr>
    </w:p>
    <w:p w14:paraId="33C6D20F" w14:textId="621DA280" w:rsidR="00F30C54" w:rsidRPr="007B1368" w:rsidRDefault="00F30C54" w:rsidP="007A1689">
      <w:pPr>
        <w:pStyle w:val="ListParagraph"/>
        <w:numPr>
          <w:ilvl w:val="0"/>
          <w:numId w:val="49"/>
        </w:numPr>
        <w:autoSpaceDE w:val="0"/>
        <w:autoSpaceDN w:val="0"/>
        <w:adjustRightInd w:val="0"/>
        <w:ind w:right="-1"/>
        <w:jc w:val="both"/>
        <w:rPr>
          <w:sz w:val="22"/>
          <w:szCs w:val="22"/>
        </w:rPr>
      </w:pPr>
      <w:r w:rsidRPr="007B1368">
        <w:rPr>
          <w:sz w:val="22"/>
          <w:szCs w:val="22"/>
        </w:rPr>
        <w:t>Ensure all data is stored securely and accessed only by authorised personnel.</w:t>
      </w:r>
    </w:p>
    <w:p w14:paraId="64424C91" w14:textId="4F3AC083" w:rsidR="00F30C54" w:rsidRPr="007B1368" w:rsidRDefault="00F30C54" w:rsidP="007A1689">
      <w:pPr>
        <w:pStyle w:val="ListParagraph"/>
        <w:autoSpaceDE w:val="0"/>
        <w:autoSpaceDN w:val="0"/>
        <w:adjustRightInd w:val="0"/>
        <w:ind w:right="-1"/>
        <w:jc w:val="both"/>
        <w:rPr>
          <w:sz w:val="22"/>
          <w:szCs w:val="22"/>
        </w:rPr>
      </w:pPr>
    </w:p>
    <w:p w14:paraId="54033357" w14:textId="3467E094" w:rsidR="00F30C54" w:rsidRPr="007B1368" w:rsidRDefault="00F30C54" w:rsidP="0046016B">
      <w:pPr>
        <w:spacing w:line="276" w:lineRule="auto"/>
        <w:jc w:val="both"/>
        <w:rPr>
          <w:rFonts w:eastAsia="Arial"/>
          <w:b/>
          <w:bCs/>
          <w:sz w:val="22"/>
          <w:szCs w:val="22"/>
        </w:rPr>
      </w:pPr>
    </w:p>
    <w:bookmarkEnd w:id="10"/>
    <w:p w14:paraId="5D441DA2" w14:textId="51D5E69B" w:rsidR="00F30C54" w:rsidRPr="007B1368" w:rsidRDefault="00F30C54" w:rsidP="00EF68F7">
      <w:pPr>
        <w:rPr>
          <w:b/>
          <w:sz w:val="22"/>
          <w:szCs w:val="22"/>
        </w:rPr>
      </w:pPr>
      <w:r w:rsidRPr="007B1368">
        <w:rPr>
          <w:b/>
          <w:sz w:val="22"/>
          <w:szCs w:val="22"/>
        </w:rPr>
        <w:t>Information Provision</w:t>
      </w:r>
    </w:p>
    <w:p w14:paraId="5EE9AFA1" w14:textId="46038E4D" w:rsidR="00F30C54" w:rsidRPr="007B1368" w:rsidRDefault="00F30C54" w:rsidP="007378F6">
      <w:pPr>
        <w:rPr>
          <w:sz w:val="22"/>
          <w:szCs w:val="22"/>
        </w:rPr>
      </w:pPr>
    </w:p>
    <w:p w14:paraId="01B1D776" w14:textId="79A03021" w:rsidR="00F30C54" w:rsidRPr="007B1368" w:rsidRDefault="00F30C54" w:rsidP="007378F6">
      <w:pPr>
        <w:rPr>
          <w:sz w:val="22"/>
          <w:szCs w:val="22"/>
        </w:rPr>
      </w:pPr>
      <w:r w:rsidRPr="007B1368">
        <w:rPr>
          <w:sz w:val="22"/>
          <w:szCs w:val="22"/>
        </w:rPr>
        <w:t xml:space="preserve">The Provider will create and maintain accurate clinical records for patients using electronic clinical systems (e.g., spreadsheets and E-Healthscope) with appropriate read codes where applicable. The records should be comprehensive and include: </w:t>
      </w:r>
    </w:p>
    <w:p w14:paraId="1EA3794D" w14:textId="77777777" w:rsidR="00F30C54" w:rsidRPr="007B1368" w:rsidRDefault="00F30C54" w:rsidP="007378F6">
      <w:pPr>
        <w:rPr>
          <w:sz w:val="22"/>
          <w:szCs w:val="22"/>
        </w:rPr>
      </w:pPr>
    </w:p>
    <w:p w14:paraId="1189AFE1" w14:textId="0D03146B" w:rsidR="00F30C54" w:rsidRPr="007B1368" w:rsidRDefault="00F30C54" w:rsidP="00762CBA">
      <w:pPr>
        <w:pStyle w:val="ListParagraph"/>
        <w:numPr>
          <w:ilvl w:val="0"/>
          <w:numId w:val="9"/>
        </w:numPr>
        <w:spacing w:line="276" w:lineRule="auto"/>
        <w:contextualSpacing w:val="0"/>
        <w:rPr>
          <w:bCs/>
          <w:sz w:val="22"/>
          <w:szCs w:val="22"/>
          <w:lang w:val="en-US"/>
        </w:rPr>
      </w:pPr>
      <w:r w:rsidRPr="007B1368">
        <w:rPr>
          <w:sz w:val="22"/>
          <w:szCs w:val="22"/>
        </w:rPr>
        <w:t>The patient’s clinical, reproductive and sexual history.</w:t>
      </w:r>
    </w:p>
    <w:p w14:paraId="68C4C923" w14:textId="17A01044" w:rsidR="00F30C54" w:rsidRPr="007B1368" w:rsidRDefault="00F30C54" w:rsidP="00762CBA">
      <w:pPr>
        <w:pStyle w:val="ListParagraph"/>
        <w:numPr>
          <w:ilvl w:val="0"/>
          <w:numId w:val="9"/>
        </w:numPr>
        <w:spacing w:line="276" w:lineRule="auto"/>
        <w:contextualSpacing w:val="0"/>
        <w:rPr>
          <w:bCs/>
          <w:sz w:val="22"/>
          <w:szCs w:val="22"/>
          <w:lang w:val="en-US"/>
        </w:rPr>
      </w:pPr>
      <w:r w:rsidRPr="007B1368">
        <w:rPr>
          <w:sz w:val="22"/>
          <w:szCs w:val="22"/>
        </w:rPr>
        <w:t>The counselling process.</w:t>
      </w:r>
    </w:p>
    <w:p w14:paraId="5ABFA58D" w14:textId="6EB533D6" w:rsidR="00F30C54" w:rsidRPr="007B1368" w:rsidRDefault="00F30C54" w:rsidP="00762CBA">
      <w:pPr>
        <w:pStyle w:val="ListParagraph"/>
        <w:numPr>
          <w:ilvl w:val="0"/>
          <w:numId w:val="9"/>
        </w:numPr>
        <w:spacing w:line="276" w:lineRule="auto"/>
        <w:contextualSpacing w:val="0"/>
        <w:rPr>
          <w:bCs/>
          <w:sz w:val="22"/>
          <w:szCs w:val="22"/>
          <w:lang w:val="en-US"/>
        </w:rPr>
      </w:pPr>
      <w:r w:rsidRPr="007B1368">
        <w:rPr>
          <w:sz w:val="22"/>
          <w:szCs w:val="22"/>
        </w:rPr>
        <w:t>The results of any STI testing.</w:t>
      </w:r>
    </w:p>
    <w:p w14:paraId="053EECE4" w14:textId="6E88F2C2" w:rsidR="00F30C54" w:rsidRPr="007B1368" w:rsidRDefault="00F30C54" w:rsidP="00762CBA">
      <w:pPr>
        <w:pStyle w:val="ListParagraph"/>
        <w:numPr>
          <w:ilvl w:val="0"/>
          <w:numId w:val="9"/>
        </w:numPr>
        <w:spacing w:line="276" w:lineRule="auto"/>
        <w:contextualSpacing w:val="0"/>
        <w:rPr>
          <w:bCs/>
          <w:sz w:val="22"/>
          <w:szCs w:val="22"/>
          <w:lang w:val="en-US"/>
        </w:rPr>
      </w:pPr>
      <w:r w:rsidRPr="007B1368">
        <w:rPr>
          <w:sz w:val="22"/>
          <w:szCs w:val="22"/>
        </w:rPr>
        <w:t>Any contraindications.</w:t>
      </w:r>
    </w:p>
    <w:p w14:paraId="5A12920F" w14:textId="25365161" w:rsidR="00F30C54" w:rsidRPr="007B1368" w:rsidRDefault="00F30C54" w:rsidP="00762CBA">
      <w:pPr>
        <w:pStyle w:val="ListParagraph"/>
        <w:numPr>
          <w:ilvl w:val="0"/>
          <w:numId w:val="9"/>
        </w:numPr>
        <w:spacing w:line="276" w:lineRule="auto"/>
        <w:contextualSpacing w:val="0"/>
        <w:rPr>
          <w:bCs/>
          <w:sz w:val="22"/>
          <w:szCs w:val="22"/>
          <w:lang w:val="en-US"/>
        </w:rPr>
      </w:pPr>
      <w:r w:rsidRPr="007B1368">
        <w:rPr>
          <w:sz w:val="22"/>
          <w:szCs w:val="22"/>
        </w:rPr>
        <w:t>Problems with fitting/removal, the type and batch number of the implant.</w:t>
      </w:r>
    </w:p>
    <w:p w14:paraId="157A423D" w14:textId="4CE29EF7" w:rsidR="00F30C54" w:rsidRPr="007B1368" w:rsidRDefault="00F30C54" w:rsidP="00762CBA">
      <w:pPr>
        <w:pStyle w:val="ListParagraph"/>
        <w:numPr>
          <w:ilvl w:val="0"/>
          <w:numId w:val="9"/>
        </w:numPr>
        <w:spacing w:line="276" w:lineRule="auto"/>
        <w:contextualSpacing w:val="0"/>
        <w:rPr>
          <w:bCs/>
          <w:sz w:val="22"/>
          <w:szCs w:val="22"/>
          <w:lang w:val="en-US"/>
        </w:rPr>
      </w:pPr>
      <w:r w:rsidRPr="007B1368">
        <w:rPr>
          <w:sz w:val="22"/>
          <w:szCs w:val="22"/>
        </w:rPr>
        <w:t xml:space="preserve">Reason for fitting. </w:t>
      </w:r>
    </w:p>
    <w:p w14:paraId="0E4BCA25" w14:textId="5A636A3A" w:rsidR="00F30C54" w:rsidRPr="007B1368" w:rsidRDefault="00F30C54" w:rsidP="00762CBA">
      <w:pPr>
        <w:pStyle w:val="ListParagraph"/>
        <w:numPr>
          <w:ilvl w:val="0"/>
          <w:numId w:val="9"/>
        </w:numPr>
        <w:spacing w:line="276" w:lineRule="auto"/>
        <w:contextualSpacing w:val="0"/>
        <w:rPr>
          <w:bCs/>
          <w:sz w:val="22"/>
          <w:szCs w:val="22"/>
          <w:lang w:val="en-US"/>
        </w:rPr>
      </w:pPr>
      <w:r w:rsidRPr="007B1368">
        <w:rPr>
          <w:sz w:val="22"/>
          <w:szCs w:val="22"/>
        </w:rPr>
        <w:t>Expiry date of the device and follow-up arrangements.</w:t>
      </w:r>
    </w:p>
    <w:p w14:paraId="0C96B8D3" w14:textId="20B0353A" w:rsidR="00F30C54" w:rsidRPr="007B1368" w:rsidRDefault="00F30C54" w:rsidP="00762CBA">
      <w:pPr>
        <w:pStyle w:val="ListParagraph"/>
        <w:numPr>
          <w:ilvl w:val="0"/>
          <w:numId w:val="9"/>
        </w:numPr>
        <w:spacing w:line="276" w:lineRule="auto"/>
        <w:contextualSpacing w:val="0"/>
        <w:rPr>
          <w:bCs/>
          <w:sz w:val="22"/>
          <w:szCs w:val="22"/>
          <w:lang w:val="en-US"/>
        </w:rPr>
      </w:pPr>
      <w:r w:rsidRPr="007B1368">
        <w:rPr>
          <w:sz w:val="22"/>
          <w:szCs w:val="22"/>
        </w:rPr>
        <w:t>Any adverse reactions.</w:t>
      </w:r>
    </w:p>
    <w:p w14:paraId="0D3D1FCB" w14:textId="15D3392E" w:rsidR="00F30C54" w:rsidRPr="007B1368" w:rsidRDefault="00F30C54" w:rsidP="00762CBA">
      <w:pPr>
        <w:pStyle w:val="ListParagraph"/>
        <w:numPr>
          <w:ilvl w:val="0"/>
          <w:numId w:val="9"/>
        </w:numPr>
        <w:spacing w:line="276" w:lineRule="auto"/>
        <w:contextualSpacing w:val="0"/>
        <w:rPr>
          <w:bCs/>
          <w:sz w:val="22"/>
          <w:szCs w:val="22"/>
          <w:lang w:val="en-US"/>
        </w:rPr>
      </w:pPr>
      <w:r w:rsidRPr="007B1368">
        <w:rPr>
          <w:sz w:val="22"/>
          <w:szCs w:val="22"/>
        </w:rPr>
        <w:t>Name and designation of person(s) completing the procedure.</w:t>
      </w:r>
    </w:p>
    <w:p w14:paraId="7CF95781" w14:textId="056ECC45" w:rsidR="00F30C54" w:rsidRPr="007B1368" w:rsidRDefault="00F30C54" w:rsidP="00762CBA">
      <w:pPr>
        <w:pStyle w:val="ListParagraph"/>
        <w:numPr>
          <w:ilvl w:val="0"/>
          <w:numId w:val="9"/>
        </w:numPr>
        <w:spacing w:line="276" w:lineRule="auto"/>
        <w:contextualSpacing w:val="0"/>
        <w:rPr>
          <w:bCs/>
          <w:sz w:val="22"/>
          <w:szCs w:val="22"/>
          <w:lang w:val="en-US"/>
        </w:rPr>
      </w:pPr>
      <w:r w:rsidRPr="007B1368">
        <w:rPr>
          <w:sz w:val="22"/>
          <w:szCs w:val="22"/>
        </w:rPr>
        <w:t>Referring practice, if applicable.</w:t>
      </w:r>
    </w:p>
    <w:p w14:paraId="049EE8E0" w14:textId="77777777" w:rsidR="00F30C54" w:rsidRPr="007B1368" w:rsidRDefault="00F30C54" w:rsidP="007378F6">
      <w:pPr>
        <w:ind w:left="460"/>
        <w:rPr>
          <w:bCs/>
          <w:sz w:val="22"/>
          <w:szCs w:val="22"/>
          <w:lang w:val="en-US"/>
        </w:rPr>
      </w:pPr>
    </w:p>
    <w:p w14:paraId="34214880" w14:textId="14B17743" w:rsidR="00F30C54" w:rsidRPr="007B1368" w:rsidRDefault="00F30C54" w:rsidP="00C1357A">
      <w:pPr>
        <w:jc w:val="both"/>
        <w:rPr>
          <w:color w:val="000000"/>
          <w:sz w:val="22"/>
          <w:szCs w:val="22"/>
        </w:rPr>
      </w:pPr>
      <w:r w:rsidRPr="007B1368">
        <w:rPr>
          <w:color w:val="000000"/>
          <w:sz w:val="22"/>
          <w:szCs w:val="22"/>
        </w:rPr>
        <w:lastRenderedPageBreak/>
        <w:t xml:space="preserve">The Provider is required to produce and maintain an up-to-date register of patients fitted with a contraceptive implant. The register will include all patients fitted with a contraceptive implant and record the device fitted. The register will be used for audit purposes to enable the practice to recall patients for checks, as appropriate. </w:t>
      </w:r>
    </w:p>
    <w:p w14:paraId="3D043A95" w14:textId="6C0C7335" w:rsidR="00F30C54" w:rsidRPr="007B1368" w:rsidRDefault="00F30C54" w:rsidP="00C1357A">
      <w:pPr>
        <w:jc w:val="both"/>
        <w:rPr>
          <w:color w:val="000000"/>
          <w:sz w:val="22"/>
          <w:szCs w:val="22"/>
        </w:rPr>
      </w:pPr>
    </w:p>
    <w:p w14:paraId="504A14DC" w14:textId="60476F0C" w:rsidR="00F30C54" w:rsidRPr="007B1368" w:rsidRDefault="00F30C54" w:rsidP="00C1357A">
      <w:pPr>
        <w:jc w:val="both"/>
        <w:rPr>
          <w:sz w:val="22"/>
          <w:szCs w:val="22"/>
        </w:rPr>
      </w:pPr>
      <w:r w:rsidRPr="007B1368">
        <w:rPr>
          <w:sz w:val="22"/>
          <w:szCs w:val="22"/>
        </w:rPr>
        <w:t xml:space="preserve">Full records of all procedures should be maintained in such a way that aggregated data and details of individual patients are readily accessible if required by the Council. </w:t>
      </w:r>
    </w:p>
    <w:p w14:paraId="2F7BFD8C" w14:textId="77777777" w:rsidR="00F30C54" w:rsidRPr="007B1368" w:rsidRDefault="00F30C54" w:rsidP="00C1357A">
      <w:pPr>
        <w:jc w:val="both"/>
        <w:rPr>
          <w:sz w:val="22"/>
          <w:szCs w:val="22"/>
        </w:rPr>
      </w:pPr>
    </w:p>
    <w:p w14:paraId="5AB8E18D" w14:textId="77777777" w:rsidR="00F30C54" w:rsidRPr="007B1368" w:rsidRDefault="00F30C54" w:rsidP="007378F6">
      <w:pPr>
        <w:rPr>
          <w:sz w:val="22"/>
          <w:szCs w:val="22"/>
        </w:rPr>
      </w:pPr>
    </w:p>
    <w:p w14:paraId="24B4144D" w14:textId="0B4162A5" w:rsidR="00F30C54" w:rsidRPr="007B1368" w:rsidRDefault="00F30C54" w:rsidP="00773D16">
      <w:pPr>
        <w:pStyle w:val="Heading2"/>
        <w:rPr>
          <w:sz w:val="22"/>
          <w:szCs w:val="22"/>
        </w:rPr>
      </w:pPr>
      <w:bookmarkStart w:id="11" w:name="_Toc190354372"/>
      <w:r w:rsidRPr="004F6F51">
        <w:rPr>
          <w:sz w:val="22"/>
          <w:szCs w:val="22"/>
        </w:rPr>
        <w:t>7</w:t>
      </w:r>
      <w:r w:rsidRPr="007B1368">
        <w:rPr>
          <w:sz w:val="22"/>
          <w:szCs w:val="22"/>
        </w:rPr>
        <w:t>. Service Quality, Monitoring and Performance Requirements</w:t>
      </w:r>
      <w:bookmarkEnd w:id="11"/>
    </w:p>
    <w:p w14:paraId="7088979B" w14:textId="432D137D" w:rsidR="00F30C54" w:rsidRPr="007B1368" w:rsidRDefault="00F30C54" w:rsidP="00DE05DD">
      <w:pPr>
        <w:rPr>
          <w:sz w:val="22"/>
          <w:szCs w:val="22"/>
        </w:rPr>
      </w:pPr>
    </w:p>
    <w:p w14:paraId="0735E7DB" w14:textId="3B76CBE4" w:rsidR="00F30C54" w:rsidRPr="007B1368" w:rsidRDefault="00F30C54" w:rsidP="005911A0">
      <w:pPr>
        <w:rPr>
          <w:rFonts w:eastAsia="MS ??"/>
          <w:b/>
          <w:sz w:val="22"/>
          <w:szCs w:val="22"/>
        </w:rPr>
      </w:pPr>
      <w:r w:rsidRPr="007B1368">
        <w:rPr>
          <w:rFonts w:eastAsia="MS ??"/>
          <w:b/>
          <w:sz w:val="22"/>
          <w:szCs w:val="22"/>
        </w:rPr>
        <w:t xml:space="preserve">Service Quality </w:t>
      </w:r>
    </w:p>
    <w:p w14:paraId="5D5F1A69" w14:textId="77777777" w:rsidR="00F30C54" w:rsidRPr="007B1368" w:rsidRDefault="00F30C54" w:rsidP="005911A0">
      <w:pPr>
        <w:rPr>
          <w:rFonts w:eastAsia="MS ??"/>
          <w:b/>
          <w:sz w:val="22"/>
          <w:szCs w:val="22"/>
        </w:rPr>
      </w:pPr>
    </w:p>
    <w:p w14:paraId="3A0C5F1A" w14:textId="55E3B29B" w:rsidR="00F30C54" w:rsidRPr="007B1368" w:rsidRDefault="00F30C54" w:rsidP="005911A0">
      <w:pPr>
        <w:spacing w:after="160" w:line="259" w:lineRule="auto"/>
        <w:contextualSpacing/>
        <w:jc w:val="both"/>
        <w:rPr>
          <w:kern w:val="2"/>
          <w:sz w:val="22"/>
          <w:szCs w:val="22"/>
          <w14:ligatures w14:val="standardContextual"/>
        </w:rPr>
      </w:pPr>
      <w:r w:rsidRPr="007B1368">
        <w:rPr>
          <w:kern w:val="2"/>
          <w:sz w:val="22"/>
          <w:szCs w:val="22"/>
          <w14:ligatures w14:val="standardContextual"/>
        </w:rPr>
        <w:t>The Provider must ensure that its employees comply with all relevant legislation, codes of practice, and regional and national guidance. When required, the Provider must supply evidence of such compliance, including and the fitter's documentation.</w:t>
      </w:r>
    </w:p>
    <w:p w14:paraId="07A9382C" w14:textId="77777777" w:rsidR="00F30C54" w:rsidRPr="007B1368" w:rsidRDefault="00F30C54" w:rsidP="005911A0">
      <w:pPr>
        <w:spacing w:after="160" w:line="259" w:lineRule="auto"/>
        <w:ind w:left="567"/>
        <w:contextualSpacing/>
        <w:jc w:val="both"/>
        <w:rPr>
          <w:kern w:val="2"/>
          <w:sz w:val="22"/>
          <w:szCs w:val="22"/>
          <w14:ligatures w14:val="standardContextual"/>
        </w:rPr>
      </w:pPr>
    </w:p>
    <w:p w14:paraId="01DCADA8" w14:textId="2362AAE6" w:rsidR="005911A0" w:rsidRPr="007B1368" w:rsidRDefault="00F30C54" w:rsidP="005911A0">
      <w:pPr>
        <w:spacing w:after="160" w:line="259" w:lineRule="auto"/>
        <w:contextualSpacing/>
        <w:jc w:val="both"/>
        <w:rPr>
          <w:kern w:val="2"/>
          <w:sz w:val="22"/>
          <w:szCs w:val="22"/>
          <w14:ligatures w14:val="standardContextual"/>
        </w:rPr>
      </w:pPr>
      <w:r w:rsidRPr="007B1368">
        <w:rPr>
          <w:kern w:val="2"/>
          <w:sz w:val="22"/>
          <w:szCs w:val="22"/>
          <w14:ligatures w14:val="standardContextual"/>
        </w:rPr>
        <w:t>The Provider must ensure that contraceptive services meet, as a minimum requirement, the </w:t>
      </w:r>
      <w:hyperlink r:id="rId28">
        <w:r w:rsidRPr="004F6F51">
          <w:rPr>
            <w:kern w:val="2"/>
            <w:sz w:val="22"/>
            <w:szCs w:val="22"/>
            <w14:ligatures w14:val="standardContextual"/>
          </w:rPr>
          <w:t>Department of Health's you're welcome quality criteria</w:t>
        </w:r>
      </w:hyperlink>
      <w:r w:rsidRPr="004F6F51">
        <w:rPr>
          <w:rStyle w:val="EndnoteReference"/>
          <w:kern w:val="2"/>
          <w:sz w:val="22"/>
          <w:szCs w:val="22"/>
          <w14:ligatures w14:val="standardContextual"/>
        </w:rPr>
        <w:endnoteReference w:id="17"/>
      </w:r>
      <w:r w:rsidRPr="007B1368">
        <w:rPr>
          <w:kern w:val="2"/>
          <w:sz w:val="22"/>
          <w:szCs w:val="22"/>
          <w14:ligatures w14:val="standardContextual"/>
        </w:rPr>
        <w:t>. They should also meet the </w:t>
      </w:r>
      <w:hyperlink r:id="rId29">
        <w:r w:rsidRPr="004F6F51">
          <w:rPr>
            <w:kern w:val="2"/>
            <w:sz w:val="22"/>
            <w:szCs w:val="22"/>
            <w14:ligatures w14:val="standardContextual"/>
          </w:rPr>
          <w:t>Faculty of Sexual and Reproductive Healthcare service standards for sexual and reproductive healthcare</w:t>
        </w:r>
      </w:hyperlink>
      <w:r w:rsidRPr="004F6F51">
        <w:rPr>
          <w:rStyle w:val="EndnoteReference"/>
          <w:kern w:val="2"/>
          <w:sz w:val="22"/>
          <w:szCs w:val="22"/>
          <w14:ligatures w14:val="standardContextual"/>
        </w:rPr>
        <w:endnoteReference w:id="18"/>
      </w:r>
      <w:r w:rsidR="005911A0" w:rsidRPr="007B1368">
        <w:rPr>
          <w:kern w:val="2"/>
          <w:sz w:val="22"/>
          <w:szCs w:val="22"/>
          <w14:ligatures w14:val="standardContextual"/>
        </w:rPr>
        <w:t xml:space="preserve">. Services should be inclusive for people identifying as LGBT, trans, non-binary, and gender diverse. </w:t>
      </w:r>
    </w:p>
    <w:p w14:paraId="09FEA5F4" w14:textId="77777777" w:rsidR="005911A0" w:rsidRPr="007B1368" w:rsidRDefault="005911A0" w:rsidP="005911A0">
      <w:pPr>
        <w:spacing w:after="160" w:line="259" w:lineRule="auto"/>
        <w:ind w:left="720"/>
        <w:contextualSpacing/>
        <w:rPr>
          <w:kern w:val="2"/>
          <w:sz w:val="22"/>
          <w:szCs w:val="22"/>
          <w14:ligatures w14:val="standardContextual"/>
        </w:rPr>
      </w:pPr>
    </w:p>
    <w:p w14:paraId="6B4112B3" w14:textId="77777777" w:rsidR="00792368" w:rsidRPr="007B1368" w:rsidRDefault="005911A0" w:rsidP="00607C4E">
      <w:pPr>
        <w:rPr>
          <w:rFonts w:eastAsia="Times New Roman"/>
          <w:b/>
          <w:kern w:val="32"/>
          <w:sz w:val="22"/>
          <w:szCs w:val="22"/>
        </w:rPr>
      </w:pPr>
      <w:r w:rsidRPr="007B1368">
        <w:rPr>
          <w:kern w:val="2"/>
          <w:sz w:val="22"/>
          <w:szCs w:val="22"/>
          <w14:ligatures w14:val="standardContextual"/>
        </w:rPr>
        <w:t xml:space="preserve">The Provider </w:t>
      </w:r>
      <w:r w:rsidR="004B23E5" w:rsidRPr="007B1368">
        <w:rPr>
          <w:kern w:val="2"/>
          <w:sz w:val="22"/>
          <w:szCs w:val="22"/>
          <w14:ligatures w14:val="standardContextual"/>
        </w:rPr>
        <w:t>must</w:t>
      </w:r>
      <w:r w:rsidRPr="007B1368">
        <w:rPr>
          <w:kern w:val="2"/>
          <w:sz w:val="22"/>
          <w:szCs w:val="22"/>
          <w14:ligatures w14:val="standardContextual"/>
        </w:rPr>
        <w:t xml:space="preserve"> ensure all service provisions align and abide by the appropriate service standards detailed below and any subsequent updates of these standards:</w:t>
      </w:r>
      <w:r w:rsidR="008C4E60" w:rsidRPr="007B1368">
        <w:rPr>
          <w:kern w:val="2"/>
          <w:sz w:val="22"/>
          <w:szCs w:val="22"/>
          <w14:ligatures w14:val="standardContextual"/>
        </w:rPr>
        <w:t xml:space="preserve"> </w:t>
      </w:r>
      <w:r w:rsidR="00697C67" w:rsidRPr="007B1368">
        <w:rPr>
          <w:kern w:val="2"/>
          <w:sz w:val="22"/>
          <w:szCs w:val="22"/>
          <w14:ligatures w14:val="standardContextual"/>
        </w:rPr>
        <w:t>please see appendix 5</w:t>
      </w:r>
      <w:r w:rsidR="00792368" w:rsidRPr="007B1368">
        <w:rPr>
          <w:kern w:val="2"/>
          <w:sz w:val="22"/>
          <w:szCs w:val="22"/>
          <w14:ligatures w14:val="standardContextual"/>
        </w:rPr>
        <w:t xml:space="preserve"> for </w:t>
      </w:r>
      <w:r w:rsidR="00792368" w:rsidRPr="004F6F51">
        <w:rPr>
          <w:rFonts w:eastAsia="Times New Roman"/>
          <w:bCs/>
          <w:kern w:val="32"/>
          <w:sz w:val="22"/>
          <w:szCs w:val="22"/>
        </w:rPr>
        <w:t>National Local Standards</w:t>
      </w:r>
    </w:p>
    <w:p w14:paraId="093143A9" w14:textId="3A775909" w:rsidR="005911A0" w:rsidRPr="007B1368" w:rsidRDefault="005911A0" w:rsidP="005911A0">
      <w:pPr>
        <w:spacing w:after="160" w:line="259" w:lineRule="auto"/>
        <w:contextualSpacing/>
        <w:jc w:val="both"/>
        <w:rPr>
          <w:kern w:val="2"/>
          <w:sz w:val="22"/>
          <w:szCs w:val="22"/>
          <w14:ligatures w14:val="standardContextual"/>
        </w:rPr>
      </w:pPr>
    </w:p>
    <w:p w14:paraId="63EDA0BF" w14:textId="6DB5528D" w:rsidR="005911A0" w:rsidRPr="007B1368" w:rsidRDefault="005911A0" w:rsidP="00822EB7">
      <w:pPr>
        <w:rPr>
          <w:rFonts w:eastAsia="MS ??"/>
          <w:b/>
          <w:sz w:val="22"/>
          <w:szCs w:val="22"/>
        </w:rPr>
      </w:pPr>
      <w:bookmarkStart w:id="12" w:name="_Toc151287901"/>
      <w:r w:rsidRPr="007B1368">
        <w:rPr>
          <w:rFonts w:eastAsia="MS ??"/>
          <w:b/>
          <w:sz w:val="22"/>
          <w:szCs w:val="22"/>
        </w:rPr>
        <w:t>C</w:t>
      </w:r>
      <w:r w:rsidR="00317896" w:rsidRPr="007B1368">
        <w:rPr>
          <w:rFonts w:eastAsia="MS ??"/>
          <w:b/>
          <w:sz w:val="22"/>
          <w:szCs w:val="22"/>
        </w:rPr>
        <w:t>linical Governance</w:t>
      </w:r>
      <w:bookmarkEnd w:id="12"/>
    </w:p>
    <w:p w14:paraId="2E3CAF68" w14:textId="77777777" w:rsidR="005911A0" w:rsidRPr="007B1368" w:rsidRDefault="005911A0" w:rsidP="005911A0">
      <w:pPr>
        <w:pStyle w:val="ListParagraph"/>
        <w:rPr>
          <w:sz w:val="22"/>
          <w:szCs w:val="22"/>
        </w:rPr>
      </w:pPr>
    </w:p>
    <w:p w14:paraId="6921F176" w14:textId="5088206C" w:rsidR="005911A0" w:rsidRPr="007B1368" w:rsidRDefault="005911A0" w:rsidP="005911A0">
      <w:pPr>
        <w:spacing w:line="259" w:lineRule="auto"/>
        <w:jc w:val="both"/>
        <w:rPr>
          <w:sz w:val="22"/>
          <w:szCs w:val="22"/>
        </w:rPr>
      </w:pPr>
      <w:r w:rsidRPr="007B1368">
        <w:rPr>
          <w:sz w:val="22"/>
          <w:szCs w:val="22"/>
        </w:rPr>
        <w:t xml:space="preserve">The Provider </w:t>
      </w:r>
      <w:r w:rsidR="00253601" w:rsidRPr="007B1368">
        <w:rPr>
          <w:sz w:val="22"/>
          <w:szCs w:val="22"/>
        </w:rPr>
        <w:t xml:space="preserve">must </w:t>
      </w:r>
      <w:r w:rsidRPr="007B1368">
        <w:rPr>
          <w:sz w:val="22"/>
          <w:szCs w:val="22"/>
        </w:rPr>
        <w:t>have in place</w:t>
      </w:r>
      <w:r w:rsidR="00253601" w:rsidRPr="007B1368">
        <w:rPr>
          <w:sz w:val="22"/>
          <w:szCs w:val="22"/>
        </w:rPr>
        <w:t>,</w:t>
      </w:r>
      <w:r w:rsidRPr="007B1368">
        <w:rPr>
          <w:sz w:val="22"/>
          <w:szCs w:val="22"/>
        </w:rPr>
        <w:t xml:space="preserve"> and be able to evidence</w:t>
      </w:r>
      <w:r w:rsidR="00253601" w:rsidRPr="007B1368">
        <w:rPr>
          <w:sz w:val="22"/>
          <w:szCs w:val="22"/>
        </w:rPr>
        <w:t>,</w:t>
      </w:r>
      <w:r w:rsidRPr="007B1368">
        <w:rPr>
          <w:sz w:val="22"/>
          <w:szCs w:val="22"/>
        </w:rPr>
        <w:t xml:space="preserve"> appropriate and workable </w:t>
      </w:r>
      <w:r w:rsidR="00253601" w:rsidRPr="007B1368">
        <w:rPr>
          <w:sz w:val="22"/>
          <w:szCs w:val="22"/>
        </w:rPr>
        <w:t>c</w:t>
      </w:r>
      <w:r w:rsidRPr="007B1368">
        <w:rPr>
          <w:sz w:val="22"/>
          <w:szCs w:val="22"/>
        </w:rPr>
        <w:t xml:space="preserve">linical </w:t>
      </w:r>
      <w:r w:rsidR="00253601" w:rsidRPr="007B1368">
        <w:rPr>
          <w:sz w:val="22"/>
          <w:szCs w:val="22"/>
        </w:rPr>
        <w:t>g</w:t>
      </w:r>
      <w:r w:rsidRPr="007B1368">
        <w:rPr>
          <w:sz w:val="22"/>
          <w:szCs w:val="22"/>
        </w:rPr>
        <w:t xml:space="preserve">overnance arrangements </w:t>
      </w:r>
      <w:r w:rsidR="00253601" w:rsidRPr="007B1368">
        <w:rPr>
          <w:sz w:val="22"/>
          <w:szCs w:val="22"/>
        </w:rPr>
        <w:t>that align</w:t>
      </w:r>
      <w:r w:rsidRPr="007B1368">
        <w:rPr>
          <w:sz w:val="22"/>
          <w:szCs w:val="22"/>
        </w:rPr>
        <w:t xml:space="preserve"> with the </w:t>
      </w:r>
      <w:hyperlink r:id="rId30" w:history="1">
        <w:r w:rsidRPr="007B1368">
          <w:rPr>
            <w:rStyle w:val="Hyperlink"/>
            <w:sz w:val="22"/>
            <w:szCs w:val="22"/>
          </w:rPr>
          <w:t>DH Sexual Health Clinical Governance Principles</w:t>
        </w:r>
      </w:hyperlink>
      <w:r w:rsidR="002025A7">
        <w:rPr>
          <w:sz w:val="22"/>
          <w:szCs w:val="22"/>
        </w:rPr>
        <w:t xml:space="preserve"> </w:t>
      </w:r>
      <w:r w:rsidR="003A0172">
        <w:rPr>
          <w:sz w:val="16"/>
          <w:szCs w:val="16"/>
        </w:rPr>
        <w:t>18.</w:t>
      </w:r>
    </w:p>
    <w:p w14:paraId="56391D0C" w14:textId="77777777" w:rsidR="005911A0" w:rsidRPr="007B1368" w:rsidRDefault="005911A0" w:rsidP="005911A0">
      <w:pPr>
        <w:pStyle w:val="ListParagraph"/>
        <w:ind w:left="567"/>
        <w:contextualSpacing w:val="0"/>
        <w:jc w:val="both"/>
        <w:rPr>
          <w:sz w:val="22"/>
          <w:szCs w:val="22"/>
        </w:rPr>
      </w:pPr>
    </w:p>
    <w:p w14:paraId="681C45C0" w14:textId="67E33C9F" w:rsidR="005911A0" w:rsidRPr="007B1368" w:rsidRDefault="005911A0" w:rsidP="005911A0">
      <w:pPr>
        <w:spacing w:line="259" w:lineRule="auto"/>
        <w:jc w:val="both"/>
        <w:rPr>
          <w:sz w:val="22"/>
          <w:szCs w:val="22"/>
        </w:rPr>
      </w:pPr>
      <w:r w:rsidRPr="007B1368">
        <w:rPr>
          <w:sz w:val="22"/>
          <w:szCs w:val="22"/>
        </w:rPr>
        <w:t>The Provider must have a nominated lead for clinical governance</w:t>
      </w:r>
      <w:r w:rsidR="005876C0" w:rsidRPr="007B1368">
        <w:rPr>
          <w:sz w:val="22"/>
          <w:szCs w:val="22"/>
        </w:rPr>
        <w:t>.</w:t>
      </w:r>
    </w:p>
    <w:p w14:paraId="1FACC246" w14:textId="77777777" w:rsidR="005911A0" w:rsidRPr="007B1368" w:rsidRDefault="005911A0" w:rsidP="005911A0">
      <w:pPr>
        <w:pStyle w:val="ListParagraph"/>
        <w:rPr>
          <w:sz w:val="22"/>
          <w:szCs w:val="22"/>
        </w:rPr>
      </w:pPr>
    </w:p>
    <w:p w14:paraId="41A5C402" w14:textId="77777777" w:rsidR="005911A0" w:rsidRPr="007B1368" w:rsidRDefault="005911A0" w:rsidP="005911A0">
      <w:pPr>
        <w:spacing w:line="259" w:lineRule="auto"/>
        <w:jc w:val="both"/>
        <w:rPr>
          <w:sz w:val="22"/>
          <w:szCs w:val="22"/>
        </w:rPr>
      </w:pPr>
      <w:r w:rsidRPr="007B1368">
        <w:rPr>
          <w:sz w:val="22"/>
          <w:szCs w:val="22"/>
        </w:rPr>
        <w:t>The Provider must be registered with the Care Quality Commission (CQC) as providers of ‘regulated activities.’</w:t>
      </w:r>
    </w:p>
    <w:p w14:paraId="0F5D4CA2" w14:textId="77777777" w:rsidR="005911A0" w:rsidRPr="007B1368" w:rsidRDefault="005911A0" w:rsidP="005911A0">
      <w:pPr>
        <w:pStyle w:val="ListParagraph"/>
        <w:rPr>
          <w:sz w:val="22"/>
          <w:szCs w:val="22"/>
        </w:rPr>
      </w:pPr>
    </w:p>
    <w:p w14:paraId="09519668" w14:textId="7BCBE626" w:rsidR="005911A0" w:rsidRPr="007B1368" w:rsidRDefault="005911A0" w:rsidP="005911A0">
      <w:pPr>
        <w:spacing w:line="259" w:lineRule="auto"/>
        <w:jc w:val="both"/>
        <w:rPr>
          <w:sz w:val="22"/>
          <w:szCs w:val="22"/>
        </w:rPr>
      </w:pPr>
      <w:r w:rsidRPr="007B1368">
        <w:rPr>
          <w:sz w:val="22"/>
          <w:szCs w:val="22"/>
        </w:rPr>
        <w:t>The Provider must comply with current national regulations and directions on confidentiality and disclosure of information on sexual health. The Provider should have a written Confidentiality Policy</w:t>
      </w:r>
      <w:r w:rsidR="00253601" w:rsidRPr="007B1368">
        <w:rPr>
          <w:sz w:val="22"/>
          <w:szCs w:val="22"/>
        </w:rPr>
        <w:t xml:space="preserve"> in place</w:t>
      </w:r>
      <w:r w:rsidRPr="007B1368">
        <w:rPr>
          <w:sz w:val="22"/>
          <w:szCs w:val="22"/>
        </w:rPr>
        <w:t>.</w:t>
      </w:r>
    </w:p>
    <w:p w14:paraId="1A03C610" w14:textId="77777777" w:rsidR="005911A0" w:rsidRPr="007B1368" w:rsidRDefault="005911A0" w:rsidP="005911A0">
      <w:pPr>
        <w:pStyle w:val="ListParagraph"/>
        <w:rPr>
          <w:sz w:val="22"/>
          <w:szCs w:val="22"/>
        </w:rPr>
      </w:pPr>
    </w:p>
    <w:p w14:paraId="1DD202B8" w14:textId="4A4E0619" w:rsidR="005911A0" w:rsidRPr="007B1368" w:rsidRDefault="005911A0" w:rsidP="005911A0">
      <w:pPr>
        <w:spacing w:line="259" w:lineRule="auto"/>
        <w:jc w:val="both"/>
        <w:rPr>
          <w:sz w:val="22"/>
          <w:szCs w:val="22"/>
        </w:rPr>
      </w:pPr>
      <w:r w:rsidRPr="007B1368">
        <w:rPr>
          <w:sz w:val="22"/>
          <w:szCs w:val="22"/>
        </w:rPr>
        <w:t xml:space="preserve">The Provider must comply with Caldicott </w:t>
      </w:r>
      <w:r w:rsidR="00253601" w:rsidRPr="007B1368">
        <w:rPr>
          <w:sz w:val="22"/>
          <w:szCs w:val="22"/>
        </w:rPr>
        <w:t>Principles</w:t>
      </w:r>
      <w:r w:rsidRPr="007B1368">
        <w:rPr>
          <w:sz w:val="22"/>
          <w:szCs w:val="22"/>
        </w:rPr>
        <w:t xml:space="preserve"> on information governance.</w:t>
      </w:r>
    </w:p>
    <w:p w14:paraId="1CBF1B72" w14:textId="77777777" w:rsidR="005911A0" w:rsidRPr="007B1368" w:rsidRDefault="005911A0" w:rsidP="005911A0">
      <w:pPr>
        <w:pStyle w:val="ListParagraph"/>
        <w:rPr>
          <w:sz w:val="22"/>
          <w:szCs w:val="22"/>
        </w:rPr>
      </w:pPr>
    </w:p>
    <w:p w14:paraId="0FB51CBF" w14:textId="214B9842" w:rsidR="0070402D" w:rsidRDefault="005911A0" w:rsidP="00253601">
      <w:pPr>
        <w:spacing w:line="259" w:lineRule="auto"/>
        <w:jc w:val="both"/>
        <w:rPr>
          <w:sz w:val="22"/>
          <w:szCs w:val="22"/>
        </w:rPr>
      </w:pPr>
      <w:r w:rsidRPr="007B1368">
        <w:rPr>
          <w:sz w:val="22"/>
          <w:szCs w:val="22"/>
        </w:rPr>
        <w:t>The Provider must have robust systems in place for managing incidents</w:t>
      </w:r>
      <w:r w:rsidR="003A437A" w:rsidRPr="007B1368">
        <w:rPr>
          <w:sz w:val="22"/>
          <w:szCs w:val="22"/>
        </w:rPr>
        <w:t>,</w:t>
      </w:r>
      <w:r w:rsidRPr="007B1368">
        <w:rPr>
          <w:sz w:val="22"/>
          <w:szCs w:val="22"/>
        </w:rPr>
        <w:t xml:space="preserve"> </w:t>
      </w:r>
      <w:r w:rsidR="003A437A" w:rsidRPr="007B1368">
        <w:rPr>
          <w:sz w:val="22"/>
          <w:szCs w:val="22"/>
        </w:rPr>
        <w:t xml:space="preserve">including the reporting of </w:t>
      </w:r>
      <w:r w:rsidRPr="007B1368">
        <w:rPr>
          <w:sz w:val="22"/>
          <w:szCs w:val="22"/>
        </w:rPr>
        <w:t xml:space="preserve">incidents </w:t>
      </w:r>
      <w:r w:rsidR="003A437A" w:rsidRPr="007B1368">
        <w:rPr>
          <w:sz w:val="22"/>
          <w:szCs w:val="22"/>
        </w:rPr>
        <w:t xml:space="preserve">and </w:t>
      </w:r>
      <w:r w:rsidRPr="007B1368">
        <w:rPr>
          <w:sz w:val="22"/>
          <w:szCs w:val="22"/>
        </w:rPr>
        <w:t>serious untoward incidents (SUI). The Provider is required to report all Serious Incidents, near-misses</w:t>
      </w:r>
      <w:r w:rsidR="003A437A" w:rsidRPr="007B1368">
        <w:rPr>
          <w:sz w:val="22"/>
          <w:szCs w:val="22"/>
        </w:rPr>
        <w:t>,</w:t>
      </w:r>
      <w:r w:rsidRPr="007B1368">
        <w:rPr>
          <w:sz w:val="22"/>
          <w:szCs w:val="22"/>
        </w:rPr>
        <w:t xml:space="preserve"> or areas of concern relat</w:t>
      </w:r>
      <w:r w:rsidR="003A437A" w:rsidRPr="007B1368">
        <w:rPr>
          <w:sz w:val="22"/>
          <w:szCs w:val="22"/>
        </w:rPr>
        <w:t>ed</w:t>
      </w:r>
      <w:r w:rsidRPr="007B1368">
        <w:rPr>
          <w:sz w:val="22"/>
          <w:szCs w:val="22"/>
        </w:rPr>
        <w:t xml:space="preserve"> to the delivery of these services to the Council within twenty-four (24) hours of becoming aware of the incident. All Serious Incidents should be reported using the </w:t>
      </w:r>
      <w:r w:rsidRPr="00812A01">
        <w:rPr>
          <w:sz w:val="22"/>
          <w:szCs w:val="22"/>
        </w:rPr>
        <w:t xml:space="preserve">Serious Incident Reporting Form within 24 hours of the Provider </w:t>
      </w:r>
      <w:r w:rsidRPr="00812A01">
        <w:rPr>
          <w:sz w:val="22"/>
          <w:szCs w:val="22"/>
        </w:rPr>
        <w:lastRenderedPageBreak/>
        <w:t>being aware of the</w:t>
      </w:r>
      <w:r w:rsidRPr="008E0DFD">
        <w:rPr>
          <w:sz w:val="22"/>
          <w:szCs w:val="22"/>
        </w:rPr>
        <w:t xml:space="preserve"> incident. The </w:t>
      </w:r>
      <w:r w:rsidR="003A437A" w:rsidRPr="008E0DFD">
        <w:rPr>
          <w:sz w:val="22"/>
          <w:szCs w:val="22"/>
        </w:rPr>
        <w:t xml:space="preserve">completed </w:t>
      </w:r>
      <w:r w:rsidRPr="008E0DFD">
        <w:rPr>
          <w:sz w:val="22"/>
          <w:szCs w:val="22"/>
        </w:rPr>
        <w:t xml:space="preserve">Serious Incident Reporting Forms must be sent via secure email to: </w:t>
      </w:r>
      <w:hyperlink r:id="rId31" w:history="1">
        <w:r w:rsidR="00330FE7" w:rsidRPr="00607C4E">
          <w:rPr>
            <w:rStyle w:val="Hyperlink"/>
            <w:sz w:val="22"/>
            <w:szCs w:val="22"/>
          </w:rPr>
          <w:t>NNCPHCommissioning@northnorthants.gov.uk</w:t>
        </w:r>
      </w:hyperlink>
    </w:p>
    <w:p w14:paraId="6C3FF634" w14:textId="5E01FD92" w:rsidR="0070402D" w:rsidRPr="007B1368" w:rsidRDefault="0070402D" w:rsidP="00253601">
      <w:pPr>
        <w:spacing w:line="259" w:lineRule="auto"/>
        <w:jc w:val="both"/>
        <w:rPr>
          <w:sz w:val="22"/>
          <w:szCs w:val="22"/>
        </w:rPr>
      </w:pPr>
    </w:p>
    <w:p w14:paraId="0D69C107" w14:textId="492FC74C" w:rsidR="00FE5564" w:rsidRPr="007B1368" w:rsidRDefault="00FE5564" w:rsidP="00253601">
      <w:pPr>
        <w:spacing w:line="259" w:lineRule="auto"/>
        <w:jc w:val="both"/>
        <w:rPr>
          <w:b/>
          <w:bCs/>
          <w:sz w:val="22"/>
          <w:szCs w:val="22"/>
        </w:rPr>
      </w:pPr>
      <w:r w:rsidRPr="007B1368">
        <w:rPr>
          <w:b/>
          <w:bCs/>
          <w:sz w:val="22"/>
          <w:szCs w:val="22"/>
        </w:rPr>
        <w:t xml:space="preserve">Infection </w:t>
      </w:r>
      <w:r w:rsidR="000A0842" w:rsidRPr="007B1368">
        <w:rPr>
          <w:b/>
          <w:bCs/>
          <w:sz w:val="22"/>
          <w:szCs w:val="22"/>
        </w:rPr>
        <w:t>c</w:t>
      </w:r>
      <w:r w:rsidRPr="007B1368">
        <w:rPr>
          <w:b/>
          <w:bCs/>
          <w:sz w:val="22"/>
          <w:szCs w:val="22"/>
        </w:rPr>
        <w:t xml:space="preserve">ontrol </w:t>
      </w:r>
    </w:p>
    <w:p w14:paraId="7A0708C5" w14:textId="77777777" w:rsidR="000A0842" w:rsidRPr="007B1368" w:rsidRDefault="000A0842" w:rsidP="00253601">
      <w:pPr>
        <w:spacing w:line="259" w:lineRule="auto"/>
        <w:jc w:val="both"/>
        <w:rPr>
          <w:b/>
          <w:bCs/>
          <w:sz w:val="22"/>
          <w:szCs w:val="22"/>
        </w:rPr>
      </w:pPr>
    </w:p>
    <w:p w14:paraId="38AE682B" w14:textId="1974BEC2" w:rsidR="005911A0" w:rsidRPr="004F6F51" w:rsidRDefault="0070402D" w:rsidP="008A0729">
      <w:pPr>
        <w:rPr>
          <w:sz w:val="22"/>
          <w:szCs w:val="22"/>
        </w:rPr>
      </w:pPr>
      <w:r w:rsidRPr="007B1368">
        <w:rPr>
          <w:color w:val="000000"/>
          <w:sz w:val="22"/>
          <w:szCs w:val="22"/>
        </w:rPr>
        <w:t xml:space="preserve">The Provider is required to have infection control policies and procedures and to ensure compliance with </w:t>
      </w:r>
      <w:r w:rsidR="000A0842" w:rsidRPr="007B1368">
        <w:rPr>
          <w:color w:val="000000"/>
          <w:sz w:val="22"/>
          <w:szCs w:val="22"/>
        </w:rPr>
        <w:t xml:space="preserve">local and </w:t>
      </w:r>
      <w:r w:rsidRPr="007B1368">
        <w:rPr>
          <w:color w:val="000000"/>
          <w:sz w:val="22"/>
          <w:szCs w:val="22"/>
        </w:rPr>
        <w:t>national standards and guidelines</w:t>
      </w:r>
      <w:r w:rsidR="00890827" w:rsidRPr="007B1368">
        <w:rPr>
          <w:color w:val="000000"/>
          <w:sz w:val="22"/>
          <w:szCs w:val="22"/>
        </w:rPr>
        <w:t>.</w:t>
      </w:r>
      <w:r w:rsidR="000A0842" w:rsidRPr="007B1368">
        <w:rPr>
          <w:color w:val="000000"/>
          <w:sz w:val="22"/>
          <w:szCs w:val="22"/>
        </w:rPr>
        <w:t xml:space="preserve"> </w:t>
      </w:r>
      <w:r w:rsidR="00890827" w:rsidRPr="004F6F51">
        <w:rPr>
          <w:sz w:val="22"/>
          <w:szCs w:val="22"/>
        </w:rPr>
        <w:t>Please see appendix 5 for links to relevant information</w:t>
      </w:r>
      <w:r w:rsidR="005911A0" w:rsidRPr="004F6F51">
        <w:rPr>
          <w:sz w:val="22"/>
          <w:szCs w:val="22"/>
        </w:rPr>
        <w:t>:</w:t>
      </w:r>
    </w:p>
    <w:p w14:paraId="366CA121" w14:textId="5A50F401" w:rsidR="00890827" w:rsidRPr="004F6F51" w:rsidRDefault="00890827" w:rsidP="008A0729">
      <w:pPr>
        <w:pStyle w:val="ListParagraph"/>
        <w:spacing w:after="160" w:line="259" w:lineRule="auto"/>
        <w:ind w:left="426" w:hanging="142"/>
        <w:rPr>
          <w:sz w:val="22"/>
          <w:szCs w:val="22"/>
        </w:rPr>
      </w:pPr>
    </w:p>
    <w:p w14:paraId="04B6D7CE" w14:textId="2144BD42" w:rsidR="00E7247D" w:rsidRPr="007B1368" w:rsidRDefault="00E7247D" w:rsidP="00E7247D">
      <w:pPr>
        <w:rPr>
          <w:b/>
          <w:sz w:val="22"/>
          <w:szCs w:val="22"/>
        </w:rPr>
      </w:pPr>
      <w:r w:rsidRPr="007B1368">
        <w:rPr>
          <w:b/>
          <w:sz w:val="22"/>
          <w:szCs w:val="22"/>
        </w:rPr>
        <w:t>North Northamptonshire Integrated Sexual Health Services</w:t>
      </w:r>
    </w:p>
    <w:p w14:paraId="08A5C7A8" w14:textId="5AE93300" w:rsidR="00E7247D" w:rsidRPr="007B1368" w:rsidRDefault="00E7247D" w:rsidP="00E7247D">
      <w:pPr>
        <w:rPr>
          <w:sz w:val="22"/>
          <w:szCs w:val="22"/>
        </w:rPr>
      </w:pPr>
    </w:p>
    <w:p w14:paraId="1F7AD701" w14:textId="77EC79E5" w:rsidR="00E7247D" w:rsidRPr="007B1368" w:rsidRDefault="00E7247D" w:rsidP="00B00282">
      <w:pPr>
        <w:spacing w:after="160" w:line="259" w:lineRule="auto"/>
        <w:jc w:val="both"/>
        <w:rPr>
          <w:sz w:val="22"/>
          <w:szCs w:val="22"/>
        </w:rPr>
      </w:pPr>
      <w:r w:rsidRPr="007B1368">
        <w:rPr>
          <w:sz w:val="22"/>
          <w:szCs w:val="22"/>
        </w:rPr>
        <w:t xml:space="preserve">The </w:t>
      </w:r>
      <w:bookmarkStart w:id="13" w:name="_Hlk182502714"/>
      <w:r w:rsidRPr="007B1368">
        <w:rPr>
          <w:sz w:val="22"/>
          <w:szCs w:val="22"/>
        </w:rPr>
        <w:t xml:space="preserve">North Northamptonshire Integrated Sexual Health </w:t>
      </w:r>
      <w:bookmarkEnd w:id="13"/>
      <w:r w:rsidR="00284BF4" w:rsidRPr="007B1368">
        <w:rPr>
          <w:sz w:val="22"/>
          <w:szCs w:val="22"/>
        </w:rPr>
        <w:t xml:space="preserve">Service (NNISH) </w:t>
      </w:r>
      <w:r w:rsidRPr="007B1368">
        <w:rPr>
          <w:sz w:val="22"/>
          <w:szCs w:val="22"/>
        </w:rPr>
        <w:t>is commissioned by the Council to provide local system leadership on sexual and reproductive health</w:t>
      </w:r>
      <w:r w:rsidR="00284BF4" w:rsidRPr="007B1368">
        <w:rPr>
          <w:sz w:val="22"/>
          <w:szCs w:val="22"/>
        </w:rPr>
        <w:t xml:space="preserve"> (SRH)</w:t>
      </w:r>
      <w:r w:rsidRPr="007B1368">
        <w:rPr>
          <w:sz w:val="22"/>
          <w:szCs w:val="22"/>
        </w:rPr>
        <w:t>. This involves supporting stakeholders and other commissioned services</w:t>
      </w:r>
      <w:r w:rsidR="00284BF4" w:rsidRPr="007B1368">
        <w:rPr>
          <w:sz w:val="22"/>
          <w:szCs w:val="22"/>
        </w:rPr>
        <w:t>,</w:t>
      </w:r>
      <w:r w:rsidRPr="007B1368">
        <w:rPr>
          <w:sz w:val="22"/>
          <w:szCs w:val="22"/>
        </w:rPr>
        <w:t xml:space="preserve"> such as primary care, to deliver safe, high-quality SRH services</w:t>
      </w:r>
      <w:r w:rsidR="00284BF4" w:rsidRPr="007B1368">
        <w:rPr>
          <w:sz w:val="22"/>
          <w:szCs w:val="22"/>
        </w:rPr>
        <w:t>. This</w:t>
      </w:r>
      <w:r w:rsidRPr="007B1368">
        <w:rPr>
          <w:sz w:val="22"/>
          <w:szCs w:val="22"/>
        </w:rPr>
        <w:t xml:space="preserve"> includ</w:t>
      </w:r>
      <w:r w:rsidR="00284BF4" w:rsidRPr="007B1368">
        <w:rPr>
          <w:sz w:val="22"/>
          <w:szCs w:val="22"/>
        </w:rPr>
        <w:t>es</w:t>
      </w:r>
      <w:r w:rsidRPr="007B1368">
        <w:rPr>
          <w:sz w:val="22"/>
          <w:szCs w:val="22"/>
        </w:rPr>
        <w:t xml:space="preserve"> </w:t>
      </w:r>
      <w:r w:rsidR="00284BF4" w:rsidRPr="007B1368">
        <w:rPr>
          <w:sz w:val="22"/>
          <w:szCs w:val="22"/>
        </w:rPr>
        <w:t xml:space="preserve">support for practitioners working towards </w:t>
      </w:r>
      <w:r w:rsidRPr="007B1368">
        <w:rPr>
          <w:sz w:val="22"/>
          <w:szCs w:val="22"/>
        </w:rPr>
        <w:t xml:space="preserve">the Letter of Competence in Intrauterine Techniques (LoC IUT) and Letter of Competence </w:t>
      </w:r>
      <w:r w:rsidR="00284BF4" w:rsidRPr="007B1368">
        <w:rPr>
          <w:sz w:val="22"/>
          <w:szCs w:val="22"/>
        </w:rPr>
        <w:t xml:space="preserve">in </w:t>
      </w:r>
      <w:r w:rsidRPr="007B1368">
        <w:rPr>
          <w:sz w:val="22"/>
          <w:szCs w:val="22"/>
        </w:rPr>
        <w:t>Subdermal Contraceptive Implant Techniques</w:t>
      </w:r>
      <w:r w:rsidR="00284BF4" w:rsidRPr="007B1368">
        <w:rPr>
          <w:sz w:val="22"/>
          <w:szCs w:val="22"/>
        </w:rPr>
        <w:t>:</w:t>
      </w:r>
      <w:r w:rsidRPr="007B1368">
        <w:rPr>
          <w:sz w:val="22"/>
          <w:szCs w:val="22"/>
        </w:rPr>
        <w:t xml:space="preserve"> Insertion and Removal (LoC SDI-IR). </w:t>
      </w:r>
    </w:p>
    <w:p w14:paraId="4696F763" w14:textId="5CD39A05" w:rsidR="00E7247D" w:rsidRPr="007B1368" w:rsidRDefault="00E7247D" w:rsidP="00E7247D">
      <w:pPr>
        <w:spacing w:after="160" w:line="259" w:lineRule="auto"/>
        <w:jc w:val="both"/>
        <w:rPr>
          <w:i/>
          <w:iCs/>
          <w:sz w:val="22"/>
          <w:szCs w:val="22"/>
        </w:rPr>
      </w:pPr>
      <w:r w:rsidRPr="007B1368">
        <w:rPr>
          <w:sz w:val="22"/>
          <w:szCs w:val="22"/>
        </w:rPr>
        <w:t>The Provider will work with NNISH to ensure that:</w:t>
      </w:r>
    </w:p>
    <w:p w14:paraId="289D6962" w14:textId="1DFE3987" w:rsidR="00E7247D" w:rsidRPr="007B1368" w:rsidRDefault="00E7247D" w:rsidP="00762CBA">
      <w:pPr>
        <w:pStyle w:val="ListParagraph"/>
        <w:numPr>
          <w:ilvl w:val="0"/>
          <w:numId w:val="32"/>
        </w:numPr>
        <w:spacing w:line="259" w:lineRule="auto"/>
        <w:jc w:val="both"/>
        <w:rPr>
          <w:sz w:val="22"/>
          <w:szCs w:val="22"/>
        </w:rPr>
      </w:pPr>
      <w:r w:rsidRPr="007B1368">
        <w:rPr>
          <w:sz w:val="22"/>
          <w:szCs w:val="22"/>
        </w:rPr>
        <w:t>Opportunistic screening is offered to females under the age of 25 as part of the National Chlamydia Screening Programme (NCSP)</w:t>
      </w:r>
      <w:r w:rsidR="008C2D03" w:rsidRPr="007B1368">
        <w:rPr>
          <w:sz w:val="22"/>
          <w:szCs w:val="22"/>
        </w:rPr>
        <w:t>.</w:t>
      </w:r>
    </w:p>
    <w:p w14:paraId="39E094F7" w14:textId="2A9C5BDA" w:rsidR="00E7247D" w:rsidRPr="007B1368" w:rsidRDefault="00E7247D" w:rsidP="00762CBA">
      <w:pPr>
        <w:pStyle w:val="ListParagraph"/>
        <w:numPr>
          <w:ilvl w:val="0"/>
          <w:numId w:val="32"/>
        </w:numPr>
        <w:spacing w:line="259" w:lineRule="auto"/>
        <w:jc w:val="both"/>
        <w:rPr>
          <w:sz w:val="22"/>
          <w:szCs w:val="22"/>
        </w:rPr>
      </w:pPr>
      <w:r w:rsidRPr="007B1368">
        <w:rPr>
          <w:sz w:val="22"/>
          <w:szCs w:val="22"/>
        </w:rPr>
        <w:t xml:space="preserve">Condoms </w:t>
      </w:r>
      <w:r w:rsidR="004C4789" w:rsidRPr="007B1368">
        <w:rPr>
          <w:sz w:val="22"/>
          <w:szCs w:val="22"/>
        </w:rPr>
        <w:t>are</w:t>
      </w:r>
      <w:r w:rsidRPr="007B1368">
        <w:rPr>
          <w:sz w:val="22"/>
          <w:szCs w:val="22"/>
        </w:rPr>
        <w:t xml:space="preserve"> </w:t>
      </w:r>
      <w:r w:rsidR="004C4789" w:rsidRPr="007B1368">
        <w:rPr>
          <w:sz w:val="22"/>
          <w:szCs w:val="22"/>
        </w:rPr>
        <w:t xml:space="preserve">available </w:t>
      </w:r>
      <w:r w:rsidRPr="007B1368">
        <w:rPr>
          <w:sz w:val="22"/>
          <w:szCs w:val="22"/>
        </w:rPr>
        <w:t>alongside other contraceptives to prevent transmission of STIs. This include</w:t>
      </w:r>
      <w:r w:rsidR="008C2D03" w:rsidRPr="007B1368">
        <w:rPr>
          <w:sz w:val="22"/>
          <w:szCs w:val="22"/>
        </w:rPr>
        <w:t>s</w:t>
      </w:r>
      <w:r w:rsidRPr="007B1368">
        <w:rPr>
          <w:sz w:val="22"/>
          <w:szCs w:val="22"/>
        </w:rPr>
        <w:t xml:space="preserve"> participati</w:t>
      </w:r>
      <w:r w:rsidR="008C2D03" w:rsidRPr="007B1368">
        <w:rPr>
          <w:sz w:val="22"/>
          <w:szCs w:val="22"/>
        </w:rPr>
        <w:t>on</w:t>
      </w:r>
      <w:r w:rsidRPr="007B1368">
        <w:rPr>
          <w:sz w:val="22"/>
          <w:szCs w:val="22"/>
        </w:rPr>
        <w:t xml:space="preserve"> in local condom distribution schemes</w:t>
      </w:r>
      <w:r w:rsidR="008C2D03" w:rsidRPr="007B1368">
        <w:rPr>
          <w:sz w:val="22"/>
          <w:szCs w:val="22"/>
        </w:rPr>
        <w:t>.</w:t>
      </w:r>
    </w:p>
    <w:p w14:paraId="77BFA2B1" w14:textId="14993E89" w:rsidR="00E7247D" w:rsidRPr="007B1368" w:rsidRDefault="00E7247D" w:rsidP="00762CBA">
      <w:pPr>
        <w:pStyle w:val="ListParagraph"/>
        <w:numPr>
          <w:ilvl w:val="0"/>
          <w:numId w:val="32"/>
        </w:numPr>
        <w:spacing w:line="259" w:lineRule="auto"/>
        <w:rPr>
          <w:sz w:val="22"/>
          <w:szCs w:val="22"/>
        </w:rPr>
      </w:pPr>
      <w:r w:rsidRPr="007B1368">
        <w:rPr>
          <w:sz w:val="22"/>
          <w:szCs w:val="22"/>
        </w:rPr>
        <w:t>Information about local services for STI screening, investigation</w:t>
      </w:r>
      <w:r w:rsidR="008C2D03" w:rsidRPr="007B1368">
        <w:rPr>
          <w:sz w:val="22"/>
          <w:szCs w:val="22"/>
        </w:rPr>
        <w:t>,</w:t>
      </w:r>
      <w:r w:rsidRPr="007B1368">
        <w:rPr>
          <w:sz w:val="22"/>
          <w:szCs w:val="22"/>
        </w:rPr>
        <w:t xml:space="preserve"> and treatment </w:t>
      </w:r>
      <w:r w:rsidR="00CF4127" w:rsidRPr="007B1368">
        <w:rPr>
          <w:sz w:val="22"/>
          <w:szCs w:val="22"/>
        </w:rPr>
        <w:t xml:space="preserve">to </w:t>
      </w:r>
      <w:r w:rsidRPr="007B1368">
        <w:rPr>
          <w:sz w:val="22"/>
          <w:szCs w:val="22"/>
        </w:rPr>
        <w:t>be provided to service users</w:t>
      </w:r>
      <w:r w:rsidR="008C2D03" w:rsidRPr="007B1368">
        <w:rPr>
          <w:sz w:val="22"/>
          <w:szCs w:val="22"/>
        </w:rPr>
        <w:t>.</w:t>
      </w:r>
    </w:p>
    <w:p w14:paraId="0DD14DC6" w14:textId="34723329" w:rsidR="00E7247D" w:rsidRPr="007B1368" w:rsidRDefault="00E7247D" w:rsidP="00762CBA">
      <w:pPr>
        <w:pStyle w:val="ListParagraph"/>
        <w:numPr>
          <w:ilvl w:val="0"/>
          <w:numId w:val="32"/>
        </w:numPr>
        <w:spacing w:line="259" w:lineRule="auto"/>
        <w:rPr>
          <w:sz w:val="22"/>
          <w:szCs w:val="22"/>
        </w:rPr>
      </w:pPr>
      <w:r w:rsidRPr="007B1368">
        <w:rPr>
          <w:sz w:val="22"/>
          <w:szCs w:val="22"/>
        </w:rPr>
        <w:t>Partner notification services can be offered where appropriate</w:t>
      </w:r>
      <w:r w:rsidR="008C2D03" w:rsidRPr="007B1368">
        <w:rPr>
          <w:sz w:val="22"/>
          <w:szCs w:val="22"/>
        </w:rPr>
        <w:t>.</w:t>
      </w:r>
    </w:p>
    <w:p w14:paraId="31A166F1" w14:textId="5600BD33" w:rsidR="00E7247D" w:rsidRPr="007B1368" w:rsidRDefault="00E7247D" w:rsidP="00762CBA">
      <w:pPr>
        <w:pStyle w:val="ListParagraph"/>
        <w:numPr>
          <w:ilvl w:val="0"/>
          <w:numId w:val="32"/>
        </w:numPr>
        <w:spacing w:line="259" w:lineRule="auto"/>
        <w:rPr>
          <w:sz w:val="22"/>
          <w:szCs w:val="22"/>
        </w:rPr>
      </w:pPr>
      <w:r w:rsidRPr="007B1368">
        <w:rPr>
          <w:sz w:val="22"/>
          <w:szCs w:val="22"/>
        </w:rPr>
        <w:t xml:space="preserve">Staff advising service users on contraceptive choices are </w:t>
      </w:r>
      <w:r w:rsidR="00CF4127" w:rsidRPr="007B1368">
        <w:rPr>
          <w:sz w:val="22"/>
          <w:szCs w:val="22"/>
        </w:rPr>
        <w:t xml:space="preserve">available </w:t>
      </w:r>
      <w:r w:rsidRPr="007B1368">
        <w:rPr>
          <w:sz w:val="22"/>
          <w:szCs w:val="22"/>
        </w:rPr>
        <w:t>to promote safer sex.</w:t>
      </w:r>
    </w:p>
    <w:p w14:paraId="17F7065E" w14:textId="77777777" w:rsidR="00E7247D" w:rsidRPr="007B1368" w:rsidRDefault="00E7247D" w:rsidP="00E7247D">
      <w:pPr>
        <w:pStyle w:val="ListParagraph"/>
        <w:rPr>
          <w:sz w:val="22"/>
          <w:szCs w:val="22"/>
        </w:rPr>
      </w:pPr>
    </w:p>
    <w:p w14:paraId="7ABBFD51" w14:textId="65FCD237" w:rsidR="00E7247D" w:rsidRPr="007B1368" w:rsidRDefault="00E7247D" w:rsidP="00E7247D">
      <w:pPr>
        <w:spacing w:after="160" w:line="259" w:lineRule="auto"/>
        <w:jc w:val="both"/>
        <w:rPr>
          <w:i/>
          <w:iCs/>
          <w:sz w:val="22"/>
          <w:szCs w:val="22"/>
        </w:rPr>
      </w:pPr>
      <w:r w:rsidRPr="007B1368">
        <w:rPr>
          <w:sz w:val="22"/>
          <w:szCs w:val="22"/>
        </w:rPr>
        <w:t>The Provider will refer to NNISH in the following circumstances:</w:t>
      </w:r>
    </w:p>
    <w:p w14:paraId="18F1FCF9" w14:textId="20164B7F" w:rsidR="00E7247D" w:rsidRPr="007B1368" w:rsidRDefault="00E7247D" w:rsidP="00762CBA">
      <w:pPr>
        <w:pStyle w:val="ListParagraph"/>
        <w:numPr>
          <w:ilvl w:val="0"/>
          <w:numId w:val="31"/>
        </w:numPr>
        <w:spacing w:after="160" w:line="259" w:lineRule="auto"/>
        <w:jc w:val="both"/>
        <w:rPr>
          <w:sz w:val="22"/>
          <w:szCs w:val="22"/>
        </w:rPr>
      </w:pPr>
      <w:r w:rsidRPr="007B1368">
        <w:rPr>
          <w:sz w:val="22"/>
          <w:szCs w:val="22"/>
        </w:rPr>
        <w:t>Females with impalpable or deeply sited implants</w:t>
      </w:r>
      <w:r w:rsidR="004C4789" w:rsidRPr="007B1368">
        <w:rPr>
          <w:sz w:val="22"/>
          <w:szCs w:val="22"/>
        </w:rPr>
        <w:t>.</w:t>
      </w:r>
    </w:p>
    <w:p w14:paraId="16828958" w14:textId="36747A26" w:rsidR="00E7247D" w:rsidRPr="007B1368" w:rsidRDefault="00E7247D" w:rsidP="00762CBA">
      <w:pPr>
        <w:pStyle w:val="ListParagraph"/>
        <w:numPr>
          <w:ilvl w:val="0"/>
          <w:numId w:val="31"/>
        </w:numPr>
        <w:spacing w:after="160" w:line="259" w:lineRule="auto"/>
        <w:jc w:val="both"/>
        <w:rPr>
          <w:sz w:val="22"/>
          <w:szCs w:val="22"/>
        </w:rPr>
      </w:pPr>
      <w:r w:rsidRPr="007B1368">
        <w:rPr>
          <w:sz w:val="22"/>
          <w:szCs w:val="22"/>
        </w:rPr>
        <w:t>Difficulty in removing an IUC</w:t>
      </w:r>
      <w:r w:rsidR="004C4789" w:rsidRPr="007B1368">
        <w:rPr>
          <w:sz w:val="22"/>
          <w:szCs w:val="22"/>
        </w:rPr>
        <w:t>.</w:t>
      </w:r>
      <w:r w:rsidRPr="007B1368">
        <w:rPr>
          <w:sz w:val="22"/>
          <w:szCs w:val="22"/>
        </w:rPr>
        <w:t xml:space="preserve"> </w:t>
      </w:r>
    </w:p>
    <w:p w14:paraId="321C22E7" w14:textId="232BB8CB" w:rsidR="004C4789" w:rsidRPr="007B1368" w:rsidRDefault="004C4789" w:rsidP="00762CBA">
      <w:pPr>
        <w:pStyle w:val="ListParagraph"/>
        <w:numPr>
          <w:ilvl w:val="0"/>
          <w:numId w:val="31"/>
        </w:numPr>
        <w:spacing w:after="160" w:line="259" w:lineRule="auto"/>
        <w:jc w:val="both"/>
        <w:rPr>
          <w:sz w:val="22"/>
          <w:szCs w:val="22"/>
        </w:rPr>
      </w:pPr>
      <w:r w:rsidRPr="007B1368">
        <w:rPr>
          <w:sz w:val="22"/>
          <w:szCs w:val="22"/>
        </w:rPr>
        <w:t>S</w:t>
      </w:r>
      <w:r w:rsidR="00E7247D" w:rsidRPr="007B1368">
        <w:rPr>
          <w:sz w:val="22"/>
          <w:szCs w:val="22"/>
        </w:rPr>
        <w:t>ervice user</w:t>
      </w:r>
      <w:r w:rsidRPr="007B1368">
        <w:rPr>
          <w:sz w:val="22"/>
          <w:szCs w:val="22"/>
        </w:rPr>
        <w:t>s with</w:t>
      </w:r>
      <w:r w:rsidR="00E7247D" w:rsidRPr="007B1368">
        <w:rPr>
          <w:sz w:val="22"/>
          <w:szCs w:val="22"/>
        </w:rPr>
        <w:t xml:space="preserve"> complex contraceptive need</w:t>
      </w:r>
      <w:r w:rsidRPr="007B1368">
        <w:rPr>
          <w:sz w:val="22"/>
          <w:szCs w:val="22"/>
        </w:rPr>
        <w:t>s</w:t>
      </w:r>
      <w:r w:rsidR="00E7247D" w:rsidRPr="007B1368">
        <w:rPr>
          <w:sz w:val="22"/>
          <w:szCs w:val="22"/>
        </w:rPr>
        <w:t xml:space="preserve"> that cannot be met at the practice</w:t>
      </w:r>
      <w:r w:rsidRPr="007B1368">
        <w:rPr>
          <w:sz w:val="22"/>
          <w:szCs w:val="22"/>
        </w:rPr>
        <w:t>.</w:t>
      </w:r>
    </w:p>
    <w:p w14:paraId="11DAF9F1" w14:textId="5F5CFDE4" w:rsidR="004C4789" w:rsidRPr="007B1368" w:rsidRDefault="00E7247D" w:rsidP="00762CBA">
      <w:pPr>
        <w:pStyle w:val="ListParagraph"/>
        <w:numPr>
          <w:ilvl w:val="0"/>
          <w:numId w:val="31"/>
        </w:numPr>
        <w:spacing w:after="160" w:line="259" w:lineRule="auto"/>
        <w:jc w:val="both"/>
        <w:rPr>
          <w:sz w:val="22"/>
          <w:szCs w:val="22"/>
        </w:rPr>
      </w:pPr>
      <w:r w:rsidRPr="007B1368">
        <w:rPr>
          <w:sz w:val="22"/>
          <w:szCs w:val="22"/>
        </w:rPr>
        <w:t xml:space="preserve">If the Provider cannot offer services in a timely </w:t>
      </w:r>
      <w:r w:rsidR="004C4789" w:rsidRPr="007B1368">
        <w:rPr>
          <w:sz w:val="22"/>
          <w:szCs w:val="22"/>
        </w:rPr>
        <w:t>manner</w:t>
      </w:r>
      <w:r w:rsidRPr="007B1368">
        <w:rPr>
          <w:sz w:val="22"/>
          <w:szCs w:val="22"/>
        </w:rPr>
        <w:t>, for example for Cu-IUD</w:t>
      </w:r>
      <w:r w:rsidR="004C4789" w:rsidRPr="007B1368">
        <w:rPr>
          <w:sz w:val="22"/>
          <w:szCs w:val="22"/>
        </w:rPr>
        <w:t xml:space="preserve"> fittings.</w:t>
      </w:r>
      <w:r w:rsidR="004C4789" w:rsidRPr="004F6F51">
        <w:rPr>
          <w:sz w:val="22"/>
          <w:szCs w:val="22"/>
        </w:rPr>
        <w:t xml:space="preserve"> </w:t>
      </w:r>
    </w:p>
    <w:p w14:paraId="7AEE316C" w14:textId="3F598DE6" w:rsidR="00E7247D" w:rsidRPr="007B1368" w:rsidRDefault="00E7247D" w:rsidP="00762CBA">
      <w:pPr>
        <w:pStyle w:val="ListParagraph"/>
        <w:numPr>
          <w:ilvl w:val="0"/>
          <w:numId w:val="31"/>
        </w:numPr>
        <w:spacing w:after="160" w:line="259" w:lineRule="auto"/>
        <w:jc w:val="both"/>
        <w:rPr>
          <w:sz w:val="22"/>
          <w:szCs w:val="22"/>
        </w:rPr>
      </w:pPr>
      <w:r w:rsidRPr="007B1368">
        <w:rPr>
          <w:sz w:val="22"/>
          <w:szCs w:val="22"/>
        </w:rPr>
        <w:t>Service users requir</w:t>
      </w:r>
      <w:r w:rsidR="004C4789" w:rsidRPr="007B1368">
        <w:rPr>
          <w:sz w:val="22"/>
          <w:szCs w:val="22"/>
        </w:rPr>
        <w:t>ing</w:t>
      </w:r>
      <w:r w:rsidRPr="007B1368">
        <w:rPr>
          <w:sz w:val="22"/>
          <w:szCs w:val="22"/>
        </w:rPr>
        <w:t xml:space="preserve"> further STI/HIV screening, investigation, </w:t>
      </w:r>
      <w:r w:rsidR="004C4789" w:rsidRPr="007B1368">
        <w:rPr>
          <w:sz w:val="22"/>
          <w:szCs w:val="22"/>
        </w:rPr>
        <w:t xml:space="preserve">or </w:t>
      </w:r>
      <w:r w:rsidRPr="007B1368">
        <w:rPr>
          <w:sz w:val="22"/>
          <w:szCs w:val="22"/>
        </w:rPr>
        <w:t>treatment.</w:t>
      </w:r>
    </w:p>
    <w:p w14:paraId="1EEAF15A" w14:textId="77777777" w:rsidR="00E7247D" w:rsidRPr="007B1368" w:rsidRDefault="00E7247D" w:rsidP="00E7247D">
      <w:pPr>
        <w:pStyle w:val="ListParagraph"/>
        <w:ind w:left="709"/>
        <w:jc w:val="both"/>
        <w:rPr>
          <w:b/>
          <w:bCs/>
          <w:i/>
          <w:iCs/>
          <w:sz w:val="22"/>
          <w:szCs w:val="22"/>
        </w:rPr>
      </w:pPr>
    </w:p>
    <w:p w14:paraId="777247B7" w14:textId="77777777" w:rsidR="003979B4" w:rsidRPr="007B1368" w:rsidRDefault="003979B4" w:rsidP="003979B4">
      <w:pPr>
        <w:spacing w:line="259" w:lineRule="auto"/>
        <w:jc w:val="both"/>
        <w:rPr>
          <w:sz w:val="22"/>
          <w:szCs w:val="22"/>
        </w:rPr>
      </w:pPr>
    </w:p>
    <w:p w14:paraId="38561C2D" w14:textId="7FE6106F" w:rsidR="00BE18F2" w:rsidRPr="007B1368" w:rsidRDefault="0011433F" w:rsidP="00942CC4">
      <w:pPr>
        <w:pStyle w:val="Heading2"/>
        <w:rPr>
          <w:sz w:val="22"/>
          <w:szCs w:val="22"/>
        </w:rPr>
      </w:pPr>
      <w:bookmarkStart w:id="14" w:name="_Toc190354373"/>
      <w:r w:rsidRPr="007B1368">
        <w:rPr>
          <w:sz w:val="22"/>
          <w:szCs w:val="22"/>
        </w:rPr>
        <w:t>8</w:t>
      </w:r>
      <w:r w:rsidR="00AA2D84" w:rsidRPr="007B1368">
        <w:rPr>
          <w:sz w:val="22"/>
          <w:szCs w:val="22"/>
        </w:rPr>
        <w:t xml:space="preserve">. </w:t>
      </w:r>
      <w:r w:rsidR="00BE18F2" w:rsidRPr="007B1368">
        <w:rPr>
          <w:sz w:val="22"/>
          <w:szCs w:val="22"/>
        </w:rPr>
        <w:t>Quality Standards and monitoring</w:t>
      </w:r>
      <w:bookmarkEnd w:id="14"/>
    </w:p>
    <w:p w14:paraId="7E97BFDD" w14:textId="5740B467" w:rsidR="00BE18F2" w:rsidRPr="007B1368" w:rsidRDefault="00BE18F2" w:rsidP="00BE18F2">
      <w:pPr>
        <w:rPr>
          <w:sz w:val="22"/>
          <w:szCs w:val="22"/>
        </w:rPr>
      </w:pPr>
    </w:p>
    <w:p w14:paraId="1232DBFD" w14:textId="77777777" w:rsidR="00BE18F2" w:rsidRPr="007B1368" w:rsidRDefault="00BE18F2" w:rsidP="00BE18F2">
      <w:pPr>
        <w:pStyle w:val="Default"/>
        <w:rPr>
          <w:sz w:val="22"/>
          <w:szCs w:val="22"/>
        </w:rPr>
      </w:pPr>
      <w:r w:rsidRPr="007B1368">
        <w:rPr>
          <w:sz w:val="22"/>
          <w:szCs w:val="22"/>
        </w:rPr>
        <w:t xml:space="preserve">Quality Standards and Monitoring </w:t>
      </w:r>
    </w:p>
    <w:p w14:paraId="7A2BD6B0" w14:textId="77777777" w:rsidR="00BE18F2" w:rsidRPr="007B1368" w:rsidRDefault="00BE18F2" w:rsidP="00BE18F2">
      <w:pPr>
        <w:pStyle w:val="Default"/>
        <w:rPr>
          <w:sz w:val="22"/>
          <w:szCs w:val="22"/>
        </w:rPr>
      </w:pPr>
    </w:p>
    <w:p w14:paraId="65DDFF02" w14:textId="54F9B886" w:rsidR="00BE18F2" w:rsidRPr="007B1368" w:rsidRDefault="00BE18F2" w:rsidP="008A0729">
      <w:pPr>
        <w:pStyle w:val="Default"/>
        <w:rPr>
          <w:sz w:val="22"/>
          <w:szCs w:val="22"/>
        </w:rPr>
      </w:pPr>
      <w:r w:rsidRPr="007B1368">
        <w:rPr>
          <w:b/>
          <w:bCs/>
          <w:sz w:val="22"/>
          <w:szCs w:val="22"/>
        </w:rPr>
        <w:t xml:space="preserve">Clinical Audit </w:t>
      </w:r>
    </w:p>
    <w:p w14:paraId="09563537" w14:textId="3BDFE354" w:rsidR="00BE18F2" w:rsidRPr="007B1368" w:rsidRDefault="00BE18F2" w:rsidP="008A0729">
      <w:pPr>
        <w:pStyle w:val="Default"/>
        <w:rPr>
          <w:sz w:val="22"/>
          <w:szCs w:val="22"/>
        </w:rPr>
      </w:pPr>
    </w:p>
    <w:p w14:paraId="4B4433E1" w14:textId="77777777" w:rsidR="00BE18F2" w:rsidRPr="007B1368" w:rsidRDefault="00BE18F2" w:rsidP="00BE18F2">
      <w:pPr>
        <w:pStyle w:val="Default"/>
        <w:rPr>
          <w:sz w:val="22"/>
          <w:szCs w:val="22"/>
        </w:rPr>
      </w:pPr>
      <w:r w:rsidRPr="007B1368">
        <w:rPr>
          <w:sz w:val="22"/>
          <w:szCs w:val="22"/>
        </w:rPr>
        <w:t xml:space="preserve">The Provider is required to ensure that provision of long-acting reversible contraception is considered as part of the clinical audit process within the general practice. Clinical audit should be used to review practice and to determine opportunities to improve patient experience and outcomes. Periodic reviews at least annually, should include an audit of: </w:t>
      </w:r>
    </w:p>
    <w:p w14:paraId="128721B9" w14:textId="5F56FB8E" w:rsidR="00BE18F2" w:rsidRPr="007B1368" w:rsidRDefault="00BE18F2" w:rsidP="00762CBA">
      <w:pPr>
        <w:pStyle w:val="Default"/>
        <w:numPr>
          <w:ilvl w:val="0"/>
          <w:numId w:val="34"/>
        </w:numPr>
        <w:spacing w:after="36"/>
        <w:rPr>
          <w:sz w:val="22"/>
          <w:szCs w:val="22"/>
        </w:rPr>
      </w:pPr>
      <w:r w:rsidRPr="007B1368">
        <w:rPr>
          <w:sz w:val="22"/>
          <w:szCs w:val="22"/>
        </w:rPr>
        <w:t xml:space="preserve">The register of patients fitted with contraceptive implant or IUD </w:t>
      </w:r>
    </w:p>
    <w:p w14:paraId="652567A8" w14:textId="01B58D91" w:rsidR="00BE18F2" w:rsidRPr="007B1368" w:rsidRDefault="00BE18F2" w:rsidP="00762CBA">
      <w:pPr>
        <w:pStyle w:val="Default"/>
        <w:numPr>
          <w:ilvl w:val="0"/>
          <w:numId w:val="34"/>
        </w:numPr>
        <w:spacing w:after="36"/>
        <w:rPr>
          <w:sz w:val="22"/>
          <w:szCs w:val="22"/>
        </w:rPr>
      </w:pPr>
      <w:r w:rsidRPr="007B1368">
        <w:rPr>
          <w:sz w:val="22"/>
          <w:szCs w:val="22"/>
        </w:rPr>
        <w:lastRenderedPageBreak/>
        <w:t xml:space="preserve">Batch numbers </w:t>
      </w:r>
    </w:p>
    <w:p w14:paraId="670693BC" w14:textId="7D86ACBA" w:rsidR="00BE18F2" w:rsidRPr="007B1368" w:rsidRDefault="00BE18F2" w:rsidP="00762CBA">
      <w:pPr>
        <w:pStyle w:val="Default"/>
        <w:numPr>
          <w:ilvl w:val="0"/>
          <w:numId w:val="34"/>
        </w:numPr>
        <w:spacing w:after="36"/>
        <w:rPr>
          <w:sz w:val="22"/>
          <w:szCs w:val="22"/>
        </w:rPr>
      </w:pPr>
      <w:r w:rsidRPr="007B1368">
        <w:rPr>
          <w:sz w:val="22"/>
          <w:szCs w:val="22"/>
        </w:rPr>
        <w:t xml:space="preserve">Reasons for removal </w:t>
      </w:r>
    </w:p>
    <w:p w14:paraId="025E8F3B" w14:textId="643BDE15" w:rsidR="00BE18F2" w:rsidRPr="007B1368" w:rsidRDefault="00BE18F2" w:rsidP="00762CBA">
      <w:pPr>
        <w:pStyle w:val="Default"/>
        <w:numPr>
          <w:ilvl w:val="0"/>
          <w:numId w:val="34"/>
        </w:numPr>
        <w:rPr>
          <w:sz w:val="22"/>
          <w:szCs w:val="22"/>
        </w:rPr>
      </w:pPr>
      <w:r w:rsidRPr="007B1368">
        <w:rPr>
          <w:sz w:val="22"/>
          <w:szCs w:val="22"/>
        </w:rPr>
        <w:t xml:space="preserve">Complications or significant events </w:t>
      </w:r>
    </w:p>
    <w:p w14:paraId="6855C276" w14:textId="77777777" w:rsidR="00BE18F2" w:rsidRPr="007B1368" w:rsidRDefault="00BE18F2" w:rsidP="008A0729">
      <w:pPr>
        <w:rPr>
          <w:sz w:val="22"/>
          <w:szCs w:val="22"/>
        </w:rPr>
      </w:pPr>
    </w:p>
    <w:p w14:paraId="31777F75" w14:textId="4C12FFD5" w:rsidR="00BE18F2" w:rsidRPr="007B1368" w:rsidRDefault="00BE18F2" w:rsidP="008A0729">
      <w:pPr>
        <w:rPr>
          <w:b/>
          <w:bCs/>
          <w:color w:val="000000"/>
          <w:sz w:val="22"/>
          <w:szCs w:val="22"/>
        </w:rPr>
      </w:pPr>
      <w:bookmarkStart w:id="15" w:name="_Toc151287903"/>
      <w:r w:rsidRPr="007B1368">
        <w:rPr>
          <w:b/>
          <w:bCs/>
          <w:color w:val="000000"/>
          <w:sz w:val="22"/>
          <w:szCs w:val="22"/>
        </w:rPr>
        <w:t xml:space="preserve">Monitoring and Reporting </w:t>
      </w:r>
    </w:p>
    <w:p w14:paraId="50617E86" w14:textId="77777777" w:rsidR="00BE18F2" w:rsidRPr="004F6F51" w:rsidRDefault="00BE18F2" w:rsidP="00BE18F2">
      <w:pPr>
        <w:autoSpaceDE w:val="0"/>
        <w:autoSpaceDN w:val="0"/>
        <w:adjustRightInd w:val="0"/>
        <w:rPr>
          <w:color w:val="000000"/>
          <w:sz w:val="22"/>
          <w:szCs w:val="22"/>
        </w:rPr>
      </w:pPr>
    </w:p>
    <w:p w14:paraId="5E20B513" w14:textId="057936E4" w:rsidR="00BE18F2" w:rsidRPr="007B1368" w:rsidRDefault="00BE18F2" w:rsidP="00BE18F2">
      <w:pPr>
        <w:autoSpaceDE w:val="0"/>
        <w:autoSpaceDN w:val="0"/>
        <w:adjustRightInd w:val="0"/>
        <w:spacing w:after="37"/>
        <w:rPr>
          <w:color w:val="000000"/>
          <w:sz w:val="22"/>
          <w:szCs w:val="22"/>
        </w:rPr>
      </w:pPr>
      <w:r w:rsidRPr="007B1368">
        <w:rPr>
          <w:color w:val="000000"/>
          <w:sz w:val="22"/>
          <w:szCs w:val="22"/>
        </w:rPr>
        <w:t xml:space="preserve">Monitoring is an important part of this contract and service specification compliance with the terms of service is essential for continuity by the provider. </w:t>
      </w:r>
    </w:p>
    <w:p w14:paraId="163B8EE4" w14:textId="77777777" w:rsidR="00BE18F2" w:rsidRPr="007B1368" w:rsidRDefault="00BE18F2" w:rsidP="00BE18F2">
      <w:pPr>
        <w:autoSpaceDE w:val="0"/>
        <w:autoSpaceDN w:val="0"/>
        <w:adjustRightInd w:val="0"/>
        <w:spacing w:after="37"/>
        <w:rPr>
          <w:color w:val="000000"/>
          <w:sz w:val="22"/>
          <w:szCs w:val="22"/>
        </w:rPr>
      </w:pPr>
    </w:p>
    <w:p w14:paraId="5483CD3D" w14:textId="159A0F1A" w:rsidR="00DA0B85" w:rsidRPr="007B1368" w:rsidRDefault="00DA0B85" w:rsidP="00DA0B85">
      <w:pPr>
        <w:spacing w:line="259" w:lineRule="auto"/>
        <w:jc w:val="both"/>
        <w:rPr>
          <w:sz w:val="22"/>
          <w:szCs w:val="22"/>
        </w:rPr>
      </w:pPr>
      <w:r w:rsidRPr="007B1368">
        <w:rPr>
          <w:sz w:val="22"/>
          <w:szCs w:val="22"/>
        </w:rPr>
        <w:t xml:space="preserve">Contract management of LARC services will be facilitated by North Northamptonshire Council and/or at the individual Provider level, as mutually agreed and appropriate, in accordance with the service delivery, risk, and intelligence sharing. </w:t>
      </w:r>
    </w:p>
    <w:p w14:paraId="6B0F5838" w14:textId="77777777" w:rsidR="00DA0B85" w:rsidRPr="004F6F51" w:rsidRDefault="00DA0B85" w:rsidP="008A0729">
      <w:pPr>
        <w:rPr>
          <w:sz w:val="22"/>
          <w:szCs w:val="22"/>
        </w:rPr>
      </w:pPr>
    </w:p>
    <w:bookmarkEnd w:id="15"/>
    <w:p w14:paraId="3D70AE59" w14:textId="2A06F747" w:rsidR="00DA0B85" w:rsidRPr="007B1368" w:rsidRDefault="00DA0B85" w:rsidP="00DA0B85">
      <w:pPr>
        <w:rPr>
          <w:sz w:val="22"/>
          <w:szCs w:val="22"/>
        </w:rPr>
      </w:pPr>
      <w:r w:rsidRPr="007B1368">
        <w:rPr>
          <w:sz w:val="22"/>
          <w:szCs w:val="22"/>
        </w:rPr>
        <w:t xml:space="preserve">The Provider must supply the commissioner with any information reasonably requested for the purpose of monitoring the Provider’s performance under this service specification. The service is subject to an annual review, which includes an annual audit covering the following: </w:t>
      </w:r>
    </w:p>
    <w:p w14:paraId="26DD522B" w14:textId="77777777" w:rsidR="00DA0B85" w:rsidRPr="007B1368" w:rsidRDefault="00DA0B85" w:rsidP="00DA0B85">
      <w:pPr>
        <w:rPr>
          <w:sz w:val="22"/>
          <w:szCs w:val="22"/>
        </w:rPr>
      </w:pPr>
    </w:p>
    <w:p w14:paraId="13A5FA30" w14:textId="05D4C209" w:rsidR="00DA0B85" w:rsidRPr="007B1368" w:rsidRDefault="00DA0B85" w:rsidP="00762CBA">
      <w:pPr>
        <w:pStyle w:val="ListParagraph"/>
        <w:numPr>
          <w:ilvl w:val="0"/>
          <w:numId w:val="10"/>
        </w:numPr>
        <w:contextualSpacing w:val="0"/>
        <w:rPr>
          <w:rFonts w:eastAsia="MS ??"/>
          <w:b/>
          <w:sz w:val="22"/>
          <w:szCs w:val="22"/>
        </w:rPr>
      </w:pPr>
      <w:r w:rsidRPr="007B1368">
        <w:rPr>
          <w:sz w:val="22"/>
          <w:szCs w:val="22"/>
        </w:rPr>
        <w:t>Practitioner details</w:t>
      </w:r>
      <w:r w:rsidR="00B00282" w:rsidRPr="007B1368">
        <w:rPr>
          <w:sz w:val="22"/>
          <w:szCs w:val="22"/>
        </w:rPr>
        <w:t>.</w:t>
      </w:r>
    </w:p>
    <w:p w14:paraId="617BD09D" w14:textId="185ED2DC" w:rsidR="00DA0B85" w:rsidRPr="007B1368" w:rsidRDefault="00DA0B85" w:rsidP="00762CBA">
      <w:pPr>
        <w:pStyle w:val="ListParagraph"/>
        <w:numPr>
          <w:ilvl w:val="0"/>
          <w:numId w:val="10"/>
        </w:numPr>
        <w:contextualSpacing w:val="0"/>
        <w:rPr>
          <w:rFonts w:eastAsia="MS ??"/>
          <w:b/>
          <w:sz w:val="22"/>
          <w:szCs w:val="22"/>
        </w:rPr>
      </w:pPr>
      <w:r w:rsidRPr="007B1368">
        <w:rPr>
          <w:sz w:val="22"/>
          <w:szCs w:val="22"/>
        </w:rPr>
        <w:t>Relevant qualifications and their expiry</w:t>
      </w:r>
      <w:r w:rsidR="00B00282" w:rsidRPr="007B1368">
        <w:rPr>
          <w:sz w:val="22"/>
          <w:szCs w:val="22"/>
        </w:rPr>
        <w:t xml:space="preserve"> dates.</w:t>
      </w:r>
    </w:p>
    <w:p w14:paraId="65FEF452" w14:textId="48C19126" w:rsidR="00DA0B85" w:rsidRPr="007B1368" w:rsidRDefault="00DA0B85" w:rsidP="00762CBA">
      <w:pPr>
        <w:pStyle w:val="ListParagraph"/>
        <w:numPr>
          <w:ilvl w:val="0"/>
          <w:numId w:val="10"/>
        </w:numPr>
        <w:contextualSpacing w:val="0"/>
        <w:rPr>
          <w:rFonts w:eastAsia="MS ??"/>
          <w:b/>
          <w:sz w:val="22"/>
          <w:szCs w:val="22"/>
        </w:rPr>
      </w:pPr>
      <w:r w:rsidRPr="007B1368">
        <w:rPr>
          <w:sz w:val="22"/>
          <w:szCs w:val="22"/>
        </w:rPr>
        <w:t xml:space="preserve">LARC </w:t>
      </w:r>
      <w:r w:rsidR="009825A6" w:rsidRPr="007B1368">
        <w:rPr>
          <w:sz w:val="22"/>
          <w:szCs w:val="22"/>
        </w:rPr>
        <w:t xml:space="preserve">FSRH </w:t>
      </w:r>
      <w:r w:rsidRPr="007B1368">
        <w:rPr>
          <w:sz w:val="22"/>
          <w:szCs w:val="22"/>
        </w:rPr>
        <w:t>competencies and certification expiry dates</w:t>
      </w:r>
      <w:r w:rsidR="00B00282" w:rsidRPr="007B1368">
        <w:rPr>
          <w:sz w:val="22"/>
          <w:szCs w:val="22"/>
        </w:rPr>
        <w:t>.</w:t>
      </w:r>
    </w:p>
    <w:p w14:paraId="7B71325B" w14:textId="01939B2E" w:rsidR="009825A6" w:rsidRPr="007B1368" w:rsidRDefault="009825A6" w:rsidP="00762CBA">
      <w:pPr>
        <w:pStyle w:val="ListParagraph"/>
        <w:numPr>
          <w:ilvl w:val="0"/>
          <w:numId w:val="10"/>
        </w:numPr>
        <w:contextualSpacing w:val="0"/>
        <w:rPr>
          <w:rFonts w:eastAsia="MS ??"/>
          <w:b/>
          <w:sz w:val="22"/>
          <w:szCs w:val="22"/>
        </w:rPr>
      </w:pPr>
      <w:r w:rsidRPr="007B1368">
        <w:rPr>
          <w:bCs/>
          <w:sz w:val="22"/>
          <w:szCs w:val="22"/>
        </w:rPr>
        <w:t>Service delivery volumes</w:t>
      </w:r>
      <w:r w:rsidR="00B00282" w:rsidRPr="007B1368">
        <w:rPr>
          <w:bCs/>
          <w:sz w:val="22"/>
          <w:szCs w:val="22"/>
        </w:rPr>
        <w:t>.</w:t>
      </w:r>
    </w:p>
    <w:p w14:paraId="00EFCD1A" w14:textId="62FC1C5F" w:rsidR="00DA0B85" w:rsidRPr="007B1368" w:rsidRDefault="00DA0B85" w:rsidP="00762CBA">
      <w:pPr>
        <w:pStyle w:val="ListParagraph"/>
        <w:numPr>
          <w:ilvl w:val="0"/>
          <w:numId w:val="10"/>
        </w:numPr>
        <w:contextualSpacing w:val="0"/>
        <w:rPr>
          <w:rFonts w:eastAsia="MS ??"/>
          <w:b/>
          <w:sz w:val="22"/>
          <w:szCs w:val="22"/>
        </w:rPr>
      </w:pPr>
      <w:r w:rsidRPr="007B1368">
        <w:rPr>
          <w:sz w:val="22"/>
          <w:szCs w:val="22"/>
        </w:rPr>
        <w:t>A register of patients fitted with an implant</w:t>
      </w:r>
      <w:r w:rsidR="00B00282" w:rsidRPr="007B1368">
        <w:rPr>
          <w:sz w:val="22"/>
          <w:szCs w:val="22"/>
        </w:rPr>
        <w:t>.</w:t>
      </w:r>
      <w:r w:rsidRPr="007B1368">
        <w:rPr>
          <w:sz w:val="22"/>
          <w:szCs w:val="22"/>
        </w:rPr>
        <w:t xml:space="preserve"> </w:t>
      </w:r>
    </w:p>
    <w:p w14:paraId="0A9C13B9" w14:textId="3541FAA5" w:rsidR="00DA0B85" w:rsidRPr="007B1368" w:rsidRDefault="00DA0B85" w:rsidP="00762CBA">
      <w:pPr>
        <w:pStyle w:val="ListParagraph"/>
        <w:numPr>
          <w:ilvl w:val="0"/>
          <w:numId w:val="10"/>
        </w:numPr>
        <w:contextualSpacing w:val="0"/>
        <w:rPr>
          <w:rFonts w:eastAsia="MS ??"/>
          <w:b/>
          <w:sz w:val="22"/>
          <w:szCs w:val="22"/>
        </w:rPr>
      </w:pPr>
      <w:r w:rsidRPr="007B1368">
        <w:rPr>
          <w:sz w:val="22"/>
          <w:szCs w:val="22"/>
        </w:rPr>
        <w:t>Reasons for removal</w:t>
      </w:r>
      <w:r w:rsidR="00B00282" w:rsidRPr="007B1368">
        <w:rPr>
          <w:sz w:val="22"/>
          <w:szCs w:val="22"/>
        </w:rPr>
        <w:t>.</w:t>
      </w:r>
    </w:p>
    <w:p w14:paraId="718D348C" w14:textId="7E5DAE7E" w:rsidR="009825A6" w:rsidRPr="007B1368" w:rsidRDefault="00DA0B85" w:rsidP="00762CBA">
      <w:pPr>
        <w:pStyle w:val="ListParagraph"/>
        <w:numPr>
          <w:ilvl w:val="0"/>
          <w:numId w:val="10"/>
        </w:numPr>
        <w:contextualSpacing w:val="0"/>
        <w:rPr>
          <w:sz w:val="22"/>
          <w:szCs w:val="22"/>
        </w:rPr>
      </w:pPr>
      <w:r w:rsidRPr="007B1368">
        <w:rPr>
          <w:sz w:val="22"/>
          <w:szCs w:val="22"/>
        </w:rPr>
        <w:t>Complications</w:t>
      </w:r>
      <w:r w:rsidR="00B00282" w:rsidRPr="007B1368">
        <w:rPr>
          <w:sz w:val="22"/>
          <w:szCs w:val="22"/>
        </w:rPr>
        <w:t>.</w:t>
      </w:r>
    </w:p>
    <w:p w14:paraId="19A8C814" w14:textId="5BDBD142" w:rsidR="009825A6" w:rsidRPr="007B1368" w:rsidRDefault="009825A6" w:rsidP="00762CBA">
      <w:pPr>
        <w:pStyle w:val="ListParagraph"/>
        <w:numPr>
          <w:ilvl w:val="0"/>
          <w:numId w:val="10"/>
        </w:numPr>
        <w:contextualSpacing w:val="0"/>
        <w:rPr>
          <w:sz w:val="22"/>
          <w:szCs w:val="22"/>
        </w:rPr>
      </w:pPr>
      <w:r w:rsidRPr="007B1368">
        <w:rPr>
          <w:sz w:val="22"/>
          <w:szCs w:val="22"/>
        </w:rPr>
        <w:t>Patient feed-back (compliments and complaints)</w:t>
      </w:r>
      <w:r w:rsidR="00B00282" w:rsidRPr="007B1368">
        <w:rPr>
          <w:sz w:val="22"/>
          <w:szCs w:val="22"/>
        </w:rPr>
        <w:t>.</w:t>
      </w:r>
    </w:p>
    <w:p w14:paraId="34148C2D" w14:textId="223A1FC4" w:rsidR="009825A6" w:rsidRPr="007B1368" w:rsidRDefault="009825A6" w:rsidP="00762CBA">
      <w:pPr>
        <w:pStyle w:val="ListParagraph"/>
        <w:numPr>
          <w:ilvl w:val="0"/>
          <w:numId w:val="10"/>
        </w:numPr>
        <w:contextualSpacing w:val="0"/>
        <w:rPr>
          <w:sz w:val="22"/>
          <w:szCs w:val="22"/>
        </w:rPr>
      </w:pPr>
      <w:r w:rsidRPr="007B1368">
        <w:rPr>
          <w:sz w:val="22"/>
          <w:szCs w:val="22"/>
        </w:rPr>
        <w:t>Incidents</w:t>
      </w:r>
      <w:r w:rsidR="00B00282" w:rsidRPr="007B1368">
        <w:rPr>
          <w:sz w:val="22"/>
          <w:szCs w:val="22"/>
        </w:rPr>
        <w:t>.</w:t>
      </w:r>
    </w:p>
    <w:p w14:paraId="66E5A8DC" w14:textId="2A960C16" w:rsidR="00DA0B85" w:rsidRPr="007B1368" w:rsidRDefault="00DA0B85" w:rsidP="00DA0B85">
      <w:pPr>
        <w:rPr>
          <w:bCs/>
          <w:sz w:val="22"/>
          <w:szCs w:val="22"/>
        </w:rPr>
      </w:pPr>
    </w:p>
    <w:p w14:paraId="7FD9AD68" w14:textId="0B4092AA" w:rsidR="00284EC5" w:rsidRPr="007B1368" w:rsidRDefault="00284EC5" w:rsidP="00A00805">
      <w:pPr>
        <w:spacing w:line="259" w:lineRule="auto"/>
        <w:jc w:val="both"/>
        <w:rPr>
          <w:sz w:val="22"/>
          <w:szCs w:val="22"/>
        </w:rPr>
      </w:pPr>
      <w:r w:rsidRPr="007B1368">
        <w:rPr>
          <w:sz w:val="22"/>
          <w:szCs w:val="22"/>
        </w:rPr>
        <w:t xml:space="preserve">Providers </w:t>
      </w:r>
      <w:r w:rsidR="00D62585" w:rsidRPr="007B1368">
        <w:rPr>
          <w:sz w:val="22"/>
          <w:szCs w:val="22"/>
        </w:rPr>
        <w:t>mus</w:t>
      </w:r>
      <w:r w:rsidR="00754937" w:rsidRPr="007B1368">
        <w:rPr>
          <w:sz w:val="22"/>
          <w:szCs w:val="22"/>
        </w:rPr>
        <w:t>t</w:t>
      </w:r>
      <w:r w:rsidR="00D62585" w:rsidRPr="007B1368">
        <w:rPr>
          <w:sz w:val="22"/>
          <w:szCs w:val="22"/>
        </w:rPr>
        <w:t xml:space="preserve"> </w:t>
      </w:r>
      <w:r w:rsidRPr="007B1368">
        <w:rPr>
          <w:sz w:val="22"/>
          <w:szCs w:val="22"/>
        </w:rPr>
        <w:t>submit information on delivered activity on a quarterly basis</w:t>
      </w:r>
      <w:r w:rsidR="00D62585" w:rsidRPr="007B1368">
        <w:rPr>
          <w:sz w:val="22"/>
          <w:szCs w:val="22"/>
        </w:rPr>
        <w:t>,</w:t>
      </w:r>
      <w:r w:rsidRPr="007B1368">
        <w:rPr>
          <w:sz w:val="22"/>
          <w:szCs w:val="22"/>
        </w:rPr>
        <w:t xml:space="preserve"> as outlined in</w:t>
      </w:r>
      <w:r w:rsidR="001F5A8E" w:rsidRPr="007B1368">
        <w:rPr>
          <w:sz w:val="22"/>
          <w:szCs w:val="22"/>
        </w:rPr>
        <w:t xml:space="preserve"> </w:t>
      </w:r>
      <w:r w:rsidRPr="007B1368">
        <w:rPr>
          <w:sz w:val="22"/>
          <w:szCs w:val="22"/>
        </w:rPr>
        <w:t>via the GP LARC Claim Form (</w:t>
      </w:r>
      <w:r w:rsidR="00DA0B85" w:rsidRPr="007B1368">
        <w:rPr>
          <w:sz w:val="22"/>
          <w:szCs w:val="22"/>
        </w:rPr>
        <w:t xml:space="preserve">See </w:t>
      </w:r>
      <w:r w:rsidRPr="004F6F51">
        <w:rPr>
          <w:sz w:val="22"/>
          <w:szCs w:val="22"/>
        </w:rPr>
        <w:t xml:space="preserve">Appendix </w:t>
      </w:r>
      <w:r w:rsidR="00CA79FF" w:rsidRPr="004F6F51">
        <w:rPr>
          <w:sz w:val="22"/>
          <w:szCs w:val="22"/>
        </w:rPr>
        <w:t>2</w:t>
      </w:r>
      <w:r w:rsidRPr="004F6F51">
        <w:rPr>
          <w:sz w:val="22"/>
          <w:szCs w:val="22"/>
        </w:rPr>
        <w:t>).</w:t>
      </w:r>
      <w:r w:rsidRPr="007B1368">
        <w:rPr>
          <w:sz w:val="22"/>
          <w:szCs w:val="22"/>
        </w:rPr>
        <w:t xml:space="preserve"> The Council will work </w:t>
      </w:r>
      <w:r w:rsidR="00754937" w:rsidRPr="007B1368">
        <w:rPr>
          <w:sz w:val="22"/>
          <w:szCs w:val="22"/>
        </w:rPr>
        <w:t>in partnership with P</w:t>
      </w:r>
      <w:r w:rsidR="00D62585" w:rsidRPr="007B1368">
        <w:rPr>
          <w:sz w:val="22"/>
          <w:szCs w:val="22"/>
        </w:rPr>
        <w:t xml:space="preserve">roviders </w:t>
      </w:r>
      <w:r w:rsidRPr="007B1368">
        <w:rPr>
          <w:sz w:val="22"/>
          <w:szCs w:val="22"/>
        </w:rPr>
        <w:t>during the contract term to automate data collection requirements for this servic</w:t>
      </w:r>
      <w:r w:rsidR="00942CC4" w:rsidRPr="007B1368">
        <w:rPr>
          <w:sz w:val="22"/>
          <w:szCs w:val="22"/>
        </w:rPr>
        <w:t>e</w:t>
      </w:r>
      <w:r w:rsidR="00754937" w:rsidRPr="007B1368">
        <w:rPr>
          <w:sz w:val="22"/>
          <w:szCs w:val="22"/>
        </w:rPr>
        <w:t>.</w:t>
      </w:r>
    </w:p>
    <w:p w14:paraId="5CDE7221" w14:textId="77777777" w:rsidR="00284EC5" w:rsidRPr="007B1368" w:rsidRDefault="00284EC5" w:rsidP="00284EC5">
      <w:pPr>
        <w:pStyle w:val="ListParagraph"/>
        <w:ind w:left="567"/>
        <w:jc w:val="both"/>
        <w:rPr>
          <w:sz w:val="22"/>
          <w:szCs w:val="22"/>
        </w:rPr>
      </w:pPr>
    </w:p>
    <w:p w14:paraId="5CCD45DC" w14:textId="6EE30E57" w:rsidR="00284EC5" w:rsidRPr="007B1368" w:rsidRDefault="00284EC5" w:rsidP="00A00805">
      <w:pPr>
        <w:spacing w:line="259" w:lineRule="auto"/>
        <w:jc w:val="both"/>
        <w:rPr>
          <w:sz w:val="22"/>
          <w:szCs w:val="22"/>
        </w:rPr>
      </w:pPr>
      <w:r w:rsidRPr="007B1368">
        <w:rPr>
          <w:sz w:val="22"/>
          <w:szCs w:val="22"/>
        </w:rPr>
        <w:t xml:space="preserve">On an annual basis, within 4 weeks of the contract anniversary, the Provider </w:t>
      </w:r>
      <w:r w:rsidR="00754937" w:rsidRPr="007B1368">
        <w:rPr>
          <w:sz w:val="22"/>
          <w:szCs w:val="22"/>
        </w:rPr>
        <w:t xml:space="preserve">must </w:t>
      </w:r>
      <w:r w:rsidRPr="007B1368">
        <w:rPr>
          <w:sz w:val="22"/>
          <w:szCs w:val="22"/>
        </w:rPr>
        <w:t>submit a Fitters Accreditation Return (</w:t>
      </w:r>
      <w:r w:rsidR="001F5A8E" w:rsidRPr="007B1368">
        <w:rPr>
          <w:sz w:val="22"/>
          <w:szCs w:val="22"/>
        </w:rPr>
        <w:t xml:space="preserve">See </w:t>
      </w:r>
      <w:r w:rsidRPr="00330FE7">
        <w:rPr>
          <w:sz w:val="22"/>
          <w:szCs w:val="22"/>
        </w:rPr>
        <w:t xml:space="preserve">Appendix </w:t>
      </w:r>
      <w:r w:rsidR="00CA79FF" w:rsidRPr="00330FE7">
        <w:rPr>
          <w:sz w:val="22"/>
          <w:szCs w:val="22"/>
        </w:rPr>
        <w:t>3</w:t>
      </w:r>
      <w:r w:rsidRPr="00962644">
        <w:rPr>
          <w:sz w:val="22"/>
          <w:szCs w:val="22"/>
        </w:rPr>
        <w:t>)</w:t>
      </w:r>
      <w:r w:rsidR="00754937" w:rsidRPr="00962644">
        <w:rPr>
          <w:sz w:val="22"/>
          <w:szCs w:val="22"/>
        </w:rPr>
        <w:t>.</w:t>
      </w:r>
      <w:r w:rsidR="00754937" w:rsidRPr="007B1368">
        <w:rPr>
          <w:sz w:val="22"/>
          <w:szCs w:val="22"/>
        </w:rPr>
        <w:t xml:space="preserve"> This return must include</w:t>
      </w:r>
      <w:r w:rsidRPr="007B1368">
        <w:rPr>
          <w:sz w:val="22"/>
          <w:szCs w:val="22"/>
        </w:rPr>
        <w:t xml:space="preserve"> a list of named individuals delivering the service</w:t>
      </w:r>
      <w:r w:rsidR="00754937" w:rsidRPr="007B1368">
        <w:rPr>
          <w:sz w:val="22"/>
          <w:szCs w:val="22"/>
        </w:rPr>
        <w:t>, enabling</w:t>
      </w:r>
      <w:r w:rsidRPr="007B1368">
        <w:rPr>
          <w:sz w:val="22"/>
          <w:szCs w:val="22"/>
        </w:rPr>
        <w:t xml:space="preserve"> the Council </w:t>
      </w:r>
      <w:r w:rsidR="00754937" w:rsidRPr="007B1368">
        <w:rPr>
          <w:sz w:val="22"/>
          <w:szCs w:val="22"/>
        </w:rPr>
        <w:t xml:space="preserve">to </w:t>
      </w:r>
      <w:r w:rsidRPr="007B1368">
        <w:rPr>
          <w:sz w:val="22"/>
          <w:szCs w:val="22"/>
        </w:rPr>
        <w:t xml:space="preserve">maintain an up-to-date register of fitters </w:t>
      </w:r>
      <w:r w:rsidR="00754937" w:rsidRPr="007B1368">
        <w:rPr>
          <w:sz w:val="22"/>
          <w:szCs w:val="22"/>
        </w:rPr>
        <w:t xml:space="preserve">who </w:t>
      </w:r>
      <w:r w:rsidRPr="007B1368">
        <w:rPr>
          <w:sz w:val="22"/>
          <w:szCs w:val="22"/>
        </w:rPr>
        <w:t>meet the competency requirements outlined in this service specification.</w:t>
      </w:r>
    </w:p>
    <w:p w14:paraId="2C1A6C66" w14:textId="77777777" w:rsidR="009825A6" w:rsidRPr="007B1368" w:rsidRDefault="009825A6" w:rsidP="00284EC5">
      <w:pPr>
        <w:jc w:val="both"/>
        <w:rPr>
          <w:sz w:val="22"/>
          <w:szCs w:val="22"/>
        </w:rPr>
      </w:pPr>
    </w:p>
    <w:p w14:paraId="42162B01" w14:textId="338A62BC" w:rsidR="00284EC5" w:rsidRPr="007B1368" w:rsidRDefault="00284EC5" w:rsidP="00A00805">
      <w:pPr>
        <w:spacing w:line="259" w:lineRule="auto"/>
        <w:jc w:val="both"/>
        <w:rPr>
          <w:sz w:val="22"/>
          <w:szCs w:val="22"/>
        </w:rPr>
      </w:pPr>
      <w:r w:rsidRPr="007B1368">
        <w:rPr>
          <w:sz w:val="22"/>
          <w:szCs w:val="22"/>
        </w:rPr>
        <w:t xml:space="preserve">The Provider </w:t>
      </w:r>
      <w:r w:rsidR="00754937" w:rsidRPr="007B1368">
        <w:rPr>
          <w:sz w:val="22"/>
          <w:szCs w:val="22"/>
        </w:rPr>
        <w:t xml:space="preserve">must notify </w:t>
      </w:r>
      <w:r w:rsidRPr="007B1368">
        <w:rPr>
          <w:sz w:val="22"/>
          <w:szCs w:val="22"/>
        </w:rPr>
        <w:t xml:space="preserve">their Contract Officer of any issues </w:t>
      </w:r>
      <w:r w:rsidR="00754937" w:rsidRPr="007B1368">
        <w:rPr>
          <w:sz w:val="22"/>
          <w:szCs w:val="22"/>
        </w:rPr>
        <w:t>relating</w:t>
      </w:r>
      <w:r w:rsidRPr="007B1368">
        <w:rPr>
          <w:sz w:val="22"/>
          <w:szCs w:val="22"/>
        </w:rPr>
        <w:t xml:space="preserve"> to the </w:t>
      </w:r>
      <w:r w:rsidR="00754937" w:rsidRPr="007B1368">
        <w:rPr>
          <w:sz w:val="22"/>
          <w:szCs w:val="22"/>
        </w:rPr>
        <w:t xml:space="preserve">service </w:t>
      </w:r>
      <w:r w:rsidRPr="007B1368">
        <w:rPr>
          <w:sz w:val="22"/>
          <w:szCs w:val="22"/>
        </w:rPr>
        <w:t xml:space="preserve">delivery </w:t>
      </w:r>
      <w:r w:rsidR="00754937" w:rsidRPr="007B1368">
        <w:rPr>
          <w:sz w:val="22"/>
          <w:szCs w:val="22"/>
        </w:rPr>
        <w:t xml:space="preserve">or the </w:t>
      </w:r>
      <w:r w:rsidRPr="007B1368">
        <w:rPr>
          <w:sz w:val="22"/>
          <w:szCs w:val="22"/>
        </w:rPr>
        <w:t>conduct</w:t>
      </w:r>
      <w:r w:rsidR="00754937" w:rsidRPr="007B1368">
        <w:rPr>
          <w:sz w:val="22"/>
          <w:szCs w:val="22"/>
        </w:rPr>
        <w:t xml:space="preserve"> and </w:t>
      </w:r>
      <w:r w:rsidRPr="007B1368">
        <w:rPr>
          <w:sz w:val="22"/>
          <w:szCs w:val="22"/>
        </w:rPr>
        <w:t>competence of staff</w:t>
      </w:r>
      <w:r w:rsidR="00754937" w:rsidRPr="007B1368">
        <w:rPr>
          <w:sz w:val="22"/>
          <w:szCs w:val="22"/>
        </w:rPr>
        <w:t>,</w:t>
      </w:r>
      <w:r w:rsidRPr="007B1368">
        <w:rPr>
          <w:sz w:val="22"/>
          <w:szCs w:val="22"/>
        </w:rPr>
        <w:t xml:space="preserve"> to ensure compliance with </w:t>
      </w:r>
      <w:r w:rsidR="009825A6" w:rsidRPr="007B1368">
        <w:rPr>
          <w:sz w:val="22"/>
          <w:szCs w:val="22"/>
        </w:rPr>
        <w:t>this c</w:t>
      </w:r>
      <w:r w:rsidRPr="007B1368">
        <w:rPr>
          <w:sz w:val="22"/>
          <w:szCs w:val="22"/>
        </w:rPr>
        <w:t xml:space="preserve">ontract and </w:t>
      </w:r>
      <w:r w:rsidR="009825A6" w:rsidRPr="007B1368">
        <w:rPr>
          <w:sz w:val="22"/>
          <w:szCs w:val="22"/>
        </w:rPr>
        <w:t>s</w:t>
      </w:r>
      <w:r w:rsidRPr="007B1368">
        <w:rPr>
          <w:sz w:val="22"/>
          <w:szCs w:val="22"/>
        </w:rPr>
        <w:t xml:space="preserve">ervice </w:t>
      </w:r>
      <w:r w:rsidR="009825A6" w:rsidRPr="007B1368">
        <w:rPr>
          <w:sz w:val="22"/>
          <w:szCs w:val="22"/>
        </w:rPr>
        <w:t>s</w:t>
      </w:r>
      <w:r w:rsidRPr="007B1368">
        <w:rPr>
          <w:sz w:val="22"/>
          <w:szCs w:val="22"/>
        </w:rPr>
        <w:t>pecification.</w:t>
      </w:r>
    </w:p>
    <w:p w14:paraId="677C9157" w14:textId="77777777" w:rsidR="00284EC5" w:rsidRPr="007B1368" w:rsidRDefault="00284EC5" w:rsidP="00284EC5">
      <w:pPr>
        <w:pStyle w:val="ListParagraph"/>
        <w:rPr>
          <w:sz w:val="22"/>
          <w:szCs w:val="22"/>
        </w:rPr>
      </w:pPr>
    </w:p>
    <w:p w14:paraId="405A6348" w14:textId="77777777" w:rsidR="001F5A8E" w:rsidRPr="007B1368" w:rsidRDefault="001F5A8E" w:rsidP="001F5A8E">
      <w:pPr>
        <w:rPr>
          <w:rFonts w:eastAsia="MS ??"/>
          <w:b/>
          <w:sz w:val="22"/>
          <w:szCs w:val="22"/>
        </w:rPr>
      </w:pPr>
      <w:r w:rsidRPr="007B1368">
        <w:rPr>
          <w:rFonts w:eastAsia="MS ??"/>
          <w:b/>
          <w:sz w:val="22"/>
          <w:szCs w:val="22"/>
        </w:rPr>
        <w:t>Monitoring, reporting and review</w:t>
      </w:r>
    </w:p>
    <w:p w14:paraId="669FA303" w14:textId="77777777" w:rsidR="001F5A8E" w:rsidRPr="007B1368" w:rsidRDefault="001F5A8E" w:rsidP="001F5A8E">
      <w:pPr>
        <w:rPr>
          <w:rFonts w:eastAsia="MS ??"/>
          <w:b/>
          <w:sz w:val="22"/>
          <w:szCs w:val="22"/>
        </w:rPr>
      </w:pPr>
    </w:p>
    <w:p w14:paraId="70D76EB9" w14:textId="77777777" w:rsidR="001F5A8E" w:rsidRPr="007B1368" w:rsidRDefault="001F5A8E" w:rsidP="001F5A8E">
      <w:pPr>
        <w:tabs>
          <w:tab w:val="num" w:pos="0"/>
        </w:tabs>
        <w:jc w:val="both"/>
        <w:rPr>
          <w:rFonts w:eastAsia="Times New Roman"/>
          <w:sz w:val="22"/>
          <w:szCs w:val="22"/>
        </w:rPr>
      </w:pPr>
      <w:r w:rsidRPr="007B1368">
        <w:rPr>
          <w:rFonts w:eastAsia="Times New Roman"/>
          <w:sz w:val="22"/>
          <w:szCs w:val="22"/>
        </w:rPr>
        <w:t>The Provider will participate in any service evaluation or audit exercise, as organised by the Council.</w:t>
      </w:r>
    </w:p>
    <w:p w14:paraId="13BF9856" w14:textId="77777777" w:rsidR="001F5A8E" w:rsidRPr="007B1368" w:rsidRDefault="001F5A8E" w:rsidP="001F5A8E">
      <w:pPr>
        <w:tabs>
          <w:tab w:val="num" w:pos="0"/>
        </w:tabs>
        <w:jc w:val="both"/>
        <w:rPr>
          <w:rFonts w:eastAsia="Times New Roman"/>
          <w:sz w:val="22"/>
          <w:szCs w:val="22"/>
        </w:rPr>
      </w:pPr>
    </w:p>
    <w:p w14:paraId="3843C8B9" w14:textId="77777777" w:rsidR="001F5A8E" w:rsidRPr="007B1368" w:rsidRDefault="001F5A8E" w:rsidP="001F5A8E">
      <w:pPr>
        <w:rPr>
          <w:sz w:val="22"/>
          <w:szCs w:val="22"/>
          <w:lang w:val="en-US"/>
        </w:rPr>
      </w:pPr>
      <w:r w:rsidRPr="007B1368">
        <w:rPr>
          <w:rFonts w:eastAsia="Times New Roman"/>
          <w:sz w:val="22"/>
          <w:szCs w:val="22"/>
          <w:lang w:val="en-US"/>
        </w:rPr>
        <w:t xml:space="preserve">Activity under this contract will be driven by patient choice; therefore, </w:t>
      </w:r>
      <w:r w:rsidRPr="007B1368">
        <w:rPr>
          <w:sz w:val="22"/>
          <w:szCs w:val="22"/>
        </w:rPr>
        <w:t>there is no fixed commitment from the Council regarding the number of services to be delivered.</w:t>
      </w:r>
    </w:p>
    <w:p w14:paraId="1B7844DD" w14:textId="77777777" w:rsidR="001F5A8E" w:rsidRPr="004F6F51" w:rsidRDefault="001F5A8E" w:rsidP="001F5A8E">
      <w:pPr>
        <w:rPr>
          <w:sz w:val="22"/>
          <w:szCs w:val="22"/>
          <w:lang w:val="en-US"/>
        </w:rPr>
      </w:pPr>
    </w:p>
    <w:p w14:paraId="6FF69C16" w14:textId="77777777" w:rsidR="001F5A8E" w:rsidRPr="00C805EF" w:rsidRDefault="001F5A8E" w:rsidP="001F5A8E">
      <w:pPr>
        <w:rPr>
          <w:rFonts w:eastAsia="Times New Roman"/>
          <w:b/>
          <w:bCs/>
          <w:sz w:val="22"/>
          <w:szCs w:val="22"/>
          <w:lang w:val="en-US"/>
        </w:rPr>
      </w:pPr>
      <w:r w:rsidRPr="00C805EF">
        <w:rPr>
          <w:rFonts w:eastAsia="Times New Roman"/>
          <w:b/>
          <w:bCs/>
          <w:sz w:val="22"/>
          <w:szCs w:val="22"/>
          <w:lang w:val="en-US"/>
        </w:rPr>
        <w:t>Frequency and Method of Reporting</w:t>
      </w:r>
    </w:p>
    <w:p w14:paraId="62CEF4F9" w14:textId="77777777" w:rsidR="001F5A8E" w:rsidRPr="00C805EF" w:rsidRDefault="001F5A8E" w:rsidP="001F5A8E">
      <w:pPr>
        <w:rPr>
          <w:rFonts w:eastAsia="Times New Roman"/>
          <w:sz w:val="22"/>
          <w:szCs w:val="22"/>
          <w:lang w:val="en-US"/>
        </w:rPr>
      </w:pPr>
    </w:p>
    <w:p w14:paraId="3898CD66" w14:textId="77777777" w:rsidR="001F5A8E" w:rsidRPr="00C805EF" w:rsidRDefault="001F5A8E" w:rsidP="001F5A8E">
      <w:pPr>
        <w:rPr>
          <w:rFonts w:eastAsia="Times New Roman"/>
          <w:sz w:val="22"/>
          <w:szCs w:val="22"/>
          <w:lang w:val="en-US"/>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1843"/>
        <w:gridCol w:w="1915"/>
        <w:gridCol w:w="1840"/>
      </w:tblGrid>
      <w:tr w:rsidR="001F5A8E" w:rsidRPr="00C805EF" w14:paraId="52DFEBD0" w14:textId="77777777" w:rsidTr="004C251B">
        <w:tc>
          <w:tcPr>
            <w:tcW w:w="1413" w:type="dxa"/>
            <w:shd w:val="clear" w:color="auto" w:fill="BFBFBF" w:themeFill="background1" w:themeFillShade="BF"/>
            <w:vAlign w:val="center"/>
          </w:tcPr>
          <w:p w14:paraId="590C8CD5" w14:textId="77777777" w:rsidR="001F5A8E" w:rsidRPr="00C805EF" w:rsidRDefault="001F5A8E" w:rsidP="004C251B">
            <w:pPr>
              <w:jc w:val="center"/>
              <w:rPr>
                <w:b/>
                <w:sz w:val="22"/>
                <w:szCs w:val="22"/>
                <w:lang w:val="en-US"/>
              </w:rPr>
            </w:pPr>
            <w:r w:rsidRPr="00C805EF">
              <w:rPr>
                <w:b/>
                <w:sz w:val="22"/>
                <w:szCs w:val="22"/>
                <w:lang w:val="en-US"/>
              </w:rPr>
              <w:t>Frequency of reports</w:t>
            </w:r>
          </w:p>
        </w:tc>
        <w:tc>
          <w:tcPr>
            <w:tcW w:w="1984" w:type="dxa"/>
            <w:shd w:val="clear" w:color="auto" w:fill="BFBFBF" w:themeFill="background1" w:themeFillShade="BF"/>
            <w:vAlign w:val="center"/>
          </w:tcPr>
          <w:p w14:paraId="5183ABDB" w14:textId="77777777" w:rsidR="001F5A8E" w:rsidRPr="00C805EF" w:rsidRDefault="001F5A8E" w:rsidP="004C251B">
            <w:pPr>
              <w:jc w:val="center"/>
              <w:rPr>
                <w:b/>
                <w:sz w:val="22"/>
                <w:szCs w:val="22"/>
                <w:lang w:val="en-US"/>
              </w:rPr>
            </w:pPr>
            <w:r w:rsidRPr="00C805EF">
              <w:rPr>
                <w:b/>
                <w:sz w:val="22"/>
                <w:szCs w:val="22"/>
                <w:lang w:val="en-US"/>
              </w:rPr>
              <w:t>Method</w:t>
            </w:r>
          </w:p>
        </w:tc>
        <w:tc>
          <w:tcPr>
            <w:tcW w:w="1843" w:type="dxa"/>
            <w:shd w:val="clear" w:color="auto" w:fill="BFBFBF" w:themeFill="background1" w:themeFillShade="BF"/>
            <w:vAlign w:val="center"/>
          </w:tcPr>
          <w:p w14:paraId="4364E0A7" w14:textId="77777777" w:rsidR="001F5A8E" w:rsidRPr="00C805EF" w:rsidRDefault="001F5A8E" w:rsidP="004C251B">
            <w:pPr>
              <w:jc w:val="center"/>
              <w:rPr>
                <w:b/>
                <w:sz w:val="22"/>
                <w:szCs w:val="22"/>
                <w:lang w:val="en-US"/>
              </w:rPr>
            </w:pPr>
            <w:r w:rsidRPr="00C805EF">
              <w:rPr>
                <w:b/>
                <w:sz w:val="22"/>
                <w:szCs w:val="22"/>
                <w:lang w:val="en-US"/>
              </w:rPr>
              <w:t>When is report due</w:t>
            </w:r>
          </w:p>
        </w:tc>
        <w:tc>
          <w:tcPr>
            <w:tcW w:w="1915" w:type="dxa"/>
            <w:shd w:val="clear" w:color="auto" w:fill="BFBFBF" w:themeFill="background1" w:themeFillShade="BF"/>
            <w:vAlign w:val="center"/>
          </w:tcPr>
          <w:p w14:paraId="100B3652" w14:textId="77777777" w:rsidR="001F5A8E" w:rsidRPr="00C805EF" w:rsidRDefault="001F5A8E" w:rsidP="004C251B">
            <w:pPr>
              <w:jc w:val="center"/>
              <w:rPr>
                <w:b/>
                <w:sz w:val="22"/>
                <w:szCs w:val="22"/>
                <w:lang w:val="en-US"/>
              </w:rPr>
            </w:pPr>
            <w:r w:rsidRPr="00C805EF">
              <w:rPr>
                <w:b/>
                <w:sz w:val="22"/>
                <w:szCs w:val="22"/>
                <w:lang w:val="en-US"/>
              </w:rPr>
              <w:t>Consequence of breach</w:t>
            </w:r>
          </w:p>
        </w:tc>
        <w:tc>
          <w:tcPr>
            <w:tcW w:w="1840" w:type="dxa"/>
            <w:shd w:val="clear" w:color="auto" w:fill="BFBFBF" w:themeFill="background1" w:themeFillShade="BF"/>
            <w:vAlign w:val="center"/>
          </w:tcPr>
          <w:p w14:paraId="192F9E7D" w14:textId="77777777" w:rsidR="001F5A8E" w:rsidRPr="00C805EF" w:rsidRDefault="001F5A8E" w:rsidP="004C251B">
            <w:pPr>
              <w:jc w:val="center"/>
              <w:rPr>
                <w:b/>
                <w:sz w:val="22"/>
                <w:szCs w:val="22"/>
                <w:lang w:val="en-US"/>
              </w:rPr>
            </w:pPr>
            <w:r w:rsidRPr="00C805EF">
              <w:rPr>
                <w:b/>
                <w:sz w:val="22"/>
                <w:szCs w:val="22"/>
                <w:lang w:val="en-US"/>
              </w:rPr>
              <w:t>Report Due</w:t>
            </w:r>
          </w:p>
        </w:tc>
      </w:tr>
      <w:tr w:rsidR="001F5A8E" w:rsidRPr="00C805EF" w14:paraId="40B041E1" w14:textId="77777777" w:rsidTr="004C251B">
        <w:tc>
          <w:tcPr>
            <w:tcW w:w="1413" w:type="dxa"/>
            <w:shd w:val="clear" w:color="auto" w:fill="auto"/>
          </w:tcPr>
          <w:p w14:paraId="7366728F" w14:textId="77777777" w:rsidR="001F5A8E" w:rsidRPr="00C805EF" w:rsidRDefault="001F5A8E" w:rsidP="004C251B">
            <w:pPr>
              <w:rPr>
                <w:sz w:val="22"/>
                <w:szCs w:val="22"/>
                <w:lang w:val="en-US"/>
              </w:rPr>
            </w:pPr>
            <w:r w:rsidRPr="00C805EF">
              <w:rPr>
                <w:sz w:val="22"/>
                <w:szCs w:val="22"/>
                <w:lang w:val="en-US"/>
              </w:rPr>
              <w:t>Quarterly</w:t>
            </w:r>
          </w:p>
        </w:tc>
        <w:tc>
          <w:tcPr>
            <w:tcW w:w="1984" w:type="dxa"/>
            <w:shd w:val="clear" w:color="auto" w:fill="auto"/>
          </w:tcPr>
          <w:p w14:paraId="3C45DCA6" w14:textId="77777777" w:rsidR="001F5A8E" w:rsidRPr="00C805EF" w:rsidRDefault="001F5A8E" w:rsidP="004C251B">
            <w:pPr>
              <w:rPr>
                <w:sz w:val="22"/>
                <w:szCs w:val="22"/>
                <w:lang w:val="en-US"/>
              </w:rPr>
            </w:pPr>
            <w:r w:rsidRPr="00C805EF">
              <w:rPr>
                <w:sz w:val="22"/>
                <w:szCs w:val="22"/>
                <w:lang w:val="en-US"/>
              </w:rPr>
              <w:t>Minimum reporting requirement; Excel monitoring spreadsheet</w:t>
            </w:r>
          </w:p>
        </w:tc>
        <w:tc>
          <w:tcPr>
            <w:tcW w:w="1843" w:type="dxa"/>
            <w:shd w:val="clear" w:color="auto" w:fill="auto"/>
          </w:tcPr>
          <w:p w14:paraId="5F2E9A27" w14:textId="77777777" w:rsidR="001F5A8E" w:rsidRPr="00C805EF" w:rsidRDefault="001F5A8E" w:rsidP="004C251B">
            <w:pPr>
              <w:rPr>
                <w:sz w:val="22"/>
                <w:szCs w:val="22"/>
                <w:lang w:val="en-US"/>
              </w:rPr>
            </w:pPr>
            <w:r w:rsidRPr="00C805EF">
              <w:rPr>
                <w:sz w:val="22"/>
                <w:szCs w:val="22"/>
                <w:lang w:val="en-US"/>
              </w:rPr>
              <w:t>10</w:t>
            </w:r>
            <w:r w:rsidRPr="00C805EF">
              <w:rPr>
                <w:sz w:val="22"/>
                <w:szCs w:val="22"/>
                <w:vertAlign w:val="superscript"/>
                <w:lang w:val="en-US"/>
              </w:rPr>
              <w:t>th</w:t>
            </w:r>
            <w:r w:rsidRPr="00C805EF">
              <w:rPr>
                <w:sz w:val="22"/>
                <w:szCs w:val="22"/>
                <w:lang w:val="en-US"/>
              </w:rPr>
              <w:t xml:space="preserve"> of the following month</w:t>
            </w:r>
          </w:p>
        </w:tc>
        <w:tc>
          <w:tcPr>
            <w:tcW w:w="1915" w:type="dxa"/>
            <w:shd w:val="clear" w:color="auto" w:fill="auto"/>
          </w:tcPr>
          <w:p w14:paraId="19DCBFCF" w14:textId="77777777" w:rsidR="001F5A8E" w:rsidRPr="00C805EF" w:rsidRDefault="001F5A8E" w:rsidP="004C251B">
            <w:pPr>
              <w:rPr>
                <w:sz w:val="22"/>
                <w:szCs w:val="22"/>
                <w:lang w:val="en-US"/>
              </w:rPr>
            </w:pPr>
            <w:r w:rsidRPr="00C805EF">
              <w:rPr>
                <w:sz w:val="22"/>
                <w:szCs w:val="22"/>
                <w:lang w:val="en-US"/>
              </w:rPr>
              <w:t>Non-payment</w:t>
            </w:r>
          </w:p>
        </w:tc>
        <w:tc>
          <w:tcPr>
            <w:tcW w:w="1840" w:type="dxa"/>
            <w:shd w:val="clear" w:color="auto" w:fill="auto"/>
          </w:tcPr>
          <w:p w14:paraId="44B7226B" w14:textId="77777777" w:rsidR="001F5A8E" w:rsidRPr="00C805EF" w:rsidRDefault="001F5A8E" w:rsidP="004C251B">
            <w:pPr>
              <w:rPr>
                <w:sz w:val="22"/>
                <w:szCs w:val="22"/>
                <w:lang w:val="en-US"/>
              </w:rPr>
            </w:pPr>
          </w:p>
        </w:tc>
      </w:tr>
    </w:tbl>
    <w:p w14:paraId="77175ADA" w14:textId="77777777" w:rsidR="001F5A8E" w:rsidRPr="00C805EF" w:rsidRDefault="001F5A8E" w:rsidP="00754937">
      <w:pPr>
        <w:pStyle w:val="ListParagraph"/>
        <w:rPr>
          <w:sz w:val="22"/>
          <w:szCs w:val="22"/>
        </w:rPr>
      </w:pPr>
    </w:p>
    <w:p w14:paraId="576490E3" w14:textId="77777777" w:rsidR="00284EC5" w:rsidRPr="00C805EF" w:rsidRDefault="00284EC5" w:rsidP="00284EC5">
      <w:pPr>
        <w:pStyle w:val="ListParagraph"/>
        <w:rPr>
          <w:sz w:val="22"/>
          <w:szCs w:val="22"/>
        </w:rPr>
      </w:pPr>
    </w:p>
    <w:p w14:paraId="235C97B7" w14:textId="566DCCF0" w:rsidR="00C93109" w:rsidRPr="00C805EF" w:rsidRDefault="009825A6" w:rsidP="00284EC5">
      <w:pPr>
        <w:pStyle w:val="DefinedTermNumber"/>
        <w:numPr>
          <w:ilvl w:val="0"/>
          <w:numId w:val="0"/>
        </w:numPr>
        <w:rPr>
          <w:rFonts w:cs="Arial"/>
          <w:b/>
          <w:bCs/>
          <w:szCs w:val="22"/>
        </w:rPr>
      </w:pPr>
      <w:r w:rsidRPr="00C805EF">
        <w:rPr>
          <w:rFonts w:cs="Arial"/>
          <w:b/>
          <w:bCs/>
          <w:szCs w:val="22"/>
        </w:rPr>
        <w:t>S</w:t>
      </w:r>
      <w:r w:rsidR="00C50BB5" w:rsidRPr="00C805EF">
        <w:rPr>
          <w:rFonts w:cs="Arial"/>
          <w:b/>
          <w:bCs/>
          <w:szCs w:val="22"/>
        </w:rPr>
        <w:t>ervice V</w:t>
      </w:r>
      <w:r w:rsidR="00C93109" w:rsidRPr="00C805EF">
        <w:rPr>
          <w:rFonts w:cs="Arial"/>
          <w:b/>
          <w:bCs/>
          <w:szCs w:val="22"/>
        </w:rPr>
        <w:t xml:space="preserve">olume </w:t>
      </w:r>
    </w:p>
    <w:p w14:paraId="0592B9C7" w14:textId="07F60249" w:rsidR="00284EC5" w:rsidRPr="00C805EF" w:rsidRDefault="00C93109" w:rsidP="0046016B">
      <w:pPr>
        <w:spacing w:line="276" w:lineRule="auto"/>
        <w:jc w:val="both"/>
        <w:rPr>
          <w:sz w:val="22"/>
          <w:szCs w:val="22"/>
          <w:lang w:eastAsia="en-GB"/>
        </w:rPr>
      </w:pPr>
      <w:r w:rsidRPr="00C805EF">
        <w:rPr>
          <w:sz w:val="22"/>
          <w:szCs w:val="22"/>
          <w:lang w:eastAsia="en-GB"/>
        </w:rPr>
        <w:t xml:space="preserve">The </w:t>
      </w:r>
      <w:r w:rsidR="007669B3" w:rsidRPr="00C805EF">
        <w:rPr>
          <w:sz w:val="22"/>
          <w:szCs w:val="22"/>
          <w:lang w:eastAsia="en-GB"/>
        </w:rPr>
        <w:t xml:space="preserve">Council </w:t>
      </w:r>
      <w:r w:rsidRPr="00C805EF">
        <w:rPr>
          <w:sz w:val="22"/>
          <w:szCs w:val="22"/>
          <w:lang w:eastAsia="en-GB"/>
        </w:rPr>
        <w:t xml:space="preserve">is not setting a minimum or maximum number of </w:t>
      </w:r>
      <w:r w:rsidR="00284EC5" w:rsidRPr="00C805EF">
        <w:rPr>
          <w:sz w:val="22"/>
          <w:szCs w:val="22"/>
          <w:lang w:eastAsia="en-GB"/>
        </w:rPr>
        <w:t>consultations, fittings</w:t>
      </w:r>
      <w:r w:rsidR="0092071A" w:rsidRPr="00C805EF">
        <w:rPr>
          <w:sz w:val="22"/>
          <w:szCs w:val="22"/>
          <w:lang w:eastAsia="en-GB"/>
        </w:rPr>
        <w:t xml:space="preserve">, or </w:t>
      </w:r>
      <w:r w:rsidR="00284EC5" w:rsidRPr="00C805EF">
        <w:rPr>
          <w:sz w:val="22"/>
          <w:szCs w:val="22"/>
          <w:lang w:eastAsia="en-GB"/>
        </w:rPr>
        <w:t>removals</w:t>
      </w:r>
      <w:r w:rsidRPr="00C805EF">
        <w:rPr>
          <w:sz w:val="22"/>
          <w:szCs w:val="22"/>
          <w:lang w:eastAsia="en-GB"/>
        </w:rPr>
        <w:t xml:space="preserve">.  However, the </w:t>
      </w:r>
      <w:r w:rsidR="00284EC5" w:rsidRPr="00C805EF">
        <w:rPr>
          <w:sz w:val="22"/>
          <w:szCs w:val="22"/>
          <w:lang w:eastAsia="en-GB"/>
        </w:rPr>
        <w:t xml:space="preserve">Council </w:t>
      </w:r>
      <w:r w:rsidRPr="00C805EF">
        <w:rPr>
          <w:sz w:val="22"/>
          <w:szCs w:val="22"/>
          <w:lang w:eastAsia="en-GB"/>
        </w:rPr>
        <w:t xml:space="preserve">reserves the right to limit or </w:t>
      </w:r>
      <w:r w:rsidR="0092071A" w:rsidRPr="00C805EF">
        <w:rPr>
          <w:sz w:val="22"/>
          <w:szCs w:val="22"/>
          <w:lang w:eastAsia="en-GB"/>
        </w:rPr>
        <w:t xml:space="preserve">temporarily </w:t>
      </w:r>
      <w:r w:rsidRPr="00C805EF">
        <w:rPr>
          <w:sz w:val="22"/>
          <w:szCs w:val="22"/>
          <w:lang w:eastAsia="en-GB"/>
        </w:rPr>
        <w:t xml:space="preserve">suspend the service </w:t>
      </w:r>
      <w:r w:rsidR="0092071A" w:rsidRPr="00C805EF">
        <w:rPr>
          <w:sz w:val="22"/>
          <w:szCs w:val="22"/>
          <w:lang w:eastAsia="en-GB"/>
        </w:rPr>
        <w:t>if</w:t>
      </w:r>
      <w:r w:rsidRPr="00C805EF">
        <w:rPr>
          <w:sz w:val="22"/>
          <w:szCs w:val="22"/>
          <w:lang w:eastAsia="en-GB"/>
        </w:rPr>
        <w:t xml:space="preserve"> demand for provision exceeds</w:t>
      </w:r>
      <w:r w:rsidR="0092071A" w:rsidRPr="00C805EF">
        <w:rPr>
          <w:sz w:val="22"/>
          <w:szCs w:val="22"/>
          <w:lang w:eastAsia="en-GB"/>
        </w:rPr>
        <w:t>,</w:t>
      </w:r>
      <w:r w:rsidRPr="00C805EF">
        <w:rPr>
          <w:sz w:val="22"/>
          <w:szCs w:val="22"/>
          <w:lang w:eastAsia="en-GB"/>
        </w:rPr>
        <w:t xml:space="preserve"> or is expected to exceed</w:t>
      </w:r>
      <w:r w:rsidR="0092071A" w:rsidRPr="00C805EF">
        <w:rPr>
          <w:sz w:val="22"/>
          <w:szCs w:val="22"/>
          <w:lang w:eastAsia="en-GB"/>
        </w:rPr>
        <w:t>,</w:t>
      </w:r>
      <w:r w:rsidRPr="00C805EF">
        <w:rPr>
          <w:sz w:val="22"/>
          <w:szCs w:val="22"/>
          <w:lang w:eastAsia="en-GB"/>
        </w:rPr>
        <w:t xml:space="preserve"> the available budget. </w:t>
      </w:r>
    </w:p>
    <w:p w14:paraId="03AFC2E8" w14:textId="77777777" w:rsidR="00284EC5" w:rsidRPr="00C805EF" w:rsidRDefault="00284EC5" w:rsidP="0046016B">
      <w:pPr>
        <w:spacing w:line="276" w:lineRule="auto"/>
        <w:jc w:val="both"/>
        <w:rPr>
          <w:sz w:val="22"/>
          <w:szCs w:val="22"/>
          <w:lang w:eastAsia="en-GB"/>
        </w:rPr>
      </w:pPr>
    </w:p>
    <w:p w14:paraId="39185049" w14:textId="03C2595B" w:rsidR="0092071A" w:rsidRPr="00C805EF" w:rsidRDefault="00C93109" w:rsidP="0092071A">
      <w:pPr>
        <w:spacing w:line="276" w:lineRule="auto"/>
        <w:jc w:val="both"/>
        <w:rPr>
          <w:sz w:val="22"/>
          <w:szCs w:val="22"/>
          <w:lang w:eastAsia="en-GB"/>
        </w:rPr>
      </w:pPr>
      <w:r w:rsidRPr="00C805EF">
        <w:rPr>
          <w:sz w:val="22"/>
          <w:szCs w:val="22"/>
          <w:lang w:eastAsia="en-GB"/>
        </w:rPr>
        <w:t xml:space="preserve">The </w:t>
      </w:r>
      <w:r w:rsidR="00284EC5" w:rsidRPr="00C805EF">
        <w:rPr>
          <w:sz w:val="22"/>
          <w:szCs w:val="22"/>
          <w:lang w:eastAsia="en-GB"/>
        </w:rPr>
        <w:t xml:space="preserve">Council </w:t>
      </w:r>
      <w:r w:rsidR="0092071A" w:rsidRPr="00C805EF">
        <w:rPr>
          <w:sz w:val="22"/>
          <w:szCs w:val="22"/>
          <w:lang w:eastAsia="en-GB"/>
        </w:rPr>
        <w:t xml:space="preserve">will </w:t>
      </w:r>
      <w:r w:rsidRPr="00C805EF">
        <w:rPr>
          <w:sz w:val="22"/>
          <w:szCs w:val="22"/>
          <w:lang w:eastAsia="en-GB"/>
        </w:rPr>
        <w:t>give the Provider at least three months’ notice should a suspension or limit need to be implemented.</w:t>
      </w:r>
      <w:r w:rsidR="0092071A" w:rsidRPr="004F6F51">
        <w:rPr>
          <w:sz w:val="22"/>
          <w:szCs w:val="22"/>
        </w:rPr>
        <w:t xml:space="preserve"> </w:t>
      </w:r>
    </w:p>
    <w:p w14:paraId="22FD667D" w14:textId="455D37A3" w:rsidR="00826EA6" w:rsidRPr="00C805EF" w:rsidRDefault="00826EA6" w:rsidP="0046016B">
      <w:pPr>
        <w:spacing w:line="276" w:lineRule="auto"/>
        <w:jc w:val="both"/>
        <w:rPr>
          <w:sz w:val="22"/>
          <w:szCs w:val="22"/>
          <w:lang w:eastAsia="en-GB"/>
        </w:rPr>
      </w:pPr>
    </w:p>
    <w:p w14:paraId="44290197" w14:textId="52BF7C84" w:rsidR="00BE18F2" w:rsidRPr="004F6F51" w:rsidRDefault="0011433F" w:rsidP="00942CC4">
      <w:pPr>
        <w:pStyle w:val="Heading2"/>
        <w:rPr>
          <w:sz w:val="22"/>
          <w:szCs w:val="22"/>
        </w:rPr>
      </w:pPr>
      <w:bookmarkStart w:id="16" w:name="_Toc190354374"/>
      <w:r w:rsidRPr="004F6F51">
        <w:rPr>
          <w:sz w:val="22"/>
          <w:szCs w:val="22"/>
        </w:rPr>
        <w:t>9</w:t>
      </w:r>
      <w:r w:rsidR="00AA2D84" w:rsidRPr="004F6F51">
        <w:rPr>
          <w:sz w:val="22"/>
          <w:szCs w:val="22"/>
        </w:rPr>
        <w:t xml:space="preserve">. </w:t>
      </w:r>
      <w:r w:rsidR="00BE18F2" w:rsidRPr="004F6F51">
        <w:rPr>
          <w:sz w:val="22"/>
          <w:szCs w:val="22"/>
        </w:rPr>
        <w:t>Services Fee &amp; Invoicing Arrangements</w:t>
      </w:r>
      <w:bookmarkEnd w:id="16"/>
    </w:p>
    <w:p w14:paraId="1DBD806F" w14:textId="77777777" w:rsidR="00BE18F2" w:rsidRPr="004F6F51" w:rsidRDefault="00BE18F2" w:rsidP="008A0729">
      <w:pPr>
        <w:rPr>
          <w:sz w:val="22"/>
          <w:szCs w:val="22"/>
        </w:rPr>
      </w:pPr>
    </w:p>
    <w:p w14:paraId="62A89368" w14:textId="77777777" w:rsidR="0091448B" w:rsidRDefault="00BE18F2" w:rsidP="00BE18F2">
      <w:pPr>
        <w:rPr>
          <w:sz w:val="22"/>
          <w:szCs w:val="22"/>
        </w:rPr>
      </w:pPr>
      <w:r w:rsidRPr="00C805EF">
        <w:rPr>
          <w:sz w:val="22"/>
          <w:szCs w:val="22"/>
        </w:rPr>
        <w:t>The provider will receive the following level of payments:</w:t>
      </w:r>
    </w:p>
    <w:p w14:paraId="6BE452A4" w14:textId="77777777" w:rsidR="0091448B" w:rsidRDefault="0091448B" w:rsidP="00BE18F2">
      <w:pPr>
        <w:rPr>
          <w:sz w:val="22"/>
          <w:szCs w:val="22"/>
        </w:rPr>
      </w:pPr>
    </w:p>
    <w:p w14:paraId="73536147" w14:textId="307B0FB0" w:rsidR="00826EA6" w:rsidRPr="00DD2CDB" w:rsidRDefault="00DD2CDB" w:rsidP="00BE18F2">
      <w:pPr>
        <w:rPr>
          <w:sz w:val="22"/>
          <w:szCs w:val="22"/>
        </w:rPr>
      </w:pPr>
      <w:r w:rsidRPr="00DD2CDB">
        <w:rPr>
          <w:sz w:val="22"/>
          <w:szCs w:val="22"/>
        </w:rPr>
        <w:t xml:space="preserve">Please note that these tariffs are for </w:t>
      </w:r>
      <w:r w:rsidR="003A0172">
        <w:rPr>
          <w:sz w:val="22"/>
          <w:szCs w:val="22"/>
        </w:rPr>
        <w:t xml:space="preserve">the financial year </w:t>
      </w:r>
      <w:r w:rsidRPr="00DD2CDB">
        <w:rPr>
          <w:sz w:val="22"/>
          <w:szCs w:val="22"/>
        </w:rPr>
        <w:t>2024-25 period and are subject to continual review.</w:t>
      </w:r>
    </w:p>
    <w:p w14:paraId="2614AAF1" w14:textId="77777777" w:rsidR="00DD2CDB" w:rsidRPr="00C805EF" w:rsidRDefault="00DD2CDB" w:rsidP="00BE18F2">
      <w:pPr>
        <w:rPr>
          <w:sz w:val="22"/>
          <w:szCs w:val="22"/>
        </w:rPr>
      </w:pPr>
    </w:p>
    <w:tbl>
      <w:tblPr>
        <w:tblStyle w:val="TableGrid"/>
        <w:tblW w:w="0" w:type="auto"/>
        <w:tblLook w:val="04A0" w:firstRow="1" w:lastRow="0" w:firstColumn="1" w:lastColumn="0" w:noHBand="0" w:noVBand="1"/>
      </w:tblPr>
      <w:tblGrid>
        <w:gridCol w:w="4530"/>
        <w:gridCol w:w="4530"/>
      </w:tblGrid>
      <w:tr w:rsidR="00826EA6" w:rsidRPr="00C805EF" w14:paraId="02960B0A" w14:textId="77777777" w:rsidTr="00826EA6">
        <w:tc>
          <w:tcPr>
            <w:tcW w:w="4530" w:type="dxa"/>
          </w:tcPr>
          <w:p w14:paraId="12173124" w14:textId="0D82468B" w:rsidR="00826EA6" w:rsidRPr="00C805EF" w:rsidRDefault="00826EA6" w:rsidP="00BE18F2">
            <w:pPr>
              <w:rPr>
                <w:sz w:val="22"/>
                <w:szCs w:val="22"/>
              </w:rPr>
            </w:pPr>
            <w:r w:rsidRPr="00C805EF">
              <w:rPr>
                <w:color w:val="000000"/>
                <w:sz w:val="22"/>
                <w:szCs w:val="22"/>
              </w:rPr>
              <w:t>Implant insertion fee per patient</w:t>
            </w:r>
          </w:p>
        </w:tc>
        <w:tc>
          <w:tcPr>
            <w:tcW w:w="4530" w:type="dxa"/>
          </w:tcPr>
          <w:p w14:paraId="1EC4E51B" w14:textId="24423C82" w:rsidR="00826EA6" w:rsidRPr="00C805EF" w:rsidRDefault="00826EA6" w:rsidP="00BE18F2">
            <w:pPr>
              <w:rPr>
                <w:sz w:val="22"/>
                <w:szCs w:val="22"/>
              </w:rPr>
            </w:pPr>
            <w:r w:rsidRPr="00C805EF">
              <w:rPr>
                <w:color w:val="000000"/>
                <w:sz w:val="22"/>
                <w:szCs w:val="22"/>
              </w:rPr>
              <w:t>£50.00</w:t>
            </w:r>
          </w:p>
        </w:tc>
      </w:tr>
      <w:tr w:rsidR="00826EA6" w:rsidRPr="00C805EF" w14:paraId="186AE46B" w14:textId="77777777" w:rsidTr="00826EA6">
        <w:tc>
          <w:tcPr>
            <w:tcW w:w="4530" w:type="dxa"/>
          </w:tcPr>
          <w:p w14:paraId="51322405" w14:textId="6F3143A4" w:rsidR="00826EA6" w:rsidRPr="00C805EF" w:rsidRDefault="00826EA6" w:rsidP="00BE18F2">
            <w:pPr>
              <w:rPr>
                <w:sz w:val="22"/>
                <w:szCs w:val="22"/>
              </w:rPr>
            </w:pPr>
            <w:r w:rsidRPr="00C805EF">
              <w:rPr>
                <w:color w:val="000000"/>
                <w:sz w:val="22"/>
                <w:szCs w:val="22"/>
              </w:rPr>
              <w:t>Implant removal fee per patient</w:t>
            </w:r>
          </w:p>
        </w:tc>
        <w:tc>
          <w:tcPr>
            <w:tcW w:w="4530" w:type="dxa"/>
          </w:tcPr>
          <w:p w14:paraId="0B9CC62A" w14:textId="03C3EFF9" w:rsidR="00826EA6" w:rsidRPr="00C805EF" w:rsidRDefault="00826EA6" w:rsidP="00BE18F2">
            <w:pPr>
              <w:rPr>
                <w:sz w:val="22"/>
                <w:szCs w:val="22"/>
              </w:rPr>
            </w:pPr>
            <w:r w:rsidRPr="00C805EF">
              <w:rPr>
                <w:color w:val="000000"/>
                <w:sz w:val="22"/>
                <w:szCs w:val="22"/>
              </w:rPr>
              <w:t>£50.00</w:t>
            </w:r>
          </w:p>
        </w:tc>
      </w:tr>
      <w:tr w:rsidR="00826EA6" w:rsidRPr="00C805EF" w14:paraId="5A13F4C4" w14:textId="77777777" w:rsidTr="00826EA6">
        <w:tc>
          <w:tcPr>
            <w:tcW w:w="4530" w:type="dxa"/>
          </w:tcPr>
          <w:p w14:paraId="57C9A853" w14:textId="4A70A092" w:rsidR="00826EA6" w:rsidRPr="00C805EF" w:rsidRDefault="00826EA6" w:rsidP="00BE18F2">
            <w:pPr>
              <w:rPr>
                <w:sz w:val="22"/>
                <w:szCs w:val="22"/>
              </w:rPr>
            </w:pPr>
            <w:r w:rsidRPr="00C805EF">
              <w:rPr>
                <w:color w:val="000000"/>
                <w:sz w:val="22"/>
                <w:szCs w:val="22"/>
              </w:rPr>
              <w:t>IUD/IUS insertion fee to include monitoring and checking as appropriate per patient</w:t>
            </w:r>
          </w:p>
        </w:tc>
        <w:tc>
          <w:tcPr>
            <w:tcW w:w="4530" w:type="dxa"/>
          </w:tcPr>
          <w:p w14:paraId="6E4B4E9E" w14:textId="5E040A88" w:rsidR="00826EA6" w:rsidRPr="00C805EF" w:rsidRDefault="00826EA6" w:rsidP="00BE18F2">
            <w:pPr>
              <w:rPr>
                <w:sz w:val="22"/>
                <w:szCs w:val="22"/>
              </w:rPr>
            </w:pPr>
            <w:r w:rsidRPr="00C805EF">
              <w:rPr>
                <w:color w:val="000000"/>
                <w:sz w:val="22"/>
                <w:szCs w:val="22"/>
              </w:rPr>
              <w:t>£81.00</w:t>
            </w:r>
          </w:p>
        </w:tc>
      </w:tr>
      <w:tr w:rsidR="00826EA6" w:rsidRPr="00C805EF" w14:paraId="4C8FFF5A" w14:textId="77777777" w:rsidTr="00826EA6">
        <w:tc>
          <w:tcPr>
            <w:tcW w:w="4530" w:type="dxa"/>
          </w:tcPr>
          <w:p w14:paraId="4AA1D64C" w14:textId="48AC3B2E" w:rsidR="00826EA6" w:rsidRPr="00C805EF" w:rsidRDefault="00826EA6" w:rsidP="00BE18F2">
            <w:pPr>
              <w:rPr>
                <w:sz w:val="22"/>
                <w:szCs w:val="22"/>
              </w:rPr>
            </w:pPr>
            <w:r w:rsidRPr="00C805EF">
              <w:rPr>
                <w:color w:val="000000"/>
                <w:sz w:val="22"/>
                <w:szCs w:val="22"/>
              </w:rPr>
              <w:t>IUD/IUS removal fee to include monitoring and checking as appropriate per patient</w:t>
            </w:r>
          </w:p>
        </w:tc>
        <w:tc>
          <w:tcPr>
            <w:tcW w:w="4530" w:type="dxa"/>
          </w:tcPr>
          <w:p w14:paraId="3DA70C4F" w14:textId="672CCEA2" w:rsidR="00826EA6" w:rsidRPr="00C805EF" w:rsidRDefault="00826EA6" w:rsidP="00BE18F2">
            <w:pPr>
              <w:rPr>
                <w:sz w:val="22"/>
                <w:szCs w:val="22"/>
              </w:rPr>
            </w:pPr>
            <w:r w:rsidRPr="00C805EF">
              <w:rPr>
                <w:color w:val="000000"/>
                <w:sz w:val="22"/>
                <w:szCs w:val="22"/>
              </w:rPr>
              <w:t>£21.00</w:t>
            </w:r>
          </w:p>
        </w:tc>
      </w:tr>
    </w:tbl>
    <w:p w14:paraId="45FD6F90" w14:textId="77777777" w:rsidR="00826EA6" w:rsidRPr="007B1368" w:rsidRDefault="00826EA6" w:rsidP="006C7C6B">
      <w:pPr>
        <w:pStyle w:val="Default"/>
        <w:rPr>
          <w:sz w:val="22"/>
          <w:szCs w:val="22"/>
        </w:rPr>
      </w:pPr>
    </w:p>
    <w:p w14:paraId="03EB3D36" w14:textId="77777777" w:rsidR="00B00282" w:rsidRPr="007B1368" w:rsidRDefault="006C7C6B" w:rsidP="00B00282">
      <w:pPr>
        <w:pStyle w:val="Default"/>
        <w:numPr>
          <w:ilvl w:val="0"/>
          <w:numId w:val="50"/>
        </w:numPr>
        <w:rPr>
          <w:sz w:val="22"/>
          <w:szCs w:val="22"/>
        </w:rPr>
      </w:pPr>
      <w:r w:rsidRPr="007B1368">
        <w:rPr>
          <w:sz w:val="22"/>
          <w:szCs w:val="22"/>
        </w:rPr>
        <w:t>Payment is dependent on the quarterly activity data submitted to the Council</w:t>
      </w:r>
      <w:r w:rsidR="00B00282" w:rsidRPr="007B1368">
        <w:rPr>
          <w:sz w:val="22"/>
          <w:szCs w:val="22"/>
        </w:rPr>
        <w:t>.</w:t>
      </w:r>
      <w:r w:rsidR="00B00282" w:rsidRPr="004F6F51">
        <w:rPr>
          <w:sz w:val="22"/>
          <w:szCs w:val="22"/>
        </w:rPr>
        <w:t xml:space="preserve"> </w:t>
      </w:r>
    </w:p>
    <w:p w14:paraId="2B14451D" w14:textId="3D33B673" w:rsidR="00B00282" w:rsidRPr="007B1368" w:rsidRDefault="00B00282" w:rsidP="00B00282">
      <w:pPr>
        <w:pStyle w:val="Default"/>
        <w:numPr>
          <w:ilvl w:val="0"/>
          <w:numId w:val="50"/>
        </w:numPr>
        <w:rPr>
          <w:sz w:val="22"/>
          <w:szCs w:val="22"/>
        </w:rPr>
      </w:pPr>
      <w:r w:rsidRPr="007B1368">
        <w:rPr>
          <w:sz w:val="22"/>
          <w:szCs w:val="22"/>
        </w:rPr>
        <w:t>Payments will not be processed unless the Provider has submitted an up-to-date copy of their Letter of Competence (LoC) from the Faculty of Sexual and Reproductive Health Care (FSRH).</w:t>
      </w:r>
    </w:p>
    <w:p w14:paraId="37D66C3C" w14:textId="392EE92C" w:rsidR="006C7C6B" w:rsidRPr="007B1368" w:rsidRDefault="00B00282" w:rsidP="00B00282">
      <w:pPr>
        <w:pStyle w:val="Default"/>
        <w:numPr>
          <w:ilvl w:val="0"/>
          <w:numId w:val="50"/>
        </w:numPr>
        <w:rPr>
          <w:sz w:val="22"/>
          <w:szCs w:val="22"/>
        </w:rPr>
      </w:pPr>
      <w:r w:rsidRPr="007B1368">
        <w:rPr>
          <w:sz w:val="22"/>
          <w:szCs w:val="22"/>
        </w:rPr>
        <w:t xml:space="preserve">Evidence that all listed eligibility criteria have been met must also accompany the </w:t>
      </w:r>
      <w:proofErr w:type="spellStart"/>
      <w:r w:rsidRPr="007B1368">
        <w:rPr>
          <w:sz w:val="22"/>
          <w:szCs w:val="22"/>
        </w:rPr>
        <w:t>LoC.</w:t>
      </w:r>
      <w:proofErr w:type="spellEnd"/>
    </w:p>
    <w:p w14:paraId="2493EC66" w14:textId="77777777" w:rsidR="00B00282" w:rsidRPr="007B1368" w:rsidRDefault="00B00282" w:rsidP="00B00282">
      <w:pPr>
        <w:pStyle w:val="ListParagraph"/>
        <w:numPr>
          <w:ilvl w:val="0"/>
          <w:numId w:val="50"/>
        </w:numPr>
        <w:rPr>
          <w:color w:val="000000"/>
          <w:sz w:val="22"/>
          <w:szCs w:val="22"/>
        </w:rPr>
      </w:pPr>
      <w:r w:rsidRPr="007B1368">
        <w:rPr>
          <w:color w:val="000000"/>
          <w:sz w:val="22"/>
          <w:szCs w:val="22"/>
        </w:rPr>
        <w:t xml:space="preserve">The Provider must enclose a copy of their LoC and evidence of eligibility when returning the signed </w:t>
      </w:r>
      <w:r w:rsidRPr="007B1368">
        <w:rPr>
          <w:sz w:val="22"/>
          <w:szCs w:val="22"/>
        </w:rPr>
        <w:t>contract</w:t>
      </w:r>
      <w:r w:rsidRPr="007B1368">
        <w:rPr>
          <w:color w:val="000000"/>
          <w:sz w:val="22"/>
          <w:szCs w:val="22"/>
        </w:rPr>
        <w:t>.</w:t>
      </w:r>
    </w:p>
    <w:p w14:paraId="3B2923AE" w14:textId="77777777" w:rsidR="00DE54FC" w:rsidRPr="007B1368" w:rsidRDefault="008517AB" w:rsidP="00DE54FC">
      <w:pPr>
        <w:pStyle w:val="ListParagraph"/>
        <w:numPr>
          <w:ilvl w:val="0"/>
          <w:numId w:val="50"/>
        </w:numPr>
        <w:rPr>
          <w:color w:val="000000"/>
          <w:sz w:val="22"/>
          <w:szCs w:val="22"/>
        </w:rPr>
      </w:pPr>
      <w:r w:rsidRPr="007B1368">
        <w:rPr>
          <w:kern w:val="2"/>
          <w:sz w:val="22"/>
          <w:szCs w:val="22"/>
          <w14:ligatures w14:val="standardContextual"/>
        </w:rPr>
        <w:t xml:space="preserve">Payment will be made by the Council quarterly in arrears, based on the recorded activity for that period. </w:t>
      </w:r>
    </w:p>
    <w:p w14:paraId="157BC144" w14:textId="77777777" w:rsidR="008517AB" w:rsidRPr="007B1368" w:rsidRDefault="008517AB" w:rsidP="008517AB">
      <w:pPr>
        <w:spacing w:line="259" w:lineRule="auto"/>
        <w:ind w:left="993"/>
        <w:rPr>
          <w:kern w:val="2"/>
          <w:sz w:val="22"/>
          <w:szCs w:val="22"/>
          <w14:ligatures w14:val="standardContextual"/>
        </w:rPr>
      </w:pPr>
    </w:p>
    <w:p w14:paraId="21D12B10" w14:textId="77CD0AF3" w:rsidR="008517AB" w:rsidRPr="004F6F51" w:rsidRDefault="006C7C6B" w:rsidP="006C7C6B">
      <w:pPr>
        <w:autoSpaceDE w:val="0"/>
        <w:autoSpaceDN w:val="0"/>
        <w:adjustRightInd w:val="0"/>
        <w:rPr>
          <w:color w:val="000000"/>
          <w:sz w:val="22"/>
          <w:szCs w:val="22"/>
        </w:rPr>
      </w:pPr>
      <w:r w:rsidRPr="004F6F51">
        <w:rPr>
          <w:color w:val="000000"/>
          <w:sz w:val="22"/>
          <w:szCs w:val="22"/>
        </w:rPr>
        <w:t xml:space="preserve">Note: The </w:t>
      </w:r>
      <w:r w:rsidR="00DE54FC" w:rsidRPr="004F6F51">
        <w:rPr>
          <w:color w:val="000000"/>
          <w:sz w:val="22"/>
          <w:szCs w:val="22"/>
        </w:rPr>
        <w:t>Council</w:t>
      </w:r>
      <w:r w:rsidRPr="004F6F51">
        <w:rPr>
          <w:color w:val="000000"/>
          <w:sz w:val="22"/>
          <w:szCs w:val="22"/>
        </w:rPr>
        <w:t xml:space="preserve"> reserves the right to limit </w:t>
      </w:r>
      <w:r w:rsidR="00DE54FC" w:rsidRPr="004F6F51">
        <w:rPr>
          <w:color w:val="000000"/>
          <w:sz w:val="22"/>
          <w:szCs w:val="22"/>
        </w:rPr>
        <w:t xml:space="preserve">or suspend the provision of LARC services at any time, based on service needs or budgetary considerations. </w:t>
      </w:r>
    </w:p>
    <w:p w14:paraId="49A24139" w14:textId="77777777" w:rsidR="008517AB" w:rsidRPr="004F6F51" w:rsidRDefault="008517AB" w:rsidP="006C7C6B">
      <w:pPr>
        <w:autoSpaceDE w:val="0"/>
        <w:autoSpaceDN w:val="0"/>
        <w:adjustRightInd w:val="0"/>
        <w:rPr>
          <w:color w:val="000000"/>
          <w:sz w:val="22"/>
          <w:szCs w:val="22"/>
        </w:rPr>
      </w:pPr>
    </w:p>
    <w:p w14:paraId="15A0036F" w14:textId="72CE029F" w:rsidR="005A72A9" w:rsidRPr="004F6F51" w:rsidRDefault="005A72A9" w:rsidP="00942CC4">
      <w:pPr>
        <w:pStyle w:val="Heading2"/>
        <w:rPr>
          <w:sz w:val="22"/>
          <w:szCs w:val="22"/>
        </w:rPr>
      </w:pPr>
    </w:p>
    <w:p w14:paraId="48E7C2FE" w14:textId="28A1E3C0" w:rsidR="002C7F4E" w:rsidRPr="004F6F51" w:rsidRDefault="002C7F4E" w:rsidP="0046016B">
      <w:pPr>
        <w:tabs>
          <w:tab w:val="left" w:pos="383"/>
        </w:tabs>
        <w:spacing w:before="46" w:line="276" w:lineRule="auto"/>
        <w:rPr>
          <w:b/>
          <w:sz w:val="22"/>
          <w:szCs w:val="22"/>
        </w:rPr>
      </w:pPr>
    </w:p>
    <w:p w14:paraId="65AB16D0" w14:textId="71C0EA19" w:rsidR="002C7F4E" w:rsidRDefault="002C7F4E" w:rsidP="0046016B">
      <w:pPr>
        <w:tabs>
          <w:tab w:val="left" w:pos="383"/>
        </w:tabs>
        <w:spacing w:before="46" w:line="276" w:lineRule="auto"/>
        <w:rPr>
          <w:b/>
          <w:sz w:val="22"/>
          <w:szCs w:val="22"/>
        </w:rPr>
      </w:pPr>
    </w:p>
    <w:p w14:paraId="10E1A736" w14:textId="77777777" w:rsidR="00962644" w:rsidRPr="004F6F51" w:rsidRDefault="00962644" w:rsidP="0046016B">
      <w:pPr>
        <w:tabs>
          <w:tab w:val="left" w:pos="383"/>
        </w:tabs>
        <w:spacing w:before="46" w:line="276" w:lineRule="auto"/>
        <w:rPr>
          <w:b/>
          <w:sz w:val="22"/>
          <w:szCs w:val="22"/>
        </w:rPr>
      </w:pPr>
    </w:p>
    <w:p w14:paraId="76EAADF7" w14:textId="77777777" w:rsidR="00826EA6" w:rsidRPr="004F6F51" w:rsidRDefault="00826EA6" w:rsidP="0046016B">
      <w:pPr>
        <w:tabs>
          <w:tab w:val="left" w:pos="383"/>
        </w:tabs>
        <w:spacing w:before="46" w:line="276" w:lineRule="auto"/>
        <w:rPr>
          <w:b/>
          <w:sz w:val="22"/>
          <w:szCs w:val="22"/>
        </w:rPr>
      </w:pPr>
    </w:p>
    <w:p w14:paraId="0902B669" w14:textId="371EE55E" w:rsidR="008E5F06" w:rsidRPr="007B1368" w:rsidRDefault="00C93109" w:rsidP="002B14A5">
      <w:pPr>
        <w:pStyle w:val="Heading2"/>
        <w:rPr>
          <w:b w:val="0"/>
          <w:sz w:val="22"/>
          <w:szCs w:val="22"/>
        </w:rPr>
      </w:pPr>
      <w:bookmarkStart w:id="17" w:name="_Toc190354375"/>
      <w:r w:rsidRPr="007B1368">
        <w:rPr>
          <w:sz w:val="22"/>
          <w:szCs w:val="22"/>
        </w:rPr>
        <w:t xml:space="preserve">Appendix </w:t>
      </w:r>
      <w:r w:rsidR="008E5F06" w:rsidRPr="007B1368">
        <w:rPr>
          <w:sz w:val="22"/>
          <w:szCs w:val="22"/>
        </w:rPr>
        <w:t>1</w:t>
      </w:r>
      <w:r w:rsidR="002B14A5" w:rsidRPr="007B1368">
        <w:rPr>
          <w:sz w:val="22"/>
          <w:szCs w:val="22"/>
        </w:rPr>
        <w:t xml:space="preserve"> - </w:t>
      </w:r>
      <w:r w:rsidR="008E5F06" w:rsidRPr="007B1368">
        <w:rPr>
          <w:sz w:val="22"/>
          <w:szCs w:val="22"/>
        </w:rPr>
        <w:t>Performance and Quality Indicators</w:t>
      </w:r>
      <w:bookmarkEnd w:id="17"/>
      <w:r w:rsidR="008E5F06" w:rsidRPr="007B1368">
        <w:rPr>
          <w:sz w:val="22"/>
          <w:szCs w:val="22"/>
        </w:rPr>
        <w:t xml:space="preserve"> </w:t>
      </w:r>
    </w:p>
    <w:tbl>
      <w:tblPr>
        <w:tblStyle w:val="TableGrid"/>
        <w:tblpPr w:leftFromText="180" w:rightFromText="180" w:vertAnchor="text" w:horzAnchor="margin" w:tblpY="235"/>
        <w:tblOverlap w:val="never"/>
        <w:tblW w:w="0" w:type="auto"/>
        <w:tblLayout w:type="fixed"/>
        <w:tblLook w:val="04A0" w:firstRow="1" w:lastRow="0" w:firstColumn="1" w:lastColumn="0" w:noHBand="0" w:noVBand="1"/>
      </w:tblPr>
      <w:tblGrid>
        <w:gridCol w:w="2294"/>
        <w:gridCol w:w="2294"/>
      </w:tblGrid>
      <w:tr w:rsidR="00826EA6" w:rsidRPr="007B1368" w14:paraId="5104C723" w14:textId="77777777" w:rsidTr="00826EA6">
        <w:trPr>
          <w:trHeight w:val="416"/>
        </w:trPr>
        <w:tc>
          <w:tcPr>
            <w:tcW w:w="2294" w:type="dxa"/>
          </w:tcPr>
          <w:p w14:paraId="04C10A23" w14:textId="77777777" w:rsidR="00826EA6" w:rsidRPr="007B1368" w:rsidRDefault="00826EA6" w:rsidP="00826EA6">
            <w:pPr>
              <w:autoSpaceDE w:val="0"/>
              <w:autoSpaceDN w:val="0"/>
              <w:adjustRightInd w:val="0"/>
              <w:rPr>
                <w:color w:val="000000"/>
                <w:sz w:val="22"/>
                <w:szCs w:val="22"/>
              </w:rPr>
            </w:pPr>
            <w:r w:rsidRPr="007B1368">
              <w:rPr>
                <w:b/>
                <w:bCs/>
                <w:color w:val="000000"/>
                <w:sz w:val="22"/>
                <w:szCs w:val="22"/>
              </w:rPr>
              <w:t>INDICATOR</w:t>
            </w:r>
          </w:p>
        </w:tc>
        <w:tc>
          <w:tcPr>
            <w:tcW w:w="2294" w:type="dxa"/>
          </w:tcPr>
          <w:p w14:paraId="7CAE97DC" w14:textId="77777777" w:rsidR="00826EA6" w:rsidRPr="007B1368" w:rsidRDefault="00826EA6" w:rsidP="00826EA6">
            <w:pPr>
              <w:autoSpaceDE w:val="0"/>
              <w:autoSpaceDN w:val="0"/>
              <w:adjustRightInd w:val="0"/>
              <w:rPr>
                <w:color w:val="000000"/>
                <w:sz w:val="22"/>
                <w:szCs w:val="22"/>
              </w:rPr>
            </w:pPr>
            <w:r w:rsidRPr="007B1368">
              <w:rPr>
                <w:b/>
                <w:bCs/>
                <w:color w:val="000000"/>
                <w:sz w:val="22"/>
                <w:szCs w:val="22"/>
              </w:rPr>
              <w:t>FREQUENCY</w:t>
            </w:r>
          </w:p>
        </w:tc>
      </w:tr>
      <w:tr w:rsidR="00826EA6" w:rsidRPr="007B1368" w14:paraId="5055EFF8" w14:textId="77777777" w:rsidTr="00826EA6">
        <w:tc>
          <w:tcPr>
            <w:tcW w:w="2294" w:type="dxa"/>
          </w:tcPr>
          <w:p w14:paraId="3F585910"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 xml:space="preserve">Number of devices inserted/removed </w:t>
            </w:r>
          </w:p>
          <w:p w14:paraId="3B5DA25D"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 xml:space="preserve">broken down by patient age, LSOA, ethnicity </w:t>
            </w:r>
          </w:p>
          <w:p w14:paraId="122AA4AD" w14:textId="77777777" w:rsidR="00826EA6" w:rsidRPr="007B1368" w:rsidRDefault="00826EA6" w:rsidP="00826EA6">
            <w:pPr>
              <w:autoSpaceDE w:val="0"/>
              <w:autoSpaceDN w:val="0"/>
              <w:adjustRightInd w:val="0"/>
              <w:rPr>
                <w:color w:val="000000"/>
                <w:sz w:val="22"/>
                <w:szCs w:val="22"/>
              </w:rPr>
            </w:pPr>
          </w:p>
        </w:tc>
        <w:tc>
          <w:tcPr>
            <w:tcW w:w="2294" w:type="dxa"/>
          </w:tcPr>
          <w:p w14:paraId="08FC40FD"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Quarterly</w:t>
            </w:r>
          </w:p>
        </w:tc>
      </w:tr>
      <w:tr w:rsidR="00826EA6" w:rsidRPr="007B1368" w14:paraId="4B5698D2" w14:textId="77777777" w:rsidTr="00826EA6">
        <w:trPr>
          <w:trHeight w:val="465"/>
        </w:trPr>
        <w:tc>
          <w:tcPr>
            <w:tcW w:w="2294" w:type="dxa"/>
          </w:tcPr>
          <w:p w14:paraId="0BE3D091"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Reason for removals</w:t>
            </w:r>
          </w:p>
        </w:tc>
        <w:tc>
          <w:tcPr>
            <w:tcW w:w="2294" w:type="dxa"/>
          </w:tcPr>
          <w:p w14:paraId="3DC50B7D"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Quarterly</w:t>
            </w:r>
          </w:p>
        </w:tc>
      </w:tr>
      <w:tr w:rsidR="00826EA6" w:rsidRPr="007B1368" w14:paraId="6C9F3D37" w14:textId="77777777" w:rsidTr="00826EA6">
        <w:trPr>
          <w:trHeight w:val="699"/>
        </w:trPr>
        <w:tc>
          <w:tcPr>
            <w:tcW w:w="2294" w:type="dxa"/>
          </w:tcPr>
          <w:p w14:paraId="54318508"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At removal, time since inserted</w:t>
            </w:r>
          </w:p>
        </w:tc>
        <w:tc>
          <w:tcPr>
            <w:tcW w:w="2294" w:type="dxa"/>
          </w:tcPr>
          <w:p w14:paraId="0AC96E75"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Quarterly</w:t>
            </w:r>
          </w:p>
        </w:tc>
      </w:tr>
      <w:tr w:rsidR="00826EA6" w:rsidRPr="007B1368" w14:paraId="38ED4BEB" w14:textId="77777777" w:rsidTr="00826EA6">
        <w:trPr>
          <w:trHeight w:val="694"/>
        </w:trPr>
        <w:tc>
          <w:tcPr>
            <w:tcW w:w="2294" w:type="dxa"/>
          </w:tcPr>
          <w:p w14:paraId="33FC6875"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Number of chlamydia screens</w:t>
            </w:r>
          </w:p>
        </w:tc>
        <w:tc>
          <w:tcPr>
            <w:tcW w:w="2294" w:type="dxa"/>
          </w:tcPr>
          <w:p w14:paraId="7540258B"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Quarterly</w:t>
            </w:r>
          </w:p>
        </w:tc>
      </w:tr>
      <w:tr w:rsidR="00826EA6" w:rsidRPr="007B1368" w14:paraId="161744B6" w14:textId="77777777" w:rsidTr="00826EA6">
        <w:trPr>
          <w:trHeight w:val="704"/>
        </w:trPr>
        <w:tc>
          <w:tcPr>
            <w:tcW w:w="2294" w:type="dxa"/>
          </w:tcPr>
          <w:p w14:paraId="02864B1E"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Name of clinician delivering service</w:t>
            </w:r>
          </w:p>
        </w:tc>
        <w:tc>
          <w:tcPr>
            <w:tcW w:w="2294" w:type="dxa"/>
          </w:tcPr>
          <w:p w14:paraId="74FC8215"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Quarterly</w:t>
            </w:r>
          </w:p>
        </w:tc>
      </w:tr>
      <w:tr w:rsidR="00826EA6" w:rsidRPr="007B1368" w14:paraId="149715CC" w14:textId="77777777" w:rsidTr="00826EA6">
        <w:trPr>
          <w:trHeight w:val="984"/>
        </w:trPr>
        <w:tc>
          <w:tcPr>
            <w:tcW w:w="2294" w:type="dxa"/>
          </w:tcPr>
          <w:p w14:paraId="15B3C5DF"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Number of complaints and compliments</w:t>
            </w:r>
          </w:p>
        </w:tc>
        <w:tc>
          <w:tcPr>
            <w:tcW w:w="2294" w:type="dxa"/>
          </w:tcPr>
          <w:p w14:paraId="2CBAC7FE"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Annually</w:t>
            </w:r>
          </w:p>
        </w:tc>
      </w:tr>
      <w:tr w:rsidR="00826EA6" w:rsidRPr="007B1368" w14:paraId="1EEBF86A" w14:textId="77777777" w:rsidTr="00826EA6">
        <w:trPr>
          <w:trHeight w:val="983"/>
        </w:trPr>
        <w:tc>
          <w:tcPr>
            <w:tcW w:w="2294" w:type="dxa"/>
          </w:tcPr>
          <w:p w14:paraId="032BE145"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Number of complications or significant events</w:t>
            </w:r>
          </w:p>
        </w:tc>
        <w:tc>
          <w:tcPr>
            <w:tcW w:w="2294" w:type="dxa"/>
          </w:tcPr>
          <w:p w14:paraId="456DC359"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Annually</w:t>
            </w:r>
          </w:p>
        </w:tc>
      </w:tr>
      <w:tr w:rsidR="00826EA6" w:rsidRPr="007B1368" w14:paraId="045F03F4" w14:textId="77777777" w:rsidTr="00826EA6">
        <w:trPr>
          <w:trHeight w:val="558"/>
        </w:trPr>
        <w:tc>
          <w:tcPr>
            <w:tcW w:w="2294" w:type="dxa"/>
          </w:tcPr>
          <w:p w14:paraId="5DA5C523"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Client feedback</w:t>
            </w:r>
          </w:p>
        </w:tc>
        <w:tc>
          <w:tcPr>
            <w:tcW w:w="2294" w:type="dxa"/>
          </w:tcPr>
          <w:p w14:paraId="3B88A642" w14:textId="77777777" w:rsidR="00826EA6" w:rsidRPr="007B1368" w:rsidRDefault="00826EA6" w:rsidP="00826EA6">
            <w:pPr>
              <w:autoSpaceDE w:val="0"/>
              <w:autoSpaceDN w:val="0"/>
              <w:adjustRightInd w:val="0"/>
              <w:rPr>
                <w:color w:val="000000"/>
                <w:sz w:val="22"/>
                <w:szCs w:val="22"/>
              </w:rPr>
            </w:pPr>
            <w:r w:rsidRPr="007B1368">
              <w:rPr>
                <w:color w:val="000000"/>
                <w:sz w:val="22"/>
                <w:szCs w:val="22"/>
              </w:rPr>
              <w:t>Annually</w:t>
            </w:r>
          </w:p>
        </w:tc>
      </w:tr>
    </w:tbl>
    <w:p w14:paraId="481CA107" w14:textId="7CDD620F" w:rsidR="008E5F06" w:rsidRPr="004F6F51" w:rsidRDefault="008E5F06" w:rsidP="008E5F06">
      <w:pPr>
        <w:spacing w:after="160" w:line="259" w:lineRule="auto"/>
        <w:rPr>
          <w:kern w:val="2"/>
          <w:sz w:val="22"/>
          <w:szCs w:val="22"/>
          <w14:ligatures w14:val="standardContextual"/>
        </w:rPr>
      </w:pPr>
    </w:p>
    <w:tbl>
      <w:tblPr>
        <w:tblW w:w="962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814"/>
        <w:gridCol w:w="4814"/>
      </w:tblGrid>
      <w:tr w:rsidR="008E5F06" w:rsidRPr="007B1368" w14:paraId="314E3A8B" w14:textId="77777777" w:rsidTr="008A0729">
        <w:trPr>
          <w:trHeight w:val="112"/>
        </w:trPr>
        <w:tc>
          <w:tcPr>
            <w:tcW w:w="4814" w:type="dxa"/>
            <w:tcBorders>
              <w:top w:val="none" w:sz="6" w:space="0" w:color="auto"/>
              <w:bottom w:val="none" w:sz="6" w:space="0" w:color="auto"/>
              <w:right w:val="none" w:sz="6" w:space="0" w:color="auto"/>
            </w:tcBorders>
          </w:tcPr>
          <w:p w14:paraId="4E1740E4" w14:textId="1EA7CCE4" w:rsidR="008E5F06" w:rsidRPr="007B1368" w:rsidRDefault="008E5F06" w:rsidP="008E5F06">
            <w:pPr>
              <w:autoSpaceDE w:val="0"/>
              <w:autoSpaceDN w:val="0"/>
              <w:adjustRightInd w:val="0"/>
              <w:rPr>
                <w:color w:val="000000"/>
                <w:sz w:val="22"/>
                <w:szCs w:val="22"/>
              </w:rPr>
            </w:pPr>
          </w:p>
        </w:tc>
        <w:tc>
          <w:tcPr>
            <w:tcW w:w="4814" w:type="dxa"/>
            <w:tcBorders>
              <w:top w:val="none" w:sz="6" w:space="0" w:color="auto"/>
              <w:left w:val="none" w:sz="6" w:space="0" w:color="auto"/>
              <w:bottom w:val="none" w:sz="6" w:space="0" w:color="auto"/>
            </w:tcBorders>
          </w:tcPr>
          <w:p w14:paraId="6D214B2F" w14:textId="26CA02FA" w:rsidR="008E5F06" w:rsidRPr="007B1368" w:rsidRDefault="008E5F06" w:rsidP="008E5F06">
            <w:pPr>
              <w:autoSpaceDE w:val="0"/>
              <w:autoSpaceDN w:val="0"/>
              <w:adjustRightInd w:val="0"/>
              <w:rPr>
                <w:color w:val="000000"/>
                <w:sz w:val="22"/>
                <w:szCs w:val="22"/>
              </w:rPr>
            </w:pPr>
          </w:p>
        </w:tc>
      </w:tr>
      <w:tr w:rsidR="008E5F06" w:rsidRPr="007B1368" w14:paraId="08DD2861" w14:textId="77777777" w:rsidTr="00826EA6">
        <w:trPr>
          <w:trHeight w:val="329"/>
        </w:trPr>
        <w:tc>
          <w:tcPr>
            <w:tcW w:w="4814" w:type="dxa"/>
            <w:tcBorders>
              <w:top w:val="none" w:sz="6" w:space="0" w:color="auto"/>
              <w:bottom w:val="none" w:sz="6" w:space="0" w:color="auto"/>
              <w:right w:val="none" w:sz="6" w:space="0" w:color="auto"/>
            </w:tcBorders>
          </w:tcPr>
          <w:p w14:paraId="5E1A6A12" w14:textId="77777777" w:rsidR="00826EA6" w:rsidRPr="007B1368" w:rsidRDefault="00826EA6" w:rsidP="008E5F06">
            <w:pPr>
              <w:autoSpaceDE w:val="0"/>
              <w:autoSpaceDN w:val="0"/>
              <w:adjustRightInd w:val="0"/>
              <w:rPr>
                <w:color w:val="000000"/>
                <w:sz w:val="22"/>
                <w:szCs w:val="22"/>
              </w:rPr>
            </w:pPr>
          </w:p>
          <w:p w14:paraId="315C4C74" w14:textId="6C38E79D" w:rsidR="00826EA6" w:rsidRPr="007B1368" w:rsidRDefault="00826EA6" w:rsidP="008E5F06">
            <w:pPr>
              <w:autoSpaceDE w:val="0"/>
              <w:autoSpaceDN w:val="0"/>
              <w:adjustRightInd w:val="0"/>
              <w:rPr>
                <w:color w:val="000000"/>
                <w:sz w:val="22"/>
                <w:szCs w:val="22"/>
              </w:rPr>
            </w:pPr>
          </w:p>
        </w:tc>
        <w:tc>
          <w:tcPr>
            <w:tcW w:w="4814" w:type="dxa"/>
            <w:tcBorders>
              <w:top w:val="none" w:sz="6" w:space="0" w:color="auto"/>
              <w:left w:val="none" w:sz="6" w:space="0" w:color="auto"/>
              <w:bottom w:val="none" w:sz="6" w:space="0" w:color="auto"/>
            </w:tcBorders>
          </w:tcPr>
          <w:p w14:paraId="3CEDC64C" w14:textId="6445770C" w:rsidR="008E5F06" w:rsidRPr="007B1368" w:rsidRDefault="008E5F06" w:rsidP="008E5F06">
            <w:pPr>
              <w:autoSpaceDE w:val="0"/>
              <w:autoSpaceDN w:val="0"/>
              <w:adjustRightInd w:val="0"/>
              <w:rPr>
                <w:color w:val="000000"/>
                <w:sz w:val="22"/>
                <w:szCs w:val="22"/>
              </w:rPr>
            </w:pPr>
          </w:p>
        </w:tc>
      </w:tr>
      <w:tr w:rsidR="008E5F06" w:rsidRPr="007B1368" w14:paraId="79011488" w14:textId="77777777" w:rsidTr="008A0729">
        <w:trPr>
          <w:trHeight w:val="112"/>
        </w:trPr>
        <w:tc>
          <w:tcPr>
            <w:tcW w:w="4814" w:type="dxa"/>
            <w:tcBorders>
              <w:top w:val="none" w:sz="6" w:space="0" w:color="auto"/>
              <w:bottom w:val="none" w:sz="6" w:space="0" w:color="auto"/>
              <w:right w:val="none" w:sz="6" w:space="0" w:color="auto"/>
            </w:tcBorders>
          </w:tcPr>
          <w:p w14:paraId="6B6EF214" w14:textId="17223445" w:rsidR="00826EA6" w:rsidRPr="007B1368" w:rsidRDefault="00826EA6" w:rsidP="008E5F06">
            <w:pPr>
              <w:autoSpaceDE w:val="0"/>
              <w:autoSpaceDN w:val="0"/>
              <w:adjustRightInd w:val="0"/>
              <w:rPr>
                <w:color w:val="000000"/>
                <w:sz w:val="22"/>
                <w:szCs w:val="22"/>
              </w:rPr>
            </w:pPr>
          </w:p>
          <w:p w14:paraId="163C065F" w14:textId="17CD330C" w:rsidR="00826EA6" w:rsidRPr="007B1368" w:rsidRDefault="00826EA6" w:rsidP="008E5F06">
            <w:pPr>
              <w:autoSpaceDE w:val="0"/>
              <w:autoSpaceDN w:val="0"/>
              <w:adjustRightInd w:val="0"/>
              <w:rPr>
                <w:color w:val="000000"/>
                <w:sz w:val="22"/>
                <w:szCs w:val="22"/>
              </w:rPr>
            </w:pPr>
          </w:p>
          <w:p w14:paraId="362C003E" w14:textId="51121CCB" w:rsidR="00826EA6" w:rsidRPr="007B1368" w:rsidRDefault="00826EA6" w:rsidP="008E5F06">
            <w:pPr>
              <w:autoSpaceDE w:val="0"/>
              <w:autoSpaceDN w:val="0"/>
              <w:adjustRightInd w:val="0"/>
              <w:rPr>
                <w:color w:val="000000"/>
                <w:sz w:val="22"/>
                <w:szCs w:val="22"/>
              </w:rPr>
            </w:pPr>
          </w:p>
          <w:p w14:paraId="3EE78285" w14:textId="5286FBF0" w:rsidR="00826EA6" w:rsidRPr="007B1368" w:rsidRDefault="00826EA6" w:rsidP="008E5F06">
            <w:pPr>
              <w:autoSpaceDE w:val="0"/>
              <w:autoSpaceDN w:val="0"/>
              <w:adjustRightInd w:val="0"/>
              <w:rPr>
                <w:color w:val="000000"/>
                <w:sz w:val="22"/>
                <w:szCs w:val="22"/>
              </w:rPr>
            </w:pPr>
          </w:p>
          <w:p w14:paraId="1F7BF4F0" w14:textId="77777777" w:rsidR="00826EA6" w:rsidRPr="007B1368" w:rsidRDefault="00826EA6" w:rsidP="008E5F06">
            <w:pPr>
              <w:autoSpaceDE w:val="0"/>
              <w:autoSpaceDN w:val="0"/>
              <w:adjustRightInd w:val="0"/>
              <w:rPr>
                <w:color w:val="000000"/>
                <w:sz w:val="22"/>
                <w:szCs w:val="22"/>
              </w:rPr>
            </w:pPr>
          </w:p>
          <w:p w14:paraId="1EBFA73D" w14:textId="77777777" w:rsidR="00826EA6" w:rsidRPr="007B1368" w:rsidRDefault="00826EA6" w:rsidP="008E5F06">
            <w:pPr>
              <w:autoSpaceDE w:val="0"/>
              <w:autoSpaceDN w:val="0"/>
              <w:adjustRightInd w:val="0"/>
              <w:rPr>
                <w:color w:val="000000"/>
                <w:sz w:val="22"/>
                <w:szCs w:val="22"/>
              </w:rPr>
            </w:pPr>
          </w:p>
          <w:p w14:paraId="6F7AEE14" w14:textId="77777777" w:rsidR="00826EA6" w:rsidRPr="007B1368" w:rsidRDefault="00826EA6" w:rsidP="008E5F06">
            <w:pPr>
              <w:autoSpaceDE w:val="0"/>
              <w:autoSpaceDN w:val="0"/>
              <w:adjustRightInd w:val="0"/>
              <w:rPr>
                <w:color w:val="000000"/>
                <w:sz w:val="22"/>
                <w:szCs w:val="22"/>
              </w:rPr>
            </w:pPr>
          </w:p>
          <w:p w14:paraId="27BED3E7" w14:textId="77777777" w:rsidR="00826EA6" w:rsidRPr="007B1368" w:rsidRDefault="00826EA6" w:rsidP="008E5F06">
            <w:pPr>
              <w:autoSpaceDE w:val="0"/>
              <w:autoSpaceDN w:val="0"/>
              <w:adjustRightInd w:val="0"/>
              <w:rPr>
                <w:color w:val="000000"/>
                <w:sz w:val="22"/>
                <w:szCs w:val="22"/>
              </w:rPr>
            </w:pPr>
          </w:p>
          <w:p w14:paraId="2762D1C1" w14:textId="731B7139" w:rsidR="008E5F06" w:rsidRPr="007B1368" w:rsidRDefault="008E5F06" w:rsidP="008E5F06">
            <w:pPr>
              <w:autoSpaceDE w:val="0"/>
              <w:autoSpaceDN w:val="0"/>
              <w:adjustRightInd w:val="0"/>
              <w:rPr>
                <w:color w:val="000000"/>
                <w:sz w:val="22"/>
                <w:szCs w:val="22"/>
              </w:rPr>
            </w:pPr>
          </w:p>
        </w:tc>
        <w:tc>
          <w:tcPr>
            <w:tcW w:w="4814" w:type="dxa"/>
            <w:tcBorders>
              <w:top w:val="none" w:sz="6" w:space="0" w:color="auto"/>
              <w:left w:val="none" w:sz="6" w:space="0" w:color="auto"/>
              <w:bottom w:val="none" w:sz="6" w:space="0" w:color="auto"/>
            </w:tcBorders>
          </w:tcPr>
          <w:p w14:paraId="065A1BF1" w14:textId="77777777" w:rsidR="00826EA6" w:rsidRPr="007B1368" w:rsidRDefault="00826EA6" w:rsidP="008E5F06">
            <w:pPr>
              <w:autoSpaceDE w:val="0"/>
              <w:autoSpaceDN w:val="0"/>
              <w:adjustRightInd w:val="0"/>
              <w:rPr>
                <w:color w:val="000000"/>
                <w:sz w:val="22"/>
                <w:szCs w:val="22"/>
              </w:rPr>
            </w:pPr>
          </w:p>
          <w:p w14:paraId="647AC752" w14:textId="77777777" w:rsidR="00826EA6" w:rsidRPr="007B1368" w:rsidRDefault="00826EA6" w:rsidP="008E5F06">
            <w:pPr>
              <w:autoSpaceDE w:val="0"/>
              <w:autoSpaceDN w:val="0"/>
              <w:adjustRightInd w:val="0"/>
              <w:rPr>
                <w:color w:val="000000"/>
                <w:sz w:val="22"/>
                <w:szCs w:val="22"/>
              </w:rPr>
            </w:pPr>
          </w:p>
          <w:p w14:paraId="366447A1" w14:textId="77777777" w:rsidR="00826EA6" w:rsidRPr="007B1368" w:rsidRDefault="00826EA6" w:rsidP="008E5F06">
            <w:pPr>
              <w:autoSpaceDE w:val="0"/>
              <w:autoSpaceDN w:val="0"/>
              <w:adjustRightInd w:val="0"/>
              <w:rPr>
                <w:color w:val="000000"/>
                <w:sz w:val="22"/>
                <w:szCs w:val="22"/>
              </w:rPr>
            </w:pPr>
          </w:p>
          <w:p w14:paraId="274181ED" w14:textId="77777777" w:rsidR="00826EA6" w:rsidRPr="007B1368" w:rsidRDefault="00826EA6" w:rsidP="008E5F06">
            <w:pPr>
              <w:autoSpaceDE w:val="0"/>
              <w:autoSpaceDN w:val="0"/>
              <w:adjustRightInd w:val="0"/>
              <w:rPr>
                <w:color w:val="000000"/>
                <w:sz w:val="22"/>
                <w:szCs w:val="22"/>
              </w:rPr>
            </w:pPr>
          </w:p>
          <w:p w14:paraId="15159BA7" w14:textId="37710376" w:rsidR="008E5F06" w:rsidRPr="007B1368" w:rsidRDefault="008E5F06" w:rsidP="008E5F06">
            <w:pPr>
              <w:autoSpaceDE w:val="0"/>
              <w:autoSpaceDN w:val="0"/>
              <w:adjustRightInd w:val="0"/>
              <w:rPr>
                <w:color w:val="000000"/>
                <w:sz w:val="22"/>
                <w:szCs w:val="22"/>
              </w:rPr>
            </w:pPr>
          </w:p>
        </w:tc>
      </w:tr>
      <w:tr w:rsidR="008E5F06" w:rsidRPr="007B1368" w14:paraId="3D2BAFE3" w14:textId="77777777" w:rsidTr="008A0729">
        <w:trPr>
          <w:trHeight w:val="112"/>
        </w:trPr>
        <w:tc>
          <w:tcPr>
            <w:tcW w:w="4814" w:type="dxa"/>
            <w:tcBorders>
              <w:top w:val="none" w:sz="6" w:space="0" w:color="auto"/>
              <w:bottom w:val="none" w:sz="6" w:space="0" w:color="auto"/>
              <w:right w:val="none" w:sz="6" w:space="0" w:color="auto"/>
            </w:tcBorders>
          </w:tcPr>
          <w:p w14:paraId="397D8E75" w14:textId="3404918D" w:rsidR="008E5F06" w:rsidRPr="007B1368" w:rsidRDefault="008E5F06" w:rsidP="008E5F06">
            <w:pPr>
              <w:autoSpaceDE w:val="0"/>
              <w:autoSpaceDN w:val="0"/>
              <w:adjustRightInd w:val="0"/>
              <w:rPr>
                <w:color w:val="000000"/>
                <w:sz w:val="22"/>
                <w:szCs w:val="22"/>
              </w:rPr>
            </w:pPr>
          </w:p>
        </w:tc>
        <w:tc>
          <w:tcPr>
            <w:tcW w:w="4814" w:type="dxa"/>
            <w:tcBorders>
              <w:top w:val="none" w:sz="6" w:space="0" w:color="auto"/>
              <w:left w:val="none" w:sz="6" w:space="0" w:color="auto"/>
              <w:bottom w:val="none" w:sz="6" w:space="0" w:color="auto"/>
            </w:tcBorders>
          </w:tcPr>
          <w:p w14:paraId="20CEEB75" w14:textId="35EC4D7E" w:rsidR="008E5F06" w:rsidRPr="007B1368" w:rsidRDefault="008E5F06" w:rsidP="008E5F06">
            <w:pPr>
              <w:autoSpaceDE w:val="0"/>
              <w:autoSpaceDN w:val="0"/>
              <w:adjustRightInd w:val="0"/>
              <w:rPr>
                <w:color w:val="000000"/>
                <w:sz w:val="22"/>
                <w:szCs w:val="22"/>
              </w:rPr>
            </w:pPr>
          </w:p>
        </w:tc>
      </w:tr>
      <w:tr w:rsidR="008E5F06" w:rsidRPr="007B1368" w14:paraId="3227C313" w14:textId="77777777" w:rsidTr="008A0729">
        <w:trPr>
          <w:trHeight w:val="112"/>
        </w:trPr>
        <w:tc>
          <w:tcPr>
            <w:tcW w:w="4814" w:type="dxa"/>
            <w:tcBorders>
              <w:top w:val="none" w:sz="6" w:space="0" w:color="auto"/>
              <w:bottom w:val="none" w:sz="6" w:space="0" w:color="auto"/>
              <w:right w:val="none" w:sz="6" w:space="0" w:color="auto"/>
            </w:tcBorders>
          </w:tcPr>
          <w:p w14:paraId="50075CC6" w14:textId="5AE7F208" w:rsidR="008E5F06" w:rsidRPr="007B1368" w:rsidRDefault="008E5F06" w:rsidP="008E5F06">
            <w:pPr>
              <w:autoSpaceDE w:val="0"/>
              <w:autoSpaceDN w:val="0"/>
              <w:adjustRightInd w:val="0"/>
              <w:rPr>
                <w:color w:val="000000"/>
                <w:sz w:val="22"/>
                <w:szCs w:val="22"/>
              </w:rPr>
            </w:pPr>
          </w:p>
        </w:tc>
        <w:tc>
          <w:tcPr>
            <w:tcW w:w="4814" w:type="dxa"/>
            <w:tcBorders>
              <w:top w:val="none" w:sz="6" w:space="0" w:color="auto"/>
              <w:left w:val="none" w:sz="6" w:space="0" w:color="auto"/>
              <w:bottom w:val="none" w:sz="6" w:space="0" w:color="auto"/>
            </w:tcBorders>
          </w:tcPr>
          <w:p w14:paraId="457EF271" w14:textId="0629F5F3" w:rsidR="008E5F06" w:rsidRPr="007B1368" w:rsidRDefault="008E5F06" w:rsidP="008E5F06">
            <w:pPr>
              <w:autoSpaceDE w:val="0"/>
              <w:autoSpaceDN w:val="0"/>
              <w:adjustRightInd w:val="0"/>
              <w:rPr>
                <w:color w:val="000000"/>
                <w:sz w:val="22"/>
                <w:szCs w:val="22"/>
              </w:rPr>
            </w:pPr>
          </w:p>
        </w:tc>
      </w:tr>
      <w:tr w:rsidR="008E5F06" w:rsidRPr="007B1368" w14:paraId="3F0585DA" w14:textId="77777777" w:rsidTr="008A0729">
        <w:trPr>
          <w:trHeight w:val="112"/>
        </w:trPr>
        <w:tc>
          <w:tcPr>
            <w:tcW w:w="4814" w:type="dxa"/>
            <w:tcBorders>
              <w:top w:val="none" w:sz="6" w:space="0" w:color="auto"/>
              <w:bottom w:val="none" w:sz="6" w:space="0" w:color="auto"/>
              <w:right w:val="none" w:sz="6" w:space="0" w:color="auto"/>
            </w:tcBorders>
          </w:tcPr>
          <w:p w14:paraId="3A738A91" w14:textId="07F35C0B" w:rsidR="008E5F06" w:rsidRPr="007B1368" w:rsidRDefault="008E5F06" w:rsidP="008E5F06">
            <w:pPr>
              <w:autoSpaceDE w:val="0"/>
              <w:autoSpaceDN w:val="0"/>
              <w:adjustRightInd w:val="0"/>
              <w:rPr>
                <w:color w:val="000000"/>
                <w:sz w:val="22"/>
                <w:szCs w:val="22"/>
              </w:rPr>
            </w:pPr>
          </w:p>
        </w:tc>
        <w:tc>
          <w:tcPr>
            <w:tcW w:w="4814" w:type="dxa"/>
            <w:tcBorders>
              <w:top w:val="none" w:sz="6" w:space="0" w:color="auto"/>
              <w:left w:val="none" w:sz="6" w:space="0" w:color="auto"/>
              <w:bottom w:val="none" w:sz="6" w:space="0" w:color="auto"/>
            </w:tcBorders>
          </w:tcPr>
          <w:p w14:paraId="7D97AE45" w14:textId="2598D148" w:rsidR="008E5F06" w:rsidRPr="007B1368" w:rsidRDefault="008E5F06" w:rsidP="008E5F06">
            <w:pPr>
              <w:autoSpaceDE w:val="0"/>
              <w:autoSpaceDN w:val="0"/>
              <w:adjustRightInd w:val="0"/>
              <w:rPr>
                <w:color w:val="000000"/>
                <w:sz w:val="22"/>
                <w:szCs w:val="22"/>
              </w:rPr>
            </w:pPr>
          </w:p>
        </w:tc>
      </w:tr>
      <w:tr w:rsidR="008E5F06" w:rsidRPr="007B1368" w14:paraId="4D02E1E0" w14:textId="77777777" w:rsidTr="008A0729">
        <w:trPr>
          <w:trHeight w:val="112"/>
        </w:trPr>
        <w:tc>
          <w:tcPr>
            <w:tcW w:w="4814" w:type="dxa"/>
            <w:tcBorders>
              <w:top w:val="none" w:sz="6" w:space="0" w:color="auto"/>
              <w:bottom w:val="none" w:sz="6" w:space="0" w:color="auto"/>
              <w:right w:val="none" w:sz="6" w:space="0" w:color="auto"/>
            </w:tcBorders>
          </w:tcPr>
          <w:p w14:paraId="51ECCE8A" w14:textId="4128CB4F" w:rsidR="008E5F06" w:rsidRPr="007B1368" w:rsidRDefault="008E5F06" w:rsidP="008E5F06">
            <w:pPr>
              <w:autoSpaceDE w:val="0"/>
              <w:autoSpaceDN w:val="0"/>
              <w:adjustRightInd w:val="0"/>
              <w:rPr>
                <w:color w:val="000000"/>
                <w:sz w:val="22"/>
                <w:szCs w:val="22"/>
              </w:rPr>
            </w:pPr>
          </w:p>
        </w:tc>
        <w:tc>
          <w:tcPr>
            <w:tcW w:w="4814" w:type="dxa"/>
            <w:tcBorders>
              <w:top w:val="none" w:sz="6" w:space="0" w:color="auto"/>
              <w:left w:val="none" w:sz="6" w:space="0" w:color="auto"/>
              <w:bottom w:val="none" w:sz="6" w:space="0" w:color="auto"/>
            </w:tcBorders>
          </w:tcPr>
          <w:p w14:paraId="04BC75E1" w14:textId="1845554B" w:rsidR="008E5F06" w:rsidRPr="007B1368" w:rsidRDefault="008E5F06" w:rsidP="008E5F06">
            <w:pPr>
              <w:autoSpaceDE w:val="0"/>
              <w:autoSpaceDN w:val="0"/>
              <w:adjustRightInd w:val="0"/>
              <w:rPr>
                <w:color w:val="000000"/>
                <w:sz w:val="22"/>
                <w:szCs w:val="22"/>
              </w:rPr>
            </w:pPr>
          </w:p>
        </w:tc>
      </w:tr>
      <w:tr w:rsidR="008E5F06" w:rsidRPr="007B1368" w14:paraId="1DF894B3" w14:textId="77777777" w:rsidTr="008A0729">
        <w:trPr>
          <w:trHeight w:val="112"/>
        </w:trPr>
        <w:tc>
          <w:tcPr>
            <w:tcW w:w="4814" w:type="dxa"/>
            <w:tcBorders>
              <w:top w:val="none" w:sz="6" w:space="0" w:color="auto"/>
              <w:bottom w:val="none" w:sz="6" w:space="0" w:color="auto"/>
              <w:right w:val="none" w:sz="6" w:space="0" w:color="auto"/>
            </w:tcBorders>
          </w:tcPr>
          <w:p w14:paraId="02A01D81" w14:textId="3F349016" w:rsidR="008E5F06" w:rsidRPr="007B1368" w:rsidRDefault="008E5F06" w:rsidP="008E5F06">
            <w:pPr>
              <w:autoSpaceDE w:val="0"/>
              <w:autoSpaceDN w:val="0"/>
              <w:adjustRightInd w:val="0"/>
              <w:rPr>
                <w:color w:val="000000"/>
                <w:sz w:val="22"/>
                <w:szCs w:val="22"/>
              </w:rPr>
            </w:pPr>
          </w:p>
        </w:tc>
        <w:tc>
          <w:tcPr>
            <w:tcW w:w="4814" w:type="dxa"/>
            <w:tcBorders>
              <w:top w:val="none" w:sz="6" w:space="0" w:color="auto"/>
              <w:left w:val="none" w:sz="6" w:space="0" w:color="auto"/>
              <w:bottom w:val="none" w:sz="6" w:space="0" w:color="auto"/>
            </w:tcBorders>
          </w:tcPr>
          <w:p w14:paraId="53988A25" w14:textId="0CD3551F" w:rsidR="008E5F06" w:rsidRPr="007B1368" w:rsidRDefault="008E5F06" w:rsidP="008E5F06">
            <w:pPr>
              <w:autoSpaceDE w:val="0"/>
              <w:autoSpaceDN w:val="0"/>
              <w:adjustRightInd w:val="0"/>
              <w:rPr>
                <w:color w:val="000000"/>
                <w:sz w:val="22"/>
                <w:szCs w:val="22"/>
              </w:rPr>
            </w:pPr>
          </w:p>
        </w:tc>
      </w:tr>
      <w:tr w:rsidR="008E5F06" w:rsidRPr="007B1368" w14:paraId="02DD30BD" w14:textId="77777777" w:rsidTr="008A0729">
        <w:trPr>
          <w:trHeight w:val="112"/>
        </w:trPr>
        <w:tc>
          <w:tcPr>
            <w:tcW w:w="4814" w:type="dxa"/>
            <w:tcBorders>
              <w:top w:val="none" w:sz="6" w:space="0" w:color="auto"/>
              <w:bottom w:val="none" w:sz="6" w:space="0" w:color="auto"/>
              <w:right w:val="none" w:sz="6" w:space="0" w:color="auto"/>
            </w:tcBorders>
          </w:tcPr>
          <w:p w14:paraId="646D46AE" w14:textId="07D924AA" w:rsidR="008E5F06" w:rsidRPr="007B1368" w:rsidRDefault="008E5F06" w:rsidP="008E5F06">
            <w:pPr>
              <w:autoSpaceDE w:val="0"/>
              <w:autoSpaceDN w:val="0"/>
              <w:adjustRightInd w:val="0"/>
              <w:rPr>
                <w:color w:val="000000"/>
                <w:sz w:val="22"/>
                <w:szCs w:val="22"/>
              </w:rPr>
            </w:pPr>
          </w:p>
        </w:tc>
        <w:tc>
          <w:tcPr>
            <w:tcW w:w="4814" w:type="dxa"/>
            <w:tcBorders>
              <w:top w:val="none" w:sz="6" w:space="0" w:color="auto"/>
              <w:left w:val="none" w:sz="6" w:space="0" w:color="auto"/>
              <w:bottom w:val="none" w:sz="6" w:space="0" w:color="auto"/>
            </w:tcBorders>
          </w:tcPr>
          <w:p w14:paraId="4F3D6F21" w14:textId="5F8A5B3C" w:rsidR="008E5F06" w:rsidRPr="007B1368" w:rsidRDefault="008E5F06" w:rsidP="008E5F06">
            <w:pPr>
              <w:autoSpaceDE w:val="0"/>
              <w:autoSpaceDN w:val="0"/>
              <w:adjustRightInd w:val="0"/>
              <w:rPr>
                <w:color w:val="000000"/>
                <w:sz w:val="22"/>
                <w:szCs w:val="22"/>
              </w:rPr>
            </w:pPr>
          </w:p>
        </w:tc>
      </w:tr>
    </w:tbl>
    <w:p w14:paraId="5407C38C" w14:textId="77777777" w:rsidR="008E5F06" w:rsidRPr="004F6F51" w:rsidRDefault="008E5F06" w:rsidP="008E5F06">
      <w:pPr>
        <w:spacing w:after="160" w:line="259" w:lineRule="auto"/>
        <w:rPr>
          <w:kern w:val="2"/>
          <w:sz w:val="22"/>
          <w:szCs w:val="22"/>
          <w14:ligatures w14:val="standardContextual"/>
        </w:rPr>
      </w:pPr>
    </w:p>
    <w:p w14:paraId="682DE319" w14:textId="77777777" w:rsidR="002B14A5" w:rsidRPr="004F6F51" w:rsidRDefault="002B14A5" w:rsidP="002B14A5">
      <w:pPr>
        <w:pStyle w:val="Heading2"/>
        <w:rPr>
          <w:rFonts w:eastAsiaTheme="majorEastAsia"/>
          <w:color w:val="000000" w:themeColor="text1"/>
          <w:kern w:val="2"/>
          <w:sz w:val="22"/>
          <w:szCs w:val="22"/>
          <w14:ligatures w14:val="standardContextual"/>
        </w:rPr>
      </w:pPr>
    </w:p>
    <w:p w14:paraId="6B7353C7" w14:textId="77777777" w:rsidR="002B14A5" w:rsidRPr="004F6F51" w:rsidRDefault="002B14A5" w:rsidP="002B14A5">
      <w:pPr>
        <w:pStyle w:val="Heading2"/>
        <w:rPr>
          <w:rFonts w:eastAsiaTheme="majorEastAsia"/>
          <w:color w:val="000000" w:themeColor="text1"/>
          <w:kern w:val="2"/>
          <w:sz w:val="22"/>
          <w:szCs w:val="22"/>
          <w14:ligatures w14:val="standardContextual"/>
        </w:rPr>
      </w:pPr>
    </w:p>
    <w:p w14:paraId="68D867E4" w14:textId="6B913D96" w:rsidR="008E5F06" w:rsidRPr="004F6F51" w:rsidRDefault="008E5F06" w:rsidP="002B14A5">
      <w:pPr>
        <w:pStyle w:val="Heading2"/>
        <w:rPr>
          <w:rFonts w:eastAsiaTheme="majorEastAsia"/>
          <w:b w:val="0"/>
          <w:color w:val="000000" w:themeColor="text1"/>
          <w:kern w:val="2"/>
          <w:sz w:val="22"/>
          <w:szCs w:val="22"/>
          <w14:ligatures w14:val="standardContextual"/>
        </w:rPr>
      </w:pPr>
      <w:bookmarkStart w:id="18" w:name="_Toc190354376"/>
      <w:r w:rsidRPr="004F6F51">
        <w:rPr>
          <w:rFonts w:eastAsiaTheme="majorEastAsia"/>
          <w:color w:val="000000" w:themeColor="text1"/>
          <w:kern w:val="2"/>
          <w:sz w:val="22"/>
          <w:szCs w:val="22"/>
          <w14:ligatures w14:val="standardContextual"/>
        </w:rPr>
        <w:t xml:space="preserve">Appendix 2 - </w:t>
      </w:r>
      <w:bookmarkStart w:id="19" w:name="_Hlk185508965"/>
      <w:r w:rsidRPr="004F6F51">
        <w:rPr>
          <w:rFonts w:eastAsiaTheme="majorEastAsia"/>
          <w:color w:val="000000" w:themeColor="text1"/>
          <w:kern w:val="2"/>
          <w:sz w:val="22"/>
          <w:szCs w:val="22"/>
          <w14:ligatures w14:val="standardContextual"/>
        </w:rPr>
        <w:t>GP LARC Claim Form</w:t>
      </w:r>
      <w:bookmarkEnd w:id="18"/>
      <w:bookmarkEnd w:id="19"/>
      <w:r w:rsidR="0011433F" w:rsidRPr="004F6F51">
        <w:rPr>
          <w:rFonts w:eastAsiaTheme="majorEastAsia"/>
          <w:b w:val="0"/>
          <w:color w:val="000000" w:themeColor="text1"/>
          <w:kern w:val="2"/>
          <w:sz w:val="22"/>
          <w:szCs w:val="22"/>
          <w14:ligatures w14:val="standardContextual"/>
        </w:rPr>
        <w:t xml:space="preserve"> </w:t>
      </w:r>
    </w:p>
    <w:p w14:paraId="6B695DE8" w14:textId="4363B87B" w:rsidR="003B6819" w:rsidRPr="004F6F51" w:rsidRDefault="003B6819" w:rsidP="003B6819">
      <w:pPr>
        <w:rPr>
          <w:sz w:val="22"/>
          <w:szCs w:val="22"/>
        </w:rPr>
      </w:pPr>
    </w:p>
    <w:p w14:paraId="63A9179B" w14:textId="77DC4616" w:rsidR="00A35EF5" w:rsidRPr="004F6F51" w:rsidRDefault="00A35EF5" w:rsidP="003B6819">
      <w:pPr>
        <w:rPr>
          <w:sz w:val="22"/>
          <w:szCs w:val="22"/>
        </w:rPr>
      </w:pPr>
    </w:p>
    <w:p w14:paraId="5879A92F" w14:textId="0C8FD08D" w:rsidR="00A35EF5" w:rsidRPr="004F6F51" w:rsidRDefault="00A35EF5" w:rsidP="003B6819">
      <w:pPr>
        <w:rPr>
          <w:sz w:val="22"/>
          <w:szCs w:val="22"/>
        </w:rPr>
      </w:pPr>
    </w:p>
    <w:bookmarkStart w:id="20" w:name="_MON_1796133625"/>
    <w:bookmarkEnd w:id="20"/>
    <w:p w14:paraId="35360D13" w14:textId="214334F1" w:rsidR="002B14A5" w:rsidRPr="004F6F51" w:rsidRDefault="00893993" w:rsidP="002C7F4E">
      <w:pPr>
        <w:rPr>
          <w:sz w:val="22"/>
          <w:szCs w:val="22"/>
        </w:rPr>
      </w:pPr>
      <w:r w:rsidRPr="00F30C54">
        <w:rPr>
          <w:sz w:val="22"/>
          <w:szCs w:val="22"/>
        </w:rPr>
        <w:object w:dxaOrig="10061" w:dyaOrig="3783" w14:anchorId="34DC8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6pt;height:220.8pt" o:ole="">
            <v:imagedata r:id="rId32" o:title=""/>
          </v:shape>
          <o:OLEObject Type="Embed" ProgID="Excel.Sheet.12" ShapeID="_x0000_i1025" DrawAspect="Content" ObjectID="_1801297927" r:id="rId33"/>
        </w:object>
      </w:r>
    </w:p>
    <w:p w14:paraId="6068AA2E" w14:textId="77777777" w:rsidR="002B14A5" w:rsidRPr="004F6F51" w:rsidRDefault="002B14A5" w:rsidP="002B14A5">
      <w:pPr>
        <w:keepNext/>
        <w:keepLines/>
        <w:spacing w:before="240" w:line="259" w:lineRule="auto"/>
        <w:outlineLvl w:val="0"/>
        <w:rPr>
          <w:rFonts w:eastAsiaTheme="majorEastAsia"/>
          <w:b/>
          <w:color w:val="000000" w:themeColor="text1"/>
          <w:kern w:val="2"/>
          <w:sz w:val="22"/>
          <w:szCs w:val="22"/>
          <w14:ligatures w14:val="standardContextual"/>
        </w:rPr>
      </w:pPr>
    </w:p>
    <w:p w14:paraId="0D5A5CF1" w14:textId="3F66A8DB" w:rsidR="008E5F06" w:rsidRPr="004F6F51" w:rsidRDefault="008E5F06" w:rsidP="002B14A5">
      <w:pPr>
        <w:keepNext/>
        <w:keepLines/>
        <w:spacing w:before="240" w:line="259" w:lineRule="auto"/>
        <w:outlineLvl w:val="0"/>
        <w:rPr>
          <w:rFonts w:eastAsiaTheme="majorEastAsia"/>
          <w:b/>
          <w:color w:val="000000" w:themeColor="text1"/>
          <w:kern w:val="2"/>
          <w:sz w:val="22"/>
          <w:szCs w:val="22"/>
          <w14:ligatures w14:val="standardContextual"/>
        </w:rPr>
      </w:pPr>
      <w:bookmarkStart w:id="21" w:name="_Toc190354377"/>
      <w:r w:rsidRPr="004F6F51">
        <w:rPr>
          <w:rFonts w:eastAsiaTheme="majorEastAsia"/>
          <w:b/>
          <w:color w:val="000000" w:themeColor="text1"/>
          <w:kern w:val="2"/>
          <w:sz w:val="22"/>
          <w:szCs w:val="22"/>
          <w14:ligatures w14:val="standardContextual"/>
        </w:rPr>
        <w:t>Appendix 3</w:t>
      </w:r>
      <w:r w:rsidR="008011ED" w:rsidRPr="004F6F51">
        <w:rPr>
          <w:rFonts w:eastAsiaTheme="majorEastAsia"/>
          <w:b/>
          <w:color w:val="000000" w:themeColor="text1"/>
          <w:kern w:val="2"/>
          <w:sz w:val="22"/>
          <w:szCs w:val="22"/>
          <w14:ligatures w14:val="standardContextual"/>
        </w:rPr>
        <w:t xml:space="preserve"> - </w:t>
      </w:r>
      <w:bookmarkStart w:id="22" w:name="_Hlk185509071"/>
      <w:r w:rsidRPr="004F6F51">
        <w:rPr>
          <w:rFonts w:eastAsiaTheme="majorEastAsia"/>
          <w:b/>
          <w:color w:val="000000" w:themeColor="text1"/>
          <w:kern w:val="2"/>
          <w:sz w:val="22"/>
          <w:szCs w:val="22"/>
          <w14:ligatures w14:val="standardContextual"/>
        </w:rPr>
        <w:t>Fitters Accreditation Return</w:t>
      </w:r>
      <w:bookmarkEnd w:id="21"/>
      <w:bookmarkEnd w:id="22"/>
    </w:p>
    <w:p w14:paraId="6A585D37" w14:textId="77777777" w:rsidR="008E5F06" w:rsidRPr="004F6F51" w:rsidRDefault="008E5F06" w:rsidP="0046016B">
      <w:pPr>
        <w:tabs>
          <w:tab w:val="left" w:pos="383"/>
        </w:tabs>
        <w:spacing w:before="46" w:line="276" w:lineRule="auto"/>
        <w:rPr>
          <w:b/>
          <w:sz w:val="22"/>
          <w:szCs w:val="22"/>
        </w:rPr>
      </w:pPr>
    </w:p>
    <w:tbl>
      <w:tblPr>
        <w:tblStyle w:val="TableGrid"/>
        <w:tblW w:w="0" w:type="auto"/>
        <w:tblLook w:val="04A0" w:firstRow="1" w:lastRow="0" w:firstColumn="1" w:lastColumn="0" w:noHBand="0" w:noVBand="1"/>
      </w:tblPr>
      <w:tblGrid>
        <w:gridCol w:w="4508"/>
        <w:gridCol w:w="4508"/>
      </w:tblGrid>
      <w:tr w:rsidR="00660F77" w14:paraId="0C29E6AB" w14:textId="77777777" w:rsidTr="00B16899">
        <w:trPr>
          <w:trHeight w:val="477"/>
        </w:trPr>
        <w:tc>
          <w:tcPr>
            <w:tcW w:w="9016" w:type="dxa"/>
            <w:gridSpan w:val="2"/>
            <w:tcBorders>
              <w:bottom w:val="nil"/>
            </w:tcBorders>
            <w:vAlign w:val="center"/>
          </w:tcPr>
          <w:p w14:paraId="0323B6D6" w14:textId="0A463232"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b/>
                <w:bCs/>
                <w:sz w:val="22"/>
                <w:szCs w:val="22"/>
                <w:lang w:eastAsia="en-GB"/>
              </w:rPr>
              <w:t xml:space="preserve">                           LARC</w:t>
            </w:r>
            <w:r w:rsidR="004172C0" w:rsidRPr="00607C4E">
              <w:rPr>
                <w:rFonts w:eastAsia="Times New Roman"/>
                <w:b/>
                <w:bCs/>
                <w:sz w:val="22"/>
                <w:szCs w:val="22"/>
                <w:lang w:eastAsia="en-GB"/>
              </w:rPr>
              <w:t xml:space="preserve"> Fitters</w:t>
            </w:r>
            <w:r w:rsidRPr="00607C4E">
              <w:rPr>
                <w:rFonts w:eastAsia="Times New Roman"/>
                <w:b/>
                <w:bCs/>
                <w:sz w:val="22"/>
                <w:szCs w:val="22"/>
                <w:lang w:eastAsia="en-GB"/>
              </w:rPr>
              <w:t xml:space="preserve"> Initial Accreditation Return Form</w:t>
            </w:r>
          </w:p>
        </w:tc>
      </w:tr>
      <w:tr w:rsidR="00660F77" w14:paraId="3EE769CF" w14:textId="77777777" w:rsidTr="00B16899">
        <w:trPr>
          <w:trHeight w:val="68"/>
        </w:trPr>
        <w:tc>
          <w:tcPr>
            <w:tcW w:w="9016" w:type="dxa"/>
            <w:gridSpan w:val="2"/>
            <w:tcBorders>
              <w:top w:val="nil"/>
            </w:tcBorders>
          </w:tcPr>
          <w:p w14:paraId="3E82E712"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0D8025A4" w14:textId="77777777" w:rsidTr="007A0D4D">
        <w:tc>
          <w:tcPr>
            <w:tcW w:w="9016" w:type="dxa"/>
            <w:gridSpan w:val="2"/>
          </w:tcPr>
          <w:p w14:paraId="4ED2F14E" w14:textId="77777777" w:rsidR="00660F77" w:rsidRPr="00607C4E" w:rsidRDefault="00660F77" w:rsidP="007A0D4D">
            <w:pPr>
              <w:spacing w:before="100" w:beforeAutospacing="1" w:after="100" w:afterAutospacing="1"/>
              <w:rPr>
                <w:rFonts w:eastAsia="Times New Roman"/>
                <w:b/>
                <w:bCs/>
                <w:sz w:val="22"/>
                <w:szCs w:val="22"/>
                <w:lang w:eastAsia="en-GB"/>
              </w:rPr>
            </w:pPr>
            <w:r w:rsidRPr="00607C4E">
              <w:rPr>
                <w:rFonts w:eastAsia="Times New Roman"/>
                <w:b/>
                <w:bCs/>
                <w:sz w:val="22"/>
                <w:szCs w:val="22"/>
                <w:lang w:eastAsia="en-GB"/>
              </w:rPr>
              <w:t>Personal and Professional Details</w:t>
            </w:r>
          </w:p>
        </w:tc>
      </w:tr>
      <w:tr w:rsidR="00660F77" w14:paraId="5E684E9D" w14:textId="77777777" w:rsidTr="007A0D4D">
        <w:tc>
          <w:tcPr>
            <w:tcW w:w="4508" w:type="dxa"/>
          </w:tcPr>
          <w:p w14:paraId="0830B210"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Full Name: </w:t>
            </w:r>
          </w:p>
        </w:tc>
        <w:tc>
          <w:tcPr>
            <w:tcW w:w="4508" w:type="dxa"/>
          </w:tcPr>
          <w:p w14:paraId="4F2BCD1A"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412FB973" w14:textId="77777777" w:rsidTr="007A0D4D">
        <w:tc>
          <w:tcPr>
            <w:tcW w:w="4508" w:type="dxa"/>
          </w:tcPr>
          <w:p w14:paraId="629CB3A7"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Professional Title/Role: </w:t>
            </w:r>
          </w:p>
        </w:tc>
        <w:tc>
          <w:tcPr>
            <w:tcW w:w="4508" w:type="dxa"/>
          </w:tcPr>
          <w:p w14:paraId="30A4E69C"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41D08567" w14:textId="77777777" w:rsidTr="007A0D4D">
        <w:tc>
          <w:tcPr>
            <w:tcW w:w="4508" w:type="dxa"/>
          </w:tcPr>
          <w:p w14:paraId="5EEA5541"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Medical Registration Number: </w:t>
            </w:r>
          </w:p>
        </w:tc>
        <w:tc>
          <w:tcPr>
            <w:tcW w:w="4508" w:type="dxa"/>
          </w:tcPr>
          <w:p w14:paraId="5ED58EB4"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492C2E11" w14:textId="77777777" w:rsidTr="007A0D4D">
        <w:tc>
          <w:tcPr>
            <w:tcW w:w="4508" w:type="dxa"/>
          </w:tcPr>
          <w:p w14:paraId="779A9D7A"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Email Address: </w:t>
            </w:r>
          </w:p>
        </w:tc>
        <w:tc>
          <w:tcPr>
            <w:tcW w:w="4508" w:type="dxa"/>
          </w:tcPr>
          <w:p w14:paraId="01984217"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69D2957F" w14:textId="77777777" w:rsidTr="007A0D4D">
        <w:tc>
          <w:tcPr>
            <w:tcW w:w="4508" w:type="dxa"/>
          </w:tcPr>
          <w:p w14:paraId="3EF0277B"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Phone Number: </w:t>
            </w:r>
          </w:p>
        </w:tc>
        <w:tc>
          <w:tcPr>
            <w:tcW w:w="4508" w:type="dxa"/>
          </w:tcPr>
          <w:p w14:paraId="1E276ECE"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402F88DA" w14:textId="77777777" w:rsidTr="007A0D4D">
        <w:tc>
          <w:tcPr>
            <w:tcW w:w="4508" w:type="dxa"/>
          </w:tcPr>
          <w:p w14:paraId="4EBE1FF9"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Date of Birth: </w:t>
            </w:r>
          </w:p>
        </w:tc>
        <w:tc>
          <w:tcPr>
            <w:tcW w:w="4508" w:type="dxa"/>
          </w:tcPr>
          <w:p w14:paraId="6EDD7071"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3FF77365" w14:textId="77777777" w:rsidTr="007A0D4D">
        <w:tc>
          <w:tcPr>
            <w:tcW w:w="4508" w:type="dxa"/>
          </w:tcPr>
          <w:p w14:paraId="7AA1D8F3"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Date of Submission: </w:t>
            </w:r>
          </w:p>
        </w:tc>
        <w:tc>
          <w:tcPr>
            <w:tcW w:w="4508" w:type="dxa"/>
          </w:tcPr>
          <w:p w14:paraId="2E0CE69A"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4EB0CEEF" w14:textId="77777777" w:rsidTr="007A0D4D">
        <w:tc>
          <w:tcPr>
            <w:tcW w:w="9016" w:type="dxa"/>
            <w:gridSpan w:val="2"/>
          </w:tcPr>
          <w:p w14:paraId="1312AE2E" w14:textId="77777777" w:rsidR="00660F77" w:rsidRPr="00607C4E" w:rsidRDefault="00660F77" w:rsidP="007A0D4D">
            <w:pPr>
              <w:spacing w:before="100" w:beforeAutospacing="1" w:after="100" w:afterAutospacing="1"/>
              <w:rPr>
                <w:rFonts w:eastAsia="Times New Roman"/>
                <w:b/>
                <w:bCs/>
                <w:sz w:val="22"/>
                <w:szCs w:val="22"/>
                <w:lang w:eastAsia="en-GB"/>
              </w:rPr>
            </w:pPr>
            <w:r w:rsidRPr="00607C4E">
              <w:rPr>
                <w:rFonts w:eastAsia="Times New Roman"/>
                <w:b/>
                <w:bCs/>
                <w:sz w:val="22"/>
                <w:szCs w:val="22"/>
                <w:lang w:eastAsia="en-GB"/>
              </w:rPr>
              <w:t>Training &amp; Competency Details</w:t>
            </w:r>
          </w:p>
        </w:tc>
      </w:tr>
      <w:tr w:rsidR="00660F77" w14:paraId="5341E4A4" w14:textId="77777777" w:rsidTr="007A0D4D">
        <w:tc>
          <w:tcPr>
            <w:tcW w:w="4508" w:type="dxa"/>
          </w:tcPr>
          <w:p w14:paraId="6FFF97D0"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Date of LARC Training Completed: </w:t>
            </w:r>
          </w:p>
        </w:tc>
        <w:tc>
          <w:tcPr>
            <w:tcW w:w="4508" w:type="dxa"/>
          </w:tcPr>
          <w:p w14:paraId="3B700378"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33A9FCAE" w14:textId="77777777" w:rsidTr="007A0D4D">
        <w:tc>
          <w:tcPr>
            <w:tcW w:w="4508" w:type="dxa"/>
          </w:tcPr>
          <w:p w14:paraId="21ED3D73"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Training Provider: </w:t>
            </w:r>
          </w:p>
        </w:tc>
        <w:tc>
          <w:tcPr>
            <w:tcW w:w="4508" w:type="dxa"/>
          </w:tcPr>
          <w:p w14:paraId="255B1E66"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269A3F06" w14:textId="77777777" w:rsidTr="007A0D4D">
        <w:tc>
          <w:tcPr>
            <w:tcW w:w="4508" w:type="dxa"/>
          </w:tcPr>
          <w:p w14:paraId="1B4F7FF2"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Training Method: </w:t>
            </w:r>
          </w:p>
        </w:tc>
        <w:tc>
          <w:tcPr>
            <w:tcW w:w="4508" w:type="dxa"/>
          </w:tcPr>
          <w:p w14:paraId="53EC2D7F"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1B6A9D6F" w14:textId="77777777" w:rsidTr="007A0D4D">
        <w:tc>
          <w:tcPr>
            <w:tcW w:w="4508" w:type="dxa"/>
          </w:tcPr>
          <w:p w14:paraId="06709383"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Competency Assessment Date: </w:t>
            </w:r>
          </w:p>
        </w:tc>
        <w:tc>
          <w:tcPr>
            <w:tcW w:w="4508" w:type="dxa"/>
          </w:tcPr>
          <w:p w14:paraId="27D7C343"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13107301" w14:textId="77777777" w:rsidTr="007A0D4D">
        <w:tc>
          <w:tcPr>
            <w:tcW w:w="4508" w:type="dxa"/>
          </w:tcPr>
          <w:p w14:paraId="642678B9"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Assessor’s Name &amp; Qualification: </w:t>
            </w:r>
          </w:p>
        </w:tc>
        <w:tc>
          <w:tcPr>
            <w:tcW w:w="4508" w:type="dxa"/>
          </w:tcPr>
          <w:p w14:paraId="32F24366"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190CB27F" w14:textId="77777777" w:rsidTr="007A0D4D">
        <w:tc>
          <w:tcPr>
            <w:tcW w:w="4508" w:type="dxa"/>
          </w:tcPr>
          <w:p w14:paraId="7918A3C2" w14:textId="2D489BAE"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Competency Assessment Outcome</w:t>
            </w:r>
            <w:r w:rsidR="007B12AB" w:rsidRPr="00607C4E">
              <w:rPr>
                <w:rFonts w:eastAsia="Times New Roman"/>
                <w:sz w:val="22"/>
                <w:szCs w:val="22"/>
                <w:lang w:eastAsia="en-GB"/>
              </w:rPr>
              <w:t>:</w:t>
            </w:r>
          </w:p>
        </w:tc>
        <w:tc>
          <w:tcPr>
            <w:tcW w:w="4508" w:type="dxa"/>
          </w:tcPr>
          <w:p w14:paraId="414F44BC"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054D5883" w14:textId="77777777" w:rsidTr="007A0D4D">
        <w:tc>
          <w:tcPr>
            <w:tcW w:w="9016" w:type="dxa"/>
            <w:gridSpan w:val="2"/>
          </w:tcPr>
          <w:p w14:paraId="17286F95" w14:textId="77777777" w:rsidR="00660F77" w:rsidRPr="00607C4E" w:rsidRDefault="00660F77" w:rsidP="007A0D4D">
            <w:pPr>
              <w:spacing w:before="100" w:beforeAutospacing="1" w:after="100" w:afterAutospacing="1"/>
              <w:rPr>
                <w:rFonts w:eastAsia="Times New Roman"/>
                <w:b/>
                <w:bCs/>
                <w:color w:val="4472C4" w:themeColor="accent1"/>
                <w:sz w:val="22"/>
                <w:szCs w:val="22"/>
                <w:lang w:eastAsia="en-GB"/>
              </w:rPr>
            </w:pPr>
            <w:r w:rsidRPr="00607C4E">
              <w:rPr>
                <w:rFonts w:eastAsia="Times New Roman"/>
                <w:b/>
                <w:bCs/>
                <w:sz w:val="22"/>
                <w:szCs w:val="22"/>
                <w:lang w:eastAsia="en-GB"/>
              </w:rPr>
              <w:t>Clinical Practice &amp; Experience</w:t>
            </w:r>
          </w:p>
        </w:tc>
      </w:tr>
      <w:tr w:rsidR="00660F77" w14:paraId="74E152F3" w14:textId="77777777" w:rsidTr="007A0D4D">
        <w:tc>
          <w:tcPr>
            <w:tcW w:w="4508" w:type="dxa"/>
          </w:tcPr>
          <w:p w14:paraId="0349419B" w14:textId="007671F1"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Number of IUDs Fitted (self-reported): </w:t>
            </w:r>
          </w:p>
        </w:tc>
        <w:tc>
          <w:tcPr>
            <w:tcW w:w="4508" w:type="dxa"/>
          </w:tcPr>
          <w:p w14:paraId="2C668AA3"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68B7893C" w14:textId="77777777" w:rsidTr="007A0D4D">
        <w:tc>
          <w:tcPr>
            <w:tcW w:w="4508" w:type="dxa"/>
          </w:tcPr>
          <w:p w14:paraId="03382CEA"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Number of Implants Inserted (self-reported): </w:t>
            </w:r>
          </w:p>
        </w:tc>
        <w:tc>
          <w:tcPr>
            <w:tcW w:w="4508" w:type="dxa"/>
          </w:tcPr>
          <w:p w14:paraId="1D1FD192"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40E3247F" w14:textId="77777777" w:rsidTr="007A0D4D">
        <w:tc>
          <w:tcPr>
            <w:tcW w:w="4508" w:type="dxa"/>
          </w:tcPr>
          <w:p w14:paraId="6418A04E"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Duration of LARC practice:</w:t>
            </w:r>
          </w:p>
        </w:tc>
        <w:tc>
          <w:tcPr>
            <w:tcW w:w="4508" w:type="dxa"/>
          </w:tcPr>
          <w:p w14:paraId="1FCAC48D"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50897A52" w14:textId="77777777" w:rsidTr="007A0D4D">
        <w:tc>
          <w:tcPr>
            <w:tcW w:w="4508" w:type="dxa"/>
          </w:tcPr>
          <w:p w14:paraId="64FBFCB8"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lastRenderedPageBreak/>
              <w:t xml:space="preserve">Supervisor’s Name: </w:t>
            </w:r>
          </w:p>
        </w:tc>
        <w:tc>
          <w:tcPr>
            <w:tcW w:w="4508" w:type="dxa"/>
          </w:tcPr>
          <w:p w14:paraId="321AFDDB"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0121CB09" w14:textId="77777777" w:rsidTr="007A0D4D">
        <w:tc>
          <w:tcPr>
            <w:tcW w:w="4508" w:type="dxa"/>
          </w:tcPr>
          <w:p w14:paraId="45268BBB"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Workplace Facility: </w:t>
            </w:r>
          </w:p>
        </w:tc>
        <w:tc>
          <w:tcPr>
            <w:tcW w:w="4508" w:type="dxa"/>
          </w:tcPr>
          <w:p w14:paraId="72CB6D02"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629E3BF5" w14:textId="77777777" w:rsidTr="007A0D4D">
        <w:tc>
          <w:tcPr>
            <w:tcW w:w="4508" w:type="dxa"/>
          </w:tcPr>
          <w:p w14:paraId="0876BB91"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Clinical Supervision Received: </w:t>
            </w:r>
          </w:p>
        </w:tc>
        <w:tc>
          <w:tcPr>
            <w:tcW w:w="4508" w:type="dxa"/>
          </w:tcPr>
          <w:p w14:paraId="4E064BFE"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46E5B12F" w14:textId="77777777" w:rsidTr="007A0D4D">
        <w:tc>
          <w:tcPr>
            <w:tcW w:w="4508" w:type="dxa"/>
          </w:tcPr>
          <w:p w14:paraId="6B6EFEB7"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Continuing Education (CPD) on LARC: </w:t>
            </w:r>
          </w:p>
        </w:tc>
        <w:tc>
          <w:tcPr>
            <w:tcW w:w="4508" w:type="dxa"/>
          </w:tcPr>
          <w:p w14:paraId="1C2EB515"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30BCE166" w14:textId="77777777" w:rsidTr="007A0D4D">
        <w:tc>
          <w:tcPr>
            <w:tcW w:w="9016" w:type="dxa"/>
            <w:gridSpan w:val="2"/>
          </w:tcPr>
          <w:p w14:paraId="74CB27A5" w14:textId="6CB7E054" w:rsidR="00660F77" w:rsidRPr="00607C4E" w:rsidRDefault="00660F77" w:rsidP="007A0D4D">
            <w:pPr>
              <w:spacing w:before="100" w:beforeAutospacing="1" w:after="100" w:afterAutospacing="1"/>
              <w:rPr>
                <w:rFonts w:eastAsia="Times New Roman"/>
                <w:b/>
                <w:bCs/>
                <w:sz w:val="22"/>
                <w:szCs w:val="22"/>
                <w:lang w:eastAsia="en-GB"/>
              </w:rPr>
            </w:pPr>
            <w:r w:rsidRPr="00607C4E">
              <w:rPr>
                <w:rFonts w:eastAsia="Times New Roman"/>
                <w:b/>
                <w:bCs/>
                <w:sz w:val="22"/>
                <w:szCs w:val="22"/>
                <w:lang w:eastAsia="en-GB"/>
              </w:rPr>
              <w:t>Workplace and Clinical Environment</w:t>
            </w:r>
          </w:p>
        </w:tc>
      </w:tr>
      <w:tr w:rsidR="00660F77" w14:paraId="3FC05D13" w14:textId="77777777" w:rsidTr="007A0D4D">
        <w:tc>
          <w:tcPr>
            <w:tcW w:w="4508" w:type="dxa"/>
          </w:tcPr>
          <w:p w14:paraId="591FD4A7"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 xml:space="preserve">Workplace Compliance with LARC Provision Standards: </w:t>
            </w:r>
          </w:p>
        </w:tc>
        <w:tc>
          <w:tcPr>
            <w:tcW w:w="4508" w:type="dxa"/>
          </w:tcPr>
          <w:p w14:paraId="352DF943"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2F05340B" w14:textId="77777777" w:rsidTr="007A0D4D">
        <w:tc>
          <w:tcPr>
            <w:tcW w:w="4508" w:type="dxa"/>
          </w:tcPr>
          <w:p w14:paraId="51BF84A8"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Workplace Supervisor:</w:t>
            </w:r>
          </w:p>
        </w:tc>
        <w:tc>
          <w:tcPr>
            <w:tcW w:w="4508" w:type="dxa"/>
          </w:tcPr>
          <w:p w14:paraId="3B510A4E" w14:textId="77777777" w:rsidR="00660F77" w:rsidRPr="00607C4E" w:rsidRDefault="00660F77" w:rsidP="007A0D4D">
            <w:pPr>
              <w:spacing w:before="100" w:beforeAutospacing="1" w:after="100" w:afterAutospacing="1"/>
              <w:rPr>
                <w:rFonts w:eastAsia="Times New Roman"/>
                <w:sz w:val="22"/>
                <w:szCs w:val="22"/>
                <w:lang w:eastAsia="en-GB"/>
              </w:rPr>
            </w:pPr>
          </w:p>
        </w:tc>
      </w:tr>
      <w:tr w:rsidR="00660F77" w14:paraId="2B2E25EC" w14:textId="77777777" w:rsidTr="007A0D4D">
        <w:tc>
          <w:tcPr>
            <w:tcW w:w="4508" w:type="dxa"/>
          </w:tcPr>
          <w:p w14:paraId="75AA5E70"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Workplace Facilities for LARC:</w:t>
            </w:r>
          </w:p>
        </w:tc>
        <w:tc>
          <w:tcPr>
            <w:tcW w:w="4508" w:type="dxa"/>
          </w:tcPr>
          <w:p w14:paraId="23F5E3BA" w14:textId="77777777" w:rsidR="00660F77" w:rsidRPr="00607C4E" w:rsidRDefault="00660F77" w:rsidP="007A0D4D">
            <w:pPr>
              <w:spacing w:before="100" w:beforeAutospacing="1" w:after="100" w:afterAutospacing="1"/>
              <w:rPr>
                <w:rFonts w:eastAsia="Times New Roman"/>
                <w:sz w:val="22"/>
                <w:szCs w:val="22"/>
                <w:lang w:eastAsia="en-GB"/>
              </w:rPr>
            </w:pPr>
          </w:p>
        </w:tc>
      </w:tr>
      <w:tr w:rsidR="007B12AB" w14:paraId="6DDEFD06" w14:textId="77777777" w:rsidTr="00DD264B">
        <w:tc>
          <w:tcPr>
            <w:tcW w:w="9016" w:type="dxa"/>
            <w:gridSpan w:val="2"/>
          </w:tcPr>
          <w:p w14:paraId="3B1D4B50" w14:textId="1B1AA4E3" w:rsidR="007B12AB" w:rsidRPr="00607C4E" w:rsidRDefault="007B12AB" w:rsidP="007A0D4D">
            <w:pPr>
              <w:spacing w:before="100" w:beforeAutospacing="1" w:after="100" w:afterAutospacing="1"/>
              <w:rPr>
                <w:rFonts w:eastAsia="Times New Roman"/>
                <w:b/>
                <w:bCs/>
                <w:sz w:val="22"/>
                <w:szCs w:val="22"/>
                <w:lang w:eastAsia="en-GB"/>
              </w:rPr>
            </w:pPr>
            <w:r w:rsidRPr="00607C4E">
              <w:rPr>
                <w:rFonts w:eastAsia="Times New Roman"/>
                <w:b/>
                <w:bCs/>
                <w:sz w:val="22"/>
                <w:szCs w:val="22"/>
                <w:lang w:eastAsia="en-GB"/>
              </w:rPr>
              <w:t>Confirmation and Declaration</w:t>
            </w:r>
          </w:p>
        </w:tc>
      </w:tr>
      <w:tr w:rsidR="007B12AB" w14:paraId="4E4279D0" w14:textId="77777777" w:rsidTr="007A0D4D">
        <w:tc>
          <w:tcPr>
            <w:tcW w:w="4508" w:type="dxa"/>
          </w:tcPr>
          <w:p w14:paraId="1066E260" w14:textId="77777777" w:rsidR="007B12AB" w:rsidRPr="00607C4E" w:rsidRDefault="007B12AB" w:rsidP="007B12AB">
            <w:pPr>
              <w:spacing w:before="100" w:beforeAutospacing="1" w:after="100" w:afterAutospacing="1"/>
              <w:rPr>
                <w:rFonts w:eastAsia="Times New Roman"/>
                <w:sz w:val="22"/>
                <w:szCs w:val="22"/>
                <w:lang w:eastAsia="en-GB"/>
              </w:rPr>
            </w:pPr>
            <w:r w:rsidRPr="00607C4E">
              <w:rPr>
                <w:rFonts w:eastAsia="Times New Roman"/>
                <w:sz w:val="22"/>
                <w:szCs w:val="22"/>
                <w:lang w:eastAsia="en-GB"/>
              </w:rPr>
              <w:t>I confirm that all the information provided is accurate and truthful, and I acknowledge that my accreditation status is subject to the approval of the accrediting body.</w:t>
            </w:r>
          </w:p>
          <w:p w14:paraId="56074481" w14:textId="77777777" w:rsidR="007B12AB" w:rsidRPr="00607C4E" w:rsidRDefault="007B12AB" w:rsidP="007B12AB">
            <w:pPr>
              <w:spacing w:before="100" w:beforeAutospacing="1" w:after="100" w:afterAutospacing="1"/>
              <w:rPr>
                <w:rFonts w:eastAsia="Times New Roman"/>
                <w:sz w:val="22"/>
                <w:szCs w:val="22"/>
                <w:lang w:eastAsia="en-GB"/>
              </w:rPr>
            </w:pPr>
            <w:r w:rsidRPr="00607C4E">
              <w:rPr>
                <w:rFonts w:eastAsia="Times New Roman"/>
                <w:sz w:val="22"/>
                <w:szCs w:val="22"/>
                <w:lang w:eastAsia="en-GB"/>
              </w:rPr>
              <w:t>Applicant's Signature:</w:t>
            </w:r>
          </w:p>
          <w:p w14:paraId="735E4802" w14:textId="77777777" w:rsidR="007B12AB" w:rsidRPr="00607C4E" w:rsidRDefault="007B12AB" w:rsidP="007A0D4D">
            <w:pPr>
              <w:spacing w:before="100" w:beforeAutospacing="1" w:after="100" w:afterAutospacing="1"/>
              <w:rPr>
                <w:rFonts w:eastAsia="Times New Roman"/>
                <w:color w:val="4472C4" w:themeColor="accent1"/>
                <w:sz w:val="22"/>
                <w:szCs w:val="22"/>
                <w:lang w:eastAsia="en-GB"/>
              </w:rPr>
            </w:pPr>
          </w:p>
        </w:tc>
        <w:tc>
          <w:tcPr>
            <w:tcW w:w="4508" w:type="dxa"/>
          </w:tcPr>
          <w:p w14:paraId="02FD6619" w14:textId="77777777" w:rsidR="007B12AB" w:rsidRPr="00607C4E" w:rsidRDefault="007B12AB" w:rsidP="007A0D4D">
            <w:pPr>
              <w:spacing w:before="100" w:beforeAutospacing="1" w:after="100" w:afterAutospacing="1"/>
              <w:rPr>
                <w:rFonts w:eastAsia="Times New Roman"/>
                <w:sz w:val="22"/>
                <w:szCs w:val="22"/>
                <w:lang w:eastAsia="en-GB"/>
              </w:rPr>
            </w:pPr>
          </w:p>
        </w:tc>
      </w:tr>
      <w:tr w:rsidR="00660F77" w14:paraId="5F17DD88" w14:textId="77777777" w:rsidTr="00B16899">
        <w:trPr>
          <w:trHeight w:val="329"/>
        </w:trPr>
        <w:tc>
          <w:tcPr>
            <w:tcW w:w="4508" w:type="dxa"/>
          </w:tcPr>
          <w:p w14:paraId="1E9DBB87" w14:textId="77777777" w:rsidR="00660F77" w:rsidRPr="00607C4E" w:rsidRDefault="00660F77" w:rsidP="007A0D4D">
            <w:pPr>
              <w:spacing w:before="100" w:beforeAutospacing="1" w:after="100" w:afterAutospacing="1"/>
              <w:rPr>
                <w:rFonts w:eastAsia="Times New Roman"/>
                <w:sz w:val="22"/>
                <w:szCs w:val="22"/>
                <w:lang w:eastAsia="en-GB"/>
              </w:rPr>
            </w:pPr>
            <w:r w:rsidRPr="00607C4E">
              <w:rPr>
                <w:rFonts w:eastAsia="Times New Roman"/>
                <w:sz w:val="22"/>
                <w:szCs w:val="22"/>
                <w:lang w:eastAsia="en-GB"/>
              </w:rPr>
              <w:t>Date:</w:t>
            </w:r>
          </w:p>
        </w:tc>
        <w:tc>
          <w:tcPr>
            <w:tcW w:w="4508" w:type="dxa"/>
          </w:tcPr>
          <w:p w14:paraId="242FF6B2" w14:textId="77777777" w:rsidR="00660F77" w:rsidRPr="00607C4E" w:rsidRDefault="00660F77" w:rsidP="007A0D4D">
            <w:pPr>
              <w:spacing w:before="100" w:beforeAutospacing="1" w:after="100" w:afterAutospacing="1"/>
              <w:rPr>
                <w:rFonts w:eastAsia="Times New Roman"/>
                <w:sz w:val="22"/>
                <w:szCs w:val="22"/>
                <w:lang w:eastAsia="en-GB"/>
              </w:rPr>
            </w:pPr>
          </w:p>
        </w:tc>
      </w:tr>
    </w:tbl>
    <w:p w14:paraId="4CDC0B9C" w14:textId="7960D46B" w:rsidR="008E5F06" w:rsidRPr="004F6F51" w:rsidRDefault="008E5F06" w:rsidP="0046016B">
      <w:pPr>
        <w:tabs>
          <w:tab w:val="left" w:pos="383"/>
        </w:tabs>
        <w:spacing w:before="46" w:line="276" w:lineRule="auto"/>
        <w:rPr>
          <w:b/>
          <w:sz w:val="22"/>
          <w:szCs w:val="22"/>
        </w:rPr>
      </w:pPr>
    </w:p>
    <w:p w14:paraId="43D807CE" w14:textId="349B88AD" w:rsidR="008E5F06" w:rsidRPr="007B1368" w:rsidRDefault="008E5F06" w:rsidP="00F222FA">
      <w:pPr>
        <w:widowControl w:val="0"/>
        <w:autoSpaceDE w:val="0"/>
        <w:autoSpaceDN w:val="0"/>
        <w:adjustRightInd w:val="0"/>
        <w:spacing w:line="276" w:lineRule="auto"/>
        <w:jc w:val="both"/>
        <w:rPr>
          <w:rFonts w:eastAsia="Times New Roman"/>
          <w:sz w:val="22"/>
          <w:szCs w:val="22"/>
          <w:lang w:eastAsia="en-GB"/>
        </w:rPr>
      </w:pPr>
    </w:p>
    <w:p w14:paraId="71D538AE" w14:textId="77777777" w:rsidR="002B14A5" w:rsidRPr="007B1368" w:rsidRDefault="006E1BBE" w:rsidP="001E72FF">
      <w:pPr>
        <w:keepNext/>
        <w:pageBreakBefore/>
        <w:spacing w:after="120"/>
        <w:outlineLvl w:val="0"/>
        <w:rPr>
          <w:rFonts w:eastAsia="Times New Roman"/>
          <w:b/>
          <w:sz w:val="22"/>
          <w:szCs w:val="22"/>
          <w:lang w:eastAsia="en-GB"/>
        </w:rPr>
      </w:pPr>
      <w:bookmarkStart w:id="23" w:name="_Toc190354378"/>
      <w:bookmarkStart w:id="24" w:name="Appendix_C_Annual_Audit_Information"/>
      <w:r w:rsidRPr="007B1368">
        <w:rPr>
          <w:rFonts w:eastAsia="Times New Roman"/>
          <w:b/>
          <w:sz w:val="22"/>
          <w:szCs w:val="22"/>
          <w:lang w:eastAsia="en-GB"/>
        </w:rPr>
        <w:lastRenderedPageBreak/>
        <w:t>Appendix</w:t>
      </w:r>
      <w:r w:rsidR="001E72FF" w:rsidRPr="007B1368">
        <w:rPr>
          <w:rFonts w:eastAsia="Times New Roman"/>
          <w:b/>
          <w:sz w:val="22"/>
          <w:szCs w:val="22"/>
          <w:lang w:eastAsia="en-GB"/>
        </w:rPr>
        <w:t xml:space="preserve"> </w:t>
      </w:r>
      <w:r w:rsidR="008011ED" w:rsidRPr="007B1368">
        <w:rPr>
          <w:rFonts w:eastAsia="Times New Roman"/>
          <w:b/>
          <w:sz w:val="22"/>
          <w:szCs w:val="22"/>
          <w:lang w:eastAsia="en-GB"/>
        </w:rPr>
        <w:t>4</w:t>
      </w:r>
      <w:r w:rsidR="002B14A5" w:rsidRPr="007B1368">
        <w:rPr>
          <w:rFonts w:eastAsia="Times New Roman"/>
          <w:b/>
          <w:sz w:val="22"/>
          <w:szCs w:val="22"/>
          <w:lang w:eastAsia="en-GB"/>
        </w:rPr>
        <w:t xml:space="preserve"> -</w:t>
      </w:r>
      <w:r w:rsidR="001E72FF" w:rsidRPr="007B1368">
        <w:rPr>
          <w:rFonts w:eastAsia="Times New Roman"/>
          <w:b/>
          <w:sz w:val="22"/>
          <w:szCs w:val="22"/>
          <w:lang w:eastAsia="en-GB"/>
        </w:rPr>
        <w:t xml:space="preserve"> Annual Audit Information</w:t>
      </w:r>
      <w:bookmarkEnd w:id="23"/>
      <w:r w:rsidR="001E72FF" w:rsidRPr="007B1368">
        <w:rPr>
          <w:rFonts w:eastAsia="Times New Roman"/>
          <w:b/>
          <w:sz w:val="22"/>
          <w:szCs w:val="22"/>
          <w:lang w:eastAsia="en-GB"/>
        </w:rPr>
        <w:t xml:space="preserve">  </w:t>
      </w:r>
      <w:bookmarkEnd w:id="24"/>
    </w:p>
    <w:p w14:paraId="5E2ABED5" w14:textId="740E6A64" w:rsidR="002C7F4E" w:rsidRPr="007B1368" w:rsidRDefault="002C7F4E" w:rsidP="002C7F4E">
      <w:pPr>
        <w:rPr>
          <w:rFonts w:eastAsia="Times New Roman"/>
          <w:sz w:val="22"/>
          <w:szCs w:val="22"/>
          <w:lang w:eastAsia="en-GB"/>
        </w:rPr>
      </w:pPr>
      <w:r w:rsidRPr="007B1368">
        <w:rPr>
          <w:rFonts w:eastAsia="Times New Roman"/>
          <w:sz w:val="22"/>
          <w:szCs w:val="22"/>
          <w:lang w:eastAsia="en-GB"/>
        </w:rPr>
        <w:t>The Provider is responsible for ensuring that practitioners maintain their competencies in line with the requirements of this specification. To support this, the Annual Audit Form has been digitalised for online submission.</w:t>
      </w:r>
    </w:p>
    <w:p w14:paraId="68147324" w14:textId="77777777" w:rsidR="002C7F4E" w:rsidRPr="007B1368" w:rsidRDefault="002C7F4E" w:rsidP="002C7F4E">
      <w:pPr>
        <w:rPr>
          <w:rFonts w:eastAsia="Times New Roman"/>
          <w:sz w:val="22"/>
          <w:szCs w:val="22"/>
          <w:lang w:eastAsia="en-GB"/>
        </w:rPr>
      </w:pPr>
    </w:p>
    <w:p w14:paraId="012FAE8F" w14:textId="3BCAB75E" w:rsidR="001E72FF" w:rsidRPr="007B1368" w:rsidRDefault="002C7F4E" w:rsidP="002C7F4E">
      <w:pPr>
        <w:rPr>
          <w:rFonts w:eastAsia="Times New Roman"/>
          <w:sz w:val="22"/>
          <w:szCs w:val="22"/>
          <w:lang w:eastAsia="en-GB"/>
        </w:rPr>
      </w:pPr>
      <w:r w:rsidRPr="007B1368">
        <w:rPr>
          <w:rFonts w:eastAsia="Times New Roman"/>
          <w:sz w:val="22"/>
          <w:szCs w:val="22"/>
          <w:lang w:eastAsia="en-GB"/>
        </w:rPr>
        <w:t xml:space="preserve">Practitioners must complete the form and submit it annually as evidence of meeting the required competencies. </w:t>
      </w:r>
      <w:r w:rsidRPr="00783ECC">
        <w:rPr>
          <w:rFonts w:eastAsia="Times New Roman"/>
          <w:sz w:val="22"/>
          <w:szCs w:val="22"/>
          <w:lang w:eastAsia="en-GB"/>
        </w:rPr>
        <w:t xml:space="preserve">The </w:t>
      </w:r>
      <w:r w:rsidRPr="00330FE7">
        <w:rPr>
          <w:rFonts w:eastAsia="Times New Roman"/>
          <w:sz w:val="22"/>
          <w:szCs w:val="22"/>
          <w:lang w:eastAsia="en-GB"/>
        </w:rPr>
        <w:t xml:space="preserve">audit form </w:t>
      </w:r>
      <w:r w:rsidR="00D543C5" w:rsidRPr="00330FE7">
        <w:rPr>
          <w:rFonts w:eastAsia="Times New Roman"/>
          <w:sz w:val="22"/>
          <w:szCs w:val="22"/>
          <w:lang w:eastAsia="en-GB"/>
        </w:rPr>
        <w:t>(</w:t>
      </w:r>
      <w:r w:rsidRPr="00783ECC">
        <w:rPr>
          <w:rFonts w:eastAsia="Times New Roman"/>
          <w:sz w:val="22"/>
          <w:szCs w:val="22"/>
          <w:lang w:eastAsia="en-GB"/>
        </w:rPr>
        <w:t>will</w:t>
      </w:r>
      <w:r w:rsidRPr="007B1368">
        <w:rPr>
          <w:rFonts w:eastAsia="Times New Roman"/>
          <w:sz w:val="22"/>
          <w:szCs w:val="22"/>
          <w:lang w:eastAsia="en-GB"/>
        </w:rPr>
        <w:t xml:space="preserve"> request the following information</w:t>
      </w:r>
      <w:r w:rsidR="00DD2CDB">
        <w:rPr>
          <w:rFonts w:eastAsia="Times New Roman"/>
          <w:sz w:val="22"/>
          <w:szCs w:val="22"/>
          <w:lang w:eastAsia="en-GB"/>
        </w:rPr>
        <w:t>)</w:t>
      </w:r>
      <w:r w:rsidRPr="007B1368">
        <w:rPr>
          <w:rFonts w:eastAsia="Times New Roman"/>
          <w:sz w:val="22"/>
          <w:szCs w:val="22"/>
          <w:lang w:eastAsia="en-GB"/>
        </w:rPr>
        <w:t>:</w:t>
      </w:r>
    </w:p>
    <w:p w14:paraId="295B9D52" w14:textId="77777777" w:rsidR="002C7F4E" w:rsidRPr="00C805EF" w:rsidRDefault="002C7F4E" w:rsidP="003B6819">
      <w:pPr>
        <w:rPr>
          <w:rFonts w:eastAsia="Times New Roman"/>
          <w:sz w:val="22"/>
          <w:szCs w:val="22"/>
          <w:lang w:eastAsia="en-GB"/>
        </w:rPr>
      </w:pPr>
    </w:p>
    <w:p w14:paraId="7C7C99DF" w14:textId="77777777" w:rsidR="002C7F4E" w:rsidRPr="00C805EF" w:rsidRDefault="002C7F4E" w:rsidP="003B6819">
      <w:pPr>
        <w:rPr>
          <w:rFonts w:eastAsia="Times New Roman"/>
          <w:sz w:val="22"/>
          <w:szCs w:val="22"/>
          <w:lang w:eastAsia="en-GB"/>
        </w:rPr>
      </w:pPr>
    </w:p>
    <w:tbl>
      <w:tblPr>
        <w:tblStyle w:val="TableGrid"/>
        <w:tblW w:w="0" w:type="auto"/>
        <w:tblLook w:val="04A0" w:firstRow="1" w:lastRow="0" w:firstColumn="1" w:lastColumn="0" w:noHBand="0" w:noVBand="1"/>
      </w:tblPr>
      <w:tblGrid>
        <w:gridCol w:w="3005"/>
        <w:gridCol w:w="3005"/>
        <w:gridCol w:w="3006"/>
      </w:tblGrid>
      <w:tr w:rsidR="00640A75" w14:paraId="1DADE6BF" w14:textId="77777777" w:rsidTr="00A42B4C">
        <w:tc>
          <w:tcPr>
            <w:tcW w:w="3005" w:type="dxa"/>
            <w:vAlign w:val="center"/>
          </w:tcPr>
          <w:p w14:paraId="2CE8CE95" w14:textId="77777777" w:rsidR="00640A75" w:rsidRDefault="00640A75" w:rsidP="00A42B4C">
            <w:r>
              <w:rPr>
                <w:rFonts w:eastAsia="Times New Roman"/>
                <w:b/>
                <w:bCs/>
                <w:color w:val="000000"/>
                <w:sz w:val="22"/>
                <w:szCs w:val="22"/>
              </w:rPr>
              <w:t>Audit Details</w:t>
            </w:r>
          </w:p>
        </w:tc>
        <w:tc>
          <w:tcPr>
            <w:tcW w:w="3005" w:type="dxa"/>
          </w:tcPr>
          <w:p w14:paraId="7A4A028B" w14:textId="77777777" w:rsidR="00640A75" w:rsidRDefault="00640A75" w:rsidP="00A42B4C">
            <w:r w:rsidRPr="00C805EF">
              <w:rPr>
                <w:rFonts w:eastAsia="Times New Roman"/>
                <w:b/>
                <w:bCs/>
                <w:color w:val="000000"/>
                <w:sz w:val="22"/>
                <w:szCs w:val="22"/>
              </w:rPr>
              <w:t>IUD / IUS AUDIT</w:t>
            </w:r>
          </w:p>
        </w:tc>
        <w:tc>
          <w:tcPr>
            <w:tcW w:w="3006" w:type="dxa"/>
            <w:vAlign w:val="center"/>
          </w:tcPr>
          <w:p w14:paraId="0450753A" w14:textId="77777777" w:rsidR="00640A75" w:rsidRDefault="00640A75" w:rsidP="00A42B4C">
            <w:r w:rsidRPr="00C805EF">
              <w:rPr>
                <w:b/>
                <w:bCs/>
                <w:sz w:val="22"/>
                <w:szCs w:val="22"/>
              </w:rPr>
              <w:t>IMPLANT AUDIT</w:t>
            </w:r>
          </w:p>
        </w:tc>
      </w:tr>
      <w:tr w:rsidR="00640A75" w14:paraId="54357FE6" w14:textId="77777777" w:rsidTr="00A42B4C">
        <w:tc>
          <w:tcPr>
            <w:tcW w:w="3005" w:type="dxa"/>
          </w:tcPr>
          <w:p w14:paraId="3379FB77" w14:textId="77777777" w:rsidR="00640A75" w:rsidRDefault="00640A75" w:rsidP="00640A75">
            <w:pPr>
              <w:pStyle w:val="ListParagraph"/>
              <w:numPr>
                <w:ilvl w:val="0"/>
                <w:numId w:val="54"/>
              </w:numPr>
            </w:pPr>
            <w:r w:rsidRPr="00190859">
              <w:rPr>
                <w:rFonts w:eastAsia="Times New Roman"/>
                <w:color w:val="000000"/>
              </w:rPr>
              <w:t>Name of Practitioner</w:t>
            </w:r>
          </w:p>
        </w:tc>
        <w:tc>
          <w:tcPr>
            <w:tcW w:w="3005" w:type="dxa"/>
          </w:tcPr>
          <w:p w14:paraId="69B0C20B" w14:textId="77777777" w:rsidR="00640A75" w:rsidRDefault="00640A75" w:rsidP="00A42B4C"/>
        </w:tc>
        <w:tc>
          <w:tcPr>
            <w:tcW w:w="3006" w:type="dxa"/>
          </w:tcPr>
          <w:p w14:paraId="3D111A94" w14:textId="77777777" w:rsidR="00640A75" w:rsidRDefault="00640A75" w:rsidP="00A42B4C"/>
        </w:tc>
      </w:tr>
      <w:tr w:rsidR="00640A75" w14:paraId="19909E3D" w14:textId="77777777" w:rsidTr="00A42B4C">
        <w:tc>
          <w:tcPr>
            <w:tcW w:w="3005" w:type="dxa"/>
          </w:tcPr>
          <w:p w14:paraId="2378761E" w14:textId="77777777" w:rsidR="00640A75" w:rsidRDefault="00640A75" w:rsidP="00640A75">
            <w:pPr>
              <w:pStyle w:val="ListParagraph"/>
              <w:numPr>
                <w:ilvl w:val="0"/>
                <w:numId w:val="54"/>
              </w:numPr>
            </w:pPr>
            <w:r w:rsidRPr="00190859">
              <w:rPr>
                <w:rFonts w:eastAsia="Times New Roman"/>
                <w:color w:val="000000"/>
              </w:rPr>
              <w:t>Practitioner Email</w:t>
            </w:r>
          </w:p>
        </w:tc>
        <w:tc>
          <w:tcPr>
            <w:tcW w:w="3005" w:type="dxa"/>
          </w:tcPr>
          <w:p w14:paraId="5F583563" w14:textId="77777777" w:rsidR="00640A75" w:rsidRDefault="00640A75" w:rsidP="00A42B4C"/>
        </w:tc>
        <w:tc>
          <w:tcPr>
            <w:tcW w:w="3006" w:type="dxa"/>
          </w:tcPr>
          <w:p w14:paraId="560504A9" w14:textId="77777777" w:rsidR="00640A75" w:rsidRDefault="00640A75" w:rsidP="00A42B4C"/>
        </w:tc>
      </w:tr>
      <w:tr w:rsidR="00640A75" w14:paraId="6C2FE55B" w14:textId="77777777" w:rsidTr="00A42B4C">
        <w:tc>
          <w:tcPr>
            <w:tcW w:w="9016" w:type="dxa"/>
            <w:gridSpan w:val="3"/>
          </w:tcPr>
          <w:p w14:paraId="5C1351A4" w14:textId="77777777" w:rsidR="00640A75" w:rsidRDefault="00640A75" w:rsidP="00640A75">
            <w:pPr>
              <w:pStyle w:val="ListParagraph"/>
              <w:numPr>
                <w:ilvl w:val="0"/>
                <w:numId w:val="54"/>
              </w:numPr>
            </w:pPr>
            <w:r w:rsidRPr="00190859">
              <w:rPr>
                <w:rFonts w:eastAsia="Times New Roman"/>
                <w:color w:val="000000"/>
              </w:rPr>
              <w:t>Practitioner Qualifications Held</w:t>
            </w:r>
          </w:p>
        </w:tc>
      </w:tr>
      <w:tr w:rsidR="00640A75" w14:paraId="141BE668" w14:textId="77777777" w:rsidTr="00A42B4C">
        <w:tc>
          <w:tcPr>
            <w:tcW w:w="3005" w:type="dxa"/>
          </w:tcPr>
          <w:p w14:paraId="047EB9AA" w14:textId="77777777" w:rsidR="00640A75" w:rsidRPr="00190859" w:rsidRDefault="00640A75" w:rsidP="00640A75">
            <w:pPr>
              <w:pStyle w:val="ListParagraph"/>
              <w:numPr>
                <w:ilvl w:val="0"/>
                <w:numId w:val="55"/>
              </w:numPr>
              <w:autoSpaceDE w:val="0"/>
              <w:autoSpaceDN w:val="0"/>
              <w:adjustRightInd w:val="0"/>
              <w:spacing w:after="200"/>
              <w:rPr>
                <w:rFonts w:eastAsia="Times New Roman"/>
                <w:color w:val="000000"/>
              </w:rPr>
            </w:pPr>
            <w:r w:rsidRPr="00190859">
              <w:rPr>
                <w:rFonts w:eastAsia="Times New Roman"/>
                <w:color w:val="000000"/>
              </w:rPr>
              <w:t>FSRH LoC date of achievement</w:t>
            </w:r>
          </w:p>
          <w:p w14:paraId="0CA56DED" w14:textId="77777777" w:rsidR="00640A75" w:rsidRDefault="00640A75" w:rsidP="00A42B4C"/>
        </w:tc>
        <w:tc>
          <w:tcPr>
            <w:tcW w:w="3005" w:type="dxa"/>
          </w:tcPr>
          <w:p w14:paraId="4176D54B" w14:textId="77777777" w:rsidR="00640A75" w:rsidRDefault="00640A75" w:rsidP="00A42B4C"/>
        </w:tc>
        <w:tc>
          <w:tcPr>
            <w:tcW w:w="3006" w:type="dxa"/>
          </w:tcPr>
          <w:p w14:paraId="06E180EE" w14:textId="77777777" w:rsidR="00640A75" w:rsidRDefault="00640A75" w:rsidP="00A42B4C"/>
        </w:tc>
      </w:tr>
      <w:tr w:rsidR="00640A75" w14:paraId="3068349F" w14:textId="77777777" w:rsidTr="00A42B4C">
        <w:tc>
          <w:tcPr>
            <w:tcW w:w="3005" w:type="dxa"/>
          </w:tcPr>
          <w:p w14:paraId="0D62E340" w14:textId="77777777" w:rsidR="00640A75" w:rsidRPr="00190859" w:rsidRDefault="00640A75" w:rsidP="00640A75">
            <w:pPr>
              <w:pStyle w:val="ListParagraph"/>
              <w:numPr>
                <w:ilvl w:val="0"/>
                <w:numId w:val="55"/>
              </w:numPr>
              <w:autoSpaceDE w:val="0"/>
              <w:autoSpaceDN w:val="0"/>
              <w:adjustRightInd w:val="0"/>
              <w:spacing w:after="200"/>
              <w:rPr>
                <w:rFonts w:eastAsia="Times New Roman"/>
                <w:color w:val="000000"/>
              </w:rPr>
            </w:pPr>
            <w:r w:rsidRPr="00190859">
              <w:rPr>
                <w:rFonts w:eastAsia="Times New Roman"/>
                <w:color w:val="000000"/>
              </w:rPr>
              <w:t>FSRH LoC recertification due date</w:t>
            </w:r>
          </w:p>
          <w:p w14:paraId="25B4BBF5" w14:textId="77777777" w:rsidR="00640A75" w:rsidRDefault="00640A75" w:rsidP="00A42B4C"/>
        </w:tc>
        <w:tc>
          <w:tcPr>
            <w:tcW w:w="3005" w:type="dxa"/>
          </w:tcPr>
          <w:p w14:paraId="219B7834" w14:textId="77777777" w:rsidR="00640A75" w:rsidRDefault="00640A75" w:rsidP="00A42B4C"/>
        </w:tc>
        <w:tc>
          <w:tcPr>
            <w:tcW w:w="3006" w:type="dxa"/>
          </w:tcPr>
          <w:p w14:paraId="645F2054" w14:textId="77777777" w:rsidR="00640A75" w:rsidRDefault="00640A75" w:rsidP="00A42B4C"/>
        </w:tc>
      </w:tr>
      <w:tr w:rsidR="00640A75" w14:paraId="4CD57496" w14:textId="77777777" w:rsidTr="00A42B4C">
        <w:tc>
          <w:tcPr>
            <w:tcW w:w="3005" w:type="dxa"/>
          </w:tcPr>
          <w:p w14:paraId="790A6804" w14:textId="77777777" w:rsidR="00640A75" w:rsidRPr="00640A75" w:rsidRDefault="00640A75" w:rsidP="00640A75">
            <w:pPr>
              <w:pStyle w:val="ListParagraph"/>
              <w:numPr>
                <w:ilvl w:val="0"/>
                <w:numId w:val="55"/>
              </w:numPr>
            </w:pPr>
            <w:r w:rsidRPr="00190859">
              <w:rPr>
                <w:rFonts w:eastAsia="Times New Roman"/>
                <w:color w:val="000000"/>
              </w:rPr>
              <w:t>Details of most recent update training attended</w:t>
            </w:r>
          </w:p>
          <w:p w14:paraId="28B78623" w14:textId="4749E607" w:rsidR="00640A75" w:rsidRDefault="00640A75" w:rsidP="00640A75">
            <w:pPr>
              <w:pStyle w:val="ListParagraph"/>
            </w:pPr>
          </w:p>
        </w:tc>
        <w:tc>
          <w:tcPr>
            <w:tcW w:w="3005" w:type="dxa"/>
          </w:tcPr>
          <w:p w14:paraId="23A1C668" w14:textId="77777777" w:rsidR="00640A75" w:rsidRDefault="00640A75" w:rsidP="00A42B4C"/>
        </w:tc>
        <w:tc>
          <w:tcPr>
            <w:tcW w:w="3006" w:type="dxa"/>
          </w:tcPr>
          <w:p w14:paraId="10454785" w14:textId="77777777" w:rsidR="00640A75" w:rsidRDefault="00640A75" w:rsidP="00A42B4C"/>
        </w:tc>
      </w:tr>
      <w:tr w:rsidR="00640A75" w14:paraId="29C8DBE4" w14:textId="77777777" w:rsidTr="00A42B4C">
        <w:tc>
          <w:tcPr>
            <w:tcW w:w="9016" w:type="dxa"/>
            <w:gridSpan w:val="3"/>
          </w:tcPr>
          <w:p w14:paraId="33E66BF8" w14:textId="77777777" w:rsidR="00640A75" w:rsidRDefault="00640A75" w:rsidP="00640A75">
            <w:pPr>
              <w:pStyle w:val="ListParagraph"/>
              <w:numPr>
                <w:ilvl w:val="0"/>
                <w:numId w:val="54"/>
              </w:numPr>
            </w:pPr>
            <w:r w:rsidRPr="00BA1833">
              <w:rPr>
                <w:rFonts w:eastAsia="Times New Roman"/>
                <w:color w:val="000000"/>
              </w:rPr>
              <w:t>Activity, quantified by IUS and by IUD</w:t>
            </w:r>
          </w:p>
        </w:tc>
      </w:tr>
      <w:tr w:rsidR="00640A75" w14:paraId="6AE8BECD" w14:textId="77777777" w:rsidTr="00A42B4C">
        <w:tc>
          <w:tcPr>
            <w:tcW w:w="3005" w:type="dxa"/>
          </w:tcPr>
          <w:p w14:paraId="19A888A8" w14:textId="77777777" w:rsidR="00640A75" w:rsidRPr="00BA1833" w:rsidRDefault="00640A75" w:rsidP="00640A75">
            <w:pPr>
              <w:pStyle w:val="ListParagraph"/>
              <w:numPr>
                <w:ilvl w:val="0"/>
                <w:numId w:val="56"/>
              </w:numPr>
              <w:autoSpaceDE w:val="0"/>
              <w:autoSpaceDN w:val="0"/>
              <w:adjustRightInd w:val="0"/>
              <w:spacing w:after="200"/>
              <w:rPr>
                <w:rFonts w:eastAsia="Times New Roman"/>
                <w:color w:val="000000"/>
              </w:rPr>
            </w:pPr>
            <w:r w:rsidRPr="00BA1833">
              <w:rPr>
                <w:rFonts w:eastAsia="Times New Roman"/>
                <w:color w:val="000000"/>
              </w:rPr>
              <w:t>Number of fits</w:t>
            </w:r>
          </w:p>
          <w:p w14:paraId="718F4BCD" w14:textId="77777777" w:rsidR="00640A75" w:rsidRDefault="00640A75" w:rsidP="00A42B4C"/>
        </w:tc>
        <w:tc>
          <w:tcPr>
            <w:tcW w:w="3005" w:type="dxa"/>
          </w:tcPr>
          <w:p w14:paraId="215BEF36" w14:textId="77777777" w:rsidR="00640A75" w:rsidRDefault="00640A75" w:rsidP="00A42B4C"/>
        </w:tc>
        <w:tc>
          <w:tcPr>
            <w:tcW w:w="3006" w:type="dxa"/>
          </w:tcPr>
          <w:p w14:paraId="5EF4A848" w14:textId="77777777" w:rsidR="00640A75" w:rsidRDefault="00640A75" w:rsidP="00A42B4C"/>
        </w:tc>
      </w:tr>
      <w:tr w:rsidR="00640A75" w14:paraId="493DA78F" w14:textId="77777777" w:rsidTr="00A42B4C">
        <w:tc>
          <w:tcPr>
            <w:tcW w:w="3005" w:type="dxa"/>
          </w:tcPr>
          <w:p w14:paraId="7DECA6D8" w14:textId="77777777" w:rsidR="00640A75" w:rsidRPr="00BA1833" w:rsidRDefault="00640A75" w:rsidP="00640A75">
            <w:pPr>
              <w:pStyle w:val="ListParagraph"/>
              <w:numPr>
                <w:ilvl w:val="0"/>
                <w:numId w:val="56"/>
              </w:numPr>
              <w:autoSpaceDE w:val="0"/>
              <w:autoSpaceDN w:val="0"/>
              <w:adjustRightInd w:val="0"/>
              <w:spacing w:after="200"/>
              <w:rPr>
                <w:rFonts w:eastAsia="Times New Roman"/>
                <w:color w:val="000000"/>
              </w:rPr>
            </w:pPr>
            <w:r w:rsidRPr="00BA1833">
              <w:rPr>
                <w:rFonts w:eastAsia="Times New Roman"/>
                <w:color w:val="000000"/>
              </w:rPr>
              <w:t>Number of post fit reviews</w:t>
            </w:r>
          </w:p>
          <w:p w14:paraId="7AC9ADB7" w14:textId="77777777" w:rsidR="00640A75" w:rsidRDefault="00640A75" w:rsidP="00A42B4C"/>
        </w:tc>
        <w:tc>
          <w:tcPr>
            <w:tcW w:w="3005" w:type="dxa"/>
          </w:tcPr>
          <w:p w14:paraId="261A526C" w14:textId="77777777" w:rsidR="00640A75" w:rsidRDefault="00640A75" w:rsidP="00A42B4C"/>
        </w:tc>
        <w:tc>
          <w:tcPr>
            <w:tcW w:w="3006" w:type="dxa"/>
          </w:tcPr>
          <w:p w14:paraId="5AD8C656" w14:textId="77777777" w:rsidR="00640A75" w:rsidRDefault="00640A75" w:rsidP="00A42B4C"/>
        </w:tc>
      </w:tr>
      <w:tr w:rsidR="00640A75" w14:paraId="47967AD8" w14:textId="77777777" w:rsidTr="00A42B4C">
        <w:tc>
          <w:tcPr>
            <w:tcW w:w="3005" w:type="dxa"/>
          </w:tcPr>
          <w:p w14:paraId="5D51FC61" w14:textId="77777777" w:rsidR="00640A75" w:rsidRPr="00BA1833" w:rsidRDefault="00640A75" w:rsidP="00640A75">
            <w:pPr>
              <w:pStyle w:val="ListParagraph"/>
              <w:numPr>
                <w:ilvl w:val="0"/>
                <w:numId w:val="56"/>
              </w:numPr>
              <w:autoSpaceDE w:val="0"/>
              <w:autoSpaceDN w:val="0"/>
              <w:adjustRightInd w:val="0"/>
              <w:spacing w:after="200"/>
              <w:rPr>
                <w:rFonts w:eastAsia="Times New Roman"/>
                <w:color w:val="000000"/>
              </w:rPr>
            </w:pPr>
            <w:r w:rsidRPr="00BA1833">
              <w:rPr>
                <w:rFonts w:eastAsia="Times New Roman"/>
                <w:color w:val="000000"/>
              </w:rPr>
              <w:t>Number of removals</w:t>
            </w:r>
          </w:p>
          <w:p w14:paraId="2D4BF081" w14:textId="77777777" w:rsidR="00640A75" w:rsidRDefault="00640A75" w:rsidP="00A42B4C"/>
        </w:tc>
        <w:tc>
          <w:tcPr>
            <w:tcW w:w="3005" w:type="dxa"/>
          </w:tcPr>
          <w:p w14:paraId="5556417B" w14:textId="77777777" w:rsidR="00640A75" w:rsidRDefault="00640A75" w:rsidP="00A42B4C"/>
        </w:tc>
        <w:tc>
          <w:tcPr>
            <w:tcW w:w="3006" w:type="dxa"/>
          </w:tcPr>
          <w:p w14:paraId="691AE37F" w14:textId="77777777" w:rsidR="00640A75" w:rsidRDefault="00640A75" w:rsidP="00A42B4C"/>
        </w:tc>
      </w:tr>
      <w:tr w:rsidR="00640A75" w14:paraId="501EAB75" w14:textId="77777777" w:rsidTr="00A42B4C">
        <w:tc>
          <w:tcPr>
            <w:tcW w:w="3005" w:type="dxa"/>
          </w:tcPr>
          <w:p w14:paraId="72F38609" w14:textId="77777777" w:rsidR="00640A75" w:rsidRPr="00BA1833" w:rsidRDefault="00640A75" w:rsidP="00640A75">
            <w:pPr>
              <w:pStyle w:val="ListParagraph"/>
              <w:numPr>
                <w:ilvl w:val="0"/>
                <w:numId w:val="56"/>
              </w:numPr>
              <w:autoSpaceDE w:val="0"/>
              <w:autoSpaceDN w:val="0"/>
              <w:adjustRightInd w:val="0"/>
              <w:spacing w:after="200"/>
              <w:rPr>
                <w:rFonts w:eastAsia="Times New Roman"/>
                <w:color w:val="000000"/>
              </w:rPr>
            </w:pPr>
            <w:r w:rsidRPr="00BA1833">
              <w:rPr>
                <w:rFonts w:eastAsia="Times New Roman"/>
                <w:color w:val="000000"/>
              </w:rPr>
              <w:t>Number of chlamydia tests for under 25s undertaken prior to fit</w:t>
            </w:r>
          </w:p>
        </w:tc>
        <w:tc>
          <w:tcPr>
            <w:tcW w:w="3005" w:type="dxa"/>
          </w:tcPr>
          <w:p w14:paraId="0369F1BF" w14:textId="77777777" w:rsidR="00640A75" w:rsidRDefault="00640A75" w:rsidP="00A42B4C"/>
        </w:tc>
        <w:tc>
          <w:tcPr>
            <w:tcW w:w="3006" w:type="dxa"/>
          </w:tcPr>
          <w:p w14:paraId="126BE436" w14:textId="77777777" w:rsidR="00640A75" w:rsidRDefault="00640A75" w:rsidP="00A42B4C"/>
        </w:tc>
      </w:tr>
      <w:tr w:rsidR="00640A75" w14:paraId="5001A92D" w14:textId="77777777" w:rsidTr="00A42B4C">
        <w:tc>
          <w:tcPr>
            <w:tcW w:w="3005" w:type="dxa"/>
          </w:tcPr>
          <w:p w14:paraId="43A4780D" w14:textId="77777777" w:rsidR="00640A75" w:rsidRDefault="00640A75" w:rsidP="00640A75">
            <w:pPr>
              <w:pStyle w:val="ListParagraph"/>
              <w:numPr>
                <w:ilvl w:val="0"/>
                <w:numId w:val="54"/>
              </w:numPr>
            </w:pPr>
            <w:r w:rsidRPr="00BA1833">
              <w:rPr>
                <w:rFonts w:eastAsia="Times New Roman"/>
                <w:color w:val="000000"/>
              </w:rPr>
              <w:t>Quantity of SDI fittings, by age group (under 19, 19-25, over 25)</w:t>
            </w:r>
          </w:p>
        </w:tc>
        <w:tc>
          <w:tcPr>
            <w:tcW w:w="3005" w:type="dxa"/>
          </w:tcPr>
          <w:p w14:paraId="179E6EAE" w14:textId="77777777" w:rsidR="00640A75" w:rsidRDefault="00640A75" w:rsidP="00A42B4C"/>
        </w:tc>
        <w:tc>
          <w:tcPr>
            <w:tcW w:w="3006" w:type="dxa"/>
          </w:tcPr>
          <w:p w14:paraId="3408C887" w14:textId="77777777" w:rsidR="00640A75" w:rsidRDefault="00640A75" w:rsidP="00A42B4C"/>
        </w:tc>
      </w:tr>
      <w:tr w:rsidR="00640A75" w14:paraId="7BEBEB12" w14:textId="77777777" w:rsidTr="00A42B4C">
        <w:tc>
          <w:tcPr>
            <w:tcW w:w="9016" w:type="dxa"/>
            <w:gridSpan w:val="3"/>
          </w:tcPr>
          <w:p w14:paraId="6AC3FDC9" w14:textId="77777777" w:rsidR="00640A75" w:rsidRDefault="00640A75" w:rsidP="00640A75">
            <w:pPr>
              <w:pStyle w:val="ListParagraph"/>
              <w:numPr>
                <w:ilvl w:val="0"/>
                <w:numId w:val="54"/>
              </w:numPr>
            </w:pPr>
            <w:r w:rsidRPr="007064E6">
              <w:rPr>
                <w:rFonts w:eastAsia="Times New Roman"/>
                <w:color w:val="000000"/>
              </w:rPr>
              <w:lastRenderedPageBreak/>
              <w:t>Reason for removals, detailed for IUD and for IUS</w:t>
            </w:r>
          </w:p>
        </w:tc>
      </w:tr>
      <w:tr w:rsidR="00640A75" w14:paraId="1AD51B96" w14:textId="77777777" w:rsidTr="00A42B4C">
        <w:tc>
          <w:tcPr>
            <w:tcW w:w="3005" w:type="dxa"/>
          </w:tcPr>
          <w:p w14:paraId="24A616B0" w14:textId="77777777" w:rsidR="00640A75" w:rsidRPr="00E86708" w:rsidRDefault="00640A75" w:rsidP="00640A75">
            <w:pPr>
              <w:pStyle w:val="ListParagraph"/>
              <w:numPr>
                <w:ilvl w:val="0"/>
                <w:numId w:val="57"/>
              </w:numPr>
              <w:autoSpaceDE w:val="0"/>
              <w:autoSpaceDN w:val="0"/>
              <w:adjustRightInd w:val="0"/>
              <w:spacing w:after="200"/>
              <w:rPr>
                <w:rFonts w:eastAsia="Times New Roman"/>
                <w:color w:val="000000"/>
              </w:rPr>
            </w:pPr>
            <w:r w:rsidRPr="00BA1833">
              <w:rPr>
                <w:rFonts w:eastAsia="Times New Roman"/>
                <w:color w:val="000000"/>
              </w:rPr>
              <w:t>Expired</w:t>
            </w:r>
          </w:p>
        </w:tc>
        <w:tc>
          <w:tcPr>
            <w:tcW w:w="3005" w:type="dxa"/>
          </w:tcPr>
          <w:p w14:paraId="12C12F3D" w14:textId="77777777" w:rsidR="00640A75" w:rsidRDefault="00640A75" w:rsidP="00A42B4C"/>
        </w:tc>
        <w:tc>
          <w:tcPr>
            <w:tcW w:w="3006" w:type="dxa"/>
          </w:tcPr>
          <w:p w14:paraId="183DEDB6" w14:textId="77777777" w:rsidR="00640A75" w:rsidRDefault="00640A75" w:rsidP="00A42B4C"/>
        </w:tc>
      </w:tr>
      <w:tr w:rsidR="00640A75" w14:paraId="3D2B78F1" w14:textId="77777777" w:rsidTr="00A42B4C">
        <w:tc>
          <w:tcPr>
            <w:tcW w:w="3005" w:type="dxa"/>
          </w:tcPr>
          <w:p w14:paraId="7C90135E" w14:textId="77777777" w:rsidR="00640A75" w:rsidRPr="00E86708" w:rsidRDefault="00640A75" w:rsidP="00640A75">
            <w:pPr>
              <w:pStyle w:val="ListParagraph"/>
              <w:numPr>
                <w:ilvl w:val="0"/>
                <w:numId w:val="57"/>
              </w:numPr>
              <w:autoSpaceDE w:val="0"/>
              <w:autoSpaceDN w:val="0"/>
              <w:adjustRightInd w:val="0"/>
              <w:spacing w:after="200"/>
              <w:rPr>
                <w:rFonts w:eastAsia="Times New Roman"/>
                <w:color w:val="000000"/>
              </w:rPr>
            </w:pPr>
            <w:r w:rsidRPr="00E86708">
              <w:rPr>
                <w:rFonts w:eastAsia="Times New Roman"/>
                <w:color w:val="000000"/>
                <w:lang w:eastAsia="en-GB"/>
              </w:rPr>
              <w:t>Unwanted Side Effects</w:t>
            </w:r>
          </w:p>
        </w:tc>
        <w:tc>
          <w:tcPr>
            <w:tcW w:w="3005" w:type="dxa"/>
          </w:tcPr>
          <w:p w14:paraId="3E440119" w14:textId="77777777" w:rsidR="00640A75" w:rsidRDefault="00640A75" w:rsidP="00A42B4C"/>
        </w:tc>
        <w:tc>
          <w:tcPr>
            <w:tcW w:w="3006" w:type="dxa"/>
          </w:tcPr>
          <w:p w14:paraId="51EAF0FA" w14:textId="77777777" w:rsidR="00640A75" w:rsidRDefault="00640A75" w:rsidP="00A42B4C"/>
        </w:tc>
      </w:tr>
      <w:tr w:rsidR="00640A75" w14:paraId="2885B0AA" w14:textId="77777777" w:rsidTr="00A42B4C">
        <w:tc>
          <w:tcPr>
            <w:tcW w:w="3005" w:type="dxa"/>
          </w:tcPr>
          <w:p w14:paraId="47CB9263" w14:textId="77777777" w:rsidR="00640A75" w:rsidRPr="00E86708" w:rsidRDefault="00640A75" w:rsidP="00640A75">
            <w:pPr>
              <w:pStyle w:val="ListParagraph"/>
              <w:numPr>
                <w:ilvl w:val="0"/>
                <w:numId w:val="57"/>
              </w:numPr>
              <w:autoSpaceDE w:val="0"/>
              <w:autoSpaceDN w:val="0"/>
              <w:adjustRightInd w:val="0"/>
              <w:spacing w:after="200"/>
              <w:rPr>
                <w:rFonts w:eastAsia="Times New Roman"/>
                <w:color w:val="000000"/>
              </w:rPr>
            </w:pPr>
            <w:r w:rsidRPr="00E86708">
              <w:rPr>
                <w:rFonts w:eastAsia="Times New Roman"/>
                <w:color w:val="000000"/>
              </w:rPr>
              <w:t>Planning pregnancy</w:t>
            </w:r>
          </w:p>
        </w:tc>
        <w:tc>
          <w:tcPr>
            <w:tcW w:w="3005" w:type="dxa"/>
          </w:tcPr>
          <w:p w14:paraId="67BBBBD3" w14:textId="77777777" w:rsidR="00640A75" w:rsidRDefault="00640A75" w:rsidP="00A42B4C"/>
        </w:tc>
        <w:tc>
          <w:tcPr>
            <w:tcW w:w="3006" w:type="dxa"/>
          </w:tcPr>
          <w:p w14:paraId="28218205" w14:textId="77777777" w:rsidR="00640A75" w:rsidRDefault="00640A75" w:rsidP="00A42B4C"/>
        </w:tc>
      </w:tr>
      <w:tr w:rsidR="00640A75" w14:paraId="7F55D19B" w14:textId="77777777" w:rsidTr="00A42B4C">
        <w:tc>
          <w:tcPr>
            <w:tcW w:w="3005" w:type="dxa"/>
          </w:tcPr>
          <w:p w14:paraId="2BD7421A" w14:textId="77777777" w:rsidR="00640A75" w:rsidRPr="00E86708" w:rsidRDefault="00640A75" w:rsidP="00640A75">
            <w:pPr>
              <w:pStyle w:val="ListParagraph"/>
              <w:numPr>
                <w:ilvl w:val="0"/>
                <w:numId w:val="57"/>
              </w:numPr>
              <w:autoSpaceDE w:val="0"/>
              <w:autoSpaceDN w:val="0"/>
              <w:adjustRightInd w:val="0"/>
              <w:spacing w:after="200"/>
              <w:rPr>
                <w:rFonts w:eastAsia="Times New Roman"/>
                <w:color w:val="000000"/>
              </w:rPr>
            </w:pPr>
            <w:r w:rsidRPr="00E86708">
              <w:rPr>
                <w:rFonts w:eastAsia="Times New Roman"/>
                <w:color w:val="000000"/>
              </w:rPr>
              <w:t>Replacement</w:t>
            </w:r>
          </w:p>
        </w:tc>
        <w:tc>
          <w:tcPr>
            <w:tcW w:w="3005" w:type="dxa"/>
          </w:tcPr>
          <w:p w14:paraId="7C0F98D6" w14:textId="77777777" w:rsidR="00640A75" w:rsidRDefault="00640A75" w:rsidP="00A42B4C"/>
        </w:tc>
        <w:tc>
          <w:tcPr>
            <w:tcW w:w="3006" w:type="dxa"/>
          </w:tcPr>
          <w:p w14:paraId="7D674F30" w14:textId="77777777" w:rsidR="00640A75" w:rsidRDefault="00640A75" w:rsidP="00A42B4C"/>
        </w:tc>
      </w:tr>
      <w:tr w:rsidR="00640A75" w14:paraId="48EEFEF5" w14:textId="77777777" w:rsidTr="00A42B4C">
        <w:tc>
          <w:tcPr>
            <w:tcW w:w="3005" w:type="dxa"/>
          </w:tcPr>
          <w:p w14:paraId="1A571A2D" w14:textId="77777777" w:rsidR="00640A75" w:rsidRPr="00E86708" w:rsidRDefault="00640A75" w:rsidP="00640A75">
            <w:pPr>
              <w:pStyle w:val="ListParagraph"/>
              <w:numPr>
                <w:ilvl w:val="0"/>
                <w:numId w:val="57"/>
              </w:numPr>
              <w:autoSpaceDE w:val="0"/>
              <w:autoSpaceDN w:val="0"/>
              <w:adjustRightInd w:val="0"/>
              <w:spacing w:after="200"/>
              <w:rPr>
                <w:rFonts w:eastAsia="Times New Roman"/>
                <w:color w:val="000000"/>
              </w:rPr>
            </w:pPr>
            <w:r w:rsidRPr="00BA1833">
              <w:rPr>
                <w:rFonts w:eastAsia="Times New Roman"/>
                <w:color w:val="000000"/>
              </w:rPr>
              <w:t>No longer required</w:t>
            </w:r>
          </w:p>
        </w:tc>
        <w:tc>
          <w:tcPr>
            <w:tcW w:w="3005" w:type="dxa"/>
          </w:tcPr>
          <w:p w14:paraId="1A93F55C" w14:textId="77777777" w:rsidR="00640A75" w:rsidRDefault="00640A75" w:rsidP="00A42B4C"/>
        </w:tc>
        <w:tc>
          <w:tcPr>
            <w:tcW w:w="3006" w:type="dxa"/>
          </w:tcPr>
          <w:p w14:paraId="39388910" w14:textId="77777777" w:rsidR="00640A75" w:rsidRDefault="00640A75" w:rsidP="00A42B4C"/>
        </w:tc>
      </w:tr>
      <w:tr w:rsidR="00640A75" w14:paraId="6EF65BFE" w14:textId="77777777" w:rsidTr="00A42B4C">
        <w:tc>
          <w:tcPr>
            <w:tcW w:w="3005" w:type="dxa"/>
          </w:tcPr>
          <w:p w14:paraId="13B7D62C" w14:textId="77777777" w:rsidR="00640A75" w:rsidRPr="00BA1833" w:rsidRDefault="00640A75" w:rsidP="00640A75">
            <w:pPr>
              <w:pStyle w:val="ListParagraph"/>
              <w:numPr>
                <w:ilvl w:val="0"/>
                <w:numId w:val="57"/>
              </w:numPr>
              <w:autoSpaceDE w:val="0"/>
              <w:autoSpaceDN w:val="0"/>
              <w:adjustRightInd w:val="0"/>
              <w:spacing w:after="200"/>
              <w:rPr>
                <w:rFonts w:eastAsia="Times New Roman"/>
                <w:color w:val="000000"/>
              </w:rPr>
            </w:pPr>
            <w:r w:rsidRPr="00BA1833">
              <w:rPr>
                <w:rFonts w:eastAsia="Times New Roman"/>
                <w:color w:val="000000"/>
              </w:rPr>
              <w:t>Others (Specify and include action taken</w:t>
            </w:r>
          </w:p>
        </w:tc>
        <w:tc>
          <w:tcPr>
            <w:tcW w:w="3005" w:type="dxa"/>
          </w:tcPr>
          <w:p w14:paraId="0EA00F4F" w14:textId="77777777" w:rsidR="00640A75" w:rsidRDefault="00640A75" w:rsidP="00A42B4C"/>
        </w:tc>
        <w:tc>
          <w:tcPr>
            <w:tcW w:w="3006" w:type="dxa"/>
          </w:tcPr>
          <w:p w14:paraId="2D77FB74" w14:textId="77777777" w:rsidR="00640A75" w:rsidRDefault="00640A75" w:rsidP="00A42B4C"/>
        </w:tc>
      </w:tr>
      <w:tr w:rsidR="00640A75" w14:paraId="7054148A" w14:textId="77777777" w:rsidTr="00A42B4C">
        <w:tc>
          <w:tcPr>
            <w:tcW w:w="3005" w:type="dxa"/>
          </w:tcPr>
          <w:p w14:paraId="42B207EF" w14:textId="77777777" w:rsidR="00640A75" w:rsidRPr="00640A75" w:rsidRDefault="00640A75" w:rsidP="00640A75">
            <w:pPr>
              <w:pStyle w:val="ListParagraph"/>
              <w:numPr>
                <w:ilvl w:val="0"/>
                <w:numId w:val="54"/>
              </w:numPr>
            </w:pPr>
            <w:r w:rsidRPr="001445EE">
              <w:rPr>
                <w:rFonts w:eastAsia="Times New Roman"/>
                <w:color w:val="000000"/>
              </w:rPr>
              <w:t>Quantity of removals, by age group as d) above</w:t>
            </w:r>
          </w:p>
          <w:p w14:paraId="7C340AB8" w14:textId="1F455A9D" w:rsidR="00640A75" w:rsidRDefault="00640A75" w:rsidP="00640A75">
            <w:pPr>
              <w:pStyle w:val="ListParagraph"/>
            </w:pPr>
          </w:p>
        </w:tc>
        <w:tc>
          <w:tcPr>
            <w:tcW w:w="3005" w:type="dxa"/>
          </w:tcPr>
          <w:p w14:paraId="738C20F6" w14:textId="77777777" w:rsidR="00640A75" w:rsidRDefault="00640A75" w:rsidP="00A42B4C"/>
        </w:tc>
        <w:tc>
          <w:tcPr>
            <w:tcW w:w="3006" w:type="dxa"/>
          </w:tcPr>
          <w:p w14:paraId="61D981C4" w14:textId="77777777" w:rsidR="00640A75" w:rsidRDefault="00640A75" w:rsidP="00A42B4C"/>
        </w:tc>
      </w:tr>
      <w:tr w:rsidR="00640A75" w14:paraId="27D4B4D9" w14:textId="77777777" w:rsidTr="00A42B4C">
        <w:tc>
          <w:tcPr>
            <w:tcW w:w="9016" w:type="dxa"/>
            <w:gridSpan w:val="3"/>
          </w:tcPr>
          <w:p w14:paraId="64A4F841" w14:textId="77777777" w:rsidR="00640A75" w:rsidRDefault="00640A75" w:rsidP="00640A75">
            <w:pPr>
              <w:pStyle w:val="ListParagraph"/>
              <w:numPr>
                <w:ilvl w:val="0"/>
                <w:numId w:val="54"/>
              </w:numPr>
            </w:pPr>
            <w:r w:rsidRPr="007064E6">
              <w:rPr>
                <w:rFonts w:eastAsia="Times New Roman"/>
                <w:color w:val="000000"/>
              </w:rPr>
              <w:t>Complications, detailed for IUD and for IUS</w:t>
            </w:r>
          </w:p>
        </w:tc>
      </w:tr>
      <w:tr w:rsidR="00640A75" w14:paraId="1D4BCAF9" w14:textId="77777777" w:rsidTr="00A42B4C">
        <w:tc>
          <w:tcPr>
            <w:tcW w:w="3005" w:type="dxa"/>
          </w:tcPr>
          <w:p w14:paraId="262ABD81" w14:textId="77777777" w:rsidR="00640A75" w:rsidRPr="001445EE" w:rsidRDefault="00640A75" w:rsidP="00640A75">
            <w:pPr>
              <w:pStyle w:val="ListParagraph"/>
              <w:numPr>
                <w:ilvl w:val="0"/>
                <w:numId w:val="58"/>
              </w:numPr>
              <w:autoSpaceDE w:val="0"/>
              <w:autoSpaceDN w:val="0"/>
              <w:adjustRightInd w:val="0"/>
              <w:spacing w:before="120" w:after="200"/>
              <w:rPr>
                <w:rFonts w:eastAsia="Times New Roman"/>
                <w:color w:val="000000"/>
              </w:rPr>
            </w:pPr>
            <w:r w:rsidRPr="001445EE">
              <w:rPr>
                <w:rFonts w:eastAsia="Times New Roman"/>
                <w:color w:val="000000"/>
              </w:rPr>
              <w:t>Injury to cervix</w:t>
            </w:r>
          </w:p>
        </w:tc>
        <w:tc>
          <w:tcPr>
            <w:tcW w:w="3005" w:type="dxa"/>
          </w:tcPr>
          <w:p w14:paraId="50B4BB14" w14:textId="77777777" w:rsidR="00640A75" w:rsidRDefault="00640A75" w:rsidP="00A42B4C"/>
        </w:tc>
        <w:tc>
          <w:tcPr>
            <w:tcW w:w="3006" w:type="dxa"/>
          </w:tcPr>
          <w:p w14:paraId="4079D777" w14:textId="77777777" w:rsidR="00640A75" w:rsidRDefault="00640A75" w:rsidP="00A42B4C"/>
        </w:tc>
      </w:tr>
      <w:tr w:rsidR="00640A75" w14:paraId="544E7DB1" w14:textId="77777777" w:rsidTr="00A42B4C">
        <w:tc>
          <w:tcPr>
            <w:tcW w:w="3005" w:type="dxa"/>
          </w:tcPr>
          <w:p w14:paraId="7FB664A8" w14:textId="77777777" w:rsidR="00640A75" w:rsidRPr="001445EE" w:rsidRDefault="00640A75" w:rsidP="00640A75">
            <w:pPr>
              <w:pStyle w:val="ListParagraph"/>
              <w:numPr>
                <w:ilvl w:val="0"/>
                <w:numId w:val="58"/>
              </w:numPr>
              <w:autoSpaceDE w:val="0"/>
              <w:autoSpaceDN w:val="0"/>
              <w:adjustRightInd w:val="0"/>
              <w:spacing w:before="120" w:after="200"/>
              <w:rPr>
                <w:rFonts w:eastAsia="Times New Roman"/>
                <w:color w:val="000000"/>
              </w:rPr>
            </w:pPr>
            <w:r w:rsidRPr="001445EE">
              <w:rPr>
                <w:rFonts w:eastAsia="Times New Roman"/>
                <w:color w:val="000000"/>
              </w:rPr>
              <w:t>Uterine perforation</w:t>
            </w:r>
          </w:p>
        </w:tc>
        <w:tc>
          <w:tcPr>
            <w:tcW w:w="3005" w:type="dxa"/>
          </w:tcPr>
          <w:p w14:paraId="134075B3" w14:textId="77777777" w:rsidR="00640A75" w:rsidRDefault="00640A75" w:rsidP="00A42B4C"/>
        </w:tc>
        <w:tc>
          <w:tcPr>
            <w:tcW w:w="3006" w:type="dxa"/>
          </w:tcPr>
          <w:p w14:paraId="2AF00076" w14:textId="77777777" w:rsidR="00640A75" w:rsidRDefault="00640A75" w:rsidP="00A42B4C"/>
        </w:tc>
      </w:tr>
      <w:tr w:rsidR="00640A75" w14:paraId="2837123A" w14:textId="77777777" w:rsidTr="00A42B4C">
        <w:tc>
          <w:tcPr>
            <w:tcW w:w="3005" w:type="dxa"/>
          </w:tcPr>
          <w:p w14:paraId="6238CC6F" w14:textId="77777777" w:rsidR="00640A75" w:rsidRPr="001445EE" w:rsidRDefault="00640A75" w:rsidP="00640A75">
            <w:pPr>
              <w:pStyle w:val="ListParagraph"/>
              <w:numPr>
                <w:ilvl w:val="0"/>
                <w:numId w:val="58"/>
              </w:numPr>
              <w:autoSpaceDE w:val="0"/>
              <w:autoSpaceDN w:val="0"/>
              <w:adjustRightInd w:val="0"/>
              <w:spacing w:after="200"/>
              <w:rPr>
                <w:rFonts w:eastAsia="Times New Roman"/>
                <w:color w:val="000000"/>
              </w:rPr>
            </w:pPr>
            <w:r w:rsidRPr="001445EE">
              <w:rPr>
                <w:rFonts w:eastAsia="Times New Roman"/>
                <w:color w:val="000000"/>
              </w:rPr>
              <w:t>Fainting/cervical or anaphylactic shock</w:t>
            </w:r>
          </w:p>
        </w:tc>
        <w:tc>
          <w:tcPr>
            <w:tcW w:w="3005" w:type="dxa"/>
          </w:tcPr>
          <w:p w14:paraId="3807B60F" w14:textId="77777777" w:rsidR="00640A75" w:rsidRDefault="00640A75" w:rsidP="00A42B4C"/>
        </w:tc>
        <w:tc>
          <w:tcPr>
            <w:tcW w:w="3006" w:type="dxa"/>
          </w:tcPr>
          <w:p w14:paraId="1AE04155" w14:textId="77777777" w:rsidR="00640A75" w:rsidRDefault="00640A75" w:rsidP="00A42B4C"/>
        </w:tc>
      </w:tr>
      <w:tr w:rsidR="00640A75" w14:paraId="2B5C81FA" w14:textId="77777777" w:rsidTr="00A42B4C">
        <w:tc>
          <w:tcPr>
            <w:tcW w:w="3005" w:type="dxa"/>
          </w:tcPr>
          <w:p w14:paraId="63C30553" w14:textId="77777777" w:rsidR="00640A75" w:rsidRPr="001445EE" w:rsidRDefault="00640A75" w:rsidP="00640A75">
            <w:pPr>
              <w:pStyle w:val="ListParagraph"/>
              <w:numPr>
                <w:ilvl w:val="0"/>
                <w:numId w:val="58"/>
              </w:numPr>
              <w:autoSpaceDE w:val="0"/>
              <w:autoSpaceDN w:val="0"/>
              <w:adjustRightInd w:val="0"/>
              <w:spacing w:after="200"/>
              <w:rPr>
                <w:rFonts w:eastAsia="Times New Roman"/>
                <w:color w:val="000000"/>
              </w:rPr>
            </w:pPr>
            <w:r w:rsidRPr="001445EE">
              <w:rPr>
                <w:rFonts w:eastAsia="Times New Roman"/>
                <w:color w:val="000000"/>
              </w:rPr>
              <w:t>Other (specify)</w:t>
            </w:r>
          </w:p>
        </w:tc>
        <w:tc>
          <w:tcPr>
            <w:tcW w:w="3005" w:type="dxa"/>
          </w:tcPr>
          <w:p w14:paraId="4BB01B37" w14:textId="77777777" w:rsidR="00640A75" w:rsidRDefault="00640A75" w:rsidP="00A42B4C"/>
        </w:tc>
        <w:tc>
          <w:tcPr>
            <w:tcW w:w="3006" w:type="dxa"/>
          </w:tcPr>
          <w:p w14:paraId="3E10F38F" w14:textId="77777777" w:rsidR="00640A75" w:rsidRDefault="00640A75" w:rsidP="00A42B4C"/>
        </w:tc>
      </w:tr>
      <w:tr w:rsidR="00640A75" w14:paraId="05284B84" w14:textId="77777777" w:rsidTr="00A42B4C">
        <w:tc>
          <w:tcPr>
            <w:tcW w:w="3005" w:type="dxa"/>
          </w:tcPr>
          <w:p w14:paraId="16F3232C" w14:textId="77777777" w:rsidR="00640A75" w:rsidRPr="001445EE" w:rsidRDefault="00640A75" w:rsidP="00640A75">
            <w:pPr>
              <w:pStyle w:val="ListParagraph"/>
              <w:numPr>
                <w:ilvl w:val="0"/>
                <w:numId w:val="58"/>
              </w:numPr>
              <w:autoSpaceDE w:val="0"/>
              <w:autoSpaceDN w:val="0"/>
              <w:adjustRightInd w:val="0"/>
              <w:spacing w:after="200"/>
              <w:rPr>
                <w:rFonts w:eastAsia="Times New Roman"/>
                <w:color w:val="000000"/>
              </w:rPr>
            </w:pPr>
            <w:r w:rsidRPr="001445EE">
              <w:rPr>
                <w:rFonts w:eastAsia="Times New Roman"/>
                <w:color w:val="000000"/>
              </w:rPr>
              <w:t>Action taken to be documented for each complication</w:t>
            </w:r>
          </w:p>
        </w:tc>
        <w:tc>
          <w:tcPr>
            <w:tcW w:w="3005" w:type="dxa"/>
          </w:tcPr>
          <w:p w14:paraId="0899102D" w14:textId="77777777" w:rsidR="00640A75" w:rsidRDefault="00640A75" w:rsidP="00A42B4C"/>
        </w:tc>
        <w:tc>
          <w:tcPr>
            <w:tcW w:w="3006" w:type="dxa"/>
          </w:tcPr>
          <w:p w14:paraId="730E42DF" w14:textId="77777777" w:rsidR="00640A75" w:rsidRDefault="00640A75" w:rsidP="00A42B4C"/>
        </w:tc>
      </w:tr>
      <w:tr w:rsidR="00640A75" w14:paraId="0BF6BF90" w14:textId="77777777" w:rsidTr="00A42B4C">
        <w:tc>
          <w:tcPr>
            <w:tcW w:w="9016" w:type="dxa"/>
            <w:gridSpan w:val="3"/>
          </w:tcPr>
          <w:p w14:paraId="75E5CD02" w14:textId="77777777" w:rsidR="00640A75" w:rsidRDefault="00640A75" w:rsidP="00640A75">
            <w:pPr>
              <w:pStyle w:val="ListParagraph"/>
              <w:numPr>
                <w:ilvl w:val="0"/>
                <w:numId w:val="54"/>
              </w:numPr>
            </w:pPr>
            <w:r w:rsidRPr="00E86708">
              <w:rPr>
                <w:rFonts w:eastAsia="Times New Roman"/>
                <w:color w:val="000000"/>
              </w:rPr>
              <w:t>Reason for removals, by age group as d) above</w:t>
            </w:r>
          </w:p>
        </w:tc>
      </w:tr>
      <w:tr w:rsidR="00640A75" w14:paraId="233D7208" w14:textId="77777777" w:rsidTr="00A42B4C">
        <w:tc>
          <w:tcPr>
            <w:tcW w:w="3005" w:type="dxa"/>
          </w:tcPr>
          <w:p w14:paraId="141FB847" w14:textId="77777777" w:rsidR="00640A75" w:rsidRPr="00E86708" w:rsidRDefault="00640A75" w:rsidP="00640A75">
            <w:pPr>
              <w:pStyle w:val="ListParagraph"/>
              <w:numPr>
                <w:ilvl w:val="0"/>
                <w:numId w:val="59"/>
              </w:numPr>
            </w:pPr>
            <w:r w:rsidRPr="00E86708">
              <w:rPr>
                <w:rFonts w:eastAsia="Times New Roman"/>
                <w:color w:val="000000"/>
              </w:rPr>
              <w:t>Expired</w:t>
            </w:r>
          </w:p>
          <w:p w14:paraId="1FED41C7" w14:textId="77777777" w:rsidR="00640A75" w:rsidRDefault="00640A75" w:rsidP="00A42B4C">
            <w:pPr>
              <w:ind w:left="360"/>
            </w:pPr>
          </w:p>
        </w:tc>
        <w:tc>
          <w:tcPr>
            <w:tcW w:w="3005" w:type="dxa"/>
          </w:tcPr>
          <w:p w14:paraId="6C013BCB" w14:textId="77777777" w:rsidR="00640A75" w:rsidRDefault="00640A75" w:rsidP="00A42B4C"/>
        </w:tc>
        <w:tc>
          <w:tcPr>
            <w:tcW w:w="3006" w:type="dxa"/>
          </w:tcPr>
          <w:p w14:paraId="065FC60C" w14:textId="77777777" w:rsidR="00640A75" w:rsidRDefault="00640A75" w:rsidP="00A42B4C"/>
        </w:tc>
      </w:tr>
      <w:tr w:rsidR="00640A75" w14:paraId="6DB66EE1" w14:textId="77777777" w:rsidTr="00A42B4C">
        <w:tc>
          <w:tcPr>
            <w:tcW w:w="3005" w:type="dxa"/>
          </w:tcPr>
          <w:p w14:paraId="074C752D" w14:textId="77777777" w:rsidR="00640A75" w:rsidRPr="00E86708" w:rsidRDefault="00640A75" w:rsidP="00640A75">
            <w:pPr>
              <w:pStyle w:val="ListParagraph"/>
              <w:numPr>
                <w:ilvl w:val="0"/>
                <w:numId w:val="59"/>
              </w:numPr>
            </w:pPr>
            <w:r w:rsidRPr="00E86708">
              <w:rPr>
                <w:rFonts w:eastAsia="Times New Roman"/>
                <w:color w:val="000000"/>
                <w:lang w:eastAsia="en-GB"/>
              </w:rPr>
              <w:t>Unwanted Side Effects</w:t>
            </w:r>
          </w:p>
          <w:p w14:paraId="1B37F1C7" w14:textId="77777777" w:rsidR="00640A75" w:rsidRDefault="00640A75" w:rsidP="00A42B4C">
            <w:pPr>
              <w:ind w:left="360"/>
            </w:pPr>
          </w:p>
        </w:tc>
        <w:tc>
          <w:tcPr>
            <w:tcW w:w="3005" w:type="dxa"/>
          </w:tcPr>
          <w:p w14:paraId="4C431C22" w14:textId="77777777" w:rsidR="00640A75" w:rsidRDefault="00640A75" w:rsidP="00A42B4C"/>
        </w:tc>
        <w:tc>
          <w:tcPr>
            <w:tcW w:w="3006" w:type="dxa"/>
          </w:tcPr>
          <w:p w14:paraId="459B3113" w14:textId="77777777" w:rsidR="00640A75" w:rsidRDefault="00640A75" w:rsidP="00A42B4C"/>
        </w:tc>
      </w:tr>
      <w:tr w:rsidR="00640A75" w14:paraId="67AF4228" w14:textId="77777777" w:rsidTr="00A42B4C">
        <w:tc>
          <w:tcPr>
            <w:tcW w:w="3005" w:type="dxa"/>
          </w:tcPr>
          <w:p w14:paraId="0AC8AACC" w14:textId="77777777" w:rsidR="00640A75" w:rsidRPr="00E86708" w:rsidRDefault="00640A75" w:rsidP="00640A75">
            <w:pPr>
              <w:pStyle w:val="ListParagraph"/>
              <w:numPr>
                <w:ilvl w:val="0"/>
                <w:numId w:val="59"/>
              </w:numPr>
            </w:pPr>
            <w:r w:rsidRPr="00E86708">
              <w:rPr>
                <w:rFonts w:eastAsia="Times New Roman"/>
                <w:color w:val="000000"/>
              </w:rPr>
              <w:t>Planning pregnancy</w:t>
            </w:r>
          </w:p>
          <w:p w14:paraId="4F4D0DBB" w14:textId="77777777" w:rsidR="00640A75" w:rsidRDefault="00640A75" w:rsidP="00A42B4C">
            <w:pPr>
              <w:ind w:left="360"/>
            </w:pPr>
          </w:p>
        </w:tc>
        <w:tc>
          <w:tcPr>
            <w:tcW w:w="3005" w:type="dxa"/>
          </w:tcPr>
          <w:p w14:paraId="5A148C8F" w14:textId="77777777" w:rsidR="00640A75" w:rsidRDefault="00640A75" w:rsidP="00A42B4C"/>
        </w:tc>
        <w:tc>
          <w:tcPr>
            <w:tcW w:w="3006" w:type="dxa"/>
          </w:tcPr>
          <w:p w14:paraId="61612AAE" w14:textId="77777777" w:rsidR="00640A75" w:rsidRDefault="00640A75" w:rsidP="00A42B4C"/>
        </w:tc>
      </w:tr>
      <w:tr w:rsidR="00640A75" w14:paraId="66CAB52E" w14:textId="77777777" w:rsidTr="00A42B4C">
        <w:tc>
          <w:tcPr>
            <w:tcW w:w="3005" w:type="dxa"/>
          </w:tcPr>
          <w:p w14:paraId="4989D66B" w14:textId="77777777" w:rsidR="00640A75" w:rsidRPr="00E86708" w:rsidRDefault="00640A75" w:rsidP="00640A75">
            <w:pPr>
              <w:pStyle w:val="ListParagraph"/>
              <w:numPr>
                <w:ilvl w:val="0"/>
                <w:numId w:val="59"/>
              </w:numPr>
            </w:pPr>
            <w:r w:rsidRPr="00E86708">
              <w:rPr>
                <w:rFonts w:eastAsia="Times New Roman"/>
                <w:color w:val="000000"/>
              </w:rPr>
              <w:t>Replacement</w:t>
            </w:r>
          </w:p>
          <w:p w14:paraId="47F39133" w14:textId="77777777" w:rsidR="00640A75" w:rsidRDefault="00640A75" w:rsidP="00A42B4C">
            <w:pPr>
              <w:pStyle w:val="ListParagraph"/>
            </w:pPr>
          </w:p>
        </w:tc>
        <w:tc>
          <w:tcPr>
            <w:tcW w:w="3005" w:type="dxa"/>
          </w:tcPr>
          <w:p w14:paraId="6616328F" w14:textId="77777777" w:rsidR="00640A75" w:rsidRDefault="00640A75" w:rsidP="00A42B4C"/>
        </w:tc>
        <w:tc>
          <w:tcPr>
            <w:tcW w:w="3006" w:type="dxa"/>
          </w:tcPr>
          <w:p w14:paraId="7C9E7A67" w14:textId="77777777" w:rsidR="00640A75" w:rsidRDefault="00640A75" w:rsidP="00A42B4C"/>
        </w:tc>
      </w:tr>
      <w:tr w:rsidR="00640A75" w14:paraId="42240375" w14:textId="77777777" w:rsidTr="00A42B4C">
        <w:tc>
          <w:tcPr>
            <w:tcW w:w="3005" w:type="dxa"/>
          </w:tcPr>
          <w:p w14:paraId="099597FB" w14:textId="77777777" w:rsidR="00640A75" w:rsidRPr="00E86708" w:rsidRDefault="00640A75" w:rsidP="00640A75">
            <w:pPr>
              <w:pStyle w:val="ListParagraph"/>
              <w:numPr>
                <w:ilvl w:val="0"/>
                <w:numId w:val="57"/>
              </w:numPr>
              <w:autoSpaceDE w:val="0"/>
              <w:autoSpaceDN w:val="0"/>
              <w:adjustRightInd w:val="0"/>
              <w:spacing w:after="200"/>
              <w:rPr>
                <w:rFonts w:eastAsia="Times New Roman"/>
                <w:color w:val="000000"/>
              </w:rPr>
            </w:pPr>
            <w:r w:rsidRPr="00BA1833">
              <w:rPr>
                <w:rFonts w:eastAsia="Times New Roman"/>
                <w:color w:val="000000"/>
              </w:rPr>
              <w:t>No longer required</w:t>
            </w:r>
          </w:p>
        </w:tc>
        <w:tc>
          <w:tcPr>
            <w:tcW w:w="3005" w:type="dxa"/>
          </w:tcPr>
          <w:p w14:paraId="4AF42BBC" w14:textId="77777777" w:rsidR="00640A75" w:rsidRDefault="00640A75" w:rsidP="00A42B4C"/>
        </w:tc>
        <w:tc>
          <w:tcPr>
            <w:tcW w:w="3006" w:type="dxa"/>
          </w:tcPr>
          <w:p w14:paraId="143EA3F1" w14:textId="77777777" w:rsidR="00640A75" w:rsidRDefault="00640A75" w:rsidP="00A42B4C"/>
        </w:tc>
      </w:tr>
      <w:tr w:rsidR="00640A75" w14:paraId="0A009658" w14:textId="77777777" w:rsidTr="00A42B4C">
        <w:tc>
          <w:tcPr>
            <w:tcW w:w="3005" w:type="dxa"/>
          </w:tcPr>
          <w:p w14:paraId="7AA56E1A" w14:textId="77777777" w:rsidR="00640A75" w:rsidRPr="00A220E3" w:rsidRDefault="00640A75" w:rsidP="00640A75">
            <w:pPr>
              <w:pStyle w:val="ListParagraph"/>
              <w:numPr>
                <w:ilvl w:val="0"/>
                <w:numId w:val="57"/>
              </w:numPr>
            </w:pPr>
            <w:r w:rsidRPr="00E86708">
              <w:rPr>
                <w:rFonts w:eastAsia="Times New Roman"/>
                <w:color w:val="000000"/>
              </w:rPr>
              <w:lastRenderedPageBreak/>
              <w:t>Other (specify)</w:t>
            </w:r>
          </w:p>
          <w:p w14:paraId="377DCA0A" w14:textId="77777777" w:rsidR="00640A75" w:rsidRDefault="00640A75" w:rsidP="00A42B4C">
            <w:pPr>
              <w:pStyle w:val="ListParagraph"/>
            </w:pPr>
          </w:p>
        </w:tc>
        <w:tc>
          <w:tcPr>
            <w:tcW w:w="3005" w:type="dxa"/>
          </w:tcPr>
          <w:p w14:paraId="6FBCBF5E" w14:textId="77777777" w:rsidR="00640A75" w:rsidRDefault="00640A75" w:rsidP="00A42B4C"/>
        </w:tc>
        <w:tc>
          <w:tcPr>
            <w:tcW w:w="3006" w:type="dxa"/>
          </w:tcPr>
          <w:p w14:paraId="37065BE8" w14:textId="77777777" w:rsidR="00640A75" w:rsidRDefault="00640A75" w:rsidP="00A42B4C"/>
        </w:tc>
      </w:tr>
      <w:tr w:rsidR="00640A75" w14:paraId="01AF9E75" w14:textId="77777777" w:rsidTr="00A42B4C">
        <w:tc>
          <w:tcPr>
            <w:tcW w:w="9016" w:type="dxa"/>
            <w:gridSpan w:val="3"/>
          </w:tcPr>
          <w:p w14:paraId="5394773F" w14:textId="77777777" w:rsidR="00640A75" w:rsidRDefault="00640A75" w:rsidP="00640A75">
            <w:pPr>
              <w:pStyle w:val="ListParagraph"/>
              <w:numPr>
                <w:ilvl w:val="0"/>
                <w:numId w:val="54"/>
              </w:numPr>
            </w:pPr>
            <w:r w:rsidRPr="00E86708">
              <w:rPr>
                <w:rFonts w:eastAsia="Times New Roman"/>
                <w:color w:val="000000"/>
              </w:rPr>
              <w:t>Failed Insertions, detailed for IUD and for IUS</w:t>
            </w:r>
          </w:p>
        </w:tc>
      </w:tr>
      <w:tr w:rsidR="00640A75" w14:paraId="03BE95C3" w14:textId="77777777" w:rsidTr="00A42B4C">
        <w:tc>
          <w:tcPr>
            <w:tcW w:w="3005" w:type="dxa"/>
          </w:tcPr>
          <w:p w14:paraId="495E9790" w14:textId="77777777" w:rsidR="00640A75" w:rsidRPr="00A220E3" w:rsidRDefault="00640A75" w:rsidP="00640A75">
            <w:pPr>
              <w:pStyle w:val="ListParagraph"/>
              <w:numPr>
                <w:ilvl w:val="0"/>
                <w:numId w:val="60"/>
              </w:numPr>
            </w:pPr>
            <w:r w:rsidRPr="00E86708">
              <w:rPr>
                <w:rFonts w:eastAsia="Times New Roman"/>
                <w:color w:val="000000"/>
              </w:rPr>
              <w:t>Lack of access due to obesity</w:t>
            </w:r>
          </w:p>
          <w:p w14:paraId="4CE95DD5" w14:textId="77777777" w:rsidR="00640A75" w:rsidRDefault="00640A75" w:rsidP="00A42B4C">
            <w:pPr>
              <w:pStyle w:val="ListParagraph"/>
            </w:pPr>
          </w:p>
        </w:tc>
        <w:tc>
          <w:tcPr>
            <w:tcW w:w="3005" w:type="dxa"/>
          </w:tcPr>
          <w:p w14:paraId="2FC1A226" w14:textId="77777777" w:rsidR="00640A75" w:rsidRDefault="00640A75" w:rsidP="00A42B4C"/>
        </w:tc>
        <w:tc>
          <w:tcPr>
            <w:tcW w:w="3006" w:type="dxa"/>
          </w:tcPr>
          <w:p w14:paraId="3276699E" w14:textId="77777777" w:rsidR="00640A75" w:rsidRDefault="00640A75" w:rsidP="00A42B4C"/>
        </w:tc>
      </w:tr>
      <w:tr w:rsidR="00640A75" w14:paraId="11FDCD8C" w14:textId="77777777" w:rsidTr="00A42B4C">
        <w:tc>
          <w:tcPr>
            <w:tcW w:w="3005" w:type="dxa"/>
          </w:tcPr>
          <w:p w14:paraId="418418A1" w14:textId="77777777" w:rsidR="00640A75" w:rsidRPr="00A220E3" w:rsidRDefault="00640A75" w:rsidP="00640A75">
            <w:pPr>
              <w:pStyle w:val="ListParagraph"/>
              <w:numPr>
                <w:ilvl w:val="0"/>
                <w:numId w:val="60"/>
              </w:numPr>
            </w:pPr>
            <w:r w:rsidRPr="00E86708">
              <w:rPr>
                <w:rFonts w:eastAsia="Times New Roman"/>
                <w:color w:val="000000"/>
              </w:rPr>
              <w:t>Cervical stenosis due to previous surgery to the cervix</w:t>
            </w:r>
          </w:p>
          <w:p w14:paraId="03B1BA93" w14:textId="77777777" w:rsidR="00640A75" w:rsidRDefault="00640A75" w:rsidP="00A42B4C">
            <w:pPr>
              <w:pStyle w:val="ListParagraph"/>
            </w:pPr>
          </w:p>
        </w:tc>
        <w:tc>
          <w:tcPr>
            <w:tcW w:w="3005" w:type="dxa"/>
          </w:tcPr>
          <w:p w14:paraId="544F43F6" w14:textId="77777777" w:rsidR="00640A75" w:rsidRDefault="00640A75" w:rsidP="00A42B4C"/>
        </w:tc>
        <w:tc>
          <w:tcPr>
            <w:tcW w:w="3006" w:type="dxa"/>
          </w:tcPr>
          <w:p w14:paraId="7FEF14CC" w14:textId="77777777" w:rsidR="00640A75" w:rsidRDefault="00640A75" w:rsidP="00A42B4C"/>
        </w:tc>
      </w:tr>
      <w:tr w:rsidR="00640A75" w14:paraId="5FA6179F" w14:textId="77777777" w:rsidTr="00A42B4C">
        <w:tc>
          <w:tcPr>
            <w:tcW w:w="3005" w:type="dxa"/>
          </w:tcPr>
          <w:p w14:paraId="50C33C04" w14:textId="77777777" w:rsidR="00640A75" w:rsidRPr="00A220E3" w:rsidRDefault="00640A75" w:rsidP="00640A75">
            <w:pPr>
              <w:pStyle w:val="ListParagraph"/>
              <w:numPr>
                <w:ilvl w:val="0"/>
                <w:numId w:val="60"/>
              </w:numPr>
            </w:pPr>
            <w:r w:rsidRPr="00E86708">
              <w:rPr>
                <w:rFonts w:eastAsia="Times New Roman"/>
                <w:color w:val="000000"/>
              </w:rPr>
              <w:t>Acutely retroverted or anteverted uterus</w:t>
            </w:r>
          </w:p>
          <w:p w14:paraId="6CE23C38" w14:textId="77777777" w:rsidR="00640A75" w:rsidRDefault="00640A75" w:rsidP="00A42B4C">
            <w:pPr>
              <w:pStyle w:val="ListParagraph"/>
            </w:pPr>
          </w:p>
        </w:tc>
        <w:tc>
          <w:tcPr>
            <w:tcW w:w="3005" w:type="dxa"/>
          </w:tcPr>
          <w:p w14:paraId="3E2D1739" w14:textId="77777777" w:rsidR="00640A75" w:rsidRDefault="00640A75" w:rsidP="00A42B4C"/>
        </w:tc>
        <w:tc>
          <w:tcPr>
            <w:tcW w:w="3006" w:type="dxa"/>
          </w:tcPr>
          <w:p w14:paraId="62E0A851" w14:textId="77777777" w:rsidR="00640A75" w:rsidRDefault="00640A75" w:rsidP="00A42B4C"/>
        </w:tc>
      </w:tr>
      <w:tr w:rsidR="00640A75" w14:paraId="7B754554" w14:textId="77777777" w:rsidTr="00A42B4C">
        <w:tc>
          <w:tcPr>
            <w:tcW w:w="3005" w:type="dxa"/>
          </w:tcPr>
          <w:p w14:paraId="01E513B2" w14:textId="77777777" w:rsidR="00640A75" w:rsidRPr="00A220E3" w:rsidRDefault="00640A75" w:rsidP="00640A75">
            <w:pPr>
              <w:pStyle w:val="ListParagraph"/>
              <w:numPr>
                <w:ilvl w:val="0"/>
                <w:numId w:val="60"/>
              </w:numPr>
            </w:pPr>
            <w:r w:rsidRPr="00E86708">
              <w:rPr>
                <w:rFonts w:eastAsia="Times New Roman"/>
                <w:color w:val="000000"/>
              </w:rPr>
              <w:t>Fibroid uterus</w:t>
            </w:r>
          </w:p>
          <w:p w14:paraId="4C313A7A" w14:textId="77777777" w:rsidR="00640A75" w:rsidRDefault="00640A75" w:rsidP="00A42B4C">
            <w:pPr>
              <w:pStyle w:val="ListParagraph"/>
            </w:pPr>
          </w:p>
        </w:tc>
        <w:tc>
          <w:tcPr>
            <w:tcW w:w="3005" w:type="dxa"/>
          </w:tcPr>
          <w:p w14:paraId="179D379C" w14:textId="77777777" w:rsidR="00640A75" w:rsidRDefault="00640A75" w:rsidP="00A42B4C"/>
        </w:tc>
        <w:tc>
          <w:tcPr>
            <w:tcW w:w="3006" w:type="dxa"/>
          </w:tcPr>
          <w:p w14:paraId="056B2BA0" w14:textId="77777777" w:rsidR="00640A75" w:rsidRDefault="00640A75" w:rsidP="00A42B4C"/>
        </w:tc>
      </w:tr>
      <w:tr w:rsidR="00640A75" w14:paraId="0C6DEDEE" w14:textId="77777777" w:rsidTr="00A42B4C">
        <w:tc>
          <w:tcPr>
            <w:tcW w:w="3005" w:type="dxa"/>
          </w:tcPr>
          <w:p w14:paraId="5CF1AE29" w14:textId="77777777" w:rsidR="00640A75" w:rsidRPr="00A220E3" w:rsidRDefault="00640A75" w:rsidP="00640A75">
            <w:pPr>
              <w:pStyle w:val="ListParagraph"/>
              <w:numPr>
                <w:ilvl w:val="0"/>
                <w:numId w:val="60"/>
              </w:numPr>
            </w:pPr>
            <w:r w:rsidRPr="00E86708">
              <w:rPr>
                <w:rFonts w:eastAsia="Times New Roman"/>
                <w:color w:val="000000"/>
              </w:rPr>
              <w:t>Bicornuate uterus or other uterine abnormalities</w:t>
            </w:r>
          </w:p>
          <w:p w14:paraId="3EB34478" w14:textId="77777777" w:rsidR="00640A75" w:rsidRDefault="00640A75" w:rsidP="00A42B4C">
            <w:pPr>
              <w:pStyle w:val="ListParagraph"/>
            </w:pPr>
          </w:p>
        </w:tc>
        <w:tc>
          <w:tcPr>
            <w:tcW w:w="3005" w:type="dxa"/>
          </w:tcPr>
          <w:p w14:paraId="7E5686CF" w14:textId="77777777" w:rsidR="00640A75" w:rsidRDefault="00640A75" w:rsidP="00A42B4C"/>
        </w:tc>
        <w:tc>
          <w:tcPr>
            <w:tcW w:w="3006" w:type="dxa"/>
          </w:tcPr>
          <w:p w14:paraId="587E9D85" w14:textId="77777777" w:rsidR="00640A75" w:rsidRDefault="00640A75" w:rsidP="00A42B4C"/>
        </w:tc>
      </w:tr>
      <w:tr w:rsidR="00640A75" w14:paraId="5D7ABD00" w14:textId="77777777" w:rsidTr="00A42B4C">
        <w:tc>
          <w:tcPr>
            <w:tcW w:w="3005" w:type="dxa"/>
          </w:tcPr>
          <w:p w14:paraId="704D8B8A" w14:textId="77777777" w:rsidR="00640A75" w:rsidRPr="00A220E3" w:rsidRDefault="00640A75" w:rsidP="00640A75">
            <w:pPr>
              <w:pStyle w:val="ListParagraph"/>
              <w:numPr>
                <w:ilvl w:val="0"/>
                <w:numId w:val="60"/>
              </w:numPr>
            </w:pPr>
            <w:r w:rsidRPr="00E86708">
              <w:rPr>
                <w:rFonts w:eastAsia="Times New Roman"/>
                <w:color w:val="000000"/>
              </w:rPr>
              <w:t>Patient not able to cope with procedure due to pain or anxiety</w:t>
            </w:r>
          </w:p>
          <w:p w14:paraId="69EF234B" w14:textId="77777777" w:rsidR="00640A75" w:rsidRDefault="00640A75" w:rsidP="00A42B4C">
            <w:pPr>
              <w:pStyle w:val="ListParagraph"/>
            </w:pPr>
          </w:p>
        </w:tc>
        <w:tc>
          <w:tcPr>
            <w:tcW w:w="3005" w:type="dxa"/>
          </w:tcPr>
          <w:p w14:paraId="1629DF52" w14:textId="77777777" w:rsidR="00640A75" w:rsidRDefault="00640A75" w:rsidP="00A42B4C"/>
        </w:tc>
        <w:tc>
          <w:tcPr>
            <w:tcW w:w="3006" w:type="dxa"/>
          </w:tcPr>
          <w:p w14:paraId="5F6915EB" w14:textId="77777777" w:rsidR="00640A75" w:rsidRDefault="00640A75" w:rsidP="00A42B4C"/>
        </w:tc>
      </w:tr>
      <w:tr w:rsidR="00640A75" w14:paraId="130C3B87" w14:textId="77777777" w:rsidTr="00A42B4C">
        <w:tc>
          <w:tcPr>
            <w:tcW w:w="3005" w:type="dxa"/>
          </w:tcPr>
          <w:p w14:paraId="48B180AA" w14:textId="77777777" w:rsidR="00640A75" w:rsidRPr="00A220E3" w:rsidRDefault="00640A75" w:rsidP="00640A75">
            <w:pPr>
              <w:pStyle w:val="ListParagraph"/>
              <w:numPr>
                <w:ilvl w:val="0"/>
                <w:numId w:val="60"/>
              </w:numPr>
            </w:pPr>
            <w:r w:rsidRPr="00E86708">
              <w:rPr>
                <w:rFonts w:eastAsia="Times New Roman"/>
                <w:color w:val="000000"/>
              </w:rPr>
              <w:t>Other (specify)</w:t>
            </w:r>
          </w:p>
          <w:p w14:paraId="5CA1E787" w14:textId="77777777" w:rsidR="00640A75" w:rsidRDefault="00640A75" w:rsidP="00A42B4C">
            <w:pPr>
              <w:pStyle w:val="ListParagraph"/>
            </w:pPr>
          </w:p>
        </w:tc>
        <w:tc>
          <w:tcPr>
            <w:tcW w:w="3005" w:type="dxa"/>
          </w:tcPr>
          <w:p w14:paraId="4A3C03DA" w14:textId="77777777" w:rsidR="00640A75" w:rsidRDefault="00640A75" w:rsidP="00A42B4C"/>
        </w:tc>
        <w:tc>
          <w:tcPr>
            <w:tcW w:w="3006" w:type="dxa"/>
          </w:tcPr>
          <w:p w14:paraId="7B6CABEA" w14:textId="77777777" w:rsidR="00640A75" w:rsidRDefault="00640A75" w:rsidP="00A42B4C"/>
        </w:tc>
      </w:tr>
      <w:tr w:rsidR="00640A75" w14:paraId="35E50DE9" w14:textId="77777777" w:rsidTr="00A42B4C">
        <w:tc>
          <w:tcPr>
            <w:tcW w:w="3005" w:type="dxa"/>
          </w:tcPr>
          <w:p w14:paraId="575465E9" w14:textId="77777777" w:rsidR="00640A75" w:rsidRDefault="00640A75" w:rsidP="00640A75">
            <w:pPr>
              <w:pStyle w:val="ListParagraph"/>
              <w:numPr>
                <w:ilvl w:val="0"/>
                <w:numId w:val="60"/>
              </w:numPr>
            </w:pPr>
            <w:r w:rsidRPr="00E86708">
              <w:rPr>
                <w:rFonts w:eastAsia="Times New Roman"/>
                <w:color w:val="000000"/>
              </w:rPr>
              <w:t>Action taken to be documented for each failed insertion</w:t>
            </w:r>
          </w:p>
        </w:tc>
        <w:tc>
          <w:tcPr>
            <w:tcW w:w="3005" w:type="dxa"/>
          </w:tcPr>
          <w:p w14:paraId="5BD67A81" w14:textId="77777777" w:rsidR="00640A75" w:rsidRDefault="00640A75" w:rsidP="00A42B4C"/>
        </w:tc>
        <w:tc>
          <w:tcPr>
            <w:tcW w:w="3006" w:type="dxa"/>
          </w:tcPr>
          <w:p w14:paraId="4E267F0E" w14:textId="77777777" w:rsidR="00640A75" w:rsidRDefault="00640A75" w:rsidP="00A42B4C"/>
        </w:tc>
      </w:tr>
      <w:tr w:rsidR="00640A75" w14:paraId="2D477AA8" w14:textId="77777777" w:rsidTr="00A42B4C">
        <w:tc>
          <w:tcPr>
            <w:tcW w:w="9016" w:type="dxa"/>
            <w:gridSpan w:val="3"/>
          </w:tcPr>
          <w:p w14:paraId="2F53649C" w14:textId="77777777" w:rsidR="00640A75" w:rsidRDefault="00640A75" w:rsidP="00640A75">
            <w:pPr>
              <w:pStyle w:val="ListParagraph"/>
              <w:numPr>
                <w:ilvl w:val="0"/>
                <w:numId w:val="54"/>
              </w:numPr>
            </w:pPr>
            <w:r w:rsidRPr="00A220E3">
              <w:rPr>
                <w:rFonts w:eastAsia="Times New Roman"/>
                <w:color w:val="000000"/>
              </w:rPr>
              <w:t>Follow up after removals, by age group as d) above</w:t>
            </w:r>
          </w:p>
        </w:tc>
      </w:tr>
      <w:tr w:rsidR="00640A75" w14:paraId="5F776BF0" w14:textId="77777777" w:rsidTr="00A42B4C">
        <w:tc>
          <w:tcPr>
            <w:tcW w:w="3005" w:type="dxa"/>
          </w:tcPr>
          <w:p w14:paraId="2A394B89" w14:textId="77777777" w:rsidR="00640A75" w:rsidRPr="00A220E3" w:rsidRDefault="00640A75" w:rsidP="00640A75">
            <w:pPr>
              <w:pStyle w:val="ListParagraph"/>
              <w:numPr>
                <w:ilvl w:val="0"/>
                <w:numId w:val="61"/>
              </w:numPr>
              <w:autoSpaceDE w:val="0"/>
              <w:autoSpaceDN w:val="0"/>
              <w:adjustRightInd w:val="0"/>
              <w:spacing w:after="200"/>
              <w:rPr>
                <w:rFonts w:eastAsia="Times New Roman"/>
                <w:color w:val="000000"/>
              </w:rPr>
            </w:pPr>
            <w:r w:rsidRPr="00A220E3">
              <w:rPr>
                <w:rFonts w:eastAsia="Times New Roman"/>
                <w:color w:val="000000"/>
              </w:rPr>
              <w:t>Choice of another contraceptive method</w:t>
            </w:r>
          </w:p>
        </w:tc>
        <w:tc>
          <w:tcPr>
            <w:tcW w:w="3005" w:type="dxa"/>
          </w:tcPr>
          <w:p w14:paraId="73138BB3" w14:textId="77777777" w:rsidR="00640A75" w:rsidRDefault="00640A75" w:rsidP="00A42B4C"/>
        </w:tc>
        <w:tc>
          <w:tcPr>
            <w:tcW w:w="3006" w:type="dxa"/>
          </w:tcPr>
          <w:p w14:paraId="4FE3566D" w14:textId="77777777" w:rsidR="00640A75" w:rsidRDefault="00640A75" w:rsidP="00A42B4C"/>
        </w:tc>
      </w:tr>
      <w:tr w:rsidR="00640A75" w14:paraId="1D6D4B91" w14:textId="77777777" w:rsidTr="00A42B4C">
        <w:tc>
          <w:tcPr>
            <w:tcW w:w="3005" w:type="dxa"/>
          </w:tcPr>
          <w:p w14:paraId="0374B5F3" w14:textId="77777777" w:rsidR="00640A75" w:rsidRPr="00A220E3" w:rsidRDefault="00640A75" w:rsidP="00640A75">
            <w:pPr>
              <w:pStyle w:val="ListParagraph"/>
              <w:numPr>
                <w:ilvl w:val="0"/>
                <w:numId w:val="61"/>
              </w:numPr>
            </w:pPr>
            <w:r w:rsidRPr="00A220E3">
              <w:rPr>
                <w:rFonts w:eastAsia="Times New Roman"/>
                <w:color w:val="000000"/>
              </w:rPr>
              <w:t>Replacement SDI</w:t>
            </w:r>
          </w:p>
          <w:p w14:paraId="2F74E400" w14:textId="77777777" w:rsidR="00640A75" w:rsidRDefault="00640A75" w:rsidP="00640A75">
            <w:pPr>
              <w:pStyle w:val="ListParagraph"/>
            </w:pPr>
          </w:p>
        </w:tc>
        <w:tc>
          <w:tcPr>
            <w:tcW w:w="3005" w:type="dxa"/>
          </w:tcPr>
          <w:p w14:paraId="325B9ABC" w14:textId="77777777" w:rsidR="00640A75" w:rsidRDefault="00640A75" w:rsidP="00A42B4C"/>
        </w:tc>
        <w:tc>
          <w:tcPr>
            <w:tcW w:w="3006" w:type="dxa"/>
          </w:tcPr>
          <w:p w14:paraId="7F4BE3C0" w14:textId="77777777" w:rsidR="00640A75" w:rsidRDefault="00640A75" w:rsidP="00A42B4C"/>
        </w:tc>
      </w:tr>
      <w:tr w:rsidR="00640A75" w14:paraId="544DF4DF" w14:textId="77777777" w:rsidTr="00A42B4C">
        <w:trPr>
          <w:trHeight w:val="251"/>
        </w:trPr>
        <w:tc>
          <w:tcPr>
            <w:tcW w:w="9016" w:type="dxa"/>
            <w:gridSpan w:val="3"/>
          </w:tcPr>
          <w:p w14:paraId="04F8B53F" w14:textId="77777777" w:rsidR="00640A75" w:rsidRPr="00A220E3" w:rsidRDefault="00640A75" w:rsidP="00640A75">
            <w:pPr>
              <w:pStyle w:val="ListParagraph"/>
              <w:numPr>
                <w:ilvl w:val="0"/>
                <w:numId w:val="54"/>
              </w:numPr>
              <w:autoSpaceDE w:val="0"/>
              <w:autoSpaceDN w:val="0"/>
              <w:adjustRightInd w:val="0"/>
              <w:jc w:val="both"/>
              <w:rPr>
                <w:rFonts w:eastAsia="Times New Roman"/>
                <w:color w:val="000000"/>
              </w:rPr>
            </w:pPr>
            <w:r w:rsidRPr="00A220E3">
              <w:rPr>
                <w:rFonts w:eastAsia="Times New Roman"/>
                <w:color w:val="000000"/>
              </w:rPr>
              <w:t>Menorrhagia &amp; Low Rates</w:t>
            </w:r>
          </w:p>
        </w:tc>
      </w:tr>
      <w:tr w:rsidR="00640A75" w14:paraId="39632002" w14:textId="77777777" w:rsidTr="00A42B4C">
        <w:tc>
          <w:tcPr>
            <w:tcW w:w="3005" w:type="dxa"/>
          </w:tcPr>
          <w:p w14:paraId="4DB7F7B0" w14:textId="77777777" w:rsidR="00640A75" w:rsidRPr="00A220E3" w:rsidRDefault="00640A75" w:rsidP="00640A75">
            <w:pPr>
              <w:pStyle w:val="ListParagraph"/>
              <w:numPr>
                <w:ilvl w:val="0"/>
                <w:numId w:val="62"/>
              </w:numPr>
              <w:autoSpaceDE w:val="0"/>
              <w:autoSpaceDN w:val="0"/>
              <w:adjustRightInd w:val="0"/>
              <w:spacing w:after="200"/>
              <w:jc w:val="both"/>
              <w:rPr>
                <w:rFonts w:eastAsia="Times New Roman"/>
                <w:color w:val="000000"/>
              </w:rPr>
            </w:pPr>
            <w:r w:rsidRPr="00A220E3">
              <w:rPr>
                <w:rFonts w:eastAsia="Times New Roman"/>
                <w:color w:val="000000"/>
              </w:rPr>
              <w:t>Number of IUS fitted for menorrhagia</w:t>
            </w:r>
          </w:p>
        </w:tc>
        <w:tc>
          <w:tcPr>
            <w:tcW w:w="3005" w:type="dxa"/>
          </w:tcPr>
          <w:p w14:paraId="25A5EB43" w14:textId="77777777" w:rsidR="00640A75" w:rsidRDefault="00640A75" w:rsidP="00A42B4C"/>
        </w:tc>
        <w:tc>
          <w:tcPr>
            <w:tcW w:w="3006" w:type="dxa"/>
          </w:tcPr>
          <w:p w14:paraId="693F3863" w14:textId="77777777" w:rsidR="00640A75" w:rsidRDefault="00640A75" w:rsidP="00A42B4C"/>
        </w:tc>
      </w:tr>
      <w:tr w:rsidR="00640A75" w14:paraId="2CD2C15E" w14:textId="77777777" w:rsidTr="00A42B4C">
        <w:tc>
          <w:tcPr>
            <w:tcW w:w="3005" w:type="dxa"/>
          </w:tcPr>
          <w:p w14:paraId="2ACFB1BD" w14:textId="77777777" w:rsidR="00640A75" w:rsidRPr="00A220E3" w:rsidRDefault="00640A75" w:rsidP="00640A75">
            <w:pPr>
              <w:pStyle w:val="ListParagraph"/>
              <w:numPr>
                <w:ilvl w:val="0"/>
                <w:numId w:val="62"/>
              </w:numPr>
            </w:pPr>
            <w:r w:rsidRPr="00A220E3">
              <w:rPr>
                <w:rFonts w:eastAsia="Times New Roman"/>
                <w:color w:val="000000"/>
              </w:rPr>
              <w:t xml:space="preserve">If less than 12 IUD/S fits in audit </w:t>
            </w:r>
            <w:r w:rsidRPr="00A220E3">
              <w:rPr>
                <w:rFonts w:eastAsia="Times New Roman"/>
                <w:color w:val="000000"/>
              </w:rPr>
              <w:lastRenderedPageBreak/>
              <w:t>period, state reason</w:t>
            </w:r>
          </w:p>
          <w:p w14:paraId="7CE25E4C" w14:textId="77777777" w:rsidR="00640A75" w:rsidRDefault="00640A75" w:rsidP="00A42B4C">
            <w:pPr>
              <w:ind w:left="360"/>
            </w:pPr>
          </w:p>
        </w:tc>
        <w:tc>
          <w:tcPr>
            <w:tcW w:w="3005" w:type="dxa"/>
          </w:tcPr>
          <w:p w14:paraId="1348841F" w14:textId="77777777" w:rsidR="00640A75" w:rsidRDefault="00640A75" w:rsidP="00A42B4C"/>
        </w:tc>
        <w:tc>
          <w:tcPr>
            <w:tcW w:w="3006" w:type="dxa"/>
          </w:tcPr>
          <w:p w14:paraId="60014C23" w14:textId="77777777" w:rsidR="00640A75" w:rsidRDefault="00640A75" w:rsidP="00A42B4C"/>
        </w:tc>
      </w:tr>
      <w:tr w:rsidR="00640A75" w14:paraId="3B8BE1AC" w14:textId="77777777" w:rsidTr="00A42B4C">
        <w:trPr>
          <w:trHeight w:val="185"/>
        </w:trPr>
        <w:tc>
          <w:tcPr>
            <w:tcW w:w="9016" w:type="dxa"/>
            <w:gridSpan w:val="3"/>
          </w:tcPr>
          <w:p w14:paraId="2C510725" w14:textId="77777777" w:rsidR="00640A75" w:rsidRPr="005338CA" w:rsidRDefault="00640A75" w:rsidP="00640A75">
            <w:pPr>
              <w:pStyle w:val="ListParagraph"/>
              <w:numPr>
                <w:ilvl w:val="0"/>
                <w:numId w:val="54"/>
              </w:numPr>
              <w:autoSpaceDE w:val="0"/>
              <w:autoSpaceDN w:val="0"/>
              <w:adjustRightInd w:val="0"/>
              <w:rPr>
                <w:rFonts w:eastAsia="Times New Roman"/>
                <w:color w:val="000000"/>
              </w:rPr>
            </w:pPr>
            <w:r w:rsidRPr="005338CA">
              <w:rPr>
                <w:rFonts w:eastAsia="Times New Roman"/>
                <w:color w:val="000000"/>
              </w:rPr>
              <w:t>Other, by age group as d) above</w:t>
            </w:r>
          </w:p>
        </w:tc>
      </w:tr>
      <w:tr w:rsidR="00640A75" w14:paraId="37908020" w14:textId="77777777" w:rsidTr="00A42B4C">
        <w:tc>
          <w:tcPr>
            <w:tcW w:w="3005" w:type="dxa"/>
          </w:tcPr>
          <w:p w14:paraId="005D450D" w14:textId="77777777" w:rsidR="00640A75" w:rsidRPr="00A220E3" w:rsidRDefault="00640A75" w:rsidP="00640A75">
            <w:pPr>
              <w:pStyle w:val="ListParagraph"/>
              <w:numPr>
                <w:ilvl w:val="0"/>
                <w:numId w:val="63"/>
              </w:numPr>
              <w:autoSpaceDE w:val="0"/>
              <w:autoSpaceDN w:val="0"/>
              <w:adjustRightInd w:val="0"/>
              <w:spacing w:after="200"/>
              <w:rPr>
                <w:rFonts w:eastAsia="Times New Roman"/>
                <w:color w:val="000000"/>
              </w:rPr>
            </w:pPr>
            <w:r w:rsidRPr="00A220E3">
              <w:rPr>
                <w:rFonts w:eastAsia="Times New Roman"/>
                <w:color w:val="000000"/>
              </w:rPr>
              <w:t>Number of chlamydia tests undertaken prior to fit</w:t>
            </w:r>
          </w:p>
          <w:p w14:paraId="152EB4BB" w14:textId="77777777" w:rsidR="00640A75" w:rsidRDefault="00640A75" w:rsidP="00A42B4C"/>
        </w:tc>
        <w:tc>
          <w:tcPr>
            <w:tcW w:w="3005" w:type="dxa"/>
          </w:tcPr>
          <w:p w14:paraId="3BD81578" w14:textId="77777777" w:rsidR="00640A75" w:rsidRDefault="00640A75" w:rsidP="00A42B4C"/>
        </w:tc>
        <w:tc>
          <w:tcPr>
            <w:tcW w:w="3006" w:type="dxa"/>
          </w:tcPr>
          <w:p w14:paraId="6BBC72E4" w14:textId="77777777" w:rsidR="00640A75" w:rsidRDefault="00640A75" w:rsidP="00A42B4C"/>
        </w:tc>
      </w:tr>
      <w:tr w:rsidR="00640A75" w14:paraId="67A4E283" w14:textId="77777777" w:rsidTr="00A42B4C">
        <w:tc>
          <w:tcPr>
            <w:tcW w:w="3005" w:type="dxa"/>
          </w:tcPr>
          <w:p w14:paraId="3D9029A9" w14:textId="77777777" w:rsidR="00640A75" w:rsidRPr="00A220E3" w:rsidRDefault="00640A75" w:rsidP="00640A75">
            <w:pPr>
              <w:pStyle w:val="ListParagraph"/>
              <w:numPr>
                <w:ilvl w:val="0"/>
                <w:numId w:val="63"/>
              </w:numPr>
              <w:autoSpaceDE w:val="0"/>
              <w:autoSpaceDN w:val="0"/>
              <w:adjustRightInd w:val="0"/>
              <w:spacing w:after="200"/>
              <w:rPr>
                <w:rFonts w:eastAsia="Times New Roman"/>
                <w:color w:val="000000"/>
              </w:rPr>
            </w:pPr>
            <w:r w:rsidRPr="00A220E3">
              <w:rPr>
                <w:rFonts w:eastAsia="Times New Roman"/>
                <w:color w:val="000000"/>
              </w:rPr>
              <w:t>Number of women describing themselves as having disability</w:t>
            </w:r>
          </w:p>
          <w:p w14:paraId="5E9B10A9" w14:textId="77777777" w:rsidR="00640A75" w:rsidRDefault="00640A75" w:rsidP="00A42B4C"/>
        </w:tc>
        <w:tc>
          <w:tcPr>
            <w:tcW w:w="3005" w:type="dxa"/>
          </w:tcPr>
          <w:p w14:paraId="7DDAFC2E" w14:textId="77777777" w:rsidR="00640A75" w:rsidRDefault="00640A75" w:rsidP="00A42B4C"/>
        </w:tc>
        <w:tc>
          <w:tcPr>
            <w:tcW w:w="3006" w:type="dxa"/>
          </w:tcPr>
          <w:p w14:paraId="55097A47" w14:textId="77777777" w:rsidR="00640A75" w:rsidRDefault="00640A75" w:rsidP="00A42B4C"/>
        </w:tc>
      </w:tr>
      <w:tr w:rsidR="00640A75" w14:paraId="090000F2" w14:textId="77777777" w:rsidTr="00A42B4C">
        <w:tc>
          <w:tcPr>
            <w:tcW w:w="3005" w:type="dxa"/>
          </w:tcPr>
          <w:p w14:paraId="3B92AAEF" w14:textId="77777777" w:rsidR="00640A75" w:rsidRDefault="00640A75" w:rsidP="00640A75">
            <w:pPr>
              <w:pStyle w:val="ListParagraph"/>
              <w:numPr>
                <w:ilvl w:val="0"/>
                <w:numId w:val="63"/>
              </w:numPr>
            </w:pPr>
            <w:r w:rsidRPr="00A220E3">
              <w:rPr>
                <w:rFonts w:eastAsia="Times New Roman"/>
                <w:color w:val="000000"/>
              </w:rPr>
              <w:t>Number of referrals to alternative service for SDI removal</w:t>
            </w:r>
          </w:p>
        </w:tc>
        <w:tc>
          <w:tcPr>
            <w:tcW w:w="3005" w:type="dxa"/>
          </w:tcPr>
          <w:p w14:paraId="04B46985" w14:textId="77777777" w:rsidR="00640A75" w:rsidRDefault="00640A75" w:rsidP="00A42B4C"/>
        </w:tc>
        <w:tc>
          <w:tcPr>
            <w:tcW w:w="3006" w:type="dxa"/>
          </w:tcPr>
          <w:p w14:paraId="1840CCDD" w14:textId="77777777" w:rsidR="00640A75" w:rsidRDefault="00640A75" w:rsidP="00A42B4C"/>
        </w:tc>
      </w:tr>
      <w:tr w:rsidR="00640A75" w14:paraId="74A63E5B" w14:textId="77777777" w:rsidTr="00A42B4C">
        <w:tc>
          <w:tcPr>
            <w:tcW w:w="3005" w:type="dxa"/>
          </w:tcPr>
          <w:p w14:paraId="60310267" w14:textId="77777777" w:rsidR="00640A75" w:rsidRDefault="00640A75" w:rsidP="00640A75">
            <w:pPr>
              <w:pStyle w:val="ListParagraph"/>
              <w:numPr>
                <w:ilvl w:val="0"/>
                <w:numId w:val="54"/>
              </w:numPr>
            </w:pPr>
            <w:r w:rsidRPr="00A220E3">
              <w:rPr>
                <w:rFonts w:eastAsia="Times New Roman"/>
                <w:color w:val="000000"/>
              </w:rPr>
              <w:t>Reasons for each referral to alternative service</w:t>
            </w:r>
          </w:p>
        </w:tc>
        <w:tc>
          <w:tcPr>
            <w:tcW w:w="3005" w:type="dxa"/>
          </w:tcPr>
          <w:p w14:paraId="533615FD" w14:textId="77777777" w:rsidR="00640A75" w:rsidRDefault="00640A75" w:rsidP="00A42B4C"/>
        </w:tc>
        <w:tc>
          <w:tcPr>
            <w:tcW w:w="3006" w:type="dxa"/>
          </w:tcPr>
          <w:p w14:paraId="5CF66C51" w14:textId="77777777" w:rsidR="00640A75" w:rsidRDefault="00640A75" w:rsidP="00A42B4C"/>
        </w:tc>
      </w:tr>
    </w:tbl>
    <w:p w14:paraId="67177939" w14:textId="77777777" w:rsidR="001E72FF" w:rsidRPr="007B1368" w:rsidRDefault="001E72FF" w:rsidP="001E72FF">
      <w:pPr>
        <w:autoSpaceDE w:val="0"/>
        <w:autoSpaceDN w:val="0"/>
        <w:adjustRightInd w:val="0"/>
        <w:rPr>
          <w:rFonts w:eastAsia="Times New Roman"/>
          <w:color w:val="000000"/>
          <w:sz w:val="22"/>
          <w:szCs w:val="22"/>
          <w:lang w:eastAsia="en-GB"/>
        </w:rPr>
      </w:pPr>
    </w:p>
    <w:p w14:paraId="4BD73CAB" w14:textId="77777777" w:rsidR="001E72FF" w:rsidRPr="007B1368" w:rsidRDefault="001E72FF" w:rsidP="000A6D39">
      <w:pPr>
        <w:keepNext/>
        <w:outlineLvl w:val="0"/>
        <w:rPr>
          <w:rFonts w:eastAsia="Times New Roman"/>
          <w:b/>
          <w:kern w:val="32"/>
          <w:sz w:val="22"/>
          <w:szCs w:val="22"/>
        </w:rPr>
      </w:pPr>
    </w:p>
    <w:p w14:paraId="448D951B" w14:textId="65293174" w:rsidR="000A6D39" w:rsidRPr="007B1368" w:rsidRDefault="008E5F06" w:rsidP="000A6D39">
      <w:pPr>
        <w:keepNext/>
        <w:outlineLvl w:val="0"/>
        <w:rPr>
          <w:rFonts w:eastAsia="Times New Roman"/>
          <w:b/>
          <w:kern w:val="32"/>
          <w:sz w:val="22"/>
          <w:szCs w:val="22"/>
        </w:rPr>
      </w:pPr>
      <w:bookmarkStart w:id="25" w:name="_Toc190354379"/>
      <w:r w:rsidRPr="007B1368">
        <w:rPr>
          <w:rFonts w:eastAsia="Times New Roman"/>
          <w:b/>
          <w:kern w:val="32"/>
          <w:sz w:val="22"/>
          <w:szCs w:val="22"/>
        </w:rPr>
        <w:t xml:space="preserve">Appendix </w:t>
      </w:r>
      <w:r w:rsidR="002B14A5" w:rsidRPr="007B1368">
        <w:rPr>
          <w:rFonts w:eastAsia="Times New Roman"/>
          <w:b/>
          <w:kern w:val="32"/>
          <w:sz w:val="22"/>
          <w:szCs w:val="22"/>
        </w:rPr>
        <w:t xml:space="preserve">5 </w:t>
      </w:r>
      <w:r w:rsidR="004172C0">
        <w:rPr>
          <w:rFonts w:eastAsia="Times New Roman"/>
          <w:b/>
          <w:kern w:val="32"/>
          <w:sz w:val="22"/>
          <w:szCs w:val="22"/>
        </w:rPr>
        <w:t>–</w:t>
      </w:r>
      <w:r w:rsidR="002B14A5" w:rsidRPr="007B1368">
        <w:rPr>
          <w:rFonts w:eastAsia="Times New Roman"/>
          <w:b/>
          <w:kern w:val="32"/>
          <w:sz w:val="22"/>
          <w:szCs w:val="22"/>
        </w:rPr>
        <w:t xml:space="preserve"> </w:t>
      </w:r>
      <w:r w:rsidR="000A6D39" w:rsidRPr="007B1368">
        <w:rPr>
          <w:rFonts w:eastAsia="Times New Roman"/>
          <w:b/>
          <w:kern w:val="32"/>
          <w:sz w:val="22"/>
          <w:szCs w:val="22"/>
        </w:rPr>
        <w:t>National</w:t>
      </w:r>
      <w:r w:rsidR="004172C0">
        <w:rPr>
          <w:rFonts w:eastAsia="Times New Roman"/>
          <w:b/>
          <w:kern w:val="32"/>
          <w:sz w:val="22"/>
          <w:szCs w:val="22"/>
        </w:rPr>
        <w:t xml:space="preserve"> </w:t>
      </w:r>
      <w:r w:rsidRPr="007B1368">
        <w:rPr>
          <w:rFonts w:eastAsia="Times New Roman"/>
          <w:b/>
          <w:kern w:val="32"/>
          <w:sz w:val="22"/>
          <w:szCs w:val="22"/>
        </w:rPr>
        <w:t xml:space="preserve">Local </w:t>
      </w:r>
      <w:r w:rsidR="000A6D39" w:rsidRPr="007B1368">
        <w:rPr>
          <w:rFonts w:eastAsia="Times New Roman"/>
          <w:b/>
          <w:kern w:val="32"/>
          <w:sz w:val="22"/>
          <w:szCs w:val="22"/>
        </w:rPr>
        <w:t>Standards</w:t>
      </w:r>
      <w:bookmarkEnd w:id="25"/>
    </w:p>
    <w:p w14:paraId="069E0FDE" w14:textId="77777777" w:rsidR="000A6D39" w:rsidRPr="007B1368" w:rsidRDefault="000A6D39" w:rsidP="000A6D39">
      <w:pPr>
        <w:tabs>
          <w:tab w:val="center" w:pos="4320"/>
          <w:tab w:val="right" w:pos="8640"/>
        </w:tabs>
        <w:rPr>
          <w:rFonts w:eastAsia="Times New Roman"/>
          <w:sz w:val="22"/>
          <w:szCs w:val="22"/>
          <w:lang w:val="en-US"/>
        </w:rPr>
      </w:pPr>
    </w:p>
    <w:p w14:paraId="78D37011" w14:textId="77777777" w:rsidR="000A6D39" w:rsidRPr="007B1368" w:rsidRDefault="000A6D39" w:rsidP="000A6D39">
      <w:pPr>
        <w:tabs>
          <w:tab w:val="center" w:pos="4320"/>
          <w:tab w:val="right" w:pos="8640"/>
        </w:tabs>
        <w:rPr>
          <w:rFonts w:eastAsia="Times New Roman"/>
          <w:sz w:val="22"/>
          <w:szCs w:val="22"/>
          <w:lang w:val="en-US"/>
        </w:rPr>
      </w:pPr>
      <w:r w:rsidRPr="007B1368">
        <w:rPr>
          <w:rFonts w:eastAsia="Times New Roman"/>
          <w:sz w:val="22"/>
          <w:szCs w:val="22"/>
          <w:lang w:val="en-US"/>
        </w:rPr>
        <w:t>The Service is underpinned by the following minimum standards:</w:t>
      </w:r>
    </w:p>
    <w:p w14:paraId="627F33C2" w14:textId="77777777" w:rsidR="000A6D39" w:rsidRPr="007B1368" w:rsidRDefault="000A6D39" w:rsidP="004F6F51">
      <w:pPr>
        <w:tabs>
          <w:tab w:val="center" w:pos="4320"/>
          <w:tab w:val="right" w:pos="8640"/>
        </w:tabs>
        <w:spacing w:line="360" w:lineRule="auto"/>
        <w:rPr>
          <w:rFonts w:eastAsia="Times New Roman"/>
          <w:sz w:val="22"/>
          <w:szCs w:val="22"/>
          <w:lang w:val="en-US"/>
        </w:rPr>
      </w:pPr>
    </w:p>
    <w:p w14:paraId="44F195C8" w14:textId="77777777" w:rsidR="000A6D39" w:rsidRPr="004F6F51" w:rsidRDefault="000A6D39" w:rsidP="004F6F51">
      <w:pPr>
        <w:numPr>
          <w:ilvl w:val="0"/>
          <w:numId w:val="12"/>
        </w:numPr>
        <w:spacing w:line="360" w:lineRule="auto"/>
        <w:jc w:val="both"/>
        <w:rPr>
          <w:rFonts w:eastAsia="Times New Roman"/>
          <w:sz w:val="22"/>
          <w:szCs w:val="22"/>
          <w:lang w:eastAsia="en-GB"/>
        </w:rPr>
      </w:pPr>
      <w:r w:rsidRPr="004F6F51">
        <w:rPr>
          <w:rFonts w:eastAsia="Times New Roman"/>
          <w:sz w:val="22"/>
          <w:szCs w:val="22"/>
          <w:lang w:eastAsia="en-GB"/>
        </w:rPr>
        <w:t>Spotting the Signs. A national proforma for identifying risk of child sexual exploitation in sexual health services (BASHH/Brook 2014)</w:t>
      </w:r>
    </w:p>
    <w:p w14:paraId="030C009D"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National Guideline on the Management of Adult and Adolescent Complainants of Sexual Assault (BASHH 2011)</w:t>
      </w:r>
    </w:p>
    <w:p w14:paraId="7E802A2C"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UK Guidelines for the Management of Individuals disclosing sexual violence in Sexual Health Services (BASHH 2021)</w:t>
      </w:r>
    </w:p>
    <w:p w14:paraId="15DEE176"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Protecting Children and Young People (General Medical Council 2012, updated 2018)</w:t>
      </w:r>
    </w:p>
    <w:p w14:paraId="227C1FA5"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NICE PH50 Domestic violence and abuse - how services can respond effectively. (2014)</w:t>
      </w:r>
    </w:p>
    <w:p w14:paraId="0ED6C420"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NICE PH51 Contraceptive services with a focus on young people up to the age of 25 (2014)</w:t>
      </w:r>
    </w:p>
    <w:p w14:paraId="602EC887"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NICE NG60 HIV testing: increasing uptake among people who may have undiagnosed HIV (2016)</w:t>
      </w:r>
    </w:p>
    <w:p w14:paraId="7DCFD920" w14:textId="77777777" w:rsidR="000A6D39" w:rsidRPr="004F6F51" w:rsidRDefault="000A6D39" w:rsidP="004F6F51">
      <w:pPr>
        <w:numPr>
          <w:ilvl w:val="0"/>
          <w:numId w:val="11"/>
        </w:numPr>
        <w:spacing w:line="360" w:lineRule="auto"/>
        <w:rPr>
          <w:rFonts w:eastAsia="Times New Roman"/>
          <w:sz w:val="22"/>
          <w:szCs w:val="22"/>
          <w:lang w:eastAsia="en-GB"/>
        </w:rPr>
      </w:pPr>
      <w:r w:rsidRPr="004F6F51">
        <w:rPr>
          <w:rFonts w:eastAsia="Times New Roman"/>
          <w:sz w:val="22"/>
          <w:szCs w:val="22"/>
          <w:lang w:val="en-US" w:eastAsia="en-GB"/>
        </w:rPr>
        <w:lastRenderedPageBreak/>
        <w:t>NICE Long-acting Reversible Contraception Guidelines CG30. (2014 and 2005, updated 2019)  Available at: </w:t>
      </w:r>
      <w:hyperlink r:id="rId34" w:history="1">
        <w:r w:rsidRPr="004F6F51">
          <w:rPr>
            <w:rFonts w:eastAsia="Times New Roman"/>
            <w:sz w:val="22"/>
            <w:szCs w:val="22"/>
            <w:u w:val="single"/>
            <w:lang w:val="en-US" w:eastAsia="en-GB"/>
          </w:rPr>
          <w:t>http://www.nice.org.uk/Guidance/CG30/Evidence</w:t>
        </w:r>
      </w:hyperlink>
      <w:r w:rsidRPr="004F6F51">
        <w:rPr>
          <w:rFonts w:eastAsia="Times New Roman"/>
          <w:sz w:val="22"/>
          <w:szCs w:val="22"/>
          <w:lang w:val="en-US" w:eastAsia="en-GB"/>
        </w:rPr>
        <w:t>  </w:t>
      </w:r>
    </w:p>
    <w:p w14:paraId="29C9AB05" w14:textId="77777777" w:rsidR="000A6D39" w:rsidRPr="004F6F51" w:rsidRDefault="000A6D39" w:rsidP="004F6F51">
      <w:pPr>
        <w:numPr>
          <w:ilvl w:val="0"/>
          <w:numId w:val="11"/>
        </w:numPr>
        <w:spacing w:line="360" w:lineRule="auto"/>
        <w:rPr>
          <w:rFonts w:eastAsia="Times New Roman"/>
          <w:sz w:val="22"/>
          <w:szCs w:val="22"/>
          <w:lang w:eastAsia="en-GB"/>
        </w:rPr>
      </w:pPr>
      <w:r w:rsidRPr="004F6F51">
        <w:rPr>
          <w:rFonts w:eastAsia="Times New Roman"/>
          <w:sz w:val="22"/>
          <w:szCs w:val="22"/>
          <w:lang w:val="en-US" w:eastAsia="en-GB"/>
        </w:rPr>
        <w:t xml:space="preserve">NICE QS129 Contraception Quality Standard 129 September 2016 </w:t>
      </w:r>
      <w:hyperlink r:id="rId35" w:history="1">
        <w:r w:rsidRPr="004F6F51">
          <w:rPr>
            <w:rFonts w:eastAsia="Times New Roman"/>
            <w:sz w:val="22"/>
            <w:szCs w:val="22"/>
            <w:u w:val="single"/>
            <w:lang w:val="en-US" w:eastAsia="en-GB"/>
          </w:rPr>
          <w:t>https://www.nice.org.uk/guidance/qs129</w:t>
        </w:r>
      </w:hyperlink>
    </w:p>
    <w:p w14:paraId="38B2A52D" w14:textId="77777777" w:rsidR="000A6D39" w:rsidRPr="004F6F51" w:rsidRDefault="000A6D39" w:rsidP="004F6F51">
      <w:pPr>
        <w:numPr>
          <w:ilvl w:val="0"/>
          <w:numId w:val="11"/>
        </w:numPr>
        <w:spacing w:line="360" w:lineRule="auto"/>
        <w:rPr>
          <w:rFonts w:eastAsia="Times New Roman"/>
          <w:sz w:val="22"/>
          <w:szCs w:val="22"/>
          <w:lang w:eastAsia="en-GB"/>
        </w:rPr>
      </w:pPr>
      <w:r w:rsidRPr="004F6F51">
        <w:rPr>
          <w:rFonts w:eastAsia="Times New Roman"/>
          <w:sz w:val="22"/>
          <w:szCs w:val="22"/>
          <w:lang w:eastAsia="en-GB"/>
        </w:rPr>
        <w:t>NICE Infection: prevention and control of healthcare-associated infections in primary and community care (2012)</w:t>
      </w:r>
    </w:p>
    <w:p w14:paraId="38777854" w14:textId="77777777" w:rsidR="000A6D39" w:rsidRPr="004F6F51" w:rsidRDefault="000A6D39" w:rsidP="004F6F51">
      <w:pPr>
        <w:numPr>
          <w:ilvl w:val="0"/>
          <w:numId w:val="11"/>
        </w:numPr>
        <w:spacing w:line="360" w:lineRule="auto"/>
        <w:rPr>
          <w:rFonts w:eastAsia="Times New Roman"/>
          <w:sz w:val="22"/>
          <w:szCs w:val="22"/>
          <w:lang w:eastAsia="en-GB"/>
        </w:rPr>
      </w:pPr>
      <w:r w:rsidRPr="004F6F51">
        <w:rPr>
          <w:rFonts w:eastAsia="Times New Roman"/>
          <w:sz w:val="22"/>
          <w:szCs w:val="22"/>
          <w:lang w:eastAsia="en-GB"/>
        </w:rPr>
        <w:t>NICE CG139 Healthcare-Associated infections: prevention and control in primary and community care (2012, amended 2017)</w:t>
      </w:r>
    </w:p>
    <w:p w14:paraId="5A500535"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NICE Prevention of Sexually Transmitted Infections and Under 18 Conceptions: Guidance (2007) *plans to be updated*</w:t>
      </w:r>
    </w:p>
    <w:p w14:paraId="4AE4A229"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Service Standards for Medicines Management (FSRH 2018)</w:t>
      </w:r>
    </w:p>
    <w:p w14:paraId="402DEBEA"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Service Standards for Record Keeping (FSRH 2019)</w:t>
      </w:r>
    </w:p>
    <w:p w14:paraId="3CC054DD"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Service Standards on Confidentiality (FSRH 2020)</w:t>
      </w:r>
    </w:p>
    <w:p w14:paraId="3984687E"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Service Standards on Obtaining Valid Consent in Sexual Health Services (FSRH 2018, amended 2021)</w:t>
      </w:r>
    </w:p>
    <w:p w14:paraId="27A98B2F"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Service Standards for Resuscitation (FSRH 2016, amended 2021)</w:t>
      </w:r>
    </w:p>
    <w:p w14:paraId="2E4D42A6"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Service Standards for Risk Management (FSRH 2017)</w:t>
      </w:r>
    </w:p>
    <w:p w14:paraId="65029319"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val="en-US" w:eastAsia="en-GB"/>
        </w:rPr>
        <w:t> </w:t>
      </w:r>
      <w:r w:rsidRPr="004F6F51">
        <w:rPr>
          <w:rFonts w:eastAsia="Times New Roman"/>
          <w:sz w:val="22"/>
          <w:szCs w:val="22"/>
          <w:lang w:eastAsia="en-GB"/>
        </w:rPr>
        <w:t>Service Standards for Sexual and Reproductive Healthcare (FSRH 2013, amended 2016)</w:t>
      </w:r>
    </w:p>
    <w:p w14:paraId="2ED21A26"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Service Standards for Consultations in Sexual Health and Reproductive Services (FSRH 2020)</w:t>
      </w:r>
    </w:p>
    <w:p w14:paraId="4D41E524"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Standards for Online and Remote providers of Sexual and Reproductive Health Services (FSRH/ BASHH 2019)</w:t>
      </w:r>
    </w:p>
    <w:p w14:paraId="74007EE6"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Clinical Guidance – Emergency Contraception (FSRH 2017, amended 2020)</w:t>
      </w:r>
    </w:p>
    <w:p w14:paraId="5211422D" w14:textId="77777777" w:rsidR="000A6D39" w:rsidRPr="004F6F51" w:rsidRDefault="000A6D39" w:rsidP="004F6F51">
      <w:pPr>
        <w:numPr>
          <w:ilvl w:val="0"/>
          <w:numId w:val="11"/>
        </w:numPr>
        <w:suppressAutoHyphens/>
        <w:spacing w:line="360" w:lineRule="auto"/>
        <w:jc w:val="both"/>
        <w:rPr>
          <w:rFonts w:eastAsia="Times New Roman"/>
          <w:sz w:val="22"/>
          <w:szCs w:val="22"/>
          <w:lang w:val="en-US" w:eastAsia="en-GB"/>
        </w:rPr>
      </w:pPr>
      <w:r w:rsidRPr="004F6F51">
        <w:rPr>
          <w:rFonts w:eastAsia="Times New Roman"/>
          <w:sz w:val="22"/>
          <w:szCs w:val="22"/>
          <w:lang w:val="en-US" w:eastAsia="en-GB"/>
        </w:rPr>
        <w:t>Clinical Guidance- Progesterone Only Implant (FSRH 2021)</w:t>
      </w:r>
    </w:p>
    <w:p w14:paraId="7B24A5AA" w14:textId="77777777" w:rsidR="000A6D39" w:rsidRPr="004F6F51" w:rsidRDefault="000A6D39" w:rsidP="004F6F51">
      <w:pPr>
        <w:numPr>
          <w:ilvl w:val="0"/>
          <w:numId w:val="11"/>
        </w:numPr>
        <w:suppressAutoHyphens/>
        <w:spacing w:line="360" w:lineRule="auto"/>
        <w:jc w:val="both"/>
        <w:rPr>
          <w:rFonts w:eastAsia="Times New Roman"/>
          <w:sz w:val="22"/>
          <w:szCs w:val="22"/>
          <w:lang w:val="en-US" w:eastAsia="en-GB"/>
        </w:rPr>
      </w:pPr>
      <w:r w:rsidRPr="004F6F51">
        <w:rPr>
          <w:rFonts w:eastAsia="Times New Roman"/>
          <w:sz w:val="22"/>
          <w:szCs w:val="22"/>
          <w:lang w:eastAsia="en-GB"/>
        </w:rPr>
        <w:t>Clinical Guidance- Q</w:t>
      </w:r>
      <w:r w:rsidRPr="004F6F51">
        <w:rPr>
          <w:sz w:val="22"/>
          <w:szCs w:val="22"/>
        </w:rPr>
        <w:t>uick Starting Contraception (FSRH 2017)</w:t>
      </w:r>
    </w:p>
    <w:p w14:paraId="47F46B7C" w14:textId="77777777" w:rsidR="000A6D39" w:rsidRPr="004F6F51" w:rsidRDefault="000A6D39" w:rsidP="004F6F51">
      <w:pPr>
        <w:numPr>
          <w:ilvl w:val="0"/>
          <w:numId w:val="11"/>
        </w:numPr>
        <w:suppressAutoHyphens/>
        <w:spacing w:line="360" w:lineRule="auto"/>
        <w:jc w:val="both"/>
        <w:rPr>
          <w:rFonts w:eastAsia="Times New Roman"/>
          <w:sz w:val="22"/>
          <w:szCs w:val="22"/>
          <w:lang w:val="en-US" w:eastAsia="en-GB"/>
        </w:rPr>
      </w:pPr>
      <w:r w:rsidRPr="004F6F51">
        <w:rPr>
          <w:rFonts w:eastAsia="Times New Roman"/>
          <w:sz w:val="22"/>
          <w:szCs w:val="22"/>
          <w:lang w:val="en-US" w:eastAsia="en-GB"/>
        </w:rPr>
        <w:t>C</w:t>
      </w:r>
      <w:r w:rsidRPr="004F6F51">
        <w:rPr>
          <w:sz w:val="22"/>
          <w:szCs w:val="22"/>
          <w:lang w:val="en-US"/>
        </w:rPr>
        <w:t>linical Guidance- Contraception after Pregnancy (FSRH 2017, amended 2020)</w:t>
      </w:r>
    </w:p>
    <w:p w14:paraId="06CC504A" w14:textId="77777777" w:rsidR="000A6D39" w:rsidRPr="004F6F51" w:rsidRDefault="000A6D39" w:rsidP="004F6F51">
      <w:pPr>
        <w:numPr>
          <w:ilvl w:val="0"/>
          <w:numId w:val="11"/>
        </w:numPr>
        <w:suppressAutoHyphens/>
        <w:spacing w:line="360" w:lineRule="auto"/>
        <w:jc w:val="both"/>
        <w:rPr>
          <w:rFonts w:eastAsia="Times New Roman"/>
          <w:sz w:val="22"/>
          <w:szCs w:val="22"/>
          <w:lang w:val="en-US" w:eastAsia="en-GB"/>
        </w:rPr>
      </w:pPr>
      <w:r w:rsidRPr="004F6F51">
        <w:rPr>
          <w:rFonts w:eastAsia="Times New Roman"/>
          <w:sz w:val="22"/>
          <w:szCs w:val="22"/>
          <w:lang w:val="en-US" w:eastAsia="en-GB"/>
        </w:rPr>
        <w:t>C</w:t>
      </w:r>
      <w:r w:rsidRPr="004F6F51">
        <w:rPr>
          <w:sz w:val="22"/>
          <w:szCs w:val="22"/>
          <w:lang w:val="en-US"/>
        </w:rPr>
        <w:t>linical Guidance- Overweight, Obesity and Contraception (FSRH 2019)</w:t>
      </w:r>
    </w:p>
    <w:p w14:paraId="6730CAFF" w14:textId="77777777" w:rsidR="000A6D39" w:rsidRPr="004F6F51" w:rsidRDefault="000A6D39" w:rsidP="004F6F51">
      <w:pPr>
        <w:numPr>
          <w:ilvl w:val="0"/>
          <w:numId w:val="11"/>
        </w:numPr>
        <w:suppressAutoHyphens/>
        <w:spacing w:line="360" w:lineRule="auto"/>
        <w:jc w:val="both"/>
        <w:rPr>
          <w:rFonts w:eastAsia="Times New Roman"/>
          <w:sz w:val="22"/>
          <w:szCs w:val="22"/>
          <w:lang w:val="en-US" w:eastAsia="en-GB"/>
        </w:rPr>
      </w:pPr>
      <w:r w:rsidRPr="004F6F51">
        <w:rPr>
          <w:rFonts w:eastAsia="Times New Roman"/>
          <w:sz w:val="22"/>
          <w:szCs w:val="22"/>
          <w:lang w:val="en-US" w:eastAsia="en-GB"/>
        </w:rPr>
        <w:t>C</w:t>
      </w:r>
      <w:r w:rsidRPr="004F6F51">
        <w:rPr>
          <w:sz w:val="22"/>
          <w:szCs w:val="22"/>
          <w:lang w:val="en-US"/>
        </w:rPr>
        <w:t>linical Guidance- Contraceptive Choices for Young People (FSRH 2010, amended 2019)</w:t>
      </w:r>
    </w:p>
    <w:p w14:paraId="55E8879B" w14:textId="77777777" w:rsidR="000A6D39" w:rsidRPr="004F6F51" w:rsidRDefault="000A6D39" w:rsidP="004F6F51">
      <w:pPr>
        <w:numPr>
          <w:ilvl w:val="0"/>
          <w:numId w:val="11"/>
        </w:numPr>
        <w:suppressAutoHyphens/>
        <w:spacing w:line="360" w:lineRule="auto"/>
        <w:jc w:val="both"/>
        <w:rPr>
          <w:rFonts w:eastAsia="Times New Roman"/>
          <w:sz w:val="22"/>
          <w:szCs w:val="22"/>
          <w:lang w:val="en-US" w:eastAsia="en-GB"/>
        </w:rPr>
      </w:pPr>
      <w:r w:rsidRPr="004F6F51">
        <w:rPr>
          <w:rFonts w:eastAsia="Times New Roman"/>
          <w:sz w:val="22"/>
          <w:szCs w:val="22"/>
          <w:lang w:val="en-US" w:eastAsia="en-GB"/>
        </w:rPr>
        <w:t>C</w:t>
      </w:r>
      <w:r w:rsidRPr="004F6F51">
        <w:rPr>
          <w:sz w:val="22"/>
          <w:szCs w:val="22"/>
          <w:lang w:val="en-US"/>
        </w:rPr>
        <w:t>linical Guidance- Contraception for women aged over 40 years (FSRH 2017, amended 2019)</w:t>
      </w:r>
    </w:p>
    <w:p w14:paraId="54A71F85"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val="en-US" w:eastAsia="en-GB"/>
        </w:rPr>
        <w:t>Quality Standards for Contraceptive Services.  FSRH (2014) Available at: </w:t>
      </w:r>
    </w:p>
    <w:p w14:paraId="2A7125D5" w14:textId="77777777" w:rsidR="000A6D39" w:rsidRPr="004F6F51" w:rsidRDefault="00640A75" w:rsidP="004F6F51">
      <w:pPr>
        <w:spacing w:line="360" w:lineRule="auto"/>
        <w:ind w:left="720"/>
        <w:jc w:val="both"/>
        <w:rPr>
          <w:rFonts w:eastAsia="Times New Roman"/>
          <w:sz w:val="22"/>
          <w:szCs w:val="22"/>
          <w:u w:val="single"/>
          <w:lang w:eastAsia="en-GB"/>
        </w:rPr>
      </w:pPr>
      <w:hyperlink r:id="rId36" w:history="1">
        <w:r w:rsidR="000A6D39" w:rsidRPr="004F6F51">
          <w:rPr>
            <w:rFonts w:eastAsia="Times New Roman"/>
            <w:sz w:val="22"/>
            <w:szCs w:val="22"/>
            <w:u w:val="single"/>
            <w:lang w:eastAsia="en-GB"/>
          </w:rPr>
          <w:t>http://www.fsrh.org/standards-and-guidance/documents/fsrhqualitystandardcontraceptiveservices/</w:t>
        </w:r>
      </w:hyperlink>
    </w:p>
    <w:p w14:paraId="51C5212A" w14:textId="77777777" w:rsidR="000A6D39" w:rsidRPr="004F6F51" w:rsidRDefault="000A6D39" w:rsidP="004F6F51">
      <w:pPr>
        <w:numPr>
          <w:ilvl w:val="0"/>
          <w:numId w:val="12"/>
        </w:numPr>
        <w:spacing w:line="360" w:lineRule="auto"/>
        <w:jc w:val="both"/>
        <w:rPr>
          <w:rFonts w:eastAsia="Times New Roman"/>
          <w:sz w:val="22"/>
          <w:szCs w:val="22"/>
          <w:lang w:eastAsia="en-GB"/>
        </w:rPr>
      </w:pPr>
      <w:r w:rsidRPr="004F6F51">
        <w:rPr>
          <w:rFonts w:eastAsia="Times New Roman"/>
          <w:sz w:val="22"/>
          <w:szCs w:val="22"/>
          <w:lang w:eastAsia="en-GB"/>
        </w:rPr>
        <w:lastRenderedPageBreak/>
        <w:t>UK Medical Eligibility Criteria for Contraceptive Use – Summary Sheets (FSRH 2016, amended 2019)</w:t>
      </w:r>
    </w:p>
    <w:p w14:paraId="1296185C"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UK Medical Eligibility Criteria for Contraceptive Use (FSRH 2016, amended 2019)</w:t>
      </w:r>
    </w:p>
    <w:p w14:paraId="23313B91"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UK National Guideline for Consultations Requiring Sexual Health History Taking (BASHH 2019)</w:t>
      </w:r>
    </w:p>
    <w:p w14:paraId="32C701B8"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DH (2013) A Framework for Sexual Health Improvement in England. Available at: </w:t>
      </w:r>
      <w:hyperlink r:id="rId37" w:history="1">
        <w:r w:rsidRPr="004F6F51">
          <w:rPr>
            <w:rFonts w:eastAsia="Times New Roman"/>
            <w:sz w:val="22"/>
            <w:szCs w:val="22"/>
            <w:u w:val="single"/>
            <w:lang w:eastAsia="en-GB"/>
          </w:rPr>
          <w:t>www.gov.uk</w:t>
        </w:r>
      </w:hyperlink>
      <w:r w:rsidRPr="004F6F51">
        <w:rPr>
          <w:rFonts w:eastAsia="Times New Roman"/>
          <w:sz w:val="22"/>
          <w:szCs w:val="22"/>
          <w:lang w:eastAsia="en-GB"/>
        </w:rPr>
        <w:t>  </w:t>
      </w:r>
    </w:p>
    <w:p w14:paraId="1799B3BB"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DH (2012) Quality criteria for young people friendly health services. Available at: </w:t>
      </w:r>
      <w:hyperlink r:id="rId38" w:history="1">
        <w:r w:rsidRPr="004F6F51">
          <w:rPr>
            <w:rFonts w:eastAsia="Times New Roman"/>
            <w:sz w:val="22"/>
            <w:szCs w:val="22"/>
            <w:u w:val="single"/>
            <w:lang w:eastAsia="en-GB"/>
          </w:rPr>
          <w:t>https://www.gov.uk/government/uploads/system/uploads/attachment_data/file/216350/dh_127632.pdf</w:t>
        </w:r>
      </w:hyperlink>
    </w:p>
    <w:p w14:paraId="7E90D623" w14:textId="77777777" w:rsidR="000A6D39" w:rsidRPr="004F6F51" w:rsidRDefault="000A6D39" w:rsidP="004F6F51">
      <w:pPr>
        <w:numPr>
          <w:ilvl w:val="0"/>
          <w:numId w:val="11"/>
        </w:numPr>
        <w:spacing w:line="360" w:lineRule="auto"/>
        <w:jc w:val="both"/>
        <w:rPr>
          <w:rFonts w:eastAsia="Times New Roman"/>
          <w:sz w:val="22"/>
          <w:szCs w:val="22"/>
          <w:lang w:eastAsia="en-GB"/>
        </w:rPr>
      </w:pPr>
      <w:r w:rsidRPr="004F6F51">
        <w:rPr>
          <w:rFonts w:eastAsia="Times New Roman"/>
          <w:sz w:val="22"/>
          <w:szCs w:val="22"/>
          <w:lang w:eastAsia="en-GB"/>
        </w:rPr>
        <w:t>DH (2017) You’re Welcome Pilot Quality Standards</w:t>
      </w:r>
    </w:p>
    <w:p w14:paraId="1573E851" w14:textId="77777777" w:rsidR="000A6D39" w:rsidRPr="004F6F51" w:rsidRDefault="000A6D39" w:rsidP="004F6F51">
      <w:pPr>
        <w:numPr>
          <w:ilvl w:val="0"/>
          <w:numId w:val="11"/>
        </w:numPr>
        <w:spacing w:line="360" w:lineRule="auto"/>
        <w:rPr>
          <w:rFonts w:eastAsia="Times New Roman"/>
          <w:sz w:val="22"/>
          <w:szCs w:val="22"/>
          <w:lang w:eastAsia="en-GB"/>
        </w:rPr>
      </w:pPr>
      <w:r w:rsidRPr="004F6F51">
        <w:rPr>
          <w:rFonts w:eastAsia="Times New Roman"/>
          <w:sz w:val="22"/>
          <w:szCs w:val="22"/>
          <w:lang w:val="en-US" w:eastAsia="en-GB"/>
        </w:rPr>
        <w:t>Disclosure and Barring Service (DBS) information available at: </w:t>
      </w:r>
      <w:hyperlink r:id="rId39" w:history="1">
        <w:r w:rsidRPr="004F6F51">
          <w:rPr>
            <w:rFonts w:eastAsia="Times New Roman"/>
            <w:sz w:val="22"/>
            <w:szCs w:val="22"/>
            <w:u w:val="single"/>
            <w:lang w:val="en-US" w:eastAsia="en-GB"/>
          </w:rPr>
          <w:t>https://www.gov.uk/disclosure-barring-service-check/overview</w:t>
        </w:r>
      </w:hyperlink>
    </w:p>
    <w:p w14:paraId="1AA4189C" w14:textId="6DE65368" w:rsidR="000A6D39" w:rsidRPr="004F6F51" w:rsidRDefault="000A6D39" w:rsidP="004F6F51">
      <w:pPr>
        <w:numPr>
          <w:ilvl w:val="0"/>
          <w:numId w:val="11"/>
        </w:numPr>
        <w:spacing w:line="360" w:lineRule="auto"/>
        <w:rPr>
          <w:rFonts w:eastAsia="Times New Roman"/>
          <w:sz w:val="22"/>
          <w:szCs w:val="22"/>
          <w:lang w:eastAsia="en-GB"/>
        </w:rPr>
      </w:pPr>
      <w:r w:rsidRPr="004F6F51">
        <w:rPr>
          <w:rFonts w:eastAsia="Times New Roman"/>
          <w:sz w:val="22"/>
          <w:szCs w:val="22"/>
          <w:lang w:val="en-US" w:eastAsia="en-GB"/>
        </w:rPr>
        <w:t>NCSP Standards Core Requirements. Available at: </w:t>
      </w:r>
      <w:hyperlink r:id="rId40" w:history="1">
        <w:r w:rsidR="008E5F06" w:rsidRPr="004F6F51">
          <w:rPr>
            <w:rStyle w:val="Hyperlink"/>
            <w:rFonts w:eastAsia="Times New Roman"/>
            <w:color w:val="auto"/>
            <w:sz w:val="22"/>
            <w:szCs w:val="22"/>
            <w:lang w:val="en-US" w:eastAsia="en-GB"/>
          </w:rPr>
          <w:t>https://www.gov.uk/government/publications/ncsp-standards amended 2021</w:t>
        </w:r>
      </w:hyperlink>
    </w:p>
    <w:p w14:paraId="41BA6962" w14:textId="5C199781" w:rsidR="008E5F06" w:rsidRPr="004F6F51" w:rsidRDefault="008E5F06" w:rsidP="004F6F51">
      <w:pPr>
        <w:numPr>
          <w:ilvl w:val="0"/>
          <w:numId w:val="11"/>
        </w:numPr>
        <w:spacing w:line="360" w:lineRule="auto"/>
        <w:rPr>
          <w:rFonts w:eastAsia="Times New Roman"/>
          <w:sz w:val="22"/>
          <w:szCs w:val="22"/>
          <w:lang w:eastAsia="en-GB"/>
        </w:rPr>
      </w:pPr>
      <w:r w:rsidRPr="00C805EF">
        <w:rPr>
          <w:rFonts w:eastAsia="Times New Roman"/>
          <w:sz w:val="22"/>
          <w:szCs w:val="22"/>
          <w:lang w:eastAsia="en-GB"/>
        </w:rPr>
        <w:t xml:space="preserve">Information on how to manage requests for transgender people can be found in the </w:t>
      </w:r>
      <w:hyperlink r:id="rId41" w:history="1">
        <w:r w:rsidRPr="004F6F51">
          <w:rPr>
            <w:rFonts w:eastAsia="Times New Roman"/>
            <w:sz w:val="22"/>
            <w:szCs w:val="22"/>
            <w:u w:val="single"/>
            <w:lang w:eastAsia="en-GB"/>
          </w:rPr>
          <w:t>FSRH CEU Clinical Statement: Contraceptive Choices and Sexual Health for Transgender and Non-Binary People</w:t>
        </w:r>
      </w:hyperlink>
    </w:p>
    <w:p w14:paraId="01B5ABD2" w14:textId="781F4BD1" w:rsidR="008E5F06" w:rsidRPr="004F6F51" w:rsidRDefault="008E5F06" w:rsidP="004F6F51">
      <w:pPr>
        <w:pStyle w:val="DefinedTermNumber"/>
        <w:numPr>
          <w:ilvl w:val="0"/>
          <w:numId w:val="11"/>
        </w:numPr>
        <w:autoSpaceDE w:val="0"/>
        <w:autoSpaceDN w:val="0"/>
        <w:adjustRightInd w:val="0"/>
        <w:spacing w:after="0" w:line="360" w:lineRule="auto"/>
        <w:rPr>
          <w:rFonts w:eastAsia="Calibri" w:cs="Arial"/>
          <w:color w:val="auto"/>
          <w:szCs w:val="22"/>
        </w:rPr>
      </w:pPr>
      <w:r w:rsidRPr="004F6F51">
        <w:rPr>
          <w:rFonts w:cs="Arial"/>
          <w:color w:val="auto"/>
          <w:szCs w:val="22"/>
        </w:rPr>
        <w:t xml:space="preserve">Reporting serious incidents and patient safety incidents. It is expected that all serious incidents and patient safety incidents are dealt with in line with </w:t>
      </w:r>
      <w:hyperlink r:id="rId42" w:history="1">
        <w:r w:rsidRPr="004F6F51">
          <w:rPr>
            <w:rStyle w:val="Hyperlink"/>
            <w:rFonts w:eastAsia="Calibri" w:cs="Arial"/>
            <w:color w:val="auto"/>
            <w:szCs w:val="22"/>
          </w:rPr>
          <w:t>Patient Safety Incident Response Framework (PSIRF)</w:t>
        </w:r>
      </w:hyperlink>
      <w:r w:rsidRPr="004F6F51">
        <w:rPr>
          <w:rFonts w:eastAsia="Calibri" w:cs="Arial"/>
          <w:color w:val="auto"/>
          <w:szCs w:val="22"/>
        </w:rPr>
        <w:t xml:space="preserve"> under the </w:t>
      </w:r>
      <w:hyperlink r:id="rId43" w:history="1">
        <w:r w:rsidRPr="004F6F51">
          <w:rPr>
            <w:rStyle w:val="Hyperlink"/>
            <w:rFonts w:eastAsia="Calibri" w:cs="Arial"/>
            <w:color w:val="auto"/>
            <w:szCs w:val="22"/>
          </w:rPr>
          <w:t>NHS Standard Contract</w:t>
        </w:r>
      </w:hyperlink>
      <w:r w:rsidRPr="004F6F51">
        <w:rPr>
          <w:rFonts w:eastAsia="Calibri" w:cs="Arial"/>
          <w:color w:val="auto"/>
          <w:szCs w:val="22"/>
        </w:rPr>
        <w:t xml:space="preserve">. </w:t>
      </w:r>
    </w:p>
    <w:p w14:paraId="2E01CDFA" w14:textId="77777777" w:rsidR="00B82D5A" w:rsidRPr="00C805EF" w:rsidRDefault="00640A75" w:rsidP="004F6F51">
      <w:pPr>
        <w:pStyle w:val="ListParagraph"/>
        <w:numPr>
          <w:ilvl w:val="0"/>
          <w:numId w:val="11"/>
        </w:numPr>
        <w:spacing w:line="360" w:lineRule="auto"/>
        <w:rPr>
          <w:kern w:val="2"/>
          <w:sz w:val="22"/>
          <w:szCs w:val="22"/>
          <w14:ligatures w14:val="standardContextual"/>
        </w:rPr>
      </w:pPr>
      <w:hyperlink r:id="rId44" w:history="1">
        <w:r w:rsidR="00B82D5A" w:rsidRPr="004F6F51">
          <w:rPr>
            <w:kern w:val="2"/>
            <w:sz w:val="22"/>
            <w:szCs w:val="22"/>
            <w:u w:val="single"/>
            <w14:ligatures w14:val="standardContextual"/>
          </w:rPr>
          <w:t>FSRH Clinical Guideline: Intrauterine contraception (March 2023)</w:t>
        </w:r>
      </w:hyperlink>
    </w:p>
    <w:p w14:paraId="2BBCC1B6" w14:textId="2A7D101E" w:rsidR="00B82D5A" w:rsidRPr="004F6F51" w:rsidRDefault="00640A75" w:rsidP="004F6F51">
      <w:pPr>
        <w:pStyle w:val="ListParagraph"/>
        <w:numPr>
          <w:ilvl w:val="0"/>
          <w:numId w:val="11"/>
        </w:numPr>
        <w:spacing w:line="360" w:lineRule="auto"/>
        <w:rPr>
          <w:kern w:val="2"/>
          <w:sz w:val="22"/>
          <w:szCs w:val="22"/>
          <w14:ligatures w14:val="standardContextual"/>
        </w:rPr>
      </w:pPr>
      <w:hyperlink r:id="rId45" w:anchor=":~:text=Author%3A%20FSRH%20Clinical%20Effectiveness%20Unit%20%28CEU%29%20This%20guidance,providing%20contraception%20or%20conception%20advice%20in%20the%20UK." w:history="1">
        <w:r w:rsidR="00B82D5A" w:rsidRPr="004F6F51">
          <w:rPr>
            <w:kern w:val="2"/>
            <w:sz w:val="22"/>
            <w:szCs w:val="22"/>
            <w:u w:val="single"/>
            <w14:ligatures w14:val="standardContextual"/>
          </w:rPr>
          <w:t>FSRH Clinical Guideline: Progestogen-only Implant (February 2021)</w:t>
        </w:r>
      </w:hyperlink>
    </w:p>
    <w:p w14:paraId="4C55817D" w14:textId="77777777" w:rsidR="00B82D5A" w:rsidRPr="00C805EF" w:rsidRDefault="00640A75" w:rsidP="004F6F51">
      <w:pPr>
        <w:pStyle w:val="ListParagraph"/>
        <w:numPr>
          <w:ilvl w:val="0"/>
          <w:numId w:val="11"/>
        </w:numPr>
        <w:spacing w:line="360" w:lineRule="auto"/>
        <w:rPr>
          <w:kern w:val="2"/>
          <w:sz w:val="22"/>
          <w:szCs w:val="22"/>
          <w14:ligatures w14:val="standardContextual"/>
        </w:rPr>
      </w:pPr>
      <w:hyperlink r:id="rId46" w:history="1">
        <w:r w:rsidR="00B82D5A" w:rsidRPr="004F6F51">
          <w:rPr>
            <w:kern w:val="2"/>
            <w:sz w:val="22"/>
            <w:szCs w:val="22"/>
            <w:u w:val="single"/>
            <w14:ligatures w14:val="standardContextual"/>
          </w:rPr>
          <w:t>FSRH Service Standards for Workload in Sexual and Reproductive Health (November 2020)</w:t>
        </w:r>
      </w:hyperlink>
    </w:p>
    <w:p w14:paraId="25DE0A14" w14:textId="77777777" w:rsidR="00B82D5A" w:rsidRPr="00C805EF" w:rsidRDefault="00640A75" w:rsidP="004F6F51">
      <w:pPr>
        <w:numPr>
          <w:ilvl w:val="0"/>
          <w:numId w:val="11"/>
        </w:numPr>
        <w:spacing w:line="360" w:lineRule="auto"/>
        <w:rPr>
          <w:kern w:val="2"/>
          <w:sz w:val="22"/>
          <w:szCs w:val="22"/>
          <w14:ligatures w14:val="standardContextual"/>
        </w:rPr>
      </w:pPr>
      <w:hyperlink r:id="rId47">
        <w:r w:rsidR="00B82D5A" w:rsidRPr="004F6F51">
          <w:rPr>
            <w:kern w:val="2"/>
            <w:sz w:val="22"/>
            <w:szCs w:val="22"/>
            <w:u w:val="single"/>
            <w14:ligatures w14:val="standardContextual"/>
          </w:rPr>
          <w:t>Office for Health Improvement and Disparities (OHID) 'You're Welcome': establishing youth-friendly health and care services</w:t>
        </w:r>
      </w:hyperlink>
    </w:p>
    <w:p w14:paraId="77C13FE6" w14:textId="77777777" w:rsidR="00697C67" w:rsidRPr="00C805EF" w:rsidRDefault="00640A75" w:rsidP="004F6F51">
      <w:pPr>
        <w:numPr>
          <w:ilvl w:val="0"/>
          <w:numId w:val="11"/>
        </w:numPr>
        <w:spacing w:line="360" w:lineRule="auto"/>
        <w:contextualSpacing/>
        <w:rPr>
          <w:kern w:val="2"/>
          <w:sz w:val="22"/>
          <w:szCs w:val="22"/>
          <w14:ligatures w14:val="standardContextual"/>
        </w:rPr>
      </w:pPr>
      <w:hyperlink r:id="rId48">
        <w:r w:rsidR="00697C67" w:rsidRPr="004F6F51">
          <w:rPr>
            <w:kern w:val="2"/>
            <w:sz w:val="22"/>
            <w:szCs w:val="22"/>
            <w:u w:val="single"/>
            <w14:ligatures w14:val="standardContextual"/>
          </w:rPr>
          <w:t>NICE Clinical Knowledge Summary: Menorrhagia (heavy menstrual bleeding)</w:t>
        </w:r>
      </w:hyperlink>
    </w:p>
    <w:p w14:paraId="2B8223DF" w14:textId="77777777" w:rsidR="00697C67" w:rsidRPr="00C805EF" w:rsidRDefault="00640A75" w:rsidP="004F6F51">
      <w:pPr>
        <w:numPr>
          <w:ilvl w:val="0"/>
          <w:numId w:val="11"/>
        </w:numPr>
        <w:spacing w:line="360" w:lineRule="auto"/>
        <w:contextualSpacing/>
        <w:rPr>
          <w:kern w:val="2"/>
          <w:sz w:val="22"/>
          <w:szCs w:val="22"/>
          <w14:ligatures w14:val="standardContextual"/>
        </w:rPr>
      </w:pPr>
      <w:hyperlink r:id="rId49">
        <w:r w:rsidR="00697C67" w:rsidRPr="004F6F51">
          <w:rPr>
            <w:kern w:val="2"/>
            <w:sz w:val="22"/>
            <w:szCs w:val="22"/>
            <w:u w:val="single"/>
            <w14:ligatures w14:val="standardContextual"/>
          </w:rPr>
          <w:t>NICE guideline [NG88]: Heavy menstrual bleeding: assessment and management</w:t>
        </w:r>
      </w:hyperlink>
    </w:p>
    <w:p w14:paraId="36839802" w14:textId="77777777" w:rsidR="00697C67" w:rsidRPr="00C805EF" w:rsidRDefault="00640A75" w:rsidP="004F6F51">
      <w:pPr>
        <w:numPr>
          <w:ilvl w:val="0"/>
          <w:numId w:val="11"/>
        </w:numPr>
        <w:spacing w:line="360" w:lineRule="auto"/>
        <w:contextualSpacing/>
        <w:rPr>
          <w:kern w:val="2"/>
          <w:sz w:val="22"/>
          <w:szCs w:val="22"/>
          <w14:ligatures w14:val="standardContextual"/>
        </w:rPr>
      </w:pPr>
      <w:hyperlink r:id="rId50">
        <w:r w:rsidR="00697C67" w:rsidRPr="004F6F51">
          <w:rPr>
            <w:kern w:val="2"/>
            <w:sz w:val="22"/>
            <w:szCs w:val="22"/>
            <w:u w:val="single"/>
            <w14:ligatures w14:val="standardContextual"/>
          </w:rPr>
          <w:t>NICE Clinical Knowledge Summary: Levonorgestrel intrauterine device</w:t>
        </w:r>
      </w:hyperlink>
    </w:p>
    <w:p w14:paraId="469738AE" w14:textId="77777777" w:rsidR="00697C67" w:rsidRPr="00C805EF" w:rsidRDefault="00640A75" w:rsidP="004F6F51">
      <w:pPr>
        <w:numPr>
          <w:ilvl w:val="0"/>
          <w:numId w:val="11"/>
        </w:numPr>
        <w:spacing w:line="360" w:lineRule="auto"/>
        <w:contextualSpacing/>
        <w:rPr>
          <w:kern w:val="2"/>
          <w:sz w:val="22"/>
          <w:szCs w:val="22"/>
          <w14:ligatures w14:val="standardContextual"/>
        </w:rPr>
      </w:pPr>
      <w:hyperlink r:id="rId51">
        <w:r w:rsidR="00697C67" w:rsidRPr="004F6F51">
          <w:rPr>
            <w:kern w:val="2"/>
            <w:sz w:val="22"/>
            <w:szCs w:val="22"/>
            <w:u w:val="single"/>
            <w14:ligatures w14:val="standardContextual"/>
          </w:rPr>
          <w:t>NICE Clinical Knowledge Summary: Hormone replacement therapy (HRT)</w:t>
        </w:r>
      </w:hyperlink>
    </w:p>
    <w:p w14:paraId="1AE015DC" w14:textId="645E0738" w:rsidR="00B82D5A" w:rsidRPr="004F6F51" w:rsidRDefault="00640A75" w:rsidP="004F6F51">
      <w:pPr>
        <w:pStyle w:val="ListParagraph"/>
        <w:numPr>
          <w:ilvl w:val="0"/>
          <w:numId w:val="11"/>
        </w:numPr>
        <w:spacing w:line="360" w:lineRule="auto"/>
        <w:rPr>
          <w:kern w:val="2"/>
          <w:sz w:val="22"/>
          <w:szCs w:val="22"/>
          <w14:ligatures w14:val="standardContextual"/>
        </w:rPr>
      </w:pPr>
      <w:hyperlink r:id="rId52">
        <w:r w:rsidR="00697C67" w:rsidRPr="004F6F51">
          <w:rPr>
            <w:kern w:val="2"/>
            <w:sz w:val="22"/>
            <w:szCs w:val="22"/>
            <w:u w:val="single"/>
            <w14:ligatures w14:val="standardContextual"/>
          </w:rPr>
          <w:t>NICE guideline [NG23]: Menopause: diagnosis and management</w:t>
        </w:r>
      </w:hyperlink>
    </w:p>
    <w:p w14:paraId="1B92AE73" w14:textId="7D64A006" w:rsidR="00890827" w:rsidRPr="004F6F51" w:rsidRDefault="00640A75" w:rsidP="004F6F51">
      <w:pPr>
        <w:pStyle w:val="FootnoteText"/>
        <w:numPr>
          <w:ilvl w:val="0"/>
          <w:numId w:val="11"/>
        </w:numPr>
        <w:spacing w:line="360" w:lineRule="auto"/>
        <w:rPr>
          <w:rFonts w:cs="Arial"/>
          <w:sz w:val="22"/>
          <w:szCs w:val="22"/>
        </w:rPr>
      </w:pPr>
      <w:hyperlink r:id="rId53">
        <w:r w:rsidR="00890827" w:rsidRPr="004F6F51">
          <w:rPr>
            <w:rFonts w:cs="Arial"/>
            <w:kern w:val="2"/>
            <w:sz w:val="22"/>
            <w:szCs w:val="22"/>
            <w:u w:val="single"/>
            <w14:ligatures w14:val="standardContextual"/>
          </w:rPr>
          <w:t>Department of Health's you're welcome quality criteria</w:t>
        </w:r>
      </w:hyperlink>
    </w:p>
    <w:p w14:paraId="0647D39A" w14:textId="2CA8827E" w:rsidR="00890827" w:rsidRPr="004F6F51" w:rsidRDefault="00640A75" w:rsidP="004F6F51">
      <w:pPr>
        <w:pStyle w:val="ListParagraph"/>
        <w:numPr>
          <w:ilvl w:val="0"/>
          <w:numId w:val="12"/>
        </w:numPr>
        <w:spacing w:line="360" w:lineRule="auto"/>
        <w:rPr>
          <w:kern w:val="2"/>
          <w:sz w:val="22"/>
          <w:szCs w:val="22"/>
          <w14:ligatures w14:val="standardContextual"/>
        </w:rPr>
      </w:pPr>
      <w:hyperlink r:id="rId54">
        <w:r w:rsidR="00890827" w:rsidRPr="004F6F51">
          <w:rPr>
            <w:kern w:val="2"/>
            <w:sz w:val="22"/>
            <w:szCs w:val="22"/>
            <w:u w:val="single"/>
            <w14:ligatures w14:val="standardContextual"/>
          </w:rPr>
          <w:t>Faculty of Sexual and Reproductive Healthcare service standards for sexual and reproductive healthcare</w:t>
        </w:r>
      </w:hyperlink>
    </w:p>
    <w:p w14:paraId="0D6DA94A" w14:textId="77777777" w:rsidR="00890827" w:rsidRPr="004F6F51" w:rsidRDefault="00640A75" w:rsidP="004F6F51">
      <w:pPr>
        <w:pStyle w:val="ListParagraph"/>
        <w:numPr>
          <w:ilvl w:val="0"/>
          <w:numId w:val="12"/>
        </w:numPr>
        <w:spacing w:line="360" w:lineRule="auto"/>
        <w:rPr>
          <w:sz w:val="22"/>
          <w:szCs w:val="22"/>
        </w:rPr>
      </w:pPr>
      <w:hyperlink r:id="rId55" w:history="1">
        <w:r w:rsidR="00890827" w:rsidRPr="004F6F51">
          <w:rPr>
            <w:rStyle w:val="Hyperlink"/>
            <w:color w:val="auto"/>
            <w:sz w:val="22"/>
            <w:szCs w:val="22"/>
          </w:rPr>
          <w:t>Infection Prevention and Control Quality Standards</w:t>
        </w:r>
      </w:hyperlink>
      <w:r w:rsidR="00890827" w:rsidRPr="004F6F51">
        <w:rPr>
          <w:sz w:val="22"/>
          <w:szCs w:val="22"/>
        </w:rPr>
        <w:t xml:space="preserve"> – NICE [QS61]</w:t>
      </w:r>
    </w:p>
    <w:p w14:paraId="4959FC09" w14:textId="77777777" w:rsidR="00890827" w:rsidRPr="004F6F51" w:rsidRDefault="00640A75" w:rsidP="004F6F51">
      <w:pPr>
        <w:pStyle w:val="ListParagraph"/>
        <w:numPr>
          <w:ilvl w:val="0"/>
          <w:numId w:val="12"/>
        </w:numPr>
        <w:spacing w:line="360" w:lineRule="auto"/>
        <w:rPr>
          <w:sz w:val="22"/>
          <w:szCs w:val="22"/>
        </w:rPr>
      </w:pPr>
      <w:hyperlink r:id="rId56" w:history="1">
        <w:r w:rsidR="00890827" w:rsidRPr="004F6F51">
          <w:rPr>
            <w:rStyle w:val="Hyperlink"/>
            <w:color w:val="auto"/>
            <w:sz w:val="22"/>
            <w:szCs w:val="22"/>
          </w:rPr>
          <w:t>Infection Prevention Society Guidance</w:t>
        </w:r>
      </w:hyperlink>
      <w:r w:rsidR="00890827" w:rsidRPr="004F6F51">
        <w:rPr>
          <w:sz w:val="22"/>
          <w:szCs w:val="22"/>
        </w:rPr>
        <w:t xml:space="preserve"> – National Guidance for England</w:t>
      </w:r>
    </w:p>
    <w:p w14:paraId="3067DC8D" w14:textId="77777777" w:rsidR="00890827" w:rsidRPr="00C805EF" w:rsidRDefault="00640A75" w:rsidP="004F6F51">
      <w:pPr>
        <w:pStyle w:val="ListParagraph"/>
        <w:numPr>
          <w:ilvl w:val="0"/>
          <w:numId w:val="12"/>
        </w:numPr>
        <w:spacing w:line="360" w:lineRule="auto"/>
        <w:rPr>
          <w:sz w:val="22"/>
          <w:szCs w:val="22"/>
        </w:rPr>
      </w:pPr>
      <w:hyperlink r:id="rId57" w:history="1">
        <w:r w:rsidR="00890827" w:rsidRPr="004F6F51">
          <w:rPr>
            <w:rStyle w:val="Hyperlink"/>
            <w:color w:val="auto"/>
            <w:sz w:val="22"/>
            <w:szCs w:val="22"/>
          </w:rPr>
          <w:t>Health and Social Care Act 2008</w:t>
        </w:r>
      </w:hyperlink>
      <w:r w:rsidR="00890827" w:rsidRPr="00C805EF">
        <w:rPr>
          <w:sz w:val="22"/>
          <w:szCs w:val="22"/>
        </w:rPr>
        <w:t>: code of practice on the prevention and control of infections – Department of health and Social Care</w:t>
      </w:r>
    </w:p>
    <w:p w14:paraId="1B84E8DD" w14:textId="77777777" w:rsidR="00890827" w:rsidRPr="00C805EF" w:rsidRDefault="00640A75" w:rsidP="004F6F51">
      <w:pPr>
        <w:pStyle w:val="ListParagraph"/>
        <w:numPr>
          <w:ilvl w:val="0"/>
          <w:numId w:val="12"/>
        </w:numPr>
        <w:spacing w:line="360" w:lineRule="auto"/>
        <w:rPr>
          <w:sz w:val="22"/>
          <w:szCs w:val="22"/>
        </w:rPr>
      </w:pPr>
      <w:hyperlink r:id="rId58" w:history="1">
        <w:r w:rsidR="00890827" w:rsidRPr="004F6F51">
          <w:rPr>
            <w:rStyle w:val="Hyperlink"/>
            <w:color w:val="auto"/>
            <w:sz w:val="22"/>
            <w:szCs w:val="22"/>
          </w:rPr>
          <w:t>Coronavirus Primary Care</w:t>
        </w:r>
      </w:hyperlink>
      <w:r w:rsidR="00890827" w:rsidRPr="00C805EF">
        <w:rPr>
          <w:sz w:val="22"/>
          <w:szCs w:val="22"/>
        </w:rPr>
        <w:t xml:space="preserve"> – National Health Service England and NHS Improvement</w:t>
      </w:r>
    </w:p>
    <w:p w14:paraId="54E61F61" w14:textId="77777777" w:rsidR="00890827" w:rsidRPr="004F6F51" w:rsidRDefault="00640A75" w:rsidP="004F6F51">
      <w:pPr>
        <w:pStyle w:val="ListParagraph"/>
        <w:numPr>
          <w:ilvl w:val="0"/>
          <w:numId w:val="12"/>
        </w:numPr>
        <w:spacing w:line="360" w:lineRule="auto"/>
        <w:rPr>
          <w:rStyle w:val="Hyperlink"/>
          <w:color w:val="auto"/>
          <w:sz w:val="22"/>
          <w:szCs w:val="22"/>
        </w:rPr>
      </w:pPr>
      <w:hyperlink r:id="rId59" w:history="1">
        <w:r w:rsidR="00890827" w:rsidRPr="004F6F51">
          <w:rPr>
            <w:rStyle w:val="Hyperlink"/>
            <w:color w:val="auto"/>
            <w:sz w:val="22"/>
            <w:szCs w:val="22"/>
          </w:rPr>
          <w:t>National Standards of Healthcare Cleanliness</w:t>
        </w:r>
      </w:hyperlink>
    </w:p>
    <w:p w14:paraId="1B4EB5D1" w14:textId="77777777" w:rsidR="00890827" w:rsidRPr="00C805EF" w:rsidRDefault="00640A75" w:rsidP="004F6F51">
      <w:pPr>
        <w:pStyle w:val="ListParagraph"/>
        <w:numPr>
          <w:ilvl w:val="0"/>
          <w:numId w:val="12"/>
        </w:numPr>
        <w:spacing w:line="360" w:lineRule="auto"/>
        <w:rPr>
          <w:sz w:val="22"/>
          <w:szCs w:val="22"/>
        </w:rPr>
      </w:pPr>
      <w:hyperlink r:id="rId60" w:history="1">
        <w:r w:rsidR="00890827" w:rsidRPr="004F6F51">
          <w:rPr>
            <w:rStyle w:val="Hyperlink"/>
            <w:color w:val="auto"/>
            <w:sz w:val="22"/>
            <w:szCs w:val="22"/>
          </w:rPr>
          <w:t>Aseptic Technique</w:t>
        </w:r>
      </w:hyperlink>
      <w:r w:rsidR="00890827" w:rsidRPr="00C805EF">
        <w:rPr>
          <w:sz w:val="22"/>
          <w:szCs w:val="22"/>
        </w:rPr>
        <w:t xml:space="preserve"> (Infectionpreventioncontrol.co.uk)</w:t>
      </w:r>
    </w:p>
    <w:p w14:paraId="35A1C3C8" w14:textId="77777777" w:rsidR="00890827" w:rsidRPr="00C805EF" w:rsidRDefault="00640A75" w:rsidP="004F6F51">
      <w:pPr>
        <w:pStyle w:val="ListParagraph"/>
        <w:numPr>
          <w:ilvl w:val="0"/>
          <w:numId w:val="12"/>
        </w:numPr>
        <w:spacing w:line="360" w:lineRule="auto"/>
        <w:rPr>
          <w:sz w:val="22"/>
          <w:szCs w:val="22"/>
        </w:rPr>
      </w:pPr>
      <w:hyperlink r:id="rId61" w:history="1">
        <w:r w:rsidR="00890827" w:rsidRPr="004F6F51">
          <w:rPr>
            <w:rStyle w:val="Hyperlink"/>
            <w:color w:val="auto"/>
            <w:sz w:val="22"/>
            <w:szCs w:val="22"/>
          </w:rPr>
          <w:t>Preventing Infection at IUD Insertion</w:t>
        </w:r>
      </w:hyperlink>
      <w:r w:rsidR="00890827" w:rsidRPr="00C805EF">
        <w:rPr>
          <w:sz w:val="22"/>
          <w:szCs w:val="22"/>
        </w:rPr>
        <w:t xml:space="preserve"> (fphandbook.org)</w:t>
      </w:r>
    </w:p>
    <w:p w14:paraId="544E45CA" w14:textId="14693017" w:rsidR="00CA79FF" w:rsidRPr="00C805EF" w:rsidRDefault="00890827" w:rsidP="004F6F51">
      <w:pPr>
        <w:pStyle w:val="ListParagraph"/>
        <w:numPr>
          <w:ilvl w:val="0"/>
          <w:numId w:val="12"/>
        </w:numPr>
        <w:spacing w:line="360" w:lineRule="auto"/>
        <w:rPr>
          <w:sz w:val="22"/>
          <w:szCs w:val="22"/>
        </w:rPr>
      </w:pPr>
      <w:r w:rsidRPr="00C805EF">
        <w:rPr>
          <w:sz w:val="22"/>
          <w:szCs w:val="22"/>
        </w:rPr>
        <w:t xml:space="preserve">Disposal of clinical waste, including a safe use of sharps procedure complying with </w:t>
      </w:r>
      <w:hyperlink r:id="rId62" w:history="1">
        <w:r w:rsidRPr="004F6F51">
          <w:rPr>
            <w:rStyle w:val="Hyperlink"/>
            <w:color w:val="auto"/>
            <w:sz w:val="22"/>
            <w:szCs w:val="22"/>
          </w:rPr>
          <w:t>Sharps injuries - What you need to do (hse.gov.uk)</w:t>
        </w:r>
      </w:hyperlink>
    </w:p>
    <w:p w14:paraId="282BFE75" w14:textId="483CD7AB" w:rsidR="008E5F06" w:rsidRPr="00B16899" w:rsidRDefault="00640A75" w:rsidP="004F6F51">
      <w:pPr>
        <w:pStyle w:val="ListParagraph"/>
        <w:numPr>
          <w:ilvl w:val="0"/>
          <w:numId w:val="12"/>
        </w:numPr>
        <w:spacing w:line="360" w:lineRule="auto"/>
        <w:rPr>
          <w:rStyle w:val="Hyperlink"/>
          <w:rFonts w:eastAsia="Arial"/>
          <w:b/>
          <w:bCs/>
          <w:color w:val="auto"/>
          <w:szCs w:val="22"/>
          <w:u w:val="none"/>
        </w:rPr>
      </w:pPr>
      <w:hyperlink r:id="rId63" w:history="1">
        <w:r w:rsidR="00CA79FF" w:rsidRPr="004F6F51">
          <w:rPr>
            <w:rStyle w:val="Hyperlink"/>
            <w:color w:val="auto"/>
            <w:sz w:val="22"/>
            <w:szCs w:val="22"/>
          </w:rPr>
          <w:t>Abuse and neglect of adults at risk (safeguarding) - Social care and support guide - NHS</w:t>
        </w:r>
      </w:hyperlink>
    </w:p>
    <w:p w14:paraId="612AA525" w14:textId="5DF78C23" w:rsidR="00187881" w:rsidRDefault="00187881" w:rsidP="00187881">
      <w:pPr>
        <w:spacing w:line="360" w:lineRule="auto"/>
        <w:rPr>
          <w:rFonts w:eastAsia="Arial"/>
          <w:b/>
          <w:bCs/>
          <w:szCs w:val="22"/>
        </w:rPr>
      </w:pPr>
    </w:p>
    <w:p w14:paraId="7CC7F0CE" w14:textId="7D617B41" w:rsidR="00187881" w:rsidRDefault="00681ED9">
      <w:pPr>
        <w:pStyle w:val="Heading1"/>
        <w:rPr>
          <w:rFonts w:eastAsia="Arial"/>
          <w:szCs w:val="22"/>
        </w:rPr>
      </w:pPr>
      <w:bookmarkStart w:id="26" w:name="_Toc190354380"/>
      <w:r>
        <w:rPr>
          <w:rFonts w:eastAsia="Arial"/>
          <w:caps w:val="0"/>
          <w:szCs w:val="22"/>
        </w:rPr>
        <w:t>Appendix 6 – Safeguarding guidelines</w:t>
      </w:r>
      <w:bookmarkEnd w:id="26"/>
    </w:p>
    <w:p w14:paraId="7AECAAAA" w14:textId="77777777" w:rsidR="00681ED9" w:rsidRPr="00607C4E" w:rsidRDefault="00681ED9" w:rsidP="00607C4E"/>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0"/>
      </w:tblGrid>
      <w:tr w:rsidR="00187881" w14:paraId="3EF9ACCF" w14:textId="77777777" w:rsidTr="00607C4E">
        <w:tc>
          <w:tcPr>
            <w:tcW w:w="8340" w:type="dxa"/>
          </w:tcPr>
          <w:p w14:paraId="37935EF2" w14:textId="5EC680C2" w:rsidR="00187881" w:rsidRPr="00B16899" w:rsidRDefault="00187881" w:rsidP="00187881">
            <w:pPr>
              <w:pStyle w:val="ListParagraph"/>
              <w:numPr>
                <w:ilvl w:val="0"/>
                <w:numId w:val="52"/>
              </w:numPr>
              <w:spacing w:line="276" w:lineRule="auto"/>
              <w:jc w:val="both"/>
              <w:rPr>
                <w:rStyle w:val="Hyperlink"/>
                <w:rFonts w:eastAsia="Arial"/>
                <w:color w:val="auto"/>
                <w:sz w:val="22"/>
                <w:szCs w:val="22"/>
              </w:rPr>
            </w:pPr>
            <w:r w:rsidRPr="00B16899">
              <w:rPr>
                <w:rFonts w:eastAsia="Arial"/>
                <w:sz w:val="22"/>
                <w:szCs w:val="22"/>
              </w:rPr>
              <w:t xml:space="preserve">The Provider must ensure that staff have received appropriate training on safeguarding vulnerable adults and are familiar with the guidance, </w:t>
            </w:r>
            <w:r w:rsidR="007B12AB" w:rsidRPr="007B12AB">
              <w:rPr>
                <w:rFonts w:eastAsia="Arial"/>
                <w:sz w:val="22"/>
                <w:szCs w:val="22"/>
              </w:rPr>
              <w:t>policies,</w:t>
            </w:r>
            <w:r w:rsidRPr="00B16899">
              <w:rPr>
                <w:rFonts w:eastAsia="Arial"/>
                <w:sz w:val="22"/>
                <w:szCs w:val="22"/>
              </w:rPr>
              <w:t xml:space="preserve"> and procedures available from the North Northamptonshire Safeguarding Adults Board. </w:t>
            </w:r>
          </w:p>
          <w:p w14:paraId="2BAE3285" w14:textId="77777777" w:rsidR="00187881" w:rsidRPr="00B16899" w:rsidRDefault="00187881" w:rsidP="00187881">
            <w:pPr>
              <w:pStyle w:val="ListParagraph"/>
              <w:spacing w:line="276" w:lineRule="auto"/>
              <w:jc w:val="both"/>
              <w:rPr>
                <w:rFonts w:eastAsia="Arial"/>
                <w:sz w:val="22"/>
                <w:szCs w:val="22"/>
              </w:rPr>
            </w:pPr>
          </w:p>
          <w:p w14:paraId="54D4F287" w14:textId="77777777" w:rsidR="00187881" w:rsidRPr="00B16899" w:rsidRDefault="00187881" w:rsidP="00187881">
            <w:pPr>
              <w:pStyle w:val="ListParagraph"/>
              <w:numPr>
                <w:ilvl w:val="0"/>
                <w:numId w:val="11"/>
              </w:numPr>
              <w:spacing w:line="276" w:lineRule="auto"/>
              <w:jc w:val="both"/>
              <w:rPr>
                <w:rFonts w:eastAsia="Arial"/>
                <w:sz w:val="22"/>
                <w:szCs w:val="22"/>
              </w:rPr>
            </w:pPr>
            <w:r w:rsidRPr="00B16899">
              <w:rPr>
                <w:rFonts w:eastAsia="Arial"/>
                <w:sz w:val="22"/>
                <w:szCs w:val="22"/>
              </w:rPr>
              <w:t>Where an adult has been sexually assaulted or raped, a referral must be made to the appropriate service and authority.</w:t>
            </w:r>
          </w:p>
          <w:p w14:paraId="0869198F" w14:textId="77777777" w:rsidR="00187881" w:rsidRPr="00B16899" w:rsidRDefault="00187881" w:rsidP="00187881">
            <w:pPr>
              <w:pStyle w:val="ListParagraph"/>
              <w:spacing w:line="276" w:lineRule="auto"/>
              <w:jc w:val="both"/>
              <w:rPr>
                <w:rFonts w:eastAsia="Arial"/>
                <w:sz w:val="22"/>
                <w:szCs w:val="22"/>
              </w:rPr>
            </w:pPr>
          </w:p>
          <w:p w14:paraId="430647BC" w14:textId="4FDD71E2" w:rsidR="00187881" w:rsidRPr="00B16899" w:rsidRDefault="00187881" w:rsidP="00187881">
            <w:pPr>
              <w:pStyle w:val="FootnoteText"/>
              <w:numPr>
                <w:ilvl w:val="0"/>
                <w:numId w:val="51"/>
              </w:numPr>
              <w:rPr>
                <w:szCs w:val="22"/>
              </w:rPr>
            </w:pPr>
            <w:r w:rsidRPr="00B16899">
              <w:rPr>
                <w:rFonts w:eastAsia="Arial" w:cs="Arial"/>
                <w:sz w:val="22"/>
                <w:szCs w:val="22"/>
              </w:rPr>
              <w:t>Safeguarding Children and Young People: The Provider is required to ensure that practitioners are aware of their specific responsibilities for young people aged 13 to 15 and for those under the age of 13. In principle, all individuals under the age of 16 should be seen in a clinical setting</w:t>
            </w:r>
            <w:r w:rsidRPr="00B16899">
              <w:rPr>
                <w:rFonts w:cs="Arial"/>
                <w:color w:val="000000"/>
                <w:sz w:val="22"/>
                <w:szCs w:val="22"/>
                <w:shd w:val="clear" w:color="auto" w:fill="FFFFFF"/>
              </w:rPr>
              <w:t xml:space="preserve">: </w:t>
            </w:r>
            <w:hyperlink r:id="rId64" w:history="1">
              <w:r w:rsidRPr="00B16899">
                <w:rPr>
                  <w:rStyle w:val="Hyperlink"/>
                  <w:color w:val="auto"/>
                  <w:sz w:val="22"/>
                  <w:szCs w:val="22"/>
                </w:rPr>
                <w:t>Protecting children and young people: The responsibilities of all doctors - professional standards - GMC</w:t>
              </w:r>
            </w:hyperlink>
            <w:r w:rsidR="00B16899">
              <w:rPr>
                <w:rStyle w:val="Hyperlink"/>
                <w:color w:val="auto"/>
                <w:sz w:val="22"/>
                <w:szCs w:val="22"/>
              </w:rPr>
              <w:t xml:space="preserve"> </w:t>
            </w:r>
          </w:p>
          <w:p w14:paraId="62FAC765" w14:textId="77777777" w:rsidR="00187881" w:rsidRPr="00B16899" w:rsidRDefault="00187881" w:rsidP="00187881">
            <w:pPr>
              <w:pStyle w:val="ListParagraph"/>
              <w:spacing w:line="276" w:lineRule="auto"/>
              <w:jc w:val="both"/>
              <w:rPr>
                <w:rFonts w:eastAsia="Arial"/>
                <w:sz w:val="22"/>
                <w:szCs w:val="22"/>
              </w:rPr>
            </w:pPr>
          </w:p>
          <w:p w14:paraId="49C04E33" w14:textId="77777777" w:rsidR="00187881" w:rsidRPr="00B16899" w:rsidRDefault="00187881" w:rsidP="00187881">
            <w:pPr>
              <w:pStyle w:val="ListParagraph"/>
              <w:numPr>
                <w:ilvl w:val="0"/>
                <w:numId w:val="11"/>
              </w:numPr>
              <w:spacing w:line="276" w:lineRule="auto"/>
              <w:jc w:val="both"/>
              <w:rPr>
                <w:rFonts w:eastAsia="Arial"/>
                <w:sz w:val="22"/>
                <w:szCs w:val="22"/>
              </w:rPr>
            </w:pPr>
            <w:r w:rsidRPr="00B16899">
              <w:rPr>
                <w:rFonts w:eastAsia="Arial"/>
                <w:sz w:val="22"/>
                <w:szCs w:val="22"/>
              </w:rPr>
              <w:t>The Provider must ensure that individuals under the age of 16 are seen by a worker trained in Fraser Competency to assess their ability to receive contraception service.</w:t>
            </w:r>
            <w:r w:rsidRPr="00B16899">
              <w:rPr>
                <w:sz w:val="22"/>
                <w:szCs w:val="22"/>
              </w:rPr>
              <w:t xml:space="preserve"> The consultation should only proceed where the client has been assessed as competent to consent to treatment under the Fraser Ruling.  </w:t>
            </w:r>
          </w:p>
          <w:p w14:paraId="7184D291" w14:textId="77777777" w:rsidR="00187881" w:rsidRPr="00B16899" w:rsidRDefault="00187881" w:rsidP="00187881">
            <w:pPr>
              <w:pStyle w:val="ListParagraph"/>
              <w:spacing w:line="276" w:lineRule="auto"/>
              <w:jc w:val="both"/>
              <w:rPr>
                <w:sz w:val="22"/>
                <w:szCs w:val="22"/>
              </w:rPr>
            </w:pPr>
          </w:p>
          <w:p w14:paraId="302E406E" w14:textId="2B1BEDE4" w:rsidR="007B12AB" w:rsidRPr="007B12AB" w:rsidRDefault="00187881" w:rsidP="00B16899">
            <w:pPr>
              <w:pStyle w:val="ListParagraph"/>
              <w:numPr>
                <w:ilvl w:val="0"/>
                <w:numId w:val="51"/>
              </w:numPr>
              <w:spacing w:line="276" w:lineRule="auto"/>
              <w:ind w:right="227"/>
              <w:rPr>
                <w:rFonts w:eastAsia="Arial"/>
              </w:rPr>
            </w:pPr>
            <w:r w:rsidRPr="00B16899">
              <w:rPr>
                <w:sz w:val="22"/>
                <w:szCs w:val="22"/>
              </w:rPr>
              <w:t>If the individual is less than 13 years of age, the doctor should call the on-call doctor from Sexual Assault Service (who will administer EHC</w:t>
            </w:r>
            <w:r w:rsidR="00EE70EE" w:rsidRPr="00B16899">
              <w:rPr>
                <w:sz w:val="22"/>
                <w:szCs w:val="22"/>
              </w:rPr>
              <w:t>)</w:t>
            </w:r>
            <w:r w:rsidRPr="00B16899">
              <w:rPr>
                <w:sz w:val="22"/>
                <w:szCs w:val="22"/>
              </w:rPr>
              <w:t xml:space="preserve">.  In addition, a safeguarding referral to Children’s Social Care (Multi-Agency Safeguarding Hub) must always be made. This is because the Sexual Offences Act states that individuals under 13 years of age cannot </w:t>
            </w:r>
            <w:r w:rsidRPr="00B16899">
              <w:rPr>
                <w:sz w:val="22"/>
                <w:szCs w:val="22"/>
              </w:rPr>
              <w:lastRenderedPageBreak/>
              <w:t xml:space="preserve">consent to have sexual intercourse, and therefore, this is classified as statutory rape. </w:t>
            </w:r>
            <w:hyperlink r:id="rId65" w:history="1">
              <w:r w:rsidR="007B12AB" w:rsidRPr="00607C4E">
                <w:rPr>
                  <w:rStyle w:val="Hyperlink"/>
                  <w:sz w:val="22"/>
                  <w:szCs w:val="22"/>
                </w:rPr>
                <w:t>East Midlands Children and Young People's Sexual Assault Service - East Midlands Children and Young People’s Sexual Assault Service</w:t>
              </w:r>
            </w:hyperlink>
          </w:p>
          <w:p w14:paraId="47EBDFE8" w14:textId="796A846A" w:rsidR="00187881" w:rsidRDefault="00187881" w:rsidP="00187881">
            <w:pPr>
              <w:pStyle w:val="ListParagraph"/>
              <w:spacing w:line="276" w:lineRule="auto"/>
              <w:ind w:left="0"/>
              <w:jc w:val="both"/>
              <w:rPr>
                <w:rFonts w:eastAsia="Arial"/>
                <w:b/>
                <w:bCs/>
                <w:sz w:val="22"/>
                <w:szCs w:val="22"/>
              </w:rPr>
            </w:pPr>
          </w:p>
        </w:tc>
      </w:tr>
    </w:tbl>
    <w:p w14:paraId="4601EBD7" w14:textId="32F0EFCD" w:rsidR="00284EC5" w:rsidRPr="007C29B1" w:rsidRDefault="00284EC5" w:rsidP="005A72A9"/>
    <w:sectPr w:rsidR="00284EC5" w:rsidRPr="007C29B1" w:rsidSect="00A35EF5">
      <w:endnotePr>
        <w:numFmt w:val="decimal"/>
      </w:endnotePr>
      <w:pgSz w:w="11906" w:h="16838"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455DF" w14:textId="77777777" w:rsidR="008958E3" w:rsidRDefault="008958E3" w:rsidP="005503B0">
      <w:r>
        <w:separator/>
      </w:r>
    </w:p>
  </w:endnote>
  <w:endnote w:type="continuationSeparator" w:id="0">
    <w:p w14:paraId="3D0E3041" w14:textId="77777777" w:rsidR="008958E3" w:rsidRDefault="008958E3" w:rsidP="005503B0">
      <w:r>
        <w:continuationSeparator/>
      </w:r>
    </w:p>
  </w:endnote>
  <w:endnote w:id="1">
    <w:p w14:paraId="4BC10B78" w14:textId="561CD5F0" w:rsidR="00F30C54" w:rsidRPr="00B16899" w:rsidRDefault="00F30C54" w:rsidP="008F0FA1">
      <w:pPr>
        <w:pStyle w:val="EndnoteText"/>
        <w:rPr>
          <w:rFonts w:cs="Arial"/>
          <w:sz w:val="22"/>
          <w:szCs w:val="22"/>
        </w:rPr>
      </w:pPr>
      <w:r w:rsidRPr="00B16899">
        <w:rPr>
          <w:rStyle w:val="EndnoteReference"/>
          <w:rFonts w:eastAsiaTheme="majorEastAsia" w:cs="Arial"/>
          <w:sz w:val="22"/>
          <w:szCs w:val="22"/>
        </w:rPr>
        <w:endnoteRef/>
      </w:r>
      <w:r w:rsidRPr="00B16899">
        <w:rPr>
          <w:rFonts w:cs="Arial"/>
          <w:sz w:val="22"/>
          <w:szCs w:val="22"/>
        </w:rPr>
        <w:t xml:space="preserve"> Department of Health. (15 March 2013). Guidance A Framework for Sexual Health Improvement in England. [Online]. GOV.UK. Available at: </w:t>
      </w:r>
      <w:hyperlink r:id="rId1" w:history="1">
        <w:r w:rsidRPr="00B16899">
          <w:rPr>
            <w:rStyle w:val="Hyperlink"/>
            <w:rFonts w:cs="Arial"/>
            <w:sz w:val="22"/>
            <w:szCs w:val="22"/>
          </w:rPr>
          <w:t>https://www.gov.uk/government/publications/a-framework-for-sexual-health-improvement-in-england</w:t>
        </w:r>
      </w:hyperlink>
      <w:r w:rsidRPr="00B16899">
        <w:rPr>
          <w:rFonts w:cs="Arial"/>
          <w:sz w:val="22"/>
          <w:szCs w:val="22"/>
        </w:rPr>
        <w:t xml:space="preserve">  [Accessed 12 November 2024].</w:t>
      </w:r>
    </w:p>
  </w:endnote>
  <w:endnote w:id="2">
    <w:p w14:paraId="40B30BCA" w14:textId="77777777" w:rsidR="00F30C54" w:rsidRPr="00B16899" w:rsidRDefault="00F30C54" w:rsidP="008F0FA1">
      <w:pPr>
        <w:pStyle w:val="EndnoteText"/>
        <w:rPr>
          <w:rFonts w:cs="Arial"/>
          <w:sz w:val="22"/>
          <w:szCs w:val="22"/>
        </w:rPr>
      </w:pPr>
      <w:r w:rsidRPr="00B16899">
        <w:rPr>
          <w:rStyle w:val="EndnoteReference"/>
          <w:rFonts w:eastAsiaTheme="majorEastAsia" w:cs="Arial"/>
          <w:sz w:val="22"/>
          <w:szCs w:val="22"/>
        </w:rPr>
        <w:endnoteRef/>
      </w:r>
      <w:r w:rsidRPr="00B16899">
        <w:rPr>
          <w:rFonts w:cs="Arial"/>
          <w:sz w:val="22"/>
          <w:szCs w:val="22"/>
        </w:rPr>
        <w:t xml:space="preserve"> Department for Health and Social Care. (20 July 2022). Women's Health Strategy for England. [Online]. GOV.UK. Last Updated: 30 August 2022. Available at: </w:t>
      </w:r>
      <w:hyperlink r:id="rId2" w:history="1">
        <w:r w:rsidRPr="00B16899">
          <w:rPr>
            <w:rStyle w:val="Hyperlink"/>
            <w:rFonts w:cs="Arial"/>
            <w:sz w:val="22"/>
            <w:szCs w:val="22"/>
          </w:rPr>
          <w:t>Women’s Health Strategy for England</w:t>
        </w:r>
      </w:hyperlink>
      <w:r w:rsidRPr="00B16899">
        <w:rPr>
          <w:rFonts w:cs="Arial"/>
          <w:sz w:val="22"/>
          <w:szCs w:val="22"/>
        </w:rPr>
        <w:t xml:space="preserve"> [Accessed 12 November 2024].</w:t>
      </w:r>
    </w:p>
  </w:endnote>
  <w:endnote w:id="3">
    <w:p w14:paraId="5D246A46" w14:textId="77777777" w:rsidR="00F30C54" w:rsidRPr="00B16899" w:rsidRDefault="00F30C54" w:rsidP="00BD6D76">
      <w:pPr>
        <w:pStyle w:val="EndnoteText"/>
        <w:rPr>
          <w:rFonts w:cs="Arial"/>
          <w:sz w:val="22"/>
          <w:szCs w:val="22"/>
        </w:rPr>
      </w:pPr>
      <w:r w:rsidRPr="00B16899">
        <w:rPr>
          <w:rStyle w:val="EndnoteReference"/>
          <w:rFonts w:eastAsiaTheme="majorEastAsia" w:cs="Arial"/>
          <w:sz w:val="22"/>
          <w:szCs w:val="22"/>
        </w:rPr>
        <w:endnoteRef/>
      </w:r>
      <w:r w:rsidRPr="00B16899">
        <w:rPr>
          <w:rFonts w:cs="Arial"/>
          <w:sz w:val="22"/>
          <w:szCs w:val="22"/>
        </w:rPr>
        <w:t xml:space="preserve"> North Northamptonshire Council. (19 April 2023). Our vision, values and key commitments. [Online]. Northnorthants.gov.uk. Last Updated: 2020. Available at: </w:t>
      </w:r>
      <w:hyperlink r:id="rId3" w:history="1">
        <w:r w:rsidRPr="00B16899">
          <w:rPr>
            <w:rStyle w:val="Hyperlink"/>
            <w:rFonts w:cs="Arial"/>
            <w:sz w:val="22"/>
            <w:szCs w:val="22"/>
          </w:rPr>
          <w:t>https://www.northnorthants.gov.uk/corporate-plan/our-vision-values-and-key-commitments</w:t>
        </w:r>
      </w:hyperlink>
      <w:r w:rsidRPr="00B16899">
        <w:rPr>
          <w:rFonts w:cs="Arial"/>
          <w:sz w:val="22"/>
          <w:szCs w:val="22"/>
        </w:rPr>
        <w:t xml:space="preserve"> [Accessed 12 November 2024].</w:t>
      </w:r>
    </w:p>
  </w:endnote>
  <w:endnote w:id="4">
    <w:p w14:paraId="4A5A59E8" w14:textId="77777777" w:rsidR="00F30C54" w:rsidRPr="00B16899" w:rsidRDefault="00F30C54" w:rsidP="008F0FA1">
      <w:pPr>
        <w:pStyle w:val="EndnoteText"/>
        <w:rPr>
          <w:rFonts w:cs="Arial"/>
          <w:sz w:val="22"/>
          <w:szCs w:val="22"/>
        </w:rPr>
      </w:pPr>
      <w:r w:rsidRPr="00B16899">
        <w:rPr>
          <w:rStyle w:val="EndnoteReference"/>
          <w:rFonts w:cs="Arial"/>
          <w:sz w:val="22"/>
          <w:szCs w:val="22"/>
        </w:rPr>
        <w:endnoteRef/>
      </w:r>
      <w:r w:rsidRPr="00B16899">
        <w:rPr>
          <w:rFonts w:cs="Arial"/>
          <w:sz w:val="22"/>
          <w:szCs w:val="22"/>
        </w:rPr>
        <w:t xml:space="preserve"> North Northamptonshire Council. (March 2024). Sexual Health Needs Assessment. [Online]. Northnorthants.gov.uk. Available at: </w:t>
      </w:r>
      <w:hyperlink r:id="rId4" w:history="1">
        <w:r w:rsidRPr="00B16899">
          <w:rPr>
            <w:rStyle w:val="Hyperlink"/>
            <w:rFonts w:cs="Arial"/>
            <w:sz w:val="22"/>
            <w:szCs w:val="22"/>
          </w:rPr>
          <w:t>https://www.northnorthants.gov.uk/health-and-wellbeing-board/reports-and-assessments</w:t>
        </w:r>
      </w:hyperlink>
      <w:r w:rsidRPr="00B16899">
        <w:rPr>
          <w:rFonts w:cs="Arial"/>
          <w:sz w:val="22"/>
          <w:szCs w:val="22"/>
        </w:rPr>
        <w:t xml:space="preserve">  [Accessed 12 November 2024].</w:t>
      </w:r>
    </w:p>
  </w:endnote>
  <w:endnote w:id="5">
    <w:p w14:paraId="1E8A2C86" w14:textId="25B72544" w:rsidR="00F30C54" w:rsidRPr="00B16899" w:rsidRDefault="00F30C54">
      <w:pPr>
        <w:pStyle w:val="EndnoteText"/>
        <w:rPr>
          <w:rFonts w:cs="Arial"/>
          <w:sz w:val="22"/>
          <w:szCs w:val="22"/>
        </w:rPr>
      </w:pPr>
      <w:r w:rsidRPr="00B16899">
        <w:rPr>
          <w:rStyle w:val="EndnoteReference"/>
          <w:rFonts w:cs="Arial"/>
          <w:sz w:val="22"/>
          <w:szCs w:val="22"/>
        </w:rPr>
        <w:endnoteRef/>
      </w:r>
      <w:r w:rsidRPr="00B16899">
        <w:rPr>
          <w:rFonts w:cs="Arial"/>
          <w:sz w:val="22"/>
          <w:szCs w:val="22"/>
        </w:rPr>
        <w:t xml:space="preserve"> Faculty of Sexual and Reproductive Healthcare. (2023). FSRH Clinical Guideline: Emergency Contraception (March 2017, amended July 2023). [Online]. FSRH. Last Updated: 17th July 2023. Available at: FSRH Clinical Guideline: Emergency Contraception (March 2017, amended July 2023) | FSRH </w:t>
      </w:r>
    </w:p>
  </w:endnote>
  <w:endnote w:id="6">
    <w:p w14:paraId="50422591" w14:textId="1A30BB41" w:rsidR="00F30C54" w:rsidRPr="00B16899" w:rsidRDefault="00F30C54">
      <w:pPr>
        <w:pStyle w:val="EndnoteText"/>
        <w:rPr>
          <w:rFonts w:cs="Arial"/>
          <w:sz w:val="22"/>
          <w:szCs w:val="22"/>
        </w:rPr>
      </w:pPr>
      <w:r w:rsidRPr="00B16899">
        <w:rPr>
          <w:rStyle w:val="EndnoteReference"/>
          <w:rFonts w:cs="Arial"/>
          <w:sz w:val="22"/>
          <w:szCs w:val="22"/>
        </w:rPr>
        <w:endnoteRef/>
      </w:r>
      <w:r w:rsidRPr="00B16899">
        <w:rPr>
          <w:rFonts w:cs="Arial"/>
          <w:sz w:val="22"/>
          <w:szCs w:val="22"/>
        </w:rPr>
        <w:t xml:space="preserve"> Faculty of Sexual and Reproductive Healthcare. (2015). FSRH Clinical Guideline: Barrier Methods for Contraception and STI Prevention (August 2012, amended October 2015). [Online]. FSRH. Last Updated: 1st October 2015. Available at: </w:t>
      </w:r>
      <w:hyperlink r:id="rId5" w:history="1">
        <w:r w:rsidRPr="00B16899">
          <w:rPr>
            <w:rStyle w:val="Hyperlink"/>
            <w:rFonts w:cs="Arial"/>
            <w:sz w:val="22"/>
            <w:szCs w:val="22"/>
          </w:rPr>
          <w:t>https://www.fsrh.org/Public/Documents/ceu-guidance-barrier-methods-for-contraception.aspx</w:t>
        </w:r>
      </w:hyperlink>
    </w:p>
  </w:endnote>
  <w:endnote w:id="7">
    <w:p w14:paraId="793BAD1E" w14:textId="1D8E539C" w:rsidR="00F30C54" w:rsidRPr="00B16899" w:rsidRDefault="00F30C54">
      <w:pPr>
        <w:pStyle w:val="EndnoteText"/>
        <w:rPr>
          <w:rFonts w:cs="Arial"/>
          <w:sz w:val="22"/>
          <w:szCs w:val="22"/>
        </w:rPr>
      </w:pPr>
      <w:r w:rsidRPr="00B16899">
        <w:rPr>
          <w:rStyle w:val="EndnoteReference"/>
          <w:rFonts w:cs="Arial"/>
          <w:sz w:val="22"/>
          <w:szCs w:val="22"/>
        </w:rPr>
        <w:endnoteRef/>
      </w:r>
      <w:r w:rsidRPr="00B16899">
        <w:rPr>
          <w:rFonts w:cs="Arial"/>
          <w:sz w:val="22"/>
          <w:szCs w:val="22"/>
        </w:rPr>
        <w:t xml:space="preserve"> Faculty of Sexual and Reproductive Healthcare. (2019). FSRH Clinical Guideline: Contraceptive Choices for Young People (March 2010, amended May 2019). [Online]. FSRH. Last Updated: 1st May 2019. Available at: </w:t>
      </w:r>
      <w:hyperlink r:id="rId6" w:history="1">
        <w:r w:rsidRPr="00B16899">
          <w:rPr>
            <w:rStyle w:val="Hyperlink"/>
            <w:rFonts w:cs="Arial"/>
            <w:sz w:val="22"/>
            <w:szCs w:val="22"/>
          </w:rPr>
          <w:t>https://fsrh.org/Public/Documents/fsrh-ceu-guidance-young-people-mar-2010.aspx</w:t>
        </w:r>
      </w:hyperlink>
    </w:p>
  </w:endnote>
  <w:endnote w:id="8">
    <w:p w14:paraId="4E869F92" w14:textId="55CE6315" w:rsidR="00F30C54" w:rsidRPr="00B16899" w:rsidRDefault="00F30C54">
      <w:pPr>
        <w:pStyle w:val="EndnoteText"/>
        <w:rPr>
          <w:rFonts w:cs="Arial"/>
          <w:sz w:val="22"/>
          <w:szCs w:val="22"/>
        </w:rPr>
      </w:pPr>
      <w:r w:rsidRPr="00B16899">
        <w:rPr>
          <w:rStyle w:val="EndnoteReference"/>
          <w:rFonts w:cs="Arial"/>
          <w:sz w:val="22"/>
          <w:szCs w:val="22"/>
        </w:rPr>
        <w:endnoteRef/>
      </w:r>
      <w:r w:rsidRPr="00B16899">
        <w:rPr>
          <w:rFonts w:cs="Arial"/>
          <w:sz w:val="22"/>
          <w:szCs w:val="22"/>
        </w:rPr>
        <w:t xml:space="preserve"> Faculty of Sexual and Reproductive Healthcare. (2016). UK Medical Eligibility Criteria for Contraceptive Use (UKMEC). [Online]. FSRH. Last Updated: 1st April 2016. Available at: </w:t>
      </w:r>
      <w:hyperlink r:id="rId7" w:history="1">
        <w:r w:rsidRPr="00B16899">
          <w:rPr>
            <w:rStyle w:val="Hyperlink"/>
            <w:rFonts w:cs="Arial"/>
            <w:sz w:val="22"/>
            <w:szCs w:val="22"/>
          </w:rPr>
          <w:t>https://www.fsrh.org/Public/Public/Standards-and-Guidance/uk-medical-eligibility-criteria-for-contraceptive-use.aspx</w:t>
        </w:r>
      </w:hyperlink>
      <w:r w:rsidRPr="00B16899">
        <w:rPr>
          <w:rFonts w:cs="Arial"/>
          <w:sz w:val="22"/>
          <w:szCs w:val="22"/>
        </w:rPr>
        <w:t xml:space="preserve"> </w:t>
      </w:r>
    </w:p>
  </w:endnote>
  <w:endnote w:id="9">
    <w:p w14:paraId="14985067" w14:textId="2CD69F0B" w:rsidR="00F30C54" w:rsidRPr="00B16899" w:rsidRDefault="00F30C54">
      <w:pPr>
        <w:pStyle w:val="EndnoteText"/>
        <w:rPr>
          <w:rFonts w:cs="Arial"/>
          <w:sz w:val="22"/>
          <w:szCs w:val="22"/>
        </w:rPr>
      </w:pPr>
      <w:r w:rsidRPr="00B16899">
        <w:rPr>
          <w:rStyle w:val="EndnoteReference"/>
          <w:rFonts w:cs="Arial"/>
          <w:sz w:val="22"/>
          <w:szCs w:val="22"/>
        </w:rPr>
        <w:endnoteRef/>
      </w:r>
      <w:r w:rsidRPr="00B16899">
        <w:rPr>
          <w:rFonts w:cs="Arial"/>
          <w:sz w:val="22"/>
          <w:szCs w:val="22"/>
        </w:rPr>
        <w:t xml:space="preserve"> National Institute for Health and Care Excellence. (2014). Contraceptive services for under 25s. [Online]. NICE. Last Updated: March 2014. Available at: </w:t>
      </w:r>
      <w:hyperlink r:id="rId8" w:history="1">
        <w:r w:rsidRPr="00B16899">
          <w:rPr>
            <w:rStyle w:val="Hyperlink"/>
            <w:rFonts w:cs="Arial"/>
            <w:sz w:val="22"/>
            <w:szCs w:val="22"/>
          </w:rPr>
          <w:t>https://www.nice.org.uk/Guidance/PH51</w:t>
        </w:r>
      </w:hyperlink>
    </w:p>
  </w:endnote>
  <w:endnote w:id="10">
    <w:p w14:paraId="3E99E6BD" w14:textId="45F15EFB" w:rsidR="00F30C54" w:rsidRPr="00B16899" w:rsidRDefault="00F30C54">
      <w:pPr>
        <w:pStyle w:val="EndnoteText"/>
        <w:rPr>
          <w:rFonts w:cs="Arial"/>
          <w:sz w:val="22"/>
          <w:szCs w:val="22"/>
        </w:rPr>
      </w:pPr>
      <w:r w:rsidRPr="00B16899">
        <w:rPr>
          <w:rStyle w:val="EndnoteReference"/>
          <w:rFonts w:cs="Arial"/>
          <w:sz w:val="22"/>
          <w:szCs w:val="22"/>
        </w:rPr>
        <w:endnoteRef/>
      </w:r>
      <w:r w:rsidRPr="00B16899">
        <w:rPr>
          <w:rFonts w:cs="Arial"/>
          <w:sz w:val="22"/>
          <w:szCs w:val="22"/>
        </w:rPr>
        <w:t xml:space="preserve"> Faculty of Sexual and Reproductive Healthcare. (2023). FSRH Clinical Guideline: Progestogen-only Implant (February 2021, amended July 2023). [Online]. FSRH. Last Updated: 17th July 2023. Available at: </w:t>
      </w:r>
      <w:hyperlink r:id="rId9" w:history="1">
        <w:r w:rsidRPr="00B16899">
          <w:rPr>
            <w:rStyle w:val="Hyperlink"/>
            <w:rFonts w:cs="Arial"/>
            <w:sz w:val="22"/>
            <w:szCs w:val="22"/>
          </w:rPr>
          <w:t>https://www.fsrh.org/Public/Documents/clinical-guidance-progestogen-only-implants.aspx</w:t>
        </w:r>
      </w:hyperlink>
    </w:p>
  </w:endnote>
  <w:endnote w:id="11">
    <w:p w14:paraId="3BBB7F3C" w14:textId="2B483C71" w:rsidR="00F30C54" w:rsidRPr="00B16899" w:rsidRDefault="00F30C54">
      <w:pPr>
        <w:pStyle w:val="EndnoteText"/>
        <w:rPr>
          <w:rFonts w:cs="Arial"/>
          <w:sz w:val="22"/>
          <w:szCs w:val="22"/>
        </w:rPr>
      </w:pPr>
      <w:r w:rsidRPr="00B16899">
        <w:rPr>
          <w:rStyle w:val="EndnoteReference"/>
          <w:rFonts w:cs="Arial"/>
          <w:sz w:val="22"/>
          <w:szCs w:val="22"/>
        </w:rPr>
        <w:endnoteRef/>
      </w:r>
      <w:r w:rsidRPr="00B16899">
        <w:rPr>
          <w:rFonts w:cs="Arial"/>
          <w:sz w:val="22"/>
          <w:szCs w:val="22"/>
        </w:rPr>
        <w:t xml:space="preserve"> National Institute for Health and Care Excellence. (26 October 2005). Long-acting reversible contraception Clinical guideline [CG30]. [Online]. NICE. Last Updated: July 2019. Available at: </w:t>
      </w:r>
      <w:hyperlink r:id="rId10" w:history="1">
        <w:r w:rsidRPr="00B16899">
          <w:rPr>
            <w:rStyle w:val="Hyperlink"/>
            <w:rFonts w:cs="Arial"/>
            <w:sz w:val="22"/>
            <w:szCs w:val="22"/>
          </w:rPr>
          <w:t>https://www.nice.org.uk/guidance/cg30</w:t>
        </w:r>
      </w:hyperlink>
    </w:p>
  </w:endnote>
  <w:endnote w:id="12">
    <w:p w14:paraId="355F88D1" w14:textId="63D47600" w:rsidR="00F30C54" w:rsidRPr="00B16899" w:rsidRDefault="00F30C54" w:rsidP="008517AB">
      <w:pPr>
        <w:pStyle w:val="EndnoteText"/>
        <w:rPr>
          <w:rFonts w:cs="Arial"/>
          <w:sz w:val="22"/>
          <w:szCs w:val="22"/>
        </w:rPr>
      </w:pPr>
      <w:r w:rsidRPr="00B16899">
        <w:rPr>
          <w:rStyle w:val="EndnoteReference"/>
          <w:rFonts w:cs="Arial"/>
          <w:sz w:val="22"/>
          <w:szCs w:val="22"/>
        </w:rPr>
        <w:endnoteRef/>
      </w:r>
      <w:r w:rsidRPr="00B16899">
        <w:rPr>
          <w:rFonts w:cs="Arial"/>
          <w:sz w:val="22"/>
          <w:szCs w:val="22"/>
        </w:rPr>
        <w:t xml:space="preserve"> RCGP. (2024). Level 3 safeguarding training and standards. [Online]. RCGP.org. Available at: </w:t>
      </w:r>
      <w:hyperlink r:id="rId11" w:history="1">
        <w:r w:rsidR="00DD2CDB" w:rsidRPr="00B16899">
          <w:rPr>
            <w:rStyle w:val="Hyperlink"/>
            <w:rFonts w:cs="Arial"/>
            <w:sz w:val="22"/>
            <w:szCs w:val="22"/>
          </w:rPr>
          <w:t>https://www.rcgp.org.uk/learning-resources/safeguarding-standards-level-3</w:t>
        </w:r>
      </w:hyperlink>
      <w:r w:rsidRPr="00B16899">
        <w:rPr>
          <w:rFonts w:cs="Arial"/>
          <w:sz w:val="22"/>
          <w:szCs w:val="22"/>
        </w:rPr>
        <w:t xml:space="preserve"> [Accessed 19 December 2024].</w:t>
      </w:r>
    </w:p>
  </w:endnote>
  <w:endnote w:id="13">
    <w:p w14:paraId="1EE129E0" w14:textId="7FA73BB7" w:rsidR="00F30C54" w:rsidRPr="00B16899" w:rsidRDefault="00F30C54">
      <w:pPr>
        <w:pStyle w:val="EndnoteText"/>
        <w:rPr>
          <w:rFonts w:cs="Arial"/>
          <w:sz w:val="22"/>
          <w:szCs w:val="22"/>
        </w:rPr>
      </w:pPr>
      <w:r w:rsidRPr="00B16899">
        <w:rPr>
          <w:rStyle w:val="EndnoteReference"/>
          <w:rFonts w:cs="Arial"/>
          <w:sz w:val="22"/>
          <w:szCs w:val="22"/>
        </w:rPr>
        <w:endnoteRef/>
      </w:r>
      <w:r w:rsidRPr="00B16899">
        <w:rPr>
          <w:rFonts w:cs="Arial"/>
          <w:sz w:val="22"/>
          <w:szCs w:val="22"/>
        </w:rPr>
        <w:t xml:space="preserve"> </w:t>
      </w:r>
      <w:r w:rsidRPr="00B16899">
        <w:rPr>
          <w:rFonts w:cs="Arial"/>
          <w:color w:val="000000"/>
          <w:sz w:val="22"/>
          <w:szCs w:val="22"/>
          <w:shd w:val="clear" w:color="auto" w:fill="FFFFFF"/>
        </w:rPr>
        <w:t>NHS East Midland Children and Young People Sexual Assault Services. (2024). </w:t>
      </w:r>
      <w:r w:rsidRPr="00B16899">
        <w:rPr>
          <w:rFonts w:cs="Arial"/>
          <w:i/>
          <w:iCs/>
          <w:color w:val="000000"/>
          <w:sz w:val="22"/>
          <w:szCs w:val="22"/>
        </w:rPr>
        <w:t>East Midland Children and Young People Sexual Assault Services</w:t>
      </w:r>
      <w:r w:rsidRPr="00B16899">
        <w:rPr>
          <w:rFonts w:cs="Arial"/>
          <w:color w:val="000000"/>
          <w:sz w:val="22"/>
          <w:szCs w:val="22"/>
          <w:shd w:val="clear" w:color="auto" w:fill="FFFFFF"/>
        </w:rPr>
        <w:t xml:space="preserve">. [Online]. East Midland Children and Young People Sexual Assault Services. Last Updated: 2024. Available at: </w:t>
      </w:r>
      <w:hyperlink r:id="rId12" w:history="1">
        <w:r w:rsidRPr="00B16899">
          <w:rPr>
            <w:rFonts w:eastAsia="Calibri" w:cs="Arial"/>
            <w:color w:val="0000FF"/>
            <w:sz w:val="22"/>
            <w:szCs w:val="22"/>
            <w:u w:val="single"/>
          </w:rPr>
          <w:t>East Midlands Children and Young People's Sexual Assault Service - East Midlands Children and Young People’s Sexual Assault Service (emcypsas.co.uk)</w:t>
        </w:r>
      </w:hyperlink>
    </w:p>
  </w:endnote>
  <w:endnote w:id="14">
    <w:p w14:paraId="43543F08" w14:textId="4EB122A2" w:rsidR="00F30C54" w:rsidRPr="00B16899" w:rsidRDefault="00F30C54" w:rsidP="006E5B71">
      <w:pPr>
        <w:pStyle w:val="EndnoteText"/>
        <w:rPr>
          <w:rFonts w:cs="Arial"/>
          <w:color w:val="000000"/>
          <w:sz w:val="22"/>
          <w:szCs w:val="22"/>
          <w:shd w:val="clear" w:color="auto" w:fill="FFFFFF"/>
        </w:rPr>
      </w:pPr>
      <w:r w:rsidRPr="00B16899">
        <w:rPr>
          <w:rStyle w:val="EndnoteReference"/>
          <w:rFonts w:cs="Arial"/>
          <w:sz w:val="22"/>
          <w:szCs w:val="22"/>
        </w:rPr>
        <w:endnoteRef/>
      </w:r>
      <w:r w:rsidRPr="00B16899">
        <w:rPr>
          <w:rFonts w:cs="Arial"/>
          <w:sz w:val="22"/>
          <w:szCs w:val="22"/>
        </w:rPr>
        <w:t xml:space="preserve"> </w:t>
      </w:r>
      <w:r w:rsidRPr="00B16899">
        <w:rPr>
          <w:rFonts w:cs="Arial"/>
          <w:color w:val="000000"/>
          <w:sz w:val="22"/>
          <w:szCs w:val="22"/>
          <w:shd w:val="clear" w:color="auto" w:fill="FFFFFF"/>
        </w:rPr>
        <w:t>Faculty of Sexual and Reproductive Health. (2016). </w:t>
      </w:r>
      <w:r w:rsidRPr="00B16899">
        <w:rPr>
          <w:rFonts w:cs="Arial"/>
          <w:i/>
          <w:iCs/>
          <w:color w:val="000000"/>
          <w:sz w:val="22"/>
          <w:szCs w:val="22"/>
        </w:rPr>
        <w:t>UK medical eligibility criteria for contraceptive use | UKMEC 2016 (amended September 2019)</w:t>
      </w:r>
      <w:r w:rsidRPr="00B16899">
        <w:rPr>
          <w:rFonts w:cs="Arial"/>
          <w:color w:val="000000"/>
          <w:sz w:val="22"/>
          <w:szCs w:val="22"/>
          <w:shd w:val="clear" w:color="auto" w:fill="FFFFFF"/>
        </w:rPr>
        <w:t xml:space="preserve">. [Online]. FSHR. Last Updated: 2019. Available at: </w:t>
      </w:r>
      <w:hyperlink r:id="rId13" w:history="1">
        <w:r w:rsidRPr="00B16899">
          <w:rPr>
            <w:rStyle w:val="Hyperlink"/>
            <w:rFonts w:cs="Arial"/>
            <w:sz w:val="22"/>
            <w:szCs w:val="22"/>
            <w:shd w:val="clear" w:color="auto" w:fill="FFFFFF"/>
          </w:rPr>
          <w:t>https://www.fsrh.org/Common/Uploaded%20files/documents/fsrh-ukmec-full-book-2019.pdf</w:t>
        </w:r>
      </w:hyperlink>
      <w:r w:rsidRPr="00B16899">
        <w:rPr>
          <w:rFonts w:cs="Arial"/>
          <w:color w:val="000000"/>
          <w:sz w:val="22"/>
          <w:szCs w:val="22"/>
          <w:shd w:val="clear" w:color="auto" w:fill="FFFFFF"/>
        </w:rPr>
        <w:t xml:space="preserve"> [Accessed 5 December 2024].</w:t>
      </w:r>
    </w:p>
  </w:endnote>
  <w:endnote w:id="15">
    <w:p w14:paraId="70C96AA5" w14:textId="003F265D" w:rsidR="00F30C54" w:rsidRPr="00B16899" w:rsidRDefault="00F30C54">
      <w:pPr>
        <w:pStyle w:val="EndnoteText"/>
        <w:rPr>
          <w:rFonts w:cs="Arial"/>
          <w:sz w:val="22"/>
          <w:szCs w:val="22"/>
        </w:rPr>
      </w:pPr>
      <w:r w:rsidRPr="00B16899">
        <w:rPr>
          <w:rStyle w:val="EndnoteReference"/>
          <w:rFonts w:cs="Arial"/>
          <w:sz w:val="22"/>
          <w:szCs w:val="22"/>
        </w:rPr>
        <w:endnoteRef/>
      </w:r>
      <w:r w:rsidRPr="00B16899">
        <w:rPr>
          <w:rFonts w:cs="Arial"/>
          <w:sz w:val="22"/>
          <w:szCs w:val="22"/>
        </w:rPr>
        <w:t xml:space="preserve"> </w:t>
      </w:r>
      <w:r w:rsidRPr="00B16899">
        <w:rPr>
          <w:rFonts w:cs="Arial"/>
          <w:color w:val="000000"/>
          <w:sz w:val="22"/>
          <w:szCs w:val="22"/>
          <w:shd w:val="clear" w:color="auto" w:fill="FFFFFF"/>
        </w:rPr>
        <w:t>General Medical Council. (2012). </w:t>
      </w:r>
      <w:r w:rsidRPr="00B16899">
        <w:rPr>
          <w:rFonts w:cs="Arial"/>
          <w:i/>
          <w:iCs/>
          <w:color w:val="000000"/>
          <w:sz w:val="22"/>
          <w:szCs w:val="22"/>
        </w:rPr>
        <w:t>Protecting children and young people</w:t>
      </w:r>
      <w:r w:rsidRPr="00B16899">
        <w:rPr>
          <w:rFonts w:cs="Arial"/>
          <w:color w:val="000000"/>
          <w:sz w:val="22"/>
          <w:szCs w:val="22"/>
          <w:shd w:val="clear" w:color="auto" w:fill="FFFFFF"/>
        </w:rPr>
        <w:t xml:space="preserve">. [Online]. General Medical Council. Last Updated: 30/12/2024. Available at: </w:t>
      </w:r>
      <w:hyperlink r:id="rId14" w:history="1">
        <w:r w:rsidRPr="00B16899">
          <w:rPr>
            <w:rStyle w:val="Hyperlink"/>
            <w:rFonts w:cs="Arial"/>
            <w:sz w:val="22"/>
            <w:szCs w:val="22"/>
          </w:rPr>
          <w:t>Protecting children and young people: The responsibilities of all doctors - professional standards - GMC</w:t>
        </w:r>
      </w:hyperlink>
    </w:p>
  </w:endnote>
  <w:endnote w:id="16">
    <w:p w14:paraId="73649CCB" w14:textId="11AF76BC" w:rsidR="00F30C54" w:rsidRPr="00B16899" w:rsidRDefault="00F30C54" w:rsidP="007378F6">
      <w:pPr>
        <w:pStyle w:val="EndnoteText"/>
        <w:rPr>
          <w:rFonts w:cs="Arial"/>
          <w:sz w:val="22"/>
          <w:szCs w:val="22"/>
        </w:rPr>
      </w:pPr>
      <w:r w:rsidRPr="007B12AB">
        <w:rPr>
          <w:rStyle w:val="EndnoteReference"/>
          <w:rFonts w:cs="Arial"/>
          <w:sz w:val="22"/>
          <w:szCs w:val="22"/>
        </w:rPr>
        <w:endnoteRef/>
      </w:r>
      <w:r w:rsidRPr="007B12AB">
        <w:rPr>
          <w:rFonts w:cs="Arial"/>
          <w:sz w:val="22"/>
          <w:szCs w:val="22"/>
        </w:rPr>
        <w:t xml:space="preserve"> See: </w:t>
      </w:r>
      <w:hyperlink r:id="rId15" w:history="1">
        <w:r w:rsidRPr="007B12AB">
          <w:rPr>
            <w:rStyle w:val="Hyperlink"/>
            <w:rFonts w:cs="Arial"/>
            <w:sz w:val="22"/>
            <w:szCs w:val="22"/>
          </w:rPr>
          <w:t>https://www.igt.hscic.gov.uk/</w:t>
        </w:r>
      </w:hyperlink>
      <w:r w:rsidRPr="007B12AB">
        <w:rPr>
          <w:rFonts w:cs="Arial"/>
          <w:sz w:val="22"/>
          <w:szCs w:val="22"/>
        </w:rPr>
        <w:t xml:space="preserve"> </w:t>
      </w:r>
    </w:p>
  </w:endnote>
  <w:endnote w:id="17">
    <w:p w14:paraId="4470E499" w14:textId="4D1BD549" w:rsidR="00F30C54" w:rsidRPr="00B16899" w:rsidRDefault="00F30C54">
      <w:pPr>
        <w:pStyle w:val="EndnoteText"/>
        <w:rPr>
          <w:rFonts w:cs="Arial"/>
          <w:sz w:val="22"/>
          <w:szCs w:val="22"/>
        </w:rPr>
      </w:pPr>
      <w:r w:rsidRPr="00B16899">
        <w:rPr>
          <w:rStyle w:val="EndnoteReference"/>
          <w:rFonts w:cs="Arial"/>
          <w:sz w:val="22"/>
          <w:szCs w:val="22"/>
        </w:rPr>
        <w:endnoteRef/>
      </w:r>
      <w:r w:rsidRPr="00B16899">
        <w:rPr>
          <w:rFonts w:cs="Arial"/>
          <w:sz w:val="22"/>
          <w:szCs w:val="22"/>
        </w:rPr>
        <w:t xml:space="preserve"> </w:t>
      </w:r>
      <w:r w:rsidRPr="00B16899">
        <w:rPr>
          <w:rFonts w:cs="Arial"/>
          <w:color w:val="000000"/>
          <w:sz w:val="22"/>
          <w:szCs w:val="22"/>
          <w:shd w:val="clear" w:color="auto" w:fill="FFFFFF"/>
        </w:rPr>
        <w:t>GOV.UK. (2023). </w:t>
      </w:r>
      <w:r w:rsidRPr="00B16899">
        <w:rPr>
          <w:rFonts w:cs="Arial"/>
          <w:i/>
          <w:iCs/>
          <w:color w:val="000000"/>
          <w:sz w:val="22"/>
          <w:szCs w:val="22"/>
        </w:rPr>
        <w:t>Establishing youth-friendly health and care services</w:t>
      </w:r>
      <w:r w:rsidRPr="00B16899">
        <w:rPr>
          <w:rFonts w:cs="Arial"/>
          <w:color w:val="000000"/>
          <w:sz w:val="22"/>
          <w:szCs w:val="22"/>
          <w:shd w:val="clear" w:color="auto" w:fill="FFFFFF"/>
        </w:rPr>
        <w:t xml:space="preserve">. [Online]. GOV.UK. Available at: </w:t>
      </w:r>
      <w:hyperlink r:id="rId16">
        <w:r w:rsidRPr="007B12AB">
          <w:rPr>
            <w:rFonts w:cs="Arial"/>
            <w:color w:val="0563C1" w:themeColor="hyperlink"/>
            <w:kern w:val="2"/>
            <w:sz w:val="22"/>
            <w:szCs w:val="22"/>
            <w:u w:val="single"/>
            <w14:ligatures w14:val="standardContextual"/>
          </w:rPr>
          <w:t>Department of Health's you're welcome quality criteria</w:t>
        </w:r>
      </w:hyperlink>
    </w:p>
  </w:endnote>
  <w:endnote w:id="18">
    <w:p w14:paraId="3B485A8A" w14:textId="1043F95D" w:rsidR="00F30C54" w:rsidRDefault="00F30C54">
      <w:pPr>
        <w:pStyle w:val="EndnoteText"/>
        <w:rPr>
          <w:rFonts w:cs="Arial"/>
          <w:color w:val="0563C1" w:themeColor="hyperlink"/>
          <w:kern w:val="2"/>
          <w:sz w:val="22"/>
          <w:szCs w:val="22"/>
          <w:u w:val="single"/>
          <w14:ligatures w14:val="standardContextual"/>
        </w:rPr>
      </w:pPr>
      <w:r w:rsidRPr="00B16899">
        <w:rPr>
          <w:rStyle w:val="EndnoteReference"/>
          <w:rFonts w:cs="Arial"/>
          <w:sz w:val="22"/>
          <w:szCs w:val="22"/>
        </w:rPr>
        <w:endnoteRef/>
      </w:r>
      <w:r w:rsidRPr="00B16899">
        <w:rPr>
          <w:rFonts w:cs="Arial"/>
          <w:sz w:val="22"/>
          <w:szCs w:val="22"/>
        </w:rPr>
        <w:t xml:space="preserve"> </w:t>
      </w:r>
      <w:r w:rsidRPr="00B16899">
        <w:rPr>
          <w:rFonts w:cs="Arial"/>
          <w:color w:val="000000"/>
          <w:sz w:val="22"/>
          <w:szCs w:val="22"/>
          <w:shd w:val="clear" w:color="auto" w:fill="FFFFFF"/>
        </w:rPr>
        <w:t>The Faculty of Sexual and Reproductive Healthcare. (2022). </w:t>
      </w:r>
      <w:r w:rsidRPr="00B16899">
        <w:rPr>
          <w:rFonts w:cs="Arial"/>
          <w:i/>
          <w:iCs/>
          <w:color w:val="000000"/>
          <w:sz w:val="22"/>
          <w:szCs w:val="22"/>
        </w:rPr>
        <w:t>Clinical Standards</w:t>
      </w:r>
      <w:r w:rsidRPr="00B16899">
        <w:rPr>
          <w:rFonts w:cs="Arial"/>
          <w:color w:val="000000"/>
          <w:sz w:val="22"/>
          <w:szCs w:val="22"/>
          <w:shd w:val="clear" w:color="auto" w:fill="FFFFFF"/>
        </w:rPr>
        <w:t xml:space="preserve">. [Online]. FSRH. Available at: </w:t>
      </w:r>
      <w:hyperlink r:id="rId17">
        <w:r w:rsidRPr="007B12AB">
          <w:rPr>
            <w:rFonts w:cs="Arial"/>
            <w:color w:val="0563C1" w:themeColor="hyperlink"/>
            <w:kern w:val="2"/>
            <w:sz w:val="22"/>
            <w:szCs w:val="22"/>
            <w:u w:val="single"/>
            <w14:ligatures w14:val="standardContextual"/>
          </w:rPr>
          <w:t>Faculty of Sexual and Reproductive Healthcare service standards for sexual and reproductive healthcare</w:t>
        </w:r>
      </w:hyperlink>
    </w:p>
    <w:p w14:paraId="77E39F50" w14:textId="190543F4" w:rsidR="00DF6AD4" w:rsidRPr="00B16899" w:rsidRDefault="00DF6AD4">
      <w:pPr>
        <w:pStyle w:val="EndnoteText"/>
        <w:rPr>
          <w:rFonts w:cs="Arial"/>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
    <w:altName w:val="Yu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676961"/>
      <w:docPartObj>
        <w:docPartGallery w:val="Page Numbers (Bottom of Page)"/>
        <w:docPartUnique/>
      </w:docPartObj>
    </w:sdtPr>
    <w:sdtEndPr/>
    <w:sdtContent>
      <w:p w14:paraId="33E370F7" w14:textId="434D528C" w:rsidR="004C251B" w:rsidRDefault="004C251B" w:rsidP="005503B0">
        <w:pPr>
          <w:pStyle w:val="Footer"/>
          <w:pBdr>
            <w:top w:val="single" w:sz="4" w:space="1" w:color="auto"/>
          </w:pBdr>
          <w:jc w:val="right"/>
        </w:pPr>
        <w:r>
          <w:t xml:space="preserve">Specification </w:t>
        </w:r>
        <w:sdt>
          <w:sdtPr>
            <w:id w:val="-1769616900"/>
            <w:docPartObj>
              <w:docPartGallery w:val="Page Numbers (Top of Page)"/>
              <w:docPartUnique/>
            </w:docPartObj>
          </w:sdtPr>
          <w:sdtEndPr/>
          <w:sdtContent>
            <w:r>
              <w:t xml:space="preserve">| Page </w:t>
            </w:r>
            <w:r>
              <w:rPr>
                <w:b/>
                <w:bCs/>
              </w:rPr>
              <w:fldChar w:fldCharType="begin"/>
            </w:r>
            <w:r>
              <w:rPr>
                <w:b/>
                <w:bCs/>
              </w:rPr>
              <w:instrText xml:space="preserve"> PAGE </w:instrText>
            </w:r>
            <w:r>
              <w:rPr>
                <w:b/>
                <w:bCs/>
              </w:rPr>
              <w:fldChar w:fldCharType="separate"/>
            </w:r>
            <w:r w:rsidR="003A3833">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3A3833">
              <w:rPr>
                <w:b/>
                <w:bCs/>
                <w:noProof/>
              </w:rPr>
              <w:t>26</w:t>
            </w:r>
            <w:r>
              <w:rPr>
                <w:b/>
                <w:bC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961F7" w14:textId="77777777" w:rsidR="008958E3" w:rsidRDefault="008958E3" w:rsidP="005503B0">
      <w:r>
        <w:separator/>
      </w:r>
    </w:p>
  </w:footnote>
  <w:footnote w:type="continuationSeparator" w:id="0">
    <w:p w14:paraId="02F8A118" w14:textId="77777777" w:rsidR="008958E3" w:rsidRDefault="008958E3" w:rsidP="0055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980B" w14:textId="0D3FE3BF" w:rsidR="004C251B" w:rsidRDefault="004C2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DADA" w14:textId="6710D71F" w:rsidR="004C251B" w:rsidRDefault="004C2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1DC2" w14:textId="3C47100F" w:rsidR="004C251B" w:rsidRDefault="004C25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8243" w14:textId="529D6B0A" w:rsidR="004C251B" w:rsidRDefault="004C25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E40B" w14:textId="7C2048CE" w:rsidR="004C251B" w:rsidRPr="001E7A52" w:rsidRDefault="004C251B" w:rsidP="005503B0">
    <w:pPr>
      <w:pStyle w:val="Header"/>
      <w:jc w:val="center"/>
      <w:rPr>
        <w:b/>
        <w:bCs/>
        <w:caps/>
        <w:color w:val="4472C4" w:themeColor="accent1"/>
        <w:u w:val="single"/>
      </w:rPr>
    </w:pPr>
    <w:r w:rsidRPr="001E7A52">
      <w:rPr>
        <w:rFonts w:eastAsia="Times New Roman"/>
        <w:b/>
        <w:bCs/>
        <w:color w:val="000000"/>
        <w:lang w:eastAsia="en-GB"/>
      </w:rPr>
      <w:t xml:space="preserve">North Northamptonshire Contraceptive Service – </w:t>
    </w:r>
    <w:r w:rsidR="003E5F25">
      <w:rPr>
        <w:rFonts w:eastAsia="Times New Roman"/>
        <w:b/>
        <w:bCs/>
        <w:color w:val="000000"/>
        <w:lang w:eastAsia="en-GB"/>
      </w:rPr>
      <w:t>Long-Acting</w:t>
    </w:r>
    <w:r>
      <w:rPr>
        <w:rFonts w:eastAsia="Times New Roman"/>
        <w:b/>
        <w:bCs/>
        <w:color w:val="000000"/>
        <w:lang w:eastAsia="en-GB"/>
      </w:rPr>
      <w:t xml:space="preserve"> Reversible Contraception </w:t>
    </w:r>
    <w:r w:rsidRPr="001E7A52">
      <w:rPr>
        <w:b/>
        <w:bCs/>
      </w:rPr>
      <w:t>(</w:t>
    </w:r>
    <w:r>
      <w:rPr>
        <w:b/>
        <w:bCs/>
      </w:rPr>
      <w:t>LARC</w:t>
    </w:r>
    <w:r w:rsidRPr="001E7A52">
      <w:rPr>
        <w:b/>
        <w:bCs/>
      </w:rPr>
      <w:t>)</w:t>
    </w:r>
    <w:r w:rsidRPr="001E7A52">
      <w:rPr>
        <w:rFonts w:eastAsia="Times New Roman"/>
        <w:b/>
        <w:bCs/>
        <w:color w:val="000000"/>
        <w:lang w:eastAsia="en-GB"/>
      </w:rPr>
      <w:t xml:space="preserve"> 2025 </w:t>
    </w:r>
  </w:p>
  <w:p w14:paraId="681357CE" w14:textId="767B665A" w:rsidR="004C251B" w:rsidRPr="005A72A9" w:rsidRDefault="004C251B" w:rsidP="005503B0">
    <w:pPr>
      <w:pStyle w:val="Header"/>
      <w:jc w:val="center"/>
      <w:rPr>
        <w:b/>
        <w:bCs/>
        <w:caps/>
        <w:u w:val="single"/>
      </w:rPr>
    </w:pPr>
    <w:r w:rsidRPr="005A72A9">
      <w:rPr>
        <w:b/>
        <w:bCs/>
        <w:caps/>
        <w:u w:val="single"/>
      </w:rPr>
      <w:t>Specification</w:t>
    </w:r>
  </w:p>
  <w:p w14:paraId="491C638F" w14:textId="77777777" w:rsidR="004C251B" w:rsidRDefault="004C251B" w:rsidP="005503B0">
    <w:pPr>
      <w:pStyle w:val="Header"/>
      <w:jc w:val="center"/>
    </w:pPr>
  </w:p>
  <w:p w14:paraId="61244A1A" w14:textId="77777777" w:rsidR="004C251B" w:rsidRDefault="004C251B" w:rsidP="005503B0">
    <w:pPr>
      <w:pStyle w:val="Header"/>
      <w:pBdr>
        <w:top w:val="single" w:sz="4" w:space="1" w:color="auto"/>
      </w:pBd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3CA5" w14:textId="0C19BE12" w:rsidR="004C251B" w:rsidRDefault="004C2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752"/>
    <w:multiLevelType w:val="hybridMultilevel"/>
    <w:tmpl w:val="D170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36FF1"/>
    <w:multiLevelType w:val="hybridMultilevel"/>
    <w:tmpl w:val="9414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843FC"/>
    <w:multiLevelType w:val="hybridMultilevel"/>
    <w:tmpl w:val="E5F8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14D04"/>
    <w:multiLevelType w:val="multilevel"/>
    <w:tmpl w:val="B3CABB72"/>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4"/>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hAnsi="Arial" w:cs="Arial"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E235AA"/>
    <w:multiLevelType w:val="hybridMultilevel"/>
    <w:tmpl w:val="0154331C"/>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4D5983"/>
    <w:multiLevelType w:val="hybridMultilevel"/>
    <w:tmpl w:val="0D78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7B40D5"/>
    <w:multiLevelType w:val="hybridMultilevel"/>
    <w:tmpl w:val="C9C402F6"/>
    <w:lvl w:ilvl="0" w:tplc="826E243E">
      <w:start w:val="5"/>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1C1BAA"/>
    <w:multiLevelType w:val="hybridMultilevel"/>
    <w:tmpl w:val="B810C9B2"/>
    <w:lvl w:ilvl="0" w:tplc="FFFFFFFF">
      <w:start w:val="1"/>
      <w:numFmt w:val="bullet"/>
      <w:lvlText w:val=""/>
      <w:lvlJc w:val="left"/>
      <w:pPr>
        <w:ind w:left="720" w:hanging="360"/>
      </w:pPr>
      <w:rPr>
        <w:rFonts w:ascii="Symbol" w:hAnsi="Symbol" w:hint="default"/>
      </w:rPr>
    </w:lvl>
    <w:lvl w:ilvl="1" w:tplc="6BFC0586">
      <w:start w:val="1"/>
      <w:numFmt w:val="bullet"/>
      <w:lvlText w:val=""/>
      <w:lvlJc w:val="left"/>
      <w:pPr>
        <w:ind w:left="502"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6C736FC"/>
    <w:multiLevelType w:val="hybridMultilevel"/>
    <w:tmpl w:val="2C56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7F280F"/>
    <w:multiLevelType w:val="hybridMultilevel"/>
    <w:tmpl w:val="ED88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322E70"/>
    <w:multiLevelType w:val="multilevel"/>
    <w:tmpl w:val="038C8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5D3E41"/>
    <w:multiLevelType w:val="hybridMultilevel"/>
    <w:tmpl w:val="E65A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0F34ED"/>
    <w:multiLevelType w:val="multilevel"/>
    <w:tmpl w:val="B16AA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651348"/>
    <w:multiLevelType w:val="hybridMultilevel"/>
    <w:tmpl w:val="CA0E3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C62A0B"/>
    <w:multiLevelType w:val="hybridMultilevel"/>
    <w:tmpl w:val="11F4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B6448"/>
    <w:multiLevelType w:val="hybridMultilevel"/>
    <w:tmpl w:val="620CE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032B70"/>
    <w:multiLevelType w:val="hybridMultilevel"/>
    <w:tmpl w:val="548C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201C37"/>
    <w:multiLevelType w:val="multilevel"/>
    <w:tmpl w:val="A5EE2848"/>
    <w:lvl w:ilvl="0">
      <w:start w:val="1"/>
      <w:numFmt w:val="decimal"/>
      <w:pStyle w:val="NSAnnex"/>
      <w:suff w:val="space"/>
      <w:lvlText w:val="Schedu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C7C6C1D"/>
    <w:multiLevelType w:val="hybridMultilevel"/>
    <w:tmpl w:val="F174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A520E3"/>
    <w:multiLevelType w:val="hybridMultilevel"/>
    <w:tmpl w:val="7CC0622A"/>
    <w:lvl w:ilvl="0" w:tplc="51E63606">
      <w:numFmt w:val="bullet"/>
      <w:pStyle w:val="NSSchedule"/>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5475C3"/>
    <w:multiLevelType w:val="hybridMultilevel"/>
    <w:tmpl w:val="FF9E0B8C"/>
    <w:lvl w:ilvl="0" w:tplc="6BFC05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E740F2"/>
    <w:multiLevelType w:val="multilevel"/>
    <w:tmpl w:val="8C78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5B2E60"/>
    <w:multiLevelType w:val="hybridMultilevel"/>
    <w:tmpl w:val="C102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126EE7"/>
    <w:multiLevelType w:val="hybridMultilevel"/>
    <w:tmpl w:val="A2E2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F662DF"/>
    <w:multiLevelType w:val="hybridMultilevel"/>
    <w:tmpl w:val="9DA40A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EF47513"/>
    <w:multiLevelType w:val="hybridMultilevel"/>
    <w:tmpl w:val="4EFE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B74C87"/>
    <w:multiLevelType w:val="hybridMultilevel"/>
    <w:tmpl w:val="30BA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062467"/>
    <w:multiLevelType w:val="hybridMultilevel"/>
    <w:tmpl w:val="9AFA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1D5D98"/>
    <w:multiLevelType w:val="hybridMultilevel"/>
    <w:tmpl w:val="D23A9752"/>
    <w:lvl w:ilvl="0" w:tplc="5322ADEC">
      <w:start w:val="6"/>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6F34D1B"/>
    <w:multiLevelType w:val="hybridMultilevel"/>
    <w:tmpl w:val="51D6E906"/>
    <w:lvl w:ilvl="0" w:tplc="6BFC0586">
      <w:start w:val="1"/>
      <w:numFmt w:val="bullet"/>
      <w:lvlText w:val=""/>
      <w:lvlJc w:val="left"/>
      <w:pPr>
        <w:ind w:left="502"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6BFC0586">
      <w:start w:val="1"/>
      <w:numFmt w:val="bullet"/>
      <w:lvlText w:val=""/>
      <w:lvlJc w:val="left"/>
      <w:pPr>
        <w:ind w:left="2160" w:hanging="360"/>
      </w:pPr>
      <w:rPr>
        <w:rFonts w:ascii="Symbol" w:hAnsi="Symbol" w:hint="default"/>
        <w:color w:val="auto"/>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631069"/>
    <w:multiLevelType w:val="hybridMultilevel"/>
    <w:tmpl w:val="76A6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B54A4D"/>
    <w:multiLevelType w:val="hybridMultilevel"/>
    <w:tmpl w:val="658AF44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3CA00011"/>
    <w:multiLevelType w:val="multilevel"/>
    <w:tmpl w:val="F816FFFC"/>
    <w:lvl w:ilvl="0">
      <w:start w:val="1"/>
      <w:numFmt w:val="decimal"/>
      <w:pStyle w:val="BalloonText"/>
      <w:suff w:val="space"/>
      <w:lvlText w:val="Anne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D39016C"/>
    <w:multiLevelType w:val="hybridMultilevel"/>
    <w:tmpl w:val="4E769C4A"/>
    <w:lvl w:ilvl="0" w:tplc="08090017">
      <w:start w:val="1"/>
      <w:numFmt w:val="lowerLetter"/>
      <w:lvlText w:val="%1)"/>
      <w:lvlJc w:val="left"/>
      <w:pPr>
        <w:ind w:left="360" w:hanging="360"/>
      </w:pPr>
      <w:rPr>
        <w:b/>
        <w:bC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1AD3A29"/>
    <w:multiLevelType w:val="hybridMultilevel"/>
    <w:tmpl w:val="DEDA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1816B2"/>
    <w:multiLevelType w:val="hybridMultilevel"/>
    <w:tmpl w:val="C49C399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4B049FA"/>
    <w:multiLevelType w:val="hybridMultilevel"/>
    <w:tmpl w:val="E5E04066"/>
    <w:lvl w:ilvl="0" w:tplc="8B10605E">
      <w:numFmt w:val="bullet"/>
      <w:lvlText w:val="-"/>
      <w:lvlJc w:val="left"/>
      <w:pPr>
        <w:ind w:left="1944" w:hanging="360"/>
      </w:pPr>
      <w:rPr>
        <w:rFonts w:ascii="Calibri" w:eastAsiaTheme="minorHAnsi" w:hAnsi="Calibri" w:hint="default"/>
        <w:color w:val="auto"/>
      </w:rPr>
    </w:lvl>
    <w:lvl w:ilvl="1" w:tplc="FFFFFFFF" w:tentative="1">
      <w:start w:val="1"/>
      <w:numFmt w:val="bullet"/>
      <w:lvlText w:val="o"/>
      <w:lvlJc w:val="left"/>
      <w:pPr>
        <w:ind w:left="2664" w:hanging="360"/>
      </w:pPr>
      <w:rPr>
        <w:rFonts w:ascii="Courier New" w:hAnsi="Courier New" w:cs="Courier New" w:hint="default"/>
      </w:rPr>
    </w:lvl>
    <w:lvl w:ilvl="2" w:tplc="FFFFFFFF" w:tentative="1">
      <w:start w:val="1"/>
      <w:numFmt w:val="bullet"/>
      <w:lvlText w:val=""/>
      <w:lvlJc w:val="left"/>
      <w:pPr>
        <w:ind w:left="3384" w:hanging="360"/>
      </w:pPr>
      <w:rPr>
        <w:rFonts w:ascii="Wingdings" w:hAnsi="Wingdings" w:hint="default"/>
      </w:rPr>
    </w:lvl>
    <w:lvl w:ilvl="3" w:tplc="FFFFFFFF" w:tentative="1">
      <w:start w:val="1"/>
      <w:numFmt w:val="bullet"/>
      <w:lvlText w:val=""/>
      <w:lvlJc w:val="left"/>
      <w:pPr>
        <w:ind w:left="4104" w:hanging="360"/>
      </w:pPr>
      <w:rPr>
        <w:rFonts w:ascii="Symbol" w:hAnsi="Symbol" w:hint="default"/>
      </w:rPr>
    </w:lvl>
    <w:lvl w:ilvl="4" w:tplc="FFFFFFFF" w:tentative="1">
      <w:start w:val="1"/>
      <w:numFmt w:val="bullet"/>
      <w:lvlText w:val="o"/>
      <w:lvlJc w:val="left"/>
      <w:pPr>
        <w:ind w:left="4824" w:hanging="360"/>
      </w:pPr>
      <w:rPr>
        <w:rFonts w:ascii="Courier New" w:hAnsi="Courier New" w:cs="Courier New" w:hint="default"/>
      </w:rPr>
    </w:lvl>
    <w:lvl w:ilvl="5" w:tplc="FFFFFFFF" w:tentative="1">
      <w:start w:val="1"/>
      <w:numFmt w:val="bullet"/>
      <w:lvlText w:val=""/>
      <w:lvlJc w:val="left"/>
      <w:pPr>
        <w:ind w:left="5544" w:hanging="360"/>
      </w:pPr>
      <w:rPr>
        <w:rFonts w:ascii="Wingdings" w:hAnsi="Wingdings" w:hint="default"/>
      </w:rPr>
    </w:lvl>
    <w:lvl w:ilvl="6" w:tplc="FFFFFFFF" w:tentative="1">
      <w:start w:val="1"/>
      <w:numFmt w:val="bullet"/>
      <w:lvlText w:val=""/>
      <w:lvlJc w:val="left"/>
      <w:pPr>
        <w:ind w:left="6264" w:hanging="360"/>
      </w:pPr>
      <w:rPr>
        <w:rFonts w:ascii="Symbol" w:hAnsi="Symbol" w:hint="default"/>
      </w:rPr>
    </w:lvl>
    <w:lvl w:ilvl="7" w:tplc="FFFFFFFF" w:tentative="1">
      <w:start w:val="1"/>
      <w:numFmt w:val="bullet"/>
      <w:lvlText w:val="o"/>
      <w:lvlJc w:val="left"/>
      <w:pPr>
        <w:ind w:left="6984" w:hanging="360"/>
      </w:pPr>
      <w:rPr>
        <w:rFonts w:ascii="Courier New" w:hAnsi="Courier New" w:cs="Courier New" w:hint="default"/>
      </w:rPr>
    </w:lvl>
    <w:lvl w:ilvl="8" w:tplc="FFFFFFFF" w:tentative="1">
      <w:start w:val="1"/>
      <w:numFmt w:val="bullet"/>
      <w:lvlText w:val=""/>
      <w:lvlJc w:val="left"/>
      <w:pPr>
        <w:ind w:left="7704" w:hanging="360"/>
      </w:pPr>
      <w:rPr>
        <w:rFonts w:ascii="Wingdings" w:hAnsi="Wingdings" w:hint="default"/>
      </w:rPr>
    </w:lvl>
  </w:abstractNum>
  <w:abstractNum w:abstractNumId="37" w15:restartNumberingAfterBreak="0">
    <w:nsid w:val="4592464C"/>
    <w:multiLevelType w:val="hybridMultilevel"/>
    <w:tmpl w:val="05E8F7BC"/>
    <w:lvl w:ilvl="0" w:tplc="8B10605E">
      <w:numFmt w:val="bullet"/>
      <w:lvlText w:val="-"/>
      <w:lvlJc w:val="left"/>
      <w:pPr>
        <w:ind w:left="1944" w:hanging="360"/>
      </w:pPr>
      <w:rPr>
        <w:rFonts w:ascii="Calibri" w:eastAsiaTheme="minorHAnsi" w:hAnsi="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DD4BA6"/>
    <w:multiLevelType w:val="hybridMultilevel"/>
    <w:tmpl w:val="C70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5D13E0"/>
    <w:multiLevelType w:val="hybridMultilevel"/>
    <w:tmpl w:val="5ACE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0F7D48"/>
    <w:multiLevelType w:val="hybridMultilevel"/>
    <w:tmpl w:val="EEAA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407913"/>
    <w:multiLevelType w:val="multilevel"/>
    <w:tmpl w:val="18BAE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59213D"/>
    <w:multiLevelType w:val="hybridMultilevel"/>
    <w:tmpl w:val="A6EA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9B06D8"/>
    <w:multiLevelType w:val="hybridMultilevel"/>
    <w:tmpl w:val="7086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902E0A"/>
    <w:multiLevelType w:val="hybridMultilevel"/>
    <w:tmpl w:val="E178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E962BD"/>
    <w:multiLevelType w:val="hybridMultilevel"/>
    <w:tmpl w:val="7088A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76173EF"/>
    <w:multiLevelType w:val="hybridMultilevel"/>
    <w:tmpl w:val="B096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646969"/>
    <w:multiLevelType w:val="hybridMultilevel"/>
    <w:tmpl w:val="55AC091E"/>
    <w:lvl w:ilvl="0" w:tplc="7D6877C4">
      <w:start w:val="8"/>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84805C0"/>
    <w:multiLevelType w:val="hybridMultilevel"/>
    <w:tmpl w:val="2C9C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AB03B2"/>
    <w:multiLevelType w:val="hybridMultilevel"/>
    <w:tmpl w:val="D21A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DEA34CD"/>
    <w:multiLevelType w:val="hybridMultilevel"/>
    <w:tmpl w:val="C068CE50"/>
    <w:lvl w:ilvl="0" w:tplc="F13C52D2">
      <w:start w:val="7"/>
      <w:numFmt w:val="lowerLetter"/>
      <w:lvlText w:val="%1."/>
      <w:lvlJc w:val="left"/>
      <w:pPr>
        <w:ind w:left="785"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1" w15:restartNumberingAfterBreak="0">
    <w:nsid w:val="648163AD"/>
    <w:multiLevelType w:val="hybridMultilevel"/>
    <w:tmpl w:val="C1F0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313AEA"/>
    <w:multiLevelType w:val="hybridMultilevel"/>
    <w:tmpl w:val="D1542F8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9D84E44"/>
    <w:multiLevelType w:val="hybridMultilevel"/>
    <w:tmpl w:val="BB868C0A"/>
    <w:lvl w:ilvl="0" w:tplc="6BFC05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5C319BF"/>
    <w:multiLevelType w:val="hybridMultilevel"/>
    <w:tmpl w:val="645C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202C6D"/>
    <w:multiLevelType w:val="hybridMultilevel"/>
    <w:tmpl w:val="EDF2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B630B1"/>
    <w:multiLevelType w:val="hybridMultilevel"/>
    <w:tmpl w:val="58E4AD10"/>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57" w15:restartNumberingAfterBreak="0">
    <w:nsid w:val="7B401B1A"/>
    <w:multiLevelType w:val="hybridMultilevel"/>
    <w:tmpl w:val="FCB8B0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D767093"/>
    <w:multiLevelType w:val="hybridMultilevel"/>
    <w:tmpl w:val="EAF8B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9479B6"/>
    <w:multiLevelType w:val="hybridMultilevel"/>
    <w:tmpl w:val="08E2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BB1B03"/>
    <w:multiLevelType w:val="hybridMultilevel"/>
    <w:tmpl w:val="27380308"/>
    <w:lvl w:ilvl="0" w:tplc="3670C56E">
      <w:start w:val="4"/>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F604FDA"/>
    <w:multiLevelType w:val="multilevel"/>
    <w:tmpl w:val="F84C2C70"/>
    <w:lvl w:ilvl="0">
      <w:start w:val="1"/>
      <w:numFmt w:val="decimal"/>
      <w:pStyle w:val="DefinedTermPara"/>
      <w:lvlText w:val="%1."/>
      <w:lvlJc w:val="left"/>
      <w:pPr>
        <w:ind w:left="720" w:hanging="360"/>
      </w:pPr>
      <w:rPr>
        <w:b/>
        <w:bCs/>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7F6D3C0A"/>
    <w:multiLevelType w:val="hybridMultilevel"/>
    <w:tmpl w:val="173A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340048">
    <w:abstractNumId w:val="19"/>
  </w:num>
  <w:num w:numId="2" w16cid:durableId="123735608">
    <w:abstractNumId w:val="61"/>
  </w:num>
  <w:num w:numId="3" w16cid:durableId="1735811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4870838">
    <w:abstractNumId w:val="17"/>
    <w:lvlOverride w:ilvl="0">
      <w:lvl w:ilvl="0">
        <w:start w:val="2"/>
        <w:numFmt w:val="decimal"/>
        <w:pStyle w:val="NSAnnex"/>
        <w:suff w:val="space"/>
        <w:lvlText w:val="Schedule %1"/>
        <w:lvlJc w:val="left"/>
        <w:pPr>
          <w:ind w:left="0" w:firstLine="0"/>
        </w:pPr>
        <w:rPr>
          <w:rFonts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514760052">
    <w:abstractNumId w:val="32"/>
  </w:num>
  <w:num w:numId="6" w16cid:durableId="1191189606">
    <w:abstractNumId w:val="42"/>
  </w:num>
  <w:num w:numId="7" w16cid:durableId="1194074069">
    <w:abstractNumId w:val="15"/>
  </w:num>
  <w:num w:numId="8" w16cid:durableId="862597478">
    <w:abstractNumId w:val="38"/>
  </w:num>
  <w:num w:numId="9" w16cid:durableId="1771511037">
    <w:abstractNumId w:val="9"/>
  </w:num>
  <w:num w:numId="10" w16cid:durableId="208493307">
    <w:abstractNumId w:val="1"/>
  </w:num>
  <w:num w:numId="11" w16cid:durableId="1215434028">
    <w:abstractNumId w:val="10"/>
  </w:num>
  <w:num w:numId="12" w16cid:durableId="1291786231">
    <w:abstractNumId w:val="58"/>
  </w:num>
  <w:num w:numId="13" w16cid:durableId="1994484983">
    <w:abstractNumId w:val="36"/>
  </w:num>
  <w:num w:numId="14" w16cid:durableId="621880609">
    <w:abstractNumId w:val="7"/>
  </w:num>
  <w:num w:numId="15" w16cid:durableId="106195828">
    <w:abstractNumId w:val="21"/>
  </w:num>
  <w:num w:numId="16" w16cid:durableId="1809738360">
    <w:abstractNumId w:val="56"/>
  </w:num>
  <w:num w:numId="17" w16cid:durableId="1834103650">
    <w:abstractNumId w:val="30"/>
  </w:num>
  <w:num w:numId="18" w16cid:durableId="417025369">
    <w:abstractNumId w:val="46"/>
  </w:num>
  <w:num w:numId="19" w16cid:durableId="1123426843">
    <w:abstractNumId w:val="44"/>
  </w:num>
  <w:num w:numId="20" w16cid:durableId="1858274025">
    <w:abstractNumId w:val="37"/>
  </w:num>
  <w:num w:numId="21" w16cid:durableId="1227834866">
    <w:abstractNumId w:val="34"/>
  </w:num>
  <w:num w:numId="22" w16cid:durableId="1842499386">
    <w:abstractNumId w:val="2"/>
  </w:num>
  <w:num w:numId="23" w16cid:durableId="1948847878">
    <w:abstractNumId w:val="49"/>
  </w:num>
  <w:num w:numId="24" w16cid:durableId="1736274525">
    <w:abstractNumId w:val="0"/>
  </w:num>
  <w:num w:numId="25" w16cid:durableId="1514370374">
    <w:abstractNumId w:val="59"/>
  </w:num>
  <w:num w:numId="26" w16cid:durableId="602150614">
    <w:abstractNumId w:val="27"/>
  </w:num>
  <w:num w:numId="27" w16cid:durableId="1680889904">
    <w:abstractNumId w:val="11"/>
  </w:num>
  <w:num w:numId="28" w16cid:durableId="1494833568">
    <w:abstractNumId w:val="23"/>
  </w:num>
  <w:num w:numId="29" w16cid:durableId="1123815912">
    <w:abstractNumId w:val="52"/>
  </w:num>
  <w:num w:numId="30" w16cid:durableId="843784505">
    <w:abstractNumId w:val="29"/>
  </w:num>
  <w:num w:numId="31" w16cid:durableId="978191281">
    <w:abstractNumId w:val="53"/>
  </w:num>
  <w:num w:numId="32" w16cid:durableId="719786008">
    <w:abstractNumId w:val="20"/>
  </w:num>
  <w:num w:numId="33" w16cid:durableId="2130927661">
    <w:abstractNumId w:val="35"/>
  </w:num>
  <w:num w:numId="34" w16cid:durableId="1773889362">
    <w:abstractNumId w:val="12"/>
  </w:num>
  <w:num w:numId="35" w16cid:durableId="776216437">
    <w:abstractNumId w:val="31"/>
  </w:num>
  <w:num w:numId="36" w16cid:durableId="1821460720">
    <w:abstractNumId w:val="33"/>
  </w:num>
  <w:num w:numId="37" w16cid:durableId="386224109">
    <w:abstractNumId w:val="60"/>
  </w:num>
  <w:num w:numId="38" w16cid:durableId="644433325">
    <w:abstractNumId w:val="6"/>
  </w:num>
  <w:num w:numId="39" w16cid:durableId="409355812">
    <w:abstractNumId w:val="28"/>
  </w:num>
  <w:num w:numId="40" w16cid:durableId="1499346365">
    <w:abstractNumId w:val="50"/>
  </w:num>
  <w:num w:numId="41" w16cid:durableId="772944167">
    <w:abstractNumId w:val="47"/>
  </w:num>
  <w:num w:numId="42" w16cid:durableId="822543970">
    <w:abstractNumId w:val="24"/>
  </w:num>
  <w:num w:numId="43" w16cid:durableId="593785925">
    <w:abstractNumId w:val="45"/>
  </w:num>
  <w:num w:numId="44" w16cid:durableId="1373114940">
    <w:abstractNumId w:val="39"/>
  </w:num>
  <w:num w:numId="45" w16cid:durableId="93330550">
    <w:abstractNumId w:val="26"/>
  </w:num>
  <w:num w:numId="46" w16cid:durableId="1563101501">
    <w:abstractNumId w:val="51"/>
  </w:num>
  <w:num w:numId="47" w16cid:durableId="310642032">
    <w:abstractNumId w:val="22"/>
  </w:num>
  <w:num w:numId="48" w16cid:durableId="753824634">
    <w:abstractNumId w:val="25"/>
  </w:num>
  <w:num w:numId="49" w16cid:durableId="149295844">
    <w:abstractNumId w:val="62"/>
  </w:num>
  <w:num w:numId="50" w16cid:durableId="1133863332">
    <w:abstractNumId w:val="43"/>
  </w:num>
  <w:num w:numId="51" w16cid:durableId="1251161057">
    <w:abstractNumId w:val="54"/>
  </w:num>
  <w:num w:numId="52" w16cid:durableId="477113970">
    <w:abstractNumId w:val="41"/>
  </w:num>
  <w:num w:numId="53" w16cid:durableId="1810240829">
    <w:abstractNumId w:val="4"/>
  </w:num>
  <w:num w:numId="54" w16cid:durableId="951784200">
    <w:abstractNumId w:val="57"/>
  </w:num>
  <w:num w:numId="55" w16cid:durableId="1166364992">
    <w:abstractNumId w:val="14"/>
  </w:num>
  <w:num w:numId="56" w16cid:durableId="1199852910">
    <w:abstractNumId w:val="40"/>
  </w:num>
  <w:num w:numId="57" w16cid:durableId="881333186">
    <w:abstractNumId w:val="55"/>
  </w:num>
  <w:num w:numId="58" w16cid:durableId="730230433">
    <w:abstractNumId w:val="13"/>
  </w:num>
  <w:num w:numId="59" w16cid:durableId="1872457481">
    <w:abstractNumId w:val="5"/>
  </w:num>
  <w:num w:numId="60" w16cid:durableId="1981030808">
    <w:abstractNumId w:val="16"/>
  </w:num>
  <w:num w:numId="61" w16cid:durableId="153684521">
    <w:abstractNumId w:val="8"/>
  </w:num>
  <w:num w:numId="62" w16cid:durableId="1839148673">
    <w:abstractNumId w:val="48"/>
  </w:num>
  <w:num w:numId="63" w16cid:durableId="1358123384">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2A9"/>
    <w:rsid w:val="00007E67"/>
    <w:rsid w:val="00027DEC"/>
    <w:rsid w:val="00051E5D"/>
    <w:rsid w:val="000536F4"/>
    <w:rsid w:val="00074E61"/>
    <w:rsid w:val="000769D9"/>
    <w:rsid w:val="00080973"/>
    <w:rsid w:val="00081D99"/>
    <w:rsid w:val="000858B6"/>
    <w:rsid w:val="00085A80"/>
    <w:rsid w:val="000936BA"/>
    <w:rsid w:val="000939B9"/>
    <w:rsid w:val="000957CC"/>
    <w:rsid w:val="000A0842"/>
    <w:rsid w:val="000A2B85"/>
    <w:rsid w:val="000A6D39"/>
    <w:rsid w:val="000B3CCD"/>
    <w:rsid w:val="000B7BFA"/>
    <w:rsid w:val="000D13C7"/>
    <w:rsid w:val="000D6D99"/>
    <w:rsid w:val="000E0AD1"/>
    <w:rsid w:val="000E1765"/>
    <w:rsid w:val="000F1176"/>
    <w:rsid w:val="000F4715"/>
    <w:rsid w:val="00104F4A"/>
    <w:rsid w:val="0010591E"/>
    <w:rsid w:val="001079FF"/>
    <w:rsid w:val="00111471"/>
    <w:rsid w:val="0011433F"/>
    <w:rsid w:val="00116EFE"/>
    <w:rsid w:val="00135ED2"/>
    <w:rsid w:val="00137722"/>
    <w:rsid w:val="00146125"/>
    <w:rsid w:val="001564C6"/>
    <w:rsid w:val="00156E8C"/>
    <w:rsid w:val="00162A49"/>
    <w:rsid w:val="00177E1D"/>
    <w:rsid w:val="00185F80"/>
    <w:rsid w:val="00187881"/>
    <w:rsid w:val="00193528"/>
    <w:rsid w:val="00197E49"/>
    <w:rsid w:val="001A0912"/>
    <w:rsid w:val="001B007B"/>
    <w:rsid w:val="001B49AD"/>
    <w:rsid w:val="001B49BA"/>
    <w:rsid w:val="001B4C08"/>
    <w:rsid w:val="001B7038"/>
    <w:rsid w:val="001C1BE2"/>
    <w:rsid w:val="001D0C1F"/>
    <w:rsid w:val="001E0A25"/>
    <w:rsid w:val="001E72FF"/>
    <w:rsid w:val="001E7A52"/>
    <w:rsid w:val="001F5A8E"/>
    <w:rsid w:val="001F66C1"/>
    <w:rsid w:val="001F7466"/>
    <w:rsid w:val="0020121F"/>
    <w:rsid w:val="002025A7"/>
    <w:rsid w:val="0020468D"/>
    <w:rsid w:val="00204C1F"/>
    <w:rsid w:val="00205ED7"/>
    <w:rsid w:val="0022138E"/>
    <w:rsid w:val="00227A66"/>
    <w:rsid w:val="00233E99"/>
    <w:rsid w:val="0024093E"/>
    <w:rsid w:val="0024189C"/>
    <w:rsid w:val="00246364"/>
    <w:rsid w:val="00253601"/>
    <w:rsid w:val="00256611"/>
    <w:rsid w:val="0027021C"/>
    <w:rsid w:val="00284BF4"/>
    <w:rsid w:val="00284EC5"/>
    <w:rsid w:val="00296920"/>
    <w:rsid w:val="002A1211"/>
    <w:rsid w:val="002A339A"/>
    <w:rsid w:val="002B14A5"/>
    <w:rsid w:val="002C1B4C"/>
    <w:rsid w:val="002C43CB"/>
    <w:rsid w:val="002C7F4E"/>
    <w:rsid w:val="002D35DD"/>
    <w:rsid w:val="002E4B07"/>
    <w:rsid w:val="003037FF"/>
    <w:rsid w:val="00305AC0"/>
    <w:rsid w:val="00310C4C"/>
    <w:rsid w:val="00312E62"/>
    <w:rsid w:val="00313362"/>
    <w:rsid w:val="00314332"/>
    <w:rsid w:val="00317896"/>
    <w:rsid w:val="0032000E"/>
    <w:rsid w:val="00324023"/>
    <w:rsid w:val="0032727D"/>
    <w:rsid w:val="00330FE7"/>
    <w:rsid w:val="003602B5"/>
    <w:rsid w:val="003653E0"/>
    <w:rsid w:val="00367875"/>
    <w:rsid w:val="003733A3"/>
    <w:rsid w:val="0038407C"/>
    <w:rsid w:val="00384F05"/>
    <w:rsid w:val="003979B4"/>
    <w:rsid w:val="003A0172"/>
    <w:rsid w:val="003A3833"/>
    <w:rsid w:val="003A437A"/>
    <w:rsid w:val="003B6503"/>
    <w:rsid w:val="003B67D5"/>
    <w:rsid w:val="003B6819"/>
    <w:rsid w:val="003C09BD"/>
    <w:rsid w:val="003C4E64"/>
    <w:rsid w:val="003D22FA"/>
    <w:rsid w:val="003E5F25"/>
    <w:rsid w:val="00401B50"/>
    <w:rsid w:val="00407FFB"/>
    <w:rsid w:val="004172C0"/>
    <w:rsid w:val="00433A40"/>
    <w:rsid w:val="004349C6"/>
    <w:rsid w:val="004447F2"/>
    <w:rsid w:val="00455007"/>
    <w:rsid w:val="0046016B"/>
    <w:rsid w:val="004767E1"/>
    <w:rsid w:val="00476809"/>
    <w:rsid w:val="004817F0"/>
    <w:rsid w:val="00491A2B"/>
    <w:rsid w:val="00495389"/>
    <w:rsid w:val="004B0F65"/>
    <w:rsid w:val="004B23E5"/>
    <w:rsid w:val="004C251B"/>
    <w:rsid w:val="004C4789"/>
    <w:rsid w:val="004C7AA2"/>
    <w:rsid w:val="004D459D"/>
    <w:rsid w:val="004E7720"/>
    <w:rsid w:val="004F050C"/>
    <w:rsid w:val="004F6F51"/>
    <w:rsid w:val="00502EA4"/>
    <w:rsid w:val="005041D0"/>
    <w:rsid w:val="00506CCD"/>
    <w:rsid w:val="00532A24"/>
    <w:rsid w:val="00534E0D"/>
    <w:rsid w:val="0054691B"/>
    <w:rsid w:val="005503B0"/>
    <w:rsid w:val="00563B80"/>
    <w:rsid w:val="00565244"/>
    <w:rsid w:val="005876C0"/>
    <w:rsid w:val="005911A0"/>
    <w:rsid w:val="00595BE1"/>
    <w:rsid w:val="005A0804"/>
    <w:rsid w:val="005A52E4"/>
    <w:rsid w:val="005A66F0"/>
    <w:rsid w:val="005A6F5A"/>
    <w:rsid w:val="005A72A9"/>
    <w:rsid w:val="005B4E25"/>
    <w:rsid w:val="005C49EF"/>
    <w:rsid w:val="005D4031"/>
    <w:rsid w:val="005D4FD1"/>
    <w:rsid w:val="005E7AEC"/>
    <w:rsid w:val="005F4563"/>
    <w:rsid w:val="00607C4E"/>
    <w:rsid w:val="0061029B"/>
    <w:rsid w:val="00610BA7"/>
    <w:rsid w:val="00613D42"/>
    <w:rsid w:val="00614C16"/>
    <w:rsid w:val="00616F33"/>
    <w:rsid w:val="00624D60"/>
    <w:rsid w:val="00640A75"/>
    <w:rsid w:val="00651064"/>
    <w:rsid w:val="006539A7"/>
    <w:rsid w:val="00660F77"/>
    <w:rsid w:val="00664ED4"/>
    <w:rsid w:val="0066626A"/>
    <w:rsid w:val="006720E2"/>
    <w:rsid w:val="00677957"/>
    <w:rsid w:val="0068083E"/>
    <w:rsid w:val="00680AC7"/>
    <w:rsid w:val="00681ED9"/>
    <w:rsid w:val="00697C67"/>
    <w:rsid w:val="006A01FF"/>
    <w:rsid w:val="006A53B7"/>
    <w:rsid w:val="006A766D"/>
    <w:rsid w:val="006B1609"/>
    <w:rsid w:val="006B16C7"/>
    <w:rsid w:val="006B2A54"/>
    <w:rsid w:val="006B4568"/>
    <w:rsid w:val="006B536C"/>
    <w:rsid w:val="006C7C6B"/>
    <w:rsid w:val="006D360E"/>
    <w:rsid w:val="006D5C32"/>
    <w:rsid w:val="006E0520"/>
    <w:rsid w:val="006E17B4"/>
    <w:rsid w:val="006E1BBE"/>
    <w:rsid w:val="006E5B71"/>
    <w:rsid w:val="007036DC"/>
    <w:rsid w:val="0070402D"/>
    <w:rsid w:val="00712F3C"/>
    <w:rsid w:val="00726EE3"/>
    <w:rsid w:val="00730751"/>
    <w:rsid w:val="007322A7"/>
    <w:rsid w:val="007378F6"/>
    <w:rsid w:val="00744171"/>
    <w:rsid w:val="00752C1B"/>
    <w:rsid w:val="00754937"/>
    <w:rsid w:val="00762CBA"/>
    <w:rsid w:val="007669B3"/>
    <w:rsid w:val="00773D16"/>
    <w:rsid w:val="007813B1"/>
    <w:rsid w:val="00783ECC"/>
    <w:rsid w:val="007858CA"/>
    <w:rsid w:val="0078597C"/>
    <w:rsid w:val="00787079"/>
    <w:rsid w:val="00792368"/>
    <w:rsid w:val="007A1689"/>
    <w:rsid w:val="007A60B5"/>
    <w:rsid w:val="007B05D5"/>
    <w:rsid w:val="007B12AB"/>
    <w:rsid w:val="007B1368"/>
    <w:rsid w:val="007B37BF"/>
    <w:rsid w:val="007C29B1"/>
    <w:rsid w:val="007D6DB0"/>
    <w:rsid w:val="007D7385"/>
    <w:rsid w:val="007E4835"/>
    <w:rsid w:val="007F338F"/>
    <w:rsid w:val="007F34C6"/>
    <w:rsid w:val="007F56AC"/>
    <w:rsid w:val="007F69C0"/>
    <w:rsid w:val="008011ED"/>
    <w:rsid w:val="00802A77"/>
    <w:rsid w:val="00812A01"/>
    <w:rsid w:val="00813589"/>
    <w:rsid w:val="00822EB7"/>
    <w:rsid w:val="00824A66"/>
    <w:rsid w:val="00826EA6"/>
    <w:rsid w:val="00844440"/>
    <w:rsid w:val="00847D21"/>
    <w:rsid w:val="00850F7E"/>
    <w:rsid w:val="008517AB"/>
    <w:rsid w:val="00856570"/>
    <w:rsid w:val="00890827"/>
    <w:rsid w:val="00890830"/>
    <w:rsid w:val="00893993"/>
    <w:rsid w:val="00894B62"/>
    <w:rsid w:val="008958E3"/>
    <w:rsid w:val="008A0729"/>
    <w:rsid w:val="008A7766"/>
    <w:rsid w:val="008B0579"/>
    <w:rsid w:val="008B0D2D"/>
    <w:rsid w:val="008B5C4C"/>
    <w:rsid w:val="008B780E"/>
    <w:rsid w:val="008C2D03"/>
    <w:rsid w:val="008C4E60"/>
    <w:rsid w:val="008C5C79"/>
    <w:rsid w:val="008D0DD7"/>
    <w:rsid w:val="008D7CE9"/>
    <w:rsid w:val="008E0DFD"/>
    <w:rsid w:val="008E5F06"/>
    <w:rsid w:val="008F0EB1"/>
    <w:rsid w:val="008F0FA1"/>
    <w:rsid w:val="008F28A7"/>
    <w:rsid w:val="008F2954"/>
    <w:rsid w:val="008F491E"/>
    <w:rsid w:val="008F5CC2"/>
    <w:rsid w:val="0090033B"/>
    <w:rsid w:val="0091448B"/>
    <w:rsid w:val="0092071A"/>
    <w:rsid w:val="009307DC"/>
    <w:rsid w:val="00942CC4"/>
    <w:rsid w:val="009435C1"/>
    <w:rsid w:val="009514E4"/>
    <w:rsid w:val="009522EB"/>
    <w:rsid w:val="00960E2E"/>
    <w:rsid w:val="00962644"/>
    <w:rsid w:val="009812FB"/>
    <w:rsid w:val="009825A6"/>
    <w:rsid w:val="00983BE8"/>
    <w:rsid w:val="0098746F"/>
    <w:rsid w:val="0099487F"/>
    <w:rsid w:val="00997265"/>
    <w:rsid w:val="009B1C46"/>
    <w:rsid w:val="009B3D16"/>
    <w:rsid w:val="009B5AED"/>
    <w:rsid w:val="009C52CF"/>
    <w:rsid w:val="009D1190"/>
    <w:rsid w:val="009D6DC2"/>
    <w:rsid w:val="009E50CE"/>
    <w:rsid w:val="009F415F"/>
    <w:rsid w:val="00A00805"/>
    <w:rsid w:val="00A020E9"/>
    <w:rsid w:val="00A02F33"/>
    <w:rsid w:val="00A038A1"/>
    <w:rsid w:val="00A14BD4"/>
    <w:rsid w:val="00A15A05"/>
    <w:rsid w:val="00A162C0"/>
    <w:rsid w:val="00A309D0"/>
    <w:rsid w:val="00A35EF5"/>
    <w:rsid w:val="00A502BA"/>
    <w:rsid w:val="00A558DC"/>
    <w:rsid w:val="00A55D48"/>
    <w:rsid w:val="00A55EA0"/>
    <w:rsid w:val="00A608AE"/>
    <w:rsid w:val="00A64BB3"/>
    <w:rsid w:val="00A67A04"/>
    <w:rsid w:val="00A82400"/>
    <w:rsid w:val="00A85B26"/>
    <w:rsid w:val="00A87EBA"/>
    <w:rsid w:val="00A93175"/>
    <w:rsid w:val="00A97297"/>
    <w:rsid w:val="00AA1F93"/>
    <w:rsid w:val="00AA2D84"/>
    <w:rsid w:val="00AA6BAC"/>
    <w:rsid w:val="00AB1E57"/>
    <w:rsid w:val="00AE19A8"/>
    <w:rsid w:val="00AE2C51"/>
    <w:rsid w:val="00AF6419"/>
    <w:rsid w:val="00B00282"/>
    <w:rsid w:val="00B00A16"/>
    <w:rsid w:val="00B16899"/>
    <w:rsid w:val="00B20CA3"/>
    <w:rsid w:val="00B24226"/>
    <w:rsid w:val="00B346BE"/>
    <w:rsid w:val="00B37364"/>
    <w:rsid w:val="00B45D3A"/>
    <w:rsid w:val="00B47062"/>
    <w:rsid w:val="00B53A22"/>
    <w:rsid w:val="00B561DD"/>
    <w:rsid w:val="00B60150"/>
    <w:rsid w:val="00B63D60"/>
    <w:rsid w:val="00B649FF"/>
    <w:rsid w:val="00B670B8"/>
    <w:rsid w:val="00B67D02"/>
    <w:rsid w:val="00B71247"/>
    <w:rsid w:val="00B71357"/>
    <w:rsid w:val="00B76F57"/>
    <w:rsid w:val="00B82D5A"/>
    <w:rsid w:val="00B92E8B"/>
    <w:rsid w:val="00BD6D76"/>
    <w:rsid w:val="00BE161E"/>
    <w:rsid w:val="00BE18F2"/>
    <w:rsid w:val="00BE598A"/>
    <w:rsid w:val="00BF7D2C"/>
    <w:rsid w:val="00C03EB2"/>
    <w:rsid w:val="00C06AA6"/>
    <w:rsid w:val="00C1357A"/>
    <w:rsid w:val="00C137FF"/>
    <w:rsid w:val="00C151B8"/>
    <w:rsid w:val="00C268F7"/>
    <w:rsid w:val="00C36AA5"/>
    <w:rsid w:val="00C41901"/>
    <w:rsid w:val="00C4406E"/>
    <w:rsid w:val="00C50BB5"/>
    <w:rsid w:val="00C523EF"/>
    <w:rsid w:val="00C60DCF"/>
    <w:rsid w:val="00C6147F"/>
    <w:rsid w:val="00C71064"/>
    <w:rsid w:val="00C74011"/>
    <w:rsid w:val="00C805EF"/>
    <w:rsid w:val="00C841FB"/>
    <w:rsid w:val="00C93109"/>
    <w:rsid w:val="00CA79FF"/>
    <w:rsid w:val="00CB0C48"/>
    <w:rsid w:val="00CB4C73"/>
    <w:rsid w:val="00CC3266"/>
    <w:rsid w:val="00CC45BD"/>
    <w:rsid w:val="00CD4C34"/>
    <w:rsid w:val="00CF4127"/>
    <w:rsid w:val="00CF4652"/>
    <w:rsid w:val="00CF6398"/>
    <w:rsid w:val="00D02A8A"/>
    <w:rsid w:val="00D0605F"/>
    <w:rsid w:val="00D063D5"/>
    <w:rsid w:val="00D073F6"/>
    <w:rsid w:val="00D134CC"/>
    <w:rsid w:val="00D21D51"/>
    <w:rsid w:val="00D2317A"/>
    <w:rsid w:val="00D46538"/>
    <w:rsid w:val="00D543C5"/>
    <w:rsid w:val="00D62585"/>
    <w:rsid w:val="00D7403E"/>
    <w:rsid w:val="00D7708B"/>
    <w:rsid w:val="00D812EF"/>
    <w:rsid w:val="00DA0B85"/>
    <w:rsid w:val="00DA6DD0"/>
    <w:rsid w:val="00DA7D22"/>
    <w:rsid w:val="00DC0329"/>
    <w:rsid w:val="00DC1FA4"/>
    <w:rsid w:val="00DD2CDB"/>
    <w:rsid w:val="00DE05DD"/>
    <w:rsid w:val="00DE2258"/>
    <w:rsid w:val="00DE3377"/>
    <w:rsid w:val="00DE54FC"/>
    <w:rsid w:val="00DF4841"/>
    <w:rsid w:val="00DF4E54"/>
    <w:rsid w:val="00DF6AD4"/>
    <w:rsid w:val="00E0163F"/>
    <w:rsid w:val="00E01916"/>
    <w:rsid w:val="00E061F6"/>
    <w:rsid w:val="00E259DD"/>
    <w:rsid w:val="00E34F9C"/>
    <w:rsid w:val="00E432A3"/>
    <w:rsid w:val="00E57D49"/>
    <w:rsid w:val="00E60DF7"/>
    <w:rsid w:val="00E63157"/>
    <w:rsid w:val="00E64F17"/>
    <w:rsid w:val="00E7247D"/>
    <w:rsid w:val="00E75C96"/>
    <w:rsid w:val="00E92A04"/>
    <w:rsid w:val="00E95CD7"/>
    <w:rsid w:val="00EB498D"/>
    <w:rsid w:val="00EC4C2F"/>
    <w:rsid w:val="00EC59FB"/>
    <w:rsid w:val="00EC7D13"/>
    <w:rsid w:val="00EE44F5"/>
    <w:rsid w:val="00EE4C1D"/>
    <w:rsid w:val="00EE70EE"/>
    <w:rsid w:val="00EF68F7"/>
    <w:rsid w:val="00EF78E0"/>
    <w:rsid w:val="00F222FA"/>
    <w:rsid w:val="00F30C54"/>
    <w:rsid w:val="00F41507"/>
    <w:rsid w:val="00F512CC"/>
    <w:rsid w:val="00F61B94"/>
    <w:rsid w:val="00F65686"/>
    <w:rsid w:val="00F67AD2"/>
    <w:rsid w:val="00F76E30"/>
    <w:rsid w:val="00F77C5F"/>
    <w:rsid w:val="00F809B8"/>
    <w:rsid w:val="00F85F0A"/>
    <w:rsid w:val="00FA6ABE"/>
    <w:rsid w:val="00FA7EBC"/>
    <w:rsid w:val="00FB03B8"/>
    <w:rsid w:val="00FB2E58"/>
    <w:rsid w:val="00FB4E88"/>
    <w:rsid w:val="00FC1DF9"/>
    <w:rsid w:val="00FE192E"/>
    <w:rsid w:val="00FE285D"/>
    <w:rsid w:val="00FE5564"/>
    <w:rsid w:val="00FE604D"/>
    <w:rsid w:val="00FE7F8F"/>
    <w:rsid w:val="00FF1246"/>
    <w:rsid w:val="00FF3F12"/>
    <w:rsid w:val="3632D94F"/>
    <w:rsid w:val="67C85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90A14B"/>
  <w15:chartTrackingRefBased/>
  <w15:docId w15:val="{D3E06730-BB2D-44F0-920B-1602B7EE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16"/>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5503B0"/>
    <w:pPr>
      <w:outlineLvl w:val="0"/>
    </w:pPr>
    <w:rPr>
      <w:b/>
      <w:bCs/>
      <w:caps/>
    </w:rPr>
  </w:style>
  <w:style w:type="paragraph" w:styleId="Heading2">
    <w:name w:val="heading 2"/>
    <w:basedOn w:val="Heading1"/>
    <w:next w:val="Normal"/>
    <w:link w:val="Heading2Char"/>
    <w:uiPriority w:val="9"/>
    <w:unhideWhenUsed/>
    <w:qFormat/>
    <w:rsid w:val="005503B0"/>
    <w:pPr>
      <w:outlineLvl w:val="1"/>
    </w:pPr>
    <w:rPr>
      <w:caps w:val="0"/>
    </w:rPr>
  </w:style>
  <w:style w:type="paragraph" w:styleId="Heading3">
    <w:name w:val="heading 3"/>
    <w:basedOn w:val="Normal"/>
    <w:next w:val="Normal"/>
    <w:link w:val="Heading3Char"/>
    <w:uiPriority w:val="9"/>
    <w:unhideWhenUsed/>
    <w:qFormat/>
    <w:rsid w:val="0031433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14332"/>
    <w:pPr>
      <w:keepNext/>
      <w:keepLines/>
      <w:spacing w:before="40" w:line="276" w:lineRule="auto"/>
      <w:ind w:left="864" w:hanging="864"/>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314332"/>
    <w:pPr>
      <w:keepNext/>
      <w:keepLines/>
      <w:spacing w:before="40" w:line="276" w:lineRule="auto"/>
      <w:ind w:left="1008" w:hanging="1008"/>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314332"/>
    <w:pPr>
      <w:keepNext/>
      <w:keepLines/>
      <w:spacing w:before="40" w:line="276" w:lineRule="auto"/>
      <w:ind w:left="1152" w:hanging="1152"/>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314332"/>
    <w:pPr>
      <w:keepNext/>
      <w:keepLines/>
      <w:spacing w:before="40" w:line="276" w:lineRule="auto"/>
      <w:ind w:left="1296" w:hanging="1296"/>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314332"/>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4332"/>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3B0"/>
    <w:rPr>
      <w:rFonts w:ascii="Arial" w:hAnsi="Arial" w:cs="Arial"/>
      <w:b/>
      <w:bCs/>
      <w:caps/>
      <w:sz w:val="24"/>
      <w:szCs w:val="24"/>
    </w:rPr>
  </w:style>
  <w:style w:type="character" w:customStyle="1" w:styleId="Heading2Char">
    <w:name w:val="Heading 2 Char"/>
    <w:basedOn w:val="DefaultParagraphFont"/>
    <w:link w:val="Heading2"/>
    <w:uiPriority w:val="9"/>
    <w:rsid w:val="005503B0"/>
    <w:rPr>
      <w:rFonts w:ascii="Arial" w:hAnsi="Arial" w:cs="Arial"/>
      <w:b/>
      <w:bCs/>
      <w:sz w:val="24"/>
      <w:szCs w:val="24"/>
    </w:rPr>
  </w:style>
  <w:style w:type="table" w:styleId="TableGrid">
    <w:name w:val="Table Grid"/>
    <w:basedOn w:val="TableNormal"/>
    <w:uiPriority w:val="39"/>
    <w:rsid w:val="0055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3B0"/>
    <w:pPr>
      <w:tabs>
        <w:tab w:val="center" w:pos="4513"/>
        <w:tab w:val="right" w:pos="9026"/>
      </w:tabs>
    </w:pPr>
  </w:style>
  <w:style w:type="character" w:customStyle="1" w:styleId="HeaderChar">
    <w:name w:val="Header Char"/>
    <w:basedOn w:val="DefaultParagraphFont"/>
    <w:link w:val="Header"/>
    <w:uiPriority w:val="99"/>
    <w:rsid w:val="005503B0"/>
    <w:rPr>
      <w:rFonts w:ascii="Arial" w:hAnsi="Arial" w:cs="Arial"/>
      <w:sz w:val="24"/>
      <w:szCs w:val="24"/>
    </w:rPr>
  </w:style>
  <w:style w:type="paragraph" w:styleId="Footer">
    <w:name w:val="footer"/>
    <w:basedOn w:val="Normal"/>
    <w:link w:val="FooterChar"/>
    <w:uiPriority w:val="99"/>
    <w:unhideWhenUsed/>
    <w:rsid w:val="005503B0"/>
    <w:pPr>
      <w:tabs>
        <w:tab w:val="center" w:pos="4513"/>
        <w:tab w:val="right" w:pos="9026"/>
      </w:tabs>
    </w:pPr>
  </w:style>
  <w:style w:type="character" w:customStyle="1" w:styleId="FooterChar">
    <w:name w:val="Footer Char"/>
    <w:basedOn w:val="DefaultParagraphFont"/>
    <w:link w:val="Footer"/>
    <w:uiPriority w:val="99"/>
    <w:rsid w:val="005503B0"/>
    <w:rPr>
      <w:rFonts w:ascii="Arial" w:hAnsi="Arial" w:cs="Arial"/>
      <w:sz w:val="24"/>
      <w:szCs w:val="24"/>
    </w:rPr>
  </w:style>
  <w:style w:type="paragraph" w:styleId="ListParagraph">
    <w:name w:val="List Paragraph"/>
    <w:aliases w:val="List Paragraph1,aHeading 2 - Sussex,Numbered Para 1,Dot pt,No Spacing1,List Paragraph Char Char Char,Indicator Text,Bullet Points,MAIN CONTENT,List Paragraph12,F5 List Paragraph,OBC Bullet,Colorful List - Accent 11,Normal numbered"/>
    <w:basedOn w:val="Normal"/>
    <w:link w:val="ListParagraphChar"/>
    <w:uiPriority w:val="34"/>
    <w:qFormat/>
    <w:rsid w:val="00AA6BAC"/>
    <w:pPr>
      <w:ind w:left="720"/>
      <w:contextualSpacing/>
    </w:pPr>
  </w:style>
  <w:style w:type="paragraph" w:styleId="TOCHeading">
    <w:name w:val="TOC Heading"/>
    <w:basedOn w:val="Heading1"/>
    <w:next w:val="Normal"/>
    <w:uiPriority w:val="39"/>
    <w:unhideWhenUsed/>
    <w:qFormat/>
    <w:rsid w:val="00AA6BAC"/>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lang w:val="en-US"/>
    </w:rPr>
  </w:style>
  <w:style w:type="paragraph" w:styleId="TOC2">
    <w:name w:val="toc 2"/>
    <w:basedOn w:val="Normal"/>
    <w:next w:val="Normal"/>
    <w:autoRedefine/>
    <w:uiPriority w:val="39"/>
    <w:unhideWhenUsed/>
    <w:rsid w:val="004172C0"/>
    <w:pPr>
      <w:tabs>
        <w:tab w:val="right" w:leader="dot" w:pos="9060"/>
      </w:tabs>
      <w:spacing w:after="100"/>
      <w:ind w:left="240"/>
    </w:pPr>
    <w:rPr>
      <w:noProof/>
    </w:rPr>
  </w:style>
  <w:style w:type="character" w:styleId="Hyperlink">
    <w:name w:val="Hyperlink"/>
    <w:basedOn w:val="DefaultParagraphFont"/>
    <w:uiPriority w:val="99"/>
    <w:unhideWhenUsed/>
    <w:rsid w:val="00AA6BAC"/>
    <w:rPr>
      <w:color w:val="0563C1" w:themeColor="hyperlink"/>
      <w:u w:val="single"/>
    </w:rPr>
  </w:style>
  <w:style w:type="character" w:styleId="PlaceholderText">
    <w:name w:val="Placeholder Text"/>
    <w:basedOn w:val="DefaultParagraphFont"/>
    <w:uiPriority w:val="99"/>
    <w:semiHidden/>
    <w:rsid w:val="00367875"/>
    <w:rPr>
      <w:color w:val="808080"/>
    </w:rPr>
  </w:style>
  <w:style w:type="character" w:customStyle="1" w:styleId="DefTerm">
    <w:name w:val="DefTerm"/>
    <w:uiPriority w:val="1"/>
    <w:qFormat/>
    <w:rsid w:val="005A72A9"/>
    <w:rPr>
      <w:rFonts w:ascii="Arial" w:eastAsia="Arial" w:hAnsi="Arial" w:cs="Arial" w:hint="default"/>
      <w:b/>
      <w:bCs w:val="0"/>
      <w:color w:val="000000"/>
    </w:rPr>
  </w:style>
  <w:style w:type="character" w:customStyle="1" w:styleId="UnresolvedMention1">
    <w:name w:val="Unresolved Mention1"/>
    <w:basedOn w:val="DefaultParagraphFont"/>
    <w:uiPriority w:val="99"/>
    <w:semiHidden/>
    <w:unhideWhenUsed/>
    <w:rsid w:val="00C6147F"/>
    <w:rPr>
      <w:color w:val="605E5C"/>
      <w:shd w:val="clear" w:color="auto" w:fill="E1DFDD"/>
    </w:rPr>
  </w:style>
  <w:style w:type="paragraph" w:customStyle="1" w:styleId="TitleClause">
    <w:name w:val="Title Clause"/>
    <w:basedOn w:val="Normal"/>
    <w:rsid w:val="001F7466"/>
    <w:pPr>
      <w:keepNext/>
      <w:numPr>
        <w:numId w:val="3"/>
      </w:numPr>
      <w:spacing w:before="240" w:after="240" w:line="300" w:lineRule="atLeast"/>
      <w:jc w:val="both"/>
      <w:outlineLvl w:val="0"/>
    </w:pPr>
    <w:rPr>
      <w:rFonts w:ascii="Calibri" w:eastAsia="Times New Roman" w:hAnsi="Calibri" w:cs="Times New Roman"/>
      <w:b/>
      <w:color w:val="000000"/>
      <w:kern w:val="28"/>
      <w:sz w:val="22"/>
      <w:szCs w:val="20"/>
    </w:rPr>
  </w:style>
  <w:style w:type="paragraph" w:customStyle="1" w:styleId="Untitledsubclause1">
    <w:name w:val="Untitled subclause 1"/>
    <w:basedOn w:val="Normal"/>
    <w:rsid w:val="001F7466"/>
    <w:pPr>
      <w:numPr>
        <w:ilvl w:val="1"/>
        <w:numId w:val="3"/>
      </w:numPr>
      <w:spacing w:before="280" w:after="120" w:line="300" w:lineRule="atLeast"/>
      <w:jc w:val="both"/>
      <w:outlineLvl w:val="1"/>
    </w:pPr>
    <w:rPr>
      <w:rFonts w:ascii="Calibri" w:eastAsia="Times New Roman" w:hAnsi="Calibri" w:cs="Times New Roman"/>
      <w:color w:val="000000"/>
      <w:sz w:val="22"/>
      <w:szCs w:val="20"/>
    </w:rPr>
  </w:style>
  <w:style w:type="paragraph" w:customStyle="1" w:styleId="Untitledsubclause2">
    <w:name w:val="Untitled subclause 2"/>
    <w:basedOn w:val="Normal"/>
    <w:rsid w:val="001F7466"/>
    <w:pPr>
      <w:numPr>
        <w:ilvl w:val="2"/>
        <w:numId w:val="3"/>
      </w:numPr>
      <w:spacing w:after="120" w:line="300" w:lineRule="atLeast"/>
      <w:jc w:val="both"/>
      <w:outlineLvl w:val="2"/>
    </w:pPr>
    <w:rPr>
      <w:rFonts w:ascii="Calibri" w:eastAsia="Times New Roman" w:hAnsi="Calibri" w:cs="Times New Roman"/>
      <w:color w:val="000000"/>
      <w:sz w:val="22"/>
      <w:szCs w:val="20"/>
    </w:rPr>
  </w:style>
  <w:style w:type="paragraph" w:customStyle="1" w:styleId="Untitledsubclause3">
    <w:name w:val="Untitled subclause 3"/>
    <w:basedOn w:val="Normal"/>
    <w:rsid w:val="001F7466"/>
    <w:pPr>
      <w:numPr>
        <w:ilvl w:val="3"/>
        <w:numId w:val="3"/>
      </w:numPr>
      <w:tabs>
        <w:tab w:val="left" w:pos="2261"/>
      </w:tabs>
      <w:spacing w:after="120" w:line="300" w:lineRule="atLeast"/>
      <w:jc w:val="both"/>
      <w:outlineLvl w:val="3"/>
    </w:pPr>
    <w:rPr>
      <w:rFonts w:ascii="Calibri" w:eastAsia="Times New Roman" w:hAnsi="Calibri" w:cs="Times New Roman"/>
      <w:color w:val="000000"/>
      <w:sz w:val="22"/>
      <w:szCs w:val="20"/>
    </w:rPr>
  </w:style>
  <w:style w:type="paragraph" w:customStyle="1" w:styleId="Untitledsubclause4">
    <w:name w:val="Untitled subclause 4"/>
    <w:basedOn w:val="Normal"/>
    <w:rsid w:val="001F7466"/>
    <w:pPr>
      <w:numPr>
        <w:ilvl w:val="4"/>
        <w:numId w:val="3"/>
      </w:numPr>
      <w:spacing w:after="120" w:line="300" w:lineRule="atLeast"/>
      <w:jc w:val="both"/>
      <w:outlineLvl w:val="4"/>
    </w:pPr>
    <w:rPr>
      <w:rFonts w:ascii="Calibri" w:eastAsia="Times New Roman" w:hAnsi="Calibri" w:cs="Times New Roman"/>
      <w:color w:val="000000"/>
      <w:sz w:val="22"/>
      <w:szCs w:val="20"/>
    </w:rPr>
  </w:style>
  <w:style w:type="character" w:customStyle="1" w:styleId="CommentTextChar">
    <w:name w:val="Comment Text Char"/>
    <w:basedOn w:val="DefaultParagraphFont"/>
    <w:link w:val="CommentText"/>
    <w:uiPriority w:val="99"/>
    <w:rsid w:val="001F7466"/>
    <w:rPr>
      <w:rFonts w:ascii="Calibri" w:hAnsi="Calibri" w:cs="Times New Roman"/>
      <w:sz w:val="20"/>
      <w:szCs w:val="20"/>
    </w:rPr>
  </w:style>
  <w:style w:type="paragraph" w:styleId="CommentText">
    <w:name w:val="annotation text"/>
    <w:basedOn w:val="Normal"/>
    <w:link w:val="CommentTextChar"/>
    <w:uiPriority w:val="99"/>
    <w:unhideWhenUsed/>
    <w:rsid w:val="001F7466"/>
    <w:pPr>
      <w:jc w:val="both"/>
    </w:pPr>
    <w:rPr>
      <w:rFonts w:ascii="Calibri" w:hAnsi="Calibri" w:cs="Times New Roman"/>
      <w:sz w:val="20"/>
      <w:szCs w:val="20"/>
    </w:rPr>
  </w:style>
  <w:style w:type="character" w:customStyle="1" w:styleId="CommentTextChar1">
    <w:name w:val="Comment Text Char1"/>
    <w:basedOn w:val="DefaultParagraphFont"/>
    <w:uiPriority w:val="99"/>
    <w:semiHidden/>
    <w:rsid w:val="001F7466"/>
    <w:rPr>
      <w:rFonts w:ascii="Arial" w:hAnsi="Arial" w:cs="Arial"/>
      <w:sz w:val="20"/>
      <w:szCs w:val="20"/>
    </w:rPr>
  </w:style>
  <w:style w:type="paragraph" w:customStyle="1" w:styleId="NSSchedule">
    <w:name w:val="NS Schedule"/>
    <w:basedOn w:val="Normal"/>
    <w:next w:val="Normal"/>
    <w:qFormat/>
    <w:rsid w:val="001F7466"/>
    <w:pPr>
      <w:numPr>
        <w:numId w:val="1"/>
      </w:numPr>
      <w:spacing w:after="120"/>
      <w:jc w:val="center"/>
      <w:outlineLvl w:val="0"/>
    </w:pPr>
    <w:rPr>
      <w:rFonts w:cstheme="minorBidi"/>
      <w:b/>
      <w:caps/>
      <w:sz w:val="20"/>
      <w:szCs w:val="22"/>
    </w:rPr>
  </w:style>
  <w:style w:type="paragraph" w:customStyle="1" w:styleId="NSAnnex">
    <w:name w:val="NS Annex"/>
    <w:basedOn w:val="Normal"/>
    <w:next w:val="Normal"/>
    <w:qFormat/>
    <w:rsid w:val="001F7466"/>
    <w:pPr>
      <w:numPr>
        <w:numId w:val="4"/>
      </w:numPr>
      <w:spacing w:after="120"/>
      <w:outlineLvl w:val="0"/>
    </w:pPr>
    <w:rPr>
      <w:rFonts w:cstheme="minorBidi"/>
      <w:b/>
      <w:caps/>
      <w:sz w:val="20"/>
      <w:szCs w:val="22"/>
    </w:rPr>
  </w:style>
  <w:style w:type="paragraph" w:styleId="BalloonText">
    <w:name w:val="Balloon Text"/>
    <w:basedOn w:val="Normal"/>
    <w:link w:val="BalloonTextChar"/>
    <w:uiPriority w:val="99"/>
    <w:semiHidden/>
    <w:unhideWhenUsed/>
    <w:rsid w:val="001F7466"/>
    <w:pPr>
      <w:numPr>
        <w:numId w:val="5"/>
      </w:numPr>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466"/>
    <w:rPr>
      <w:rFonts w:ascii="Segoe UI" w:hAnsi="Segoe UI" w:cs="Segoe UI"/>
      <w:sz w:val="18"/>
      <w:szCs w:val="18"/>
    </w:rPr>
  </w:style>
  <w:style w:type="paragraph" w:customStyle="1" w:styleId="paragraph">
    <w:name w:val="paragraph"/>
    <w:basedOn w:val="Normal"/>
    <w:rsid w:val="001F746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F7466"/>
  </w:style>
  <w:style w:type="character" w:customStyle="1" w:styleId="eop">
    <w:name w:val="eop"/>
    <w:basedOn w:val="DefaultParagraphFont"/>
    <w:rsid w:val="001F7466"/>
  </w:style>
  <w:style w:type="paragraph" w:styleId="NoSpacing">
    <w:name w:val="No Spacing"/>
    <w:uiPriority w:val="1"/>
    <w:qFormat/>
    <w:rsid w:val="001F7466"/>
    <w:pPr>
      <w:spacing w:after="0" w:line="240" w:lineRule="auto"/>
      <w:jc w:val="both"/>
    </w:pPr>
    <w:rPr>
      <w:rFonts w:ascii="Calibri" w:hAnsi="Calibri" w:cs="Times New Roman"/>
      <w:szCs w:val="20"/>
    </w:rPr>
  </w:style>
  <w:style w:type="character" w:customStyle="1" w:styleId="CommentSubjectChar">
    <w:name w:val="Comment Subject Char"/>
    <w:basedOn w:val="CommentTextChar"/>
    <w:link w:val="CommentSubject"/>
    <w:uiPriority w:val="99"/>
    <w:semiHidden/>
    <w:rsid w:val="001F7466"/>
    <w:rPr>
      <w:rFonts w:ascii="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1F7466"/>
    <w:rPr>
      <w:b/>
      <w:bCs/>
    </w:rPr>
  </w:style>
  <w:style w:type="character" w:customStyle="1" w:styleId="CommentSubjectChar1">
    <w:name w:val="Comment Subject Char1"/>
    <w:basedOn w:val="CommentTextChar1"/>
    <w:uiPriority w:val="99"/>
    <w:semiHidden/>
    <w:rsid w:val="001F7466"/>
    <w:rPr>
      <w:rFonts w:ascii="Arial" w:hAnsi="Arial" w:cs="Arial"/>
      <w:b/>
      <w:bCs/>
      <w:sz w:val="20"/>
      <w:szCs w:val="20"/>
    </w:rPr>
  </w:style>
  <w:style w:type="paragraph" w:customStyle="1" w:styleId="legclearfix">
    <w:name w:val="legclearfix"/>
    <w:basedOn w:val="Normal"/>
    <w:rsid w:val="001F7466"/>
    <w:pPr>
      <w:spacing w:before="100" w:beforeAutospacing="1" w:after="100" w:afterAutospacing="1"/>
    </w:pPr>
    <w:rPr>
      <w:rFonts w:ascii="Times New Roman" w:eastAsia="Times New Roman" w:hAnsi="Times New Roman" w:cs="Times New Roman"/>
      <w:lang w:eastAsia="en-GB"/>
    </w:rPr>
  </w:style>
  <w:style w:type="paragraph" w:customStyle="1" w:styleId="DefinedTermPara">
    <w:name w:val="Defined Term Para"/>
    <w:basedOn w:val="Normal"/>
    <w:qFormat/>
    <w:rsid w:val="001F7466"/>
    <w:pPr>
      <w:numPr>
        <w:numId w:val="2"/>
      </w:numPr>
      <w:spacing w:after="120" w:line="300" w:lineRule="atLeast"/>
      <w:jc w:val="both"/>
    </w:pPr>
    <w:rPr>
      <w:rFonts w:eastAsia="Times New Roman" w:cs="Times New Roman"/>
      <w:color w:val="000000"/>
      <w:sz w:val="22"/>
      <w:szCs w:val="20"/>
    </w:rPr>
  </w:style>
  <w:style w:type="paragraph" w:customStyle="1" w:styleId="DefinedTermNumber">
    <w:name w:val="Defined Term Number"/>
    <w:basedOn w:val="DefinedTermPara"/>
    <w:qFormat/>
    <w:rsid w:val="001F7466"/>
    <w:pPr>
      <w:numPr>
        <w:ilvl w:val="1"/>
      </w:numPr>
    </w:pPr>
  </w:style>
  <w:style w:type="character" w:customStyle="1" w:styleId="SmartLink1">
    <w:name w:val="SmartLink1"/>
    <w:basedOn w:val="DefaultParagraphFont"/>
    <w:uiPriority w:val="99"/>
    <w:semiHidden/>
    <w:unhideWhenUsed/>
    <w:rsid w:val="007D6DB0"/>
    <w:rPr>
      <w:color w:val="0000FF"/>
      <w:u w:val="single"/>
      <w:shd w:val="clear" w:color="auto" w:fill="F3F2F1"/>
    </w:rPr>
  </w:style>
  <w:style w:type="paragraph" w:styleId="Revision">
    <w:name w:val="Revision"/>
    <w:hidden/>
    <w:uiPriority w:val="99"/>
    <w:semiHidden/>
    <w:rsid w:val="00CF6398"/>
    <w:pPr>
      <w:spacing w:after="0" w:line="240" w:lineRule="auto"/>
    </w:pPr>
    <w:rPr>
      <w:rFonts w:ascii="Arial" w:hAnsi="Arial" w:cs="Arial"/>
      <w:sz w:val="24"/>
      <w:szCs w:val="24"/>
    </w:rPr>
  </w:style>
  <w:style w:type="character" w:styleId="CommentReference">
    <w:name w:val="annotation reference"/>
    <w:basedOn w:val="DefaultParagraphFont"/>
    <w:uiPriority w:val="99"/>
    <w:unhideWhenUsed/>
    <w:rsid w:val="0068083E"/>
    <w:rPr>
      <w:sz w:val="16"/>
      <w:szCs w:val="16"/>
    </w:rPr>
  </w:style>
  <w:style w:type="character" w:customStyle="1" w:styleId="ListParagraphChar">
    <w:name w:val="List Paragraph Char"/>
    <w:aliases w:val="List Paragraph1 Char,aHeading 2 - Sussex Char,Numbered Para 1 Char,Dot pt Char,No Spacing1 Char,List Paragraph Char Char Char Char,Indicator Text Char,Bullet Points Char,MAIN CONTENT Char,List Paragraph12 Char,F5 List Paragraph Char"/>
    <w:basedOn w:val="DefaultParagraphFont"/>
    <w:link w:val="ListParagraph"/>
    <w:uiPriority w:val="34"/>
    <w:rsid w:val="0068083E"/>
    <w:rPr>
      <w:rFonts w:ascii="Arial" w:hAnsi="Arial" w:cs="Arial"/>
      <w:sz w:val="24"/>
      <w:szCs w:val="24"/>
    </w:rPr>
  </w:style>
  <w:style w:type="character" w:styleId="FollowedHyperlink">
    <w:name w:val="FollowedHyperlink"/>
    <w:basedOn w:val="DefaultParagraphFont"/>
    <w:uiPriority w:val="99"/>
    <w:semiHidden/>
    <w:unhideWhenUsed/>
    <w:rsid w:val="003C4E64"/>
    <w:rPr>
      <w:color w:val="954F72" w:themeColor="followedHyperlink"/>
      <w:u w:val="single"/>
    </w:rPr>
  </w:style>
  <w:style w:type="paragraph" w:customStyle="1" w:styleId="Default">
    <w:name w:val="Default"/>
    <w:rsid w:val="0038407C"/>
    <w:pPr>
      <w:autoSpaceDE w:val="0"/>
      <w:autoSpaceDN w:val="0"/>
      <w:adjustRightInd w:val="0"/>
      <w:spacing w:after="0" w:line="240" w:lineRule="auto"/>
    </w:pPr>
    <w:rPr>
      <w:rFonts w:ascii="Arial" w:hAnsi="Arial" w:cs="Arial"/>
      <w:color w:val="000000"/>
      <w:sz w:val="24"/>
      <w:szCs w:val="24"/>
    </w:rPr>
  </w:style>
  <w:style w:type="paragraph" w:customStyle="1" w:styleId="ParagraphText">
    <w:name w:val="Paragraph Text"/>
    <w:basedOn w:val="Normal"/>
    <w:link w:val="ParagraphTextChar"/>
    <w:qFormat/>
    <w:rsid w:val="00960E2E"/>
    <w:pPr>
      <w:spacing w:after="284" w:line="288" w:lineRule="auto"/>
    </w:pPr>
    <w:rPr>
      <w:rFonts w:cstheme="minorBidi"/>
    </w:rPr>
  </w:style>
  <w:style w:type="character" w:customStyle="1" w:styleId="ParagraphTextChar">
    <w:name w:val="Paragraph Text Char"/>
    <w:basedOn w:val="DefaultParagraphFont"/>
    <w:link w:val="ParagraphText"/>
    <w:rsid w:val="00960E2E"/>
    <w:rPr>
      <w:rFonts w:ascii="Arial" w:hAnsi="Arial"/>
      <w:sz w:val="24"/>
      <w:szCs w:val="24"/>
    </w:rPr>
  </w:style>
  <w:style w:type="paragraph" w:customStyle="1" w:styleId="BodyTextMSBlock">
    <w:name w:val="Body Text MS Block"/>
    <w:basedOn w:val="Normal"/>
    <w:link w:val="BodyTextMSBlockChar"/>
    <w:rsid w:val="00960E2E"/>
    <w:pPr>
      <w:spacing w:line="360" w:lineRule="auto"/>
      <w:jc w:val="both"/>
    </w:pPr>
    <w:rPr>
      <w:rFonts w:ascii="Microsoft Sans Serif" w:eastAsia="Times New Roman" w:hAnsi="Microsoft Sans Serif" w:cs="Microsoft Sans Serif"/>
      <w:sz w:val="22"/>
    </w:rPr>
  </w:style>
  <w:style w:type="character" w:customStyle="1" w:styleId="BodyTextMSBlockChar">
    <w:name w:val="Body Text MS Block Char"/>
    <w:link w:val="BodyTextMSBlock"/>
    <w:rsid w:val="00960E2E"/>
    <w:rPr>
      <w:rFonts w:ascii="Microsoft Sans Serif" w:eastAsia="Times New Roman" w:hAnsi="Microsoft Sans Serif" w:cs="Microsoft Sans Serif"/>
      <w:szCs w:val="24"/>
    </w:rPr>
  </w:style>
  <w:style w:type="paragraph" w:customStyle="1" w:styleId="pf0">
    <w:name w:val="pf0"/>
    <w:basedOn w:val="Normal"/>
    <w:rsid w:val="00960E2E"/>
    <w:pPr>
      <w:spacing w:before="100" w:beforeAutospacing="1" w:after="100" w:afterAutospacing="1"/>
    </w:pPr>
    <w:rPr>
      <w:rFonts w:ascii="Times New Roman" w:eastAsia="Times New Roman" w:hAnsi="Times New Roman" w:cs="Times New Roman"/>
      <w:lang w:eastAsia="en-GB"/>
    </w:rPr>
  </w:style>
  <w:style w:type="character" w:customStyle="1" w:styleId="cf01">
    <w:name w:val="cf01"/>
    <w:rsid w:val="00960E2E"/>
    <w:rPr>
      <w:rFonts w:ascii="Segoe UI" w:hAnsi="Segoe UI" w:cs="Segoe UI" w:hint="default"/>
      <w:sz w:val="18"/>
      <w:szCs w:val="18"/>
    </w:rPr>
  </w:style>
  <w:style w:type="paragraph" w:styleId="FootnoteText">
    <w:name w:val="footnote text"/>
    <w:basedOn w:val="Normal"/>
    <w:link w:val="FootnoteTextChar"/>
    <w:uiPriority w:val="99"/>
    <w:unhideWhenUsed/>
    <w:rsid w:val="0098746F"/>
    <w:pPr>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rsid w:val="0098746F"/>
    <w:rPr>
      <w:rFonts w:ascii="Arial" w:eastAsia="Times New Roman" w:hAnsi="Arial" w:cs="Times New Roman"/>
      <w:sz w:val="20"/>
      <w:szCs w:val="20"/>
      <w:lang w:eastAsia="en-GB"/>
    </w:rPr>
  </w:style>
  <w:style w:type="character" w:styleId="FootnoteReference">
    <w:name w:val="footnote reference"/>
    <w:basedOn w:val="DefaultParagraphFont"/>
    <w:uiPriority w:val="99"/>
    <w:unhideWhenUsed/>
    <w:rsid w:val="0098746F"/>
    <w:rPr>
      <w:vertAlign w:val="superscript"/>
    </w:rPr>
  </w:style>
  <w:style w:type="paragraph" w:styleId="BodyText">
    <w:name w:val="Body Text"/>
    <w:basedOn w:val="Normal"/>
    <w:link w:val="BodyTextChar"/>
    <w:uiPriority w:val="99"/>
    <w:qFormat/>
    <w:rsid w:val="0098746F"/>
    <w:pPr>
      <w:widowControl w:val="0"/>
      <w:spacing w:after="120"/>
      <w:ind w:left="110"/>
    </w:pPr>
    <w:rPr>
      <w:rFonts w:eastAsia="Arial" w:cs="Times New Roman"/>
      <w:lang w:val="en-US"/>
    </w:rPr>
  </w:style>
  <w:style w:type="character" w:customStyle="1" w:styleId="BodyTextChar">
    <w:name w:val="Body Text Char"/>
    <w:basedOn w:val="DefaultParagraphFont"/>
    <w:link w:val="BodyText"/>
    <w:uiPriority w:val="99"/>
    <w:rsid w:val="0098746F"/>
    <w:rPr>
      <w:rFonts w:ascii="Arial" w:eastAsia="Arial" w:hAnsi="Arial" w:cs="Times New Roman"/>
      <w:sz w:val="24"/>
      <w:szCs w:val="24"/>
      <w:lang w:val="en-US"/>
    </w:rPr>
  </w:style>
  <w:style w:type="character" w:customStyle="1" w:styleId="Heading3Char">
    <w:name w:val="Heading 3 Char"/>
    <w:basedOn w:val="DefaultParagraphFont"/>
    <w:link w:val="Heading3"/>
    <w:uiPriority w:val="9"/>
    <w:semiHidden/>
    <w:rsid w:val="003143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143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143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143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143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143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4332"/>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C93109"/>
    <w:pPr>
      <w:widowControl w:val="0"/>
    </w:pPr>
    <w:rPr>
      <w:rFonts w:ascii="Calibri" w:eastAsia="Calibri" w:hAnsi="Calibri" w:cs="Times New Roman"/>
      <w:sz w:val="22"/>
      <w:szCs w:val="22"/>
      <w:lang w:val="en-US"/>
    </w:rPr>
  </w:style>
  <w:style w:type="paragraph" w:styleId="EndnoteText">
    <w:name w:val="endnote text"/>
    <w:basedOn w:val="Normal"/>
    <w:link w:val="EndnoteTextChar"/>
    <w:uiPriority w:val="99"/>
    <w:unhideWhenUsed/>
    <w:rsid w:val="00C93109"/>
    <w:rPr>
      <w:rFonts w:cstheme="minorBidi"/>
      <w:sz w:val="20"/>
      <w:szCs w:val="20"/>
    </w:rPr>
  </w:style>
  <w:style w:type="character" w:customStyle="1" w:styleId="EndnoteTextChar">
    <w:name w:val="Endnote Text Char"/>
    <w:basedOn w:val="DefaultParagraphFont"/>
    <w:link w:val="EndnoteText"/>
    <w:uiPriority w:val="99"/>
    <w:rsid w:val="00C93109"/>
    <w:rPr>
      <w:rFonts w:ascii="Arial" w:hAnsi="Arial"/>
      <w:sz w:val="20"/>
      <w:szCs w:val="20"/>
    </w:rPr>
  </w:style>
  <w:style w:type="table" w:customStyle="1" w:styleId="TableGrid1">
    <w:name w:val="Table Grid1"/>
    <w:basedOn w:val="TableNormal"/>
    <w:next w:val="TableGrid"/>
    <w:uiPriority w:val="59"/>
    <w:rsid w:val="00433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link w:val="TOC1Char"/>
    <w:autoRedefine/>
    <w:uiPriority w:val="39"/>
    <w:unhideWhenUsed/>
    <w:rsid w:val="000B7BFA"/>
    <w:pPr>
      <w:tabs>
        <w:tab w:val="right" w:leader="dot" w:pos="9060"/>
      </w:tabs>
      <w:spacing w:after="100"/>
      <w:ind w:left="426"/>
    </w:pPr>
    <w:rPr>
      <w:noProof/>
    </w:rPr>
  </w:style>
  <w:style w:type="character" w:styleId="Strong">
    <w:name w:val="Strong"/>
    <w:basedOn w:val="DefaultParagraphFont"/>
    <w:uiPriority w:val="22"/>
    <w:qFormat/>
    <w:rsid w:val="00E061F6"/>
    <w:rPr>
      <w:b/>
      <w:bCs/>
    </w:rPr>
  </w:style>
  <w:style w:type="paragraph" w:styleId="NormalWeb">
    <w:name w:val="Normal (Web)"/>
    <w:basedOn w:val="Normal"/>
    <w:uiPriority w:val="99"/>
    <w:unhideWhenUsed/>
    <w:rsid w:val="00FF3F12"/>
    <w:pPr>
      <w:spacing w:before="100" w:beforeAutospacing="1" w:after="100" w:afterAutospacing="1"/>
    </w:pPr>
    <w:rPr>
      <w:rFonts w:ascii="Times New Roman" w:eastAsia="Times New Roman" w:hAnsi="Times New Roman" w:cs="Times New Roman"/>
      <w:lang w:eastAsia="en-GB"/>
    </w:rPr>
  </w:style>
  <w:style w:type="table" w:customStyle="1" w:styleId="TableGrid3">
    <w:name w:val="Table Grid3"/>
    <w:basedOn w:val="TableNormal"/>
    <w:next w:val="TableGrid"/>
    <w:uiPriority w:val="59"/>
    <w:rsid w:val="00DE05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CB0C48"/>
    <w:rPr>
      <w:vertAlign w:val="superscript"/>
    </w:rPr>
  </w:style>
  <w:style w:type="paragraph" w:styleId="TOC3">
    <w:name w:val="toc 3"/>
    <w:basedOn w:val="Normal"/>
    <w:next w:val="Normal"/>
    <w:autoRedefine/>
    <w:uiPriority w:val="39"/>
    <w:unhideWhenUsed/>
    <w:rsid w:val="00563B80"/>
    <w:pPr>
      <w:spacing w:after="100"/>
      <w:ind w:left="480"/>
    </w:pPr>
  </w:style>
  <w:style w:type="character" w:customStyle="1" w:styleId="UnresolvedMention2">
    <w:name w:val="Unresolved Mention2"/>
    <w:basedOn w:val="DefaultParagraphFont"/>
    <w:uiPriority w:val="99"/>
    <w:semiHidden/>
    <w:unhideWhenUsed/>
    <w:rsid w:val="008E5F06"/>
    <w:rPr>
      <w:color w:val="605E5C"/>
      <w:shd w:val="clear" w:color="auto" w:fill="E1DFDD"/>
    </w:rPr>
  </w:style>
  <w:style w:type="table" w:customStyle="1" w:styleId="TableGrid2">
    <w:name w:val="Table Grid2"/>
    <w:basedOn w:val="TableNormal"/>
    <w:next w:val="TableGrid"/>
    <w:uiPriority w:val="59"/>
    <w:rsid w:val="001E72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1"/>
    <w:link w:val="Style1Char"/>
    <w:qFormat/>
    <w:rsid w:val="0011433F"/>
    <w:pPr>
      <w:jc w:val="center"/>
    </w:pPr>
    <w:rPr>
      <w:bCs/>
    </w:rPr>
  </w:style>
  <w:style w:type="character" w:customStyle="1" w:styleId="TOC1Char">
    <w:name w:val="TOC 1 Char"/>
    <w:basedOn w:val="DefaultParagraphFont"/>
    <w:link w:val="TOC1"/>
    <w:uiPriority w:val="39"/>
    <w:rsid w:val="000B7BFA"/>
    <w:rPr>
      <w:rFonts w:ascii="Arial" w:hAnsi="Arial" w:cs="Arial"/>
      <w:noProof/>
      <w:sz w:val="24"/>
      <w:szCs w:val="24"/>
    </w:rPr>
  </w:style>
  <w:style w:type="character" w:customStyle="1" w:styleId="Style1Char">
    <w:name w:val="Style1 Char"/>
    <w:basedOn w:val="TOC1Char"/>
    <w:link w:val="Style1"/>
    <w:rsid w:val="0011433F"/>
    <w:rPr>
      <w:rFonts w:ascii="Arial" w:hAnsi="Arial" w:cs="Arial"/>
      <w:bCs/>
      <w:noProof/>
      <w:sz w:val="24"/>
      <w:szCs w:val="24"/>
    </w:rPr>
  </w:style>
  <w:style w:type="character" w:styleId="UnresolvedMention">
    <w:name w:val="Unresolved Mention"/>
    <w:basedOn w:val="DefaultParagraphFont"/>
    <w:uiPriority w:val="99"/>
    <w:semiHidden/>
    <w:unhideWhenUsed/>
    <w:rsid w:val="00D81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8173">
      <w:bodyDiv w:val="1"/>
      <w:marLeft w:val="0"/>
      <w:marRight w:val="0"/>
      <w:marTop w:val="0"/>
      <w:marBottom w:val="0"/>
      <w:divBdr>
        <w:top w:val="none" w:sz="0" w:space="0" w:color="auto"/>
        <w:left w:val="none" w:sz="0" w:space="0" w:color="auto"/>
        <w:bottom w:val="none" w:sz="0" w:space="0" w:color="auto"/>
        <w:right w:val="none" w:sz="0" w:space="0" w:color="auto"/>
      </w:divBdr>
    </w:div>
    <w:div w:id="142434789">
      <w:bodyDiv w:val="1"/>
      <w:marLeft w:val="0"/>
      <w:marRight w:val="0"/>
      <w:marTop w:val="0"/>
      <w:marBottom w:val="0"/>
      <w:divBdr>
        <w:top w:val="none" w:sz="0" w:space="0" w:color="auto"/>
        <w:left w:val="none" w:sz="0" w:space="0" w:color="auto"/>
        <w:bottom w:val="none" w:sz="0" w:space="0" w:color="auto"/>
        <w:right w:val="none" w:sz="0" w:space="0" w:color="auto"/>
      </w:divBdr>
      <w:divsChild>
        <w:div w:id="812062678">
          <w:marLeft w:val="0"/>
          <w:marRight w:val="0"/>
          <w:marTop w:val="0"/>
          <w:marBottom w:val="0"/>
          <w:divBdr>
            <w:top w:val="none" w:sz="0" w:space="0" w:color="auto"/>
            <w:left w:val="none" w:sz="0" w:space="0" w:color="auto"/>
            <w:bottom w:val="none" w:sz="0" w:space="0" w:color="auto"/>
            <w:right w:val="none" w:sz="0" w:space="0" w:color="auto"/>
          </w:divBdr>
          <w:divsChild>
            <w:div w:id="2022007102">
              <w:marLeft w:val="0"/>
              <w:marRight w:val="0"/>
              <w:marTop w:val="0"/>
              <w:marBottom w:val="0"/>
              <w:divBdr>
                <w:top w:val="none" w:sz="0" w:space="0" w:color="auto"/>
                <w:left w:val="none" w:sz="0" w:space="0" w:color="auto"/>
                <w:bottom w:val="none" w:sz="0" w:space="0" w:color="auto"/>
                <w:right w:val="none" w:sz="0" w:space="0" w:color="auto"/>
              </w:divBdr>
              <w:divsChild>
                <w:div w:id="1596742335">
                  <w:marLeft w:val="0"/>
                  <w:marRight w:val="0"/>
                  <w:marTop w:val="0"/>
                  <w:marBottom w:val="0"/>
                  <w:divBdr>
                    <w:top w:val="none" w:sz="0" w:space="0" w:color="auto"/>
                    <w:left w:val="none" w:sz="0" w:space="0" w:color="auto"/>
                    <w:bottom w:val="none" w:sz="0" w:space="0" w:color="auto"/>
                    <w:right w:val="none" w:sz="0" w:space="0" w:color="auto"/>
                  </w:divBdr>
                  <w:divsChild>
                    <w:div w:id="1148091553">
                      <w:marLeft w:val="0"/>
                      <w:marRight w:val="0"/>
                      <w:marTop w:val="0"/>
                      <w:marBottom w:val="0"/>
                      <w:divBdr>
                        <w:top w:val="none" w:sz="0" w:space="0" w:color="auto"/>
                        <w:left w:val="none" w:sz="0" w:space="0" w:color="auto"/>
                        <w:bottom w:val="none" w:sz="0" w:space="0" w:color="auto"/>
                        <w:right w:val="none" w:sz="0" w:space="0" w:color="auto"/>
                      </w:divBdr>
                      <w:divsChild>
                        <w:div w:id="1446191455">
                          <w:marLeft w:val="0"/>
                          <w:marRight w:val="0"/>
                          <w:marTop w:val="0"/>
                          <w:marBottom w:val="0"/>
                          <w:divBdr>
                            <w:top w:val="none" w:sz="0" w:space="0" w:color="auto"/>
                            <w:left w:val="none" w:sz="0" w:space="0" w:color="auto"/>
                            <w:bottom w:val="none" w:sz="0" w:space="0" w:color="auto"/>
                            <w:right w:val="none" w:sz="0" w:space="0" w:color="auto"/>
                          </w:divBdr>
                          <w:divsChild>
                            <w:div w:id="6091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54168">
      <w:bodyDiv w:val="1"/>
      <w:marLeft w:val="0"/>
      <w:marRight w:val="0"/>
      <w:marTop w:val="0"/>
      <w:marBottom w:val="0"/>
      <w:divBdr>
        <w:top w:val="none" w:sz="0" w:space="0" w:color="auto"/>
        <w:left w:val="none" w:sz="0" w:space="0" w:color="auto"/>
        <w:bottom w:val="none" w:sz="0" w:space="0" w:color="auto"/>
        <w:right w:val="none" w:sz="0" w:space="0" w:color="auto"/>
      </w:divBdr>
    </w:div>
    <w:div w:id="185604018">
      <w:bodyDiv w:val="1"/>
      <w:marLeft w:val="0"/>
      <w:marRight w:val="0"/>
      <w:marTop w:val="0"/>
      <w:marBottom w:val="0"/>
      <w:divBdr>
        <w:top w:val="none" w:sz="0" w:space="0" w:color="auto"/>
        <w:left w:val="none" w:sz="0" w:space="0" w:color="auto"/>
        <w:bottom w:val="none" w:sz="0" w:space="0" w:color="auto"/>
        <w:right w:val="none" w:sz="0" w:space="0" w:color="auto"/>
      </w:divBdr>
    </w:div>
    <w:div w:id="210923279">
      <w:bodyDiv w:val="1"/>
      <w:marLeft w:val="0"/>
      <w:marRight w:val="0"/>
      <w:marTop w:val="0"/>
      <w:marBottom w:val="0"/>
      <w:divBdr>
        <w:top w:val="none" w:sz="0" w:space="0" w:color="auto"/>
        <w:left w:val="none" w:sz="0" w:space="0" w:color="auto"/>
        <w:bottom w:val="none" w:sz="0" w:space="0" w:color="auto"/>
        <w:right w:val="none" w:sz="0" w:space="0" w:color="auto"/>
      </w:divBdr>
      <w:divsChild>
        <w:div w:id="1802651603">
          <w:marLeft w:val="0"/>
          <w:marRight w:val="0"/>
          <w:marTop w:val="0"/>
          <w:marBottom w:val="0"/>
          <w:divBdr>
            <w:top w:val="none" w:sz="0" w:space="0" w:color="auto"/>
            <w:left w:val="none" w:sz="0" w:space="0" w:color="auto"/>
            <w:bottom w:val="none" w:sz="0" w:space="0" w:color="auto"/>
            <w:right w:val="none" w:sz="0" w:space="0" w:color="auto"/>
          </w:divBdr>
          <w:divsChild>
            <w:div w:id="1118836624">
              <w:marLeft w:val="0"/>
              <w:marRight w:val="0"/>
              <w:marTop w:val="0"/>
              <w:marBottom w:val="0"/>
              <w:divBdr>
                <w:top w:val="none" w:sz="0" w:space="0" w:color="auto"/>
                <w:left w:val="none" w:sz="0" w:space="0" w:color="auto"/>
                <w:bottom w:val="none" w:sz="0" w:space="0" w:color="auto"/>
                <w:right w:val="none" w:sz="0" w:space="0" w:color="auto"/>
              </w:divBdr>
              <w:divsChild>
                <w:div w:id="1614243669">
                  <w:marLeft w:val="0"/>
                  <w:marRight w:val="0"/>
                  <w:marTop w:val="0"/>
                  <w:marBottom w:val="0"/>
                  <w:divBdr>
                    <w:top w:val="none" w:sz="0" w:space="0" w:color="auto"/>
                    <w:left w:val="none" w:sz="0" w:space="0" w:color="auto"/>
                    <w:bottom w:val="none" w:sz="0" w:space="0" w:color="auto"/>
                    <w:right w:val="none" w:sz="0" w:space="0" w:color="auto"/>
                  </w:divBdr>
                  <w:divsChild>
                    <w:div w:id="1534073133">
                      <w:marLeft w:val="0"/>
                      <w:marRight w:val="0"/>
                      <w:marTop w:val="0"/>
                      <w:marBottom w:val="0"/>
                      <w:divBdr>
                        <w:top w:val="none" w:sz="0" w:space="0" w:color="auto"/>
                        <w:left w:val="none" w:sz="0" w:space="0" w:color="auto"/>
                        <w:bottom w:val="none" w:sz="0" w:space="0" w:color="auto"/>
                        <w:right w:val="none" w:sz="0" w:space="0" w:color="auto"/>
                      </w:divBdr>
                      <w:divsChild>
                        <w:div w:id="1572739203">
                          <w:marLeft w:val="0"/>
                          <w:marRight w:val="0"/>
                          <w:marTop w:val="0"/>
                          <w:marBottom w:val="0"/>
                          <w:divBdr>
                            <w:top w:val="none" w:sz="0" w:space="0" w:color="auto"/>
                            <w:left w:val="none" w:sz="0" w:space="0" w:color="auto"/>
                            <w:bottom w:val="none" w:sz="0" w:space="0" w:color="auto"/>
                            <w:right w:val="none" w:sz="0" w:space="0" w:color="auto"/>
                          </w:divBdr>
                          <w:divsChild>
                            <w:div w:id="14478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440754">
      <w:bodyDiv w:val="1"/>
      <w:marLeft w:val="0"/>
      <w:marRight w:val="0"/>
      <w:marTop w:val="0"/>
      <w:marBottom w:val="0"/>
      <w:divBdr>
        <w:top w:val="none" w:sz="0" w:space="0" w:color="auto"/>
        <w:left w:val="none" w:sz="0" w:space="0" w:color="auto"/>
        <w:bottom w:val="none" w:sz="0" w:space="0" w:color="auto"/>
        <w:right w:val="none" w:sz="0" w:space="0" w:color="auto"/>
      </w:divBdr>
    </w:div>
    <w:div w:id="245071192">
      <w:bodyDiv w:val="1"/>
      <w:marLeft w:val="0"/>
      <w:marRight w:val="0"/>
      <w:marTop w:val="0"/>
      <w:marBottom w:val="0"/>
      <w:divBdr>
        <w:top w:val="none" w:sz="0" w:space="0" w:color="auto"/>
        <w:left w:val="none" w:sz="0" w:space="0" w:color="auto"/>
        <w:bottom w:val="none" w:sz="0" w:space="0" w:color="auto"/>
        <w:right w:val="none" w:sz="0" w:space="0" w:color="auto"/>
      </w:divBdr>
    </w:div>
    <w:div w:id="283733025">
      <w:bodyDiv w:val="1"/>
      <w:marLeft w:val="0"/>
      <w:marRight w:val="0"/>
      <w:marTop w:val="0"/>
      <w:marBottom w:val="0"/>
      <w:divBdr>
        <w:top w:val="none" w:sz="0" w:space="0" w:color="auto"/>
        <w:left w:val="none" w:sz="0" w:space="0" w:color="auto"/>
        <w:bottom w:val="none" w:sz="0" w:space="0" w:color="auto"/>
        <w:right w:val="none" w:sz="0" w:space="0" w:color="auto"/>
      </w:divBdr>
    </w:div>
    <w:div w:id="325937495">
      <w:bodyDiv w:val="1"/>
      <w:marLeft w:val="0"/>
      <w:marRight w:val="0"/>
      <w:marTop w:val="0"/>
      <w:marBottom w:val="0"/>
      <w:divBdr>
        <w:top w:val="none" w:sz="0" w:space="0" w:color="auto"/>
        <w:left w:val="none" w:sz="0" w:space="0" w:color="auto"/>
        <w:bottom w:val="none" w:sz="0" w:space="0" w:color="auto"/>
        <w:right w:val="none" w:sz="0" w:space="0" w:color="auto"/>
      </w:divBdr>
    </w:div>
    <w:div w:id="334264330">
      <w:bodyDiv w:val="1"/>
      <w:marLeft w:val="0"/>
      <w:marRight w:val="0"/>
      <w:marTop w:val="0"/>
      <w:marBottom w:val="0"/>
      <w:divBdr>
        <w:top w:val="none" w:sz="0" w:space="0" w:color="auto"/>
        <w:left w:val="none" w:sz="0" w:space="0" w:color="auto"/>
        <w:bottom w:val="none" w:sz="0" w:space="0" w:color="auto"/>
        <w:right w:val="none" w:sz="0" w:space="0" w:color="auto"/>
      </w:divBdr>
    </w:div>
    <w:div w:id="379551206">
      <w:bodyDiv w:val="1"/>
      <w:marLeft w:val="0"/>
      <w:marRight w:val="0"/>
      <w:marTop w:val="0"/>
      <w:marBottom w:val="0"/>
      <w:divBdr>
        <w:top w:val="none" w:sz="0" w:space="0" w:color="auto"/>
        <w:left w:val="none" w:sz="0" w:space="0" w:color="auto"/>
        <w:bottom w:val="none" w:sz="0" w:space="0" w:color="auto"/>
        <w:right w:val="none" w:sz="0" w:space="0" w:color="auto"/>
      </w:divBdr>
      <w:divsChild>
        <w:div w:id="1765566532">
          <w:marLeft w:val="0"/>
          <w:marRight w:val="0"/>
          <w:marTop w:val="0"/>
          <w:marBottom w:val="0"/>
          <w:divBdr>
            <w:top w:val="none" w:sz="0" w:space="0" w:color="auto"/>
            <w:left w:val="none" w:sz="0" w:space="0" w:color="auto"/>
            <w:bottom w:val="none" w:sz="0" w:space="0" w:color="auto"/>
            <w:right w:val="none" w:sz="0" w:space="0" w:color="auto"/>
          </w:divBdr>
          <w:divsChild>
            <w:div w:id="1274675526">
              <w:marLeft w:val="0"/>
              <w:marRight w:val="0"/>
              <w:marTop w:val="0"/>
              <w:marBottom w:val="0"/>
              <w:divBdr>
                <w:top w:val="none" w:sz="0" w:space="0" w:color="auto"/>
                <w:left w:val="none" w:sz="0" w:space="0" w:color="auto"/>
                <w:bottom w:val="none" w:sz="0" w:space="0" w:color="auto"/>
                <w:right w:val="none" w:sz="0" w:space="0" w:color="auto"/>
              </w:divBdr>
              <w:divsChild>
                <w:div w:id="2059234120">
                  <w:marLeft w:val="0"/>
                  <w:marRight w:val="0"/>
                  <w:marTop w:val="0"/>
                  <w:marBottom w:val="0"/>
                  <w:divBdr>
                    <w:top w:val="none" w:sz="0" w:space="0" w:color="auto"/>
                    <w:left w:val="none" w:sz="0" w:space="0" w:color="auto"/>
                    <w:bottom w:val="none" w:sz="0" w:space="0" w:color="auto"/>
                    <w:right w:val="none" w:sz="0" w:space="0" w:color="auto"/>
                  </w:divBdr>
                  <w:divsChild>
                    <w:div w:id="69473975">
                      <w:marLeft w:val="0"/>
                      <w:marRight w:val="0"/>
                      <w:marTop w:val="0"/>
                      <w:marBottom w:val="0"/>
                      <w:divBdr>
                        <w:top w:val="none" w:sz="0" w:space="0" w:color="auto"/>
                        <w:left w:val="none" w:sz="0" w:space="0" w:color="auto"/>
                        <w:bottom w:val="none" w:sz="0" w:space="0" w:color="auto"/>
                        <w:right w:val="none" w:sz="0" w:space="0" w:color="auto"/>
                      </w:divBdr>
                      <w:divsChild>
                        <w:div w:id="1243642852">
                          <w:marLeft w:val="0"/>
                          <w:marRight w:val="0"/>
                          <w:marTop w:val="0"/>
                          <w:marBottom w:val="0"/>
                          <w:divBdr>
                            <w:top w:val="none" w:sz="0" w:space="0" w:color="auto"/>
                            <w:left w:val="none" w:sz="0" w:space="0" w:color="auto"/>
                            <w:bottom w:val="none" w:sz="0" w:space="0" w:color="auto"/>
                            <w:right w:val="none" w:sz="0" w:space="0" w:color="auto"/>
                          </w:divBdr>
                          <w:divsChild>
                            <w:div w:id="3097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2121">
      <w:bodyDiv w:val="1"/>
      <w:marLeft w:val="0"/>
      <w:marRight w:val="0"/>
      <w:marTop w:val="0"/>
      <w:marBottom w:val="0"/>
      <w:divBdr>
        <w:top w:val="none" w:sz="0" w:space="0" w:color="auto"/>
        <w:left w:val="none" w:sz="0" w:space="0" w:color="auto"/>
        <w:bottom w:val="none" w:sz="0" w:space="0" w:color="auto"/>
        <w:right w:val="none" w:sz="0" w:space="0" w:color="auto"/>
      </w:divBdr>
      <w:divsChild>
        <w:div w:id="1317300342">
          <w:marLeft w:val="0"/>
          <w:marRight w:val="0"/>
          <w:marTop w:val="0"/>
          <w:marBottom w:val="0"/>
          <w:divBdr>
            <w:top w:val="none" w:sz="0" w:space="0" w:color="auto"/>
            <w:left w:val="none" w:sz="0" w:space="0" w:color="auto"/>
            <w:bottom w:val="none" w:sz="0" w:space="0" w:color="auto"/>
            <w:right w:val="none" w:sz="0" w:space="0" w:color="auto"/>
          </w:divBdr>
          <w:divsChild>
            <w:div w:id="777062102">
              <w:marLeft w:val="0"/>
              <w:marRight w:val="0"/>
              <w:marTop w:val="0"/>
              <w:marBottom w:val="0"/>
              <w:divBdr>
                <w:top w:val="none" w:sz="0" w:space="0" w:color="auto"/>
                <w:left w:val="none" w:sz="0" w:space="0" w:color="auto"/>
                <w:bottom w:val="none" w:sz="0" w:space="0" w:color="auto"/>
                <w:right w:val="none" w:sz="0" w:space="0" w:color="auto"/>
              </w:divBdr>
              <w:divsChild>
                <w:div w:id="1197816046">
                  <w:marLeft w:val="0"/>
                  <w:marRight w:val="0"/>
                  <w:marTop w:val="0"/>
                  <w:marBottom w:val="0"/>
                  <w:divBdr>
                    <w:top w:val="none" w:sz="0" w:space="0" w:color="auto"/>
                    <w:left w:val="none" w:sz="0" w:space="0" w:color="auto"/>
                    <w:bottom w:val="none" w:sz="0" w:space="0" w:color="auto"/>
                    <w:right w:val="none" w:sz="0" w:space="0" w:color="auto"/>
                  </w:divBdr>
                  <w:divsChild>
                    <w:div w:id="1523279464">
                      <w:marLeft w:val="0"/>
                      <w:marRight w:val="0"/>
                      <w:marTop w:val="0"/>
                      <w:marBottom w:val="0"/>
                      <w:divBdr>
                        <w:top w:val="none" w:sz="0" w:space="0" w:color="auto"/>
                        <w:left w:val="none" w:sz="0" w:space="0" w:color="auto"/>
                        <w:bottom w:val="none" w:sz="0" w:space="0" w:color="auto"/>
                        <w:right w:val="none" w:sz="0" w:space="0" w:color="auto"/>
                      </w:divBdr>
                      <w:divsChild>
                        <w:div w:id="459690869">
                          <w:marLeft w:val="0"/>
                          <w:marRight w:val="0"/>
                          <w:marTop w:val="0"/>
                          <w:marBottom w:val="0"/>
                          <w:divBdr>
                            <w:top w:val="none" w:sz="0" w:space="0" w:color="auto"/>
                            <w:left w:val="none" w:sz="0" w:space="0" w:color="auto"/>
                            <w:bottom w:val="none" w:sz="0" w:space="0" w:color="auto"/>
                            <w:right w:val="none" w:sz="0" w:space="0" w:color="auto"/>
                          </w:divBdr>
                          <w:divsChild>
                            <w:div w:id="12782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852477">
      <w:bodyDiv w:val="1"/>
      <w:marLeft w:val="0"/>
      <w:marRight w:val="0"/>
      <w:marTop w:val="0"/>
      <w:marBottom w:val="0"/>
      <w:divBdr>
        <w:top w:val="none" w:sz="0" w:space="0" w:color="auto"/>
        <w:left w:val="none" w:sz="0" w:space="0" w:color="auto"/>
        <w:bottom w:val="none" w:sz="0" w:space="0" w:color="auto"/>
        <w:right w:val="none" w:sz="0" w:space="0" w:color="auto"/>
      </w:divBdr>
    </w:div>
    <w:div w:id="634604390">
      <w:bodyDiv w:val="1"/>
      <w:marLeft w:val="0"/>
      <w:marRight w:val="0"/>
      <w:marTop w:val="0"/>
      <w:marBottom w:val="0"/>
      <w:divBdr>
        <w:top w:val="none" w:sz="0" w:space="0" w:color="auto"/>
        <w:left w:val="none" w:sz="0" w:space="0" w:color="auto"/>
        <w:bottom w:val="none" w:sz="0" w:space="0" w:color="auto"/>
        <w:right w:val="none" w:sz="0" w:space="0" w:color="auto"/>
      </w:divBdr>
    </w:div>
    <w:div w:id="642927373">
      <w:bodyDiv w:val="1"/>
      <w:marLeft w:val="0"/>
      <w:marRight w:val="0"/>
      <w:marTop w:val="0"/>
      <w:marBottom w:val="0"/>
      <w:divBdr>
        <w:top w:val="none" w:sz="0" w:space="0" w:color="auto"/>
        <w:left w:val="none" w:sz="0" w:space="0" w:color="auto"/>
        <w:bottom w:val="none" w:sz="0" w:space="0" w:color="auto"/>
        <w:right w:val="none" w:sz="0" w:space="0" w:color="auto"/>
      </w:divBdr>
      <w:divsChild>
        <w:div w:id="472142251">
          <w:marLeft w:val="0"/>
          <w:marRight w:val="0"/>
          <w:marTop w:val="0"/>
          <w:marBottom w:val="0"/>
          <w:divBdr>
            <w:top w:val="none" w:sz="0" w:space="0" w:color="auto"/>
            <w:left w:val="none" w:sz="0" w:space="0" w:color="auto"/>
            <w:bottom w:val="none" w:sz="0" w:space="0" w:color="auto"/>
            <w:right w:val="none" w:sz="0" w:space="0" w:color="auto"/>
          </w:divBdr>
          <w:divsChild>
            <w:div w:id="54818712">
              <w:marLeft w:val="0"/>
              <w:marRight w:val="0"/>
              <w:marTop w:val="0"/>
              <w:marBottom w:val="0"/>
              <w:divBdr>
                <w:top w:val="none" w:sz="0" w:space="0" w:color="auto"/>
                <w:left w:val="none" w:sz="0" w:space="0" w:color="auto"/>
                <w:bottom w:val="none" w:sz="0" w:space="0" w:color="auto"/>
                <w:right w:val="none" w:sz="0" w:space="0" w:color="auto"/>
              </w:divBdr>
              <w:divsChild>
                <w:div w:id="289173392">
                  <w:marLeft w:val="0"/>
                  <w:marRight w:val="0"/>
                  <w:marTop w:val="0"/>
                  <w:marBottom w:val="0"/>
                  <w:divBdr>
                    <w:top w:val="none" w:sz="0" w:space="0" w:color="auto"/>
                    <w:left w:val="none" w:sz="0" w:space="0" w:color="auto"/>
                    <w:bottom w:val="none" w:sz="0" w:space="0" w:color="auto"/>
                    <w:right w:val="none" w:sz="0" w:space="0" w:color="auto"/>
                  </w:divBdr>
                  <w:divsChild>
                    <w:div w:id="890194052">
                      <w:marLeft w:val="0"/>
                      <w:marRight w:val="0"/>
                      <w:marTop w:val="0"/>
                      <w:marBottom w:val="0"/>
                      <w:divBdr>
                        <w:top w:val="none" w:sz="0" w:space="0" w:color="auto"/>
                        <w:left w:val="none" w:sz="0" w:space="0" w:color="auto"/>
                        <w:bottom w:val="none" w:sz="0" w:space="0" w:color="auto"/>
                        <w:right w:val="none" w:sz="0" w:space="0" w:color="auto"/>
                      </w:divBdr>
                      <w:divsChild>
                        <w:div w:id="1969704300">
                          <w:marLeft w:val="0"/>
                          <w:marRight w:val="0"/>
                          <w:marTop w:val="0"/>
                          <w:marBottom w:val="0"/>
                          <w:divBdr>
                            <w:top w:val="none" w:sz="0" w:space="0" w:color="auto"/>
                            <w:left w:val="none" w:sz="0" w:space="0" w:color="auto"/>
                            <w:bottom w:val="none" w:sz="0" w:space="0" w:color="auto"/>
                            <w:right w:val="none" w:sz="0" w:space="0" w:color="auto"/>
                          </w:divBdr>
                          <w:divsChild>
                            <w:div w:id="10400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470243">
      <w:bodyDiv w:val="1"/>
      <w:marLeft w:val="0"/>
      <w:marRight w:val="0"/>
      <w:marTop w:val="0"/>
      <w:marBottom w:val="0"/>
      <w:divBdr>
        <w:top w:val="none" w:sz="0" w:space="0" w:color="auto"/>
        <w:left w:val="none" w:sz="0" w:space="0" w:color="auto"/>
        <w:bottom w:val="none" w:sz="0" w:space="0" w:color="auto"/>
        <w:right w:val="none" w:sz="0" w:space="0" w:color="auto"/>
      </w:divBdr>
    </w:div>
    <w:div w:id="801772422">
      <w:bodyDiv w:val="1"/>
      <w:marLeft w:val="0"/>
      <w:marRight w:val="0"/>
      <w:marTop w:val="0"/>
      <w:marBottom w:val="0"/>
      <w:divBdr>
        <w:top w:val="none" w:sz="0" w:space="0" w:color="auto"/>
        <w:left w:val="none" w:sz="0" w:space="0" w:color="auto"/>
        <w:bottom w:val="none" w:sz="0" w:space="0" w:color="auto"/>
        <w:right w:val="none" w:sz="0" w:space="0" w:color="auto"/>
      </w:divBdr>
      <w:divsChild>
        <w:div w:id="1873304483">
          <w:marLeft w:val="0"/>
          <w:marRight w:val="0"/>
          <w:marTop w:val="0"/>
          <w:marBottom w:val="0"/>
          <w:divBdr>
            <w:top w:val="none" w:sz="0" w:space="0" w:color="auto"/>
            <w:left w:val="none" w:sz="0" w:space="0" w:color="auto"/>
            <w:bottom w:val="none" w:sz="0" w:space="0" w:color="auto"/>
            <w:right w:val="none" w:sz="0" w:space="0" w:color="auto"/>
          </w:divBdr>
          <w:divsChild>
            <w:div w:id="204610021">
              <w:marLeft w:val="0"/>
              <w:marRight w:val="0"/>
              <w:marTop w:val="0"/>
              <w:marBottom w:val="0"/>
              <w:divBdr>
                <w:top w:val="none" w:sz="0" w:space="0" w:color="auto"/>
                <w:left w:val="none" w:sz="0" w:space="0" w:color="auto"/>
                <w:bottom w:val="none" w:sz="0" w:space="0" w:color="auto"/>
                <w:right w:val="none" w:sz="0" w:space="0" w:color="auto"/>
              </w:divBdr>
              <w:divsChild>
                <w:div w:id="343094226">
                  <w:marLeft w:val="0"/>
                  <w:marRight w:val="0"/>
                  <w:marTop w:val="0"/>
                  <w:marBottom w:val="0"/>
                  <w:divBdr>
                    <w:top w:val="none" w:sz="0" w:space="0" w:color="auto"/>
                    <w:left w:val="none" w:sz="0" w:space="0" w:color="auto"/>
                    <w:bottom w:val="none" w:sz="0" w:space="0" w:color="auto"/>
                    <w:right w:val="none" w:sz="0" w:space="0" w:color="auto"/>
                  </w:divBdr>
                  <w:divsChild>
                    <w:div w:id="948706717">
                      <w:marLeft w:val="0"/>
                      <w:marRight w:val="0"/>
                      <w:marTop w:val="0"/>
                      <w:marBottom w:val="0"/>
                      <w:divBdr>
                        <w:top w:val="none" w:sz="0" w:space="0" w:color="auto"/>
                        <w:left w:val="none" w:sz="0" w:space="0" w:color="auto"/>
                        <w:bottom w:val="none" w:sz="0" w:space="0" w:color="auto"/>
                        <w:right w:val="none" w:sz="0" w:space="0" w:color="auto"/>
                      </w:divBdr>
                      <w:divsChild>
                        <w:div w:id="488714802">
                          <w:marLeft w:val="0"/>
                          <w:marRight w:val="0"/>
                          <w:marTop w:val="0"/>
                          <w:marBottom w:val="0"/>
                          <w:divBdr>
                            <w:top w:val="none" w:sz="0" w:space="0" w:color="auto"/>
                            <w:left w:val="none" w:sz="0" w:space="0" w:color="auto"/>
                            <w:bottom w:val="none" w:sz="0" w:space="0" w:color="auto"/>
                            <w:right w:val="none" w:sz="0" w:space="0" w:color="auto"/>
                          </w:divBdr>
                          <w:divsChild>
                            <w:div w:id="19110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523061">
      <w:bodyDiv w:val="1"/>
      <w:marLeft w:val="0"/>
      <w:marRight w:val="0"/>
      <w:marTop w:val="0"/>
      <w:marBottom w:val="0"/>
      <w:divBdr>
        <w:top w:val="none" w:sz="0" w:space="0" w:color="auto"/>
        <w:left w:val="none" w:sz="0" w:space="0" w:color="auto"/>
        <w:bottom w:val="none" w:sz="0" w:space="0" w:color="auto"/>
        <w:right w:val="none" w:sz="0" w:space="0" w:color="auto"/>
      </w:divBdr>
    </w:div>
    <w:div w:id="895894504">
      <w:bodyDiv w:val="1"/>
      <w:marLeft w:val="0"/>
      <w:marRight w:val="0"/>
      <w:marTop w:val="0"/>
      <w:marBottom w:val="0"/>
      <w:divBdr>
        <w:top w:val="none" w:sz="0" w:space="0" w:color="auto"/>
        <w:left w:val="none" w:sz="0" w:space="0" w:color="auto"/>
        <w:bottom w:val="none" w:sz="0" w:space="0" w:color="auto"/>
        <w:right w:val="none" w:sz="0" w:space="0" w:color="auto"/>
      </w:divBdr>
    </w:div>
    <w:div w:id="901672408">
      <w:bodyDiv w:val="1"/>
      <w:marLeft w:val="0"/>
      <w:marRight w:val="0"/>
      <w:marTop w:val="0"/>
      <w:marBottom w:val="0"/>
      <w:divBdr>
        <w:top w:val="none" w:sz="0" w:space="0" w:color="auto"/>
        <w:left w:val="none" w:sz="0" w:space="0" w:color="auto"/>
        <w:bottom w:val="none" w:sz="0" w:space="0" w:color="auto"/>
        <w:right w:val="none" w:sz="0" w:space="0" w:color="auto"/>
      </w:divBdr>
    </w:div>
    <w:div w:id="914096266">
      <w:bodyDiv w:val="1"/>
      <w:marLeft w:val="0"/>
      <w:marRight w:val="0"/>
      <w:marTop w:val="0"/>
      <w:marBottom w:val="0"/>
      <w:divBdr>
        <w:top w:val="none" w:sz="0" w:space="0" w:color="auto"/>
        <w:left w:val="none" w:sz="0" w:space="0" w:color="auto"/>
        <w:bottom w:val="none" w:sz="0" w:space="0" w:color="auto"/>
        <w:right w:val="none" w:sz="0" w:space="0" w:color="auto"/>
      </w:divBdr>
    </w:div>
    <w:div w:id="1131172307">
      <w:bodyDiv w:val="1"/>
      <w:marLeft w:val="0"/>
      <w:marRight w:val="0"/>
      <w:marTop w:val="0"/>
      <w:marBottom w:val="0"/>
      <w:divBdr>
        <w:top w:val="none" w:sz="0" w:space="0" w:color="auto"/>
        <w:left w:val="none" w:sz="0" w:space="0" w:color="auto"/>
        <w:bottom w:val="none" w:sz="0" w:space="0" w:color="auto"/>
        <w:right w:val="none" w:sz="0" w:space="0" w:color="auto"/>
      </w:divBdr>
    </w:div>
    <w:div w:id="1140682950">
      <w:bodyDiv w:val="1"/>
      <w:marLeft w:val="0"/>
      <w:marRight w:val="0"/>
      <w:marTop w:val="0"/>
      <w:marBottom w:val="0"/>
      <w:divBdr>
        <w:top w:val="none" w:sz="0" w:space="0" w:color="auto"/>
        <w:left w:val="none" w:sz="0" w:space="0" w:color="auto"/>
        <w:bottom w:val="none" w:sz="0" w:space="0" w:color="auto"/>
        <w:right w:val="none" w:sz="0" w:space="0" w:color="auto"/>
      </w:divBdr>
    </w:div>
    <w:div w:id="1438334174">
      <w:bodyDiv w:val="1"/>
      <w:marLeft w:val="0"/>
      <w:marRight w:val="0"/>
      <w:marTop w:val="0"/>
      <w:marBottom w:val="0"/>
      <w:divBdr>
        <w:top w:val="none" w:sz="0" w:space="0" w:color="auto"/>
        <w:left w:val="none" w:sz="0" w:space="0" w:color="auto"/>
        <w:bottom w:val="none" w:sz="0" w:space="0" w:color="auto"/>
        <w:right w:val="none" w:sz="0" w:space="0" w:color="auto"/>
      </w:divBdr>
      <w:divsChild>
        <w:div w:id="601842827">
          <w:marLeft w:val="0"/>
          <w:marRight w:val="0"/>
          <w:marTop w:val="0"/>
          <w:marBottom w:val="0"/>
          <w:divBdr>
            <w:top w:val="none" w:sz="0" w:space="0" w:color="auto"/>
            <w:left w:val="none" w:sz="0" w:space="0" w:color="auto"/>
            <w:bottom w:val="none" w:sz="0" w:space="0" w:color="auto"/>
            <w:right w:val="none" w:sz="0" w:space="0" w:color="auto"/>
          </w:divBdr>
          <w:divsChild>
            <w:div w:id="1853572202">
              <w:marLeft w:val="0"/>
              <w:marRight w:val="0"/>
              <w:marTop w:val="0"/>
              <w:marBottom w:val="0"/>
              <w:divBdr>
                <w:top w:val="none" w:sz="0" w:space="0" w:color="auto"/>
                <w:left w:val="none" w:sz="0" w:space="0" w:color="auto"/>
                <w:bottom w:val="none" w:sz="0" w:space="0" w:color="auto"/>
                <w:right w:val="none" w:sz="0" w:space="0" w:color="auto"/>
              </w:divBdr>
              <w:divsChild>
                <w:div w:id="1620793566">
                  <w:marLeft w:val="0"/>
                  <w:marRight w:val="0"/>
                  <w:marTop w:val="0"/>
                  <w:marBottom w:val="0"/>
                  <w:divBdr>
                    <w:top w:val="none" w:sz="0" w:space="0" w:color="auto"/>
                    <w:left w:val="none" w:sz="0" w:space="0" w:color="auto"/>
                    <w:bottom w:val="none" w:sz="0" w:space="0" w:color="auto"/>
                    <w:right w:val="none" w:sz="0" w:space="0" w:color="auto"/>
                  </w:divBdr>
                  <w:divsChild>
                    <w:div w:id="1688632868">
                      <w:marLeft w:val="0"/>
                      <w:marRight w:val="0"/>
                      <w:marTop w:val="0"/>
                      <w:marBottom w:val="0"/>
                      <w:divBdr>
                        <w:top w:val="none" w:sz="0" w:space="0" w:color="auto"/>
                        <w:left w:val="none" w:sz="0" w:space="0" w:color="auto"/>
                        <w:bottom w:val="none" w:sz="0" w:space="0" w:color="auto"/>
                        <w:right w:val="none" w:sz="0" w:space="0" w:color="auto"/>
                      </w:divBdr>
                      <w:divsChild>
                        <w:div w:id="73937746">
                          <w:marLeft w:val="0"/>
                          <w:marRight w:val="0"/>
                          <w:marTop w:val="0"/>
                          <w:marBottom w:val="0"/>
                          <w:divBdr>
                            <w:top w:val="none" w:sz="0" w:space="0" w:color="auto"/>
                            <w:left w:val="none" w:sz="0" w:space="0" w:color="auto"/>
                            <w:bottom w:val="none" w:sz="0" w:space="0" w:color="auto"/>
                            <w:right w:val="none" w:sz="0" w:space="0" w:color="auto"/>
                          </w:divBdr>
                          <w:divsChild>
                            <w:div w:id="650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360029">
      <w:bodyDiv w:val="1"/>
      <w:marLeft w:val="0"/>
      <w:marRight w:val="0"/>
      <w:marTop w:val="0"/>
      <w:marBottom w:val="0"/>
      <w:divBdr>
        <w:top w:val="none" w:sz="0" w:space="0" w:color="auto"/>
        <w:left w:val="none" w:sz="0" w:space="0" w:color="auto"/>
        <w:bottom w:val="none" w:sz="0" w:space="0" w:color="auto"/>
        <w:right w:val="none" w:sz="0" w:space="0" w:color="auto"/>
      </w:divBdr>
    </w:div>
    <w:div w:id="1521696690">
      <w:bodyDiv w:val="1"/>
      <w:marLeft w:val="0"/>
      <w:marRight w:val="0"/>
      <w:marTop w:val="0"/>
      <w:marBottom w:val="0"/>
      <w:divBdr>
        <w:top w:val="none" w:sz="0" w:space="0" w:color="auto"/>
        <w:left w:val="none" w:sz="0" w:space="0" w:color="auto"/>
        <w:bottom w:val="none" w:sz="0" w:space="0" w:color="auto"/>
        <w:right w:val="none" w:sz="0" w:space="0" w:color="auto"/>
      </w:divBdr>
      <w:divsChild>
        <w:div w:id="141578698">
          <w:marLeft w:val="0"/>
          <w:marRight w:val="0"/>
          <w:marTop w:val="0"/>
          <w:marBottom w:val="0"/>
          <w:divBdr>
            <w:top w:val="none" w:sz="0" w:space="0" w:color="auto"/>
            <w:left w:val="none" w:sz="0" w:space="0" w:color="auto"/>
            <w:bottom w:val="none" w:sz="0" w:space="0" w:color="auto"/>
            <w:right w:val="none" w:sz="0" w:space="0" w:color="auto"/>
          </w:divBdr>
          <w:divsChild>
            <w:div w:id="1701664601">
              <w:marLeft w:val="0"/>
              <w:marRight w:val="0"/>
              <w:marTop w:val="0"/>
              <w:marBottom w:val="0"/>
              <w:divBdr>
                <w:top w:val="none" w:sz="0" w:space="0" w:color="auto"/>
                <w:left w:val="none" w:sz="0" w:space="0" w:color="auto"/>
                <w:bottom w:val="none" w:sz="0" w:space="0" w:color="auto"/>
                <w:right w:val="none" w:sz="0" w:space="0" w:color="auto"/>
              </w:divBdr>
              <w:divsChild>
                <w:div w:id="2002078281">
                  <w:marLeft w:val="0"/>
                  <w:marRight w:val="0"/>
                  <w:marTop w:val="0"/>
                  <w:marBottom w:val="0"/>
                  <w:divBdr>
                    <w:top w:val="none" w:sz="0" w:space="0" w:color="auto"/>
                    <w:left w:val="none" w:sz="0" w:space="0" w:color="auto"/>
                    <w:bottom w:val="none" w:sz="0" w:space="0" w:color="auto"/>
                    <w:right w:val="none" w:sz="0" w:space="0" w:color="auto"/>
                  </w:divBdr>
                  <w:divsChild>
                    <w:div w:id="1183058264">
                      <w:marLeft w:val="0"/>
                      <w:marRight w:val="0"/>
                      <w:marTop w:val="0"/>
                      <w:marBottom w:val="0"/>
                      <w:divBdr>
                        <w:top w:val="none" w:sz="0" w:space="0" w:color="auto"/>
                        <w:left w:val="none" w:sz="0" w:space="0" w:color="auto"/>
                        <w:bottom w:val="none" w:sz="0" w:space="0" w:color="auto"/>
                        <w:right w:val="none" w:sz="0" w:space="0" w:color="auto"/>
                      </w:divBdr>
                      <w:divsChild>
                        <w:div w:id="591622891">
                          <w:marLeft w:val="0"/>
                          <w:marRight w:val="0"/>
                          <w:marTop w:val="0"/>
                          <w:marBottom w:val="0"/>
                          <w:divBdr>
                            <w:top w:val="none" w:sz="0" w:space="0" w:color="auto"/>
                            <w:left w:val="none" w:sz="0" w:space="0" w:color="auto"/>
                            <w:bottom w:val="none" w:sz="0" w:space="0" w:color="auto"/>
                            <w:right w:val="none" w:sz="0" w:space="0" w:color="auto"/>
                          </w:divBdr>
                          <w:divsChild>
                            <w:div w:id="21076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270706">
      <w:bodyDiv w:val="1"/>
      <w:marLeft w:val="0"/>
      <w:marRight w:val="0"/>
      <w:marTop w:val="0"/>
      <w:marBottom w:val="0"/>
      <w:divBdr>
        <w:top w:val="none" w:sz="0" w:space="0" w:color="auto"/>
        <w:left w:val="none" w:sz="0" w:space="0" w:color="auto"/>
        <w:bottom w:val="none" w:sz="0" w:space="0" w:color="auto"/>
        <w:right w:val="none" w:sz="0" w:space="0" w:color="auto"/>
      </w:divBdr>
    </w:div>
    <w:div w:id="1636595254">
      <w:bodyDiv w:val="1"/>
      <w:marLeft w:val="0"/>
      <w:marRight w:val="0"/>
      <w:marTop w:val="0"/>
      <w:marBottom w:val="0"/>
      <w:divBdr>
        <w:top w:val="none" w:sz="0" w:space="0" w:color="auto"/>
        <w:left w:val="none" w:sz="0" w:space="0" w:color="auto"/>
        <w:bottom w:val="none" w:sz="0" w:space="0" w:color="auto"/>
        <w:right w:val="none" w:sz="0" w:space="0" w:color="auto"/>
      </w:divBdr>
    </w:div>
    <w:div w:id="1656686999">
      <w:bodyDiv w:val="1"/>
      <w:marLeft w:val="0"/>
      <w:marRight w:val="0"/>
      <w:marTop w:val="0"/>
      <w:marBottom w:val="0"/>
      <w:divBdr>
        <w:top w:val="none" w:sz="0" w:space="0" w:color="auto"/>
        <w:left w:val="none" w:sz="0" w:space="0" w:color="auto"/>
        <w:bottom w:val="none" w:sz="0" w:space="0" w:color="auto"/>
        <w:right w:val="none" w:sz="0" w:space="0" w:color="auto"/>
      </w:divBdr>
    </w:div>
    <w:div w:id="1665352755">
      <w:bodyDiv w:val="1"/>
      <w:marLeft w:val="0"/>
      <w:marRight w:val="0"/>
      <w:marTop w:val="0"/>
      <w:marBottom w:val="0"/>
      <w:divBdr>
        <w:top w:val="none" w:sz="0" w:space="0" w:color="auto"/>
        <w:left w:val="none" w:sz="0" w:space="0" w:color="auto"/>
        <w:bottom w:val="none" w:sz="0" w:space="0" w:color="auto"/>
        <w:right w:val="none" w:sz="0" w:space="0" w:color="auto"/>
      </w:divBdr>
    </w:div>
    <w:div w:id="1727334791">
      <w:bodyDiv w:val="1"/>
      <w:marLeft w:val="0"/>
      <w:marRight w:val="0"/>
      <w:marTop w:val="0"/>
      <w:marBottom w:val="0"/>
      <w:divBdr>
        <w:top w:val="none" w:sz="0" w:space="0" w:color="auto"/>
        <w:left w:val="none" w:sz="0" w:space="0" w:color="auto"/>
        <w:bottom w:val="none" w:sz="0" w:space="0" w:color="auto"/>
        <w:right w:val="none" w:sz="0" w:space="0" w:color="auto"/>
      </w:divBdr>
    </w:div>
    <w:div w:id="1861896074">
      <w:bodyDiv w:val="1"/>
      <w:marLeft w:val="0"/>
      <w:marRight w:val="0"/>
      <w:marTop w:val="0"/>
      <w:marBottom w:val="0"/>
      <w:divBdr>
        <w:top w:val="none" w:sz="0" w:space="0" w:color="auto"/>
        <w:left w:val="none" w:sz="0" w:space="0" w:color="auto"/>
        <w:bottom w:val="none" w:sz="0" w:space="0" w:color="auto"/>
        <w:right w:val="none" w:sz="0" w:space="0" w:color="auto"/>
      </w:divBdr>
    </w:div>
    <w:div w:id="1963150295">
      <w:bodyDiv w:val="1"/>
      <w:marLeft w:val="0"/>
      <w:marRight w:val="0"/>
      <w:marTop w:val="0"/>
      <w:marBottom w:val="0"/>
      <w:divBdr>
        <w:top w:val="none" w:sz="0" w:space="0" w:color="auto"/>
        <w:left w:val="none" w:sz="0" w:space="0" w:color="auto"/>
        <w:bottom w:val="none" w:sz="0" w:space="0" w:color="auto"/>
        <w:right w:val="none" w:sz="0" w:space="0" w:color="auto"/>
      </w:divBdr>
    </w:div>
    <w:div w:id="2082436129">
      <w:bodyDiv w:val="1"/>
      <w:marLeft w:val="0"/>
      <w:marRight w:val="0"/>
      <w:marTop w:val="0"/>
      <w:marBottom w:val="0"/>
      <w:divBdr>
        <w:top w:val="none" w:sz="0" w:space="0" w:color="auto"/>
        <w:left w:val="none" w:sz="0" w:space="0" w:color="auto"/>
        <w:bottom w:val="none" w:sz="0" w:space="0" w:color="auto"/>
        <w:right w:val="none" w:sz="0" w:space="0" w:color="auto"/>
      </w:divBdr>
    </w:div>
    <w:div w:id="2106145791">
      <w:bodyDiv w:val="1"/>
      <w:marLeft w:val="0"/>
      <w:marRight w:val="0"/>
      <w:marTop w:val="0"/>
      <w:marBottom w:val="0"/>
      <w:divBdr>
        <w:top w:val="none" w:sz="0" w:space="0" w:color="auto"/>
        <w:left w:val="none" w:sz="0" w:space="0" w:color="auto"/>
        <w:bottom w:val="none" w:sz="0" w:space="0" w:color="auto"/>
        <w:right w:val="none" w:sz="0" w:space="0" w:color="auto"/>
      </w:divBdr>
    </w:div>
    <w:div w:id="212961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s://www.nice.org.uk/guidance/cg30" TargetMode="External"/><Relationship Id="rId39" Type="http://schemas.openxmlformats.org/officeDocument/2006/relationships/hyperlink" Target="https://eur01.safelinks.protection.outlook.com/?url=https%3A%2F%2Fwww.gov.uk%2Fdisclosure-barring-service-check%2Foverview&amp;data=04%7C01%7Cmatthew.osborne%40nottscc.gov.uk%7Cd657aa4e7cb3417b163608d8d9926bf8%7C6e5a37bba9614e4fbaae2798a2245f30%7C0%7C0%7C637498571882215746%7CUnknown%7CTWFpbGZsb3d8eyJWIjoiMC4wLjAwMDAiLCJQIjoiV2luMzIiLCJBTiI6Ik1haWwiLCJXVCI6Mn0%3D%7C1000&amp;sdata=U92pxqQ2LDo6PNiHO7JZ%2B8mcdEaoD89qb7yC64VNLQA%3D&amp;reserved=0" TargetMode="External"/><Relationship Id="rId21" Type="http://schemas.openxmlformats.org/officeDocument/2006/relationships/hyperlink" Target="https://www.fsrh.org/standards-and-guidance/documents/ceuguidancebarriermethodscontraceptionsdi/" TargetMode="External"/><Relationship Id="rId34" Type="http://schemas.openxmlformats.org/officeDocument/2006/relationships/hyperlink" Target="https://eur01.safelinks.protection.outlook.com/?url=http%3A%2F%2Fwww.nice.org.uk%2FGuidance%2FCG30%2FEvidence&amp;data=04%7C01%7Cmatthew.osborne%40nottscc.gov.uk%7Cd657aa4e7cb3417b163608d8d9926bf8%7C6e5a37bba9614e4fbaae2798a2245f30%7C0%7C0%7C637498571882225708%7CUnknown%7CTWFpbGZsb3d8eyJWIjoiMC4wLjAwMDAiLCJQIjoiV2luMzIiLCJBTiI6Ik1haWwiLCJXVCI6Mn0%3D%7C1000&amp;sdata=i8wnjNhz6m1Z%2FU4pX4LrhMB6V1ymmi%2BKjWm2%2BeXBXnQ%3D&amp;reserved=0" TargetMode="External"/><Relationship Id="rId42" Type="http://schemas.openxmlformats.org/officeDocument/2006/relationships/hyperlink" Target="https://www.england.nhs.uk/patient-safety/patient-safety-insight/incident-response-framework/" TargetMode="External"/><Relationship Id="rId47" Type="http://schemas.openxmlformats.org/officeDocument/2006/relationships/hyperlink" Target="https://www.gov.uk/government/publications/establishing-youth-friendly-health-and-care-services/youre-welcome-establishing-youth-friendly-health-and-care-services" TargetMode="External"/><Relationship Id="rId50" Type="http://schemas.openxmlformats.org/officeDocument/2006/relationships/hyperlink" Target="https://cks.nice.org.uk/topics/contraception-iuc/management/levonorgestrel-intrauterine-device/" TargetMode="External"/><Relationship Id="rId55" Type="http://schemas.openxmlformats.org/officeDocument/2006/relationships/hyperlink" Target="https://www.nice.org.uk/guidance/qs61" TargetMode="External"/><Relationship Id="rId63" Type="http://schemas.openxmlformats.org/officeDocument/2006/relationships/hyperlink" Target="https://www.nhs.uk/conditions/social-care-and-support-guide/help-from-social-services-and-charities/abuse-and-neglect-adults-at-ris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yperlink" Target="https://www.fsrh.org/standards-and-guidance/clinical-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ice.org.uk/Guidance/PH51" TargetMode="External"/><Relationship Id="rId32" Type="http://schemas.openxmlformats.org/officeDocument/2006/relationships/image" Target="media/image2.emf"/><Relationship Id="rId37" Type="http://schemas.openxmlformats.org/officeDocument/2006/relationships/hyperlink" Target="https://eur01.safelinks.protection.outlook.com/?url=http%3A%2F%2Fwww.gov.uk%2F&amp;data=04%7C01%7Cmatthew.osborne%40nottscc.gov.uk%7Cd657aa4e7cb3417b163608d8d9926bf8%7C6e5a37bba9614e4fbaae2798a2245f30%7C0%7C0%7C637498571882205790%7CUnknown%7CTWFpbGZsb3d8eyJWIjoiMC4wLjAwMDAiLCJQIjoiV2luMzIiLCJBTiI6Ik1haWwiLCJXVCI6Mn0%3D%7C1000&amp;sdata=Tv647OybSv5LaGEd7Qf2%2BsquGA5e3CKSkZsPSNOYcIs%3D&amp;reserved=0" TargetMode="External"/><Relationship Id="rId40" Type="http://schemas.openxmlformats.org/officeDocument/2006/relationships/hyperlink" Target="https://www.gov.uk/government/publications/ncsp-standards&#160;amended%202021" TargetMode="External"/><Relationship Id="rId45" Type="http://schemas.openxmlformats.org/officeDocument/2006/relationships/hyperlink" Target="https://www.fsrh.org/standards-and-guidance/documents/cec-ceu-guidance-implants-feb-2014/" TargetMode="External"/><Relationship Id="rId53" Type="http://schemas.openxmlformats.org/officeDocument/2006/relationships/hyperlink" Target="https://www.gov.uk/government/publications/quality-criteria-for-young-people-friendly-health-services" TargetMode="External"/><Relationship Id="rId58" Type="http://schemas.openxmlformats.org/officeDocument/2006/relationships/hyperlink" Target="https://www.england.nhs.uk/coronavirus/primary-care/infection-control/"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s://www.fsrh.org/Public/Public/Standards-and-Guidance/uk-medical-eligibility-criteria-for-contraceptive-use-ukmec.aspx" TargetMode="External"/><Relationship Id="rId28" Type="http://schemas.openxmlformats.org/officeDocument/2006/relationships/hyperlink" Target="https://www.gov.uk/government/publications/quality-criteria-for-young-people-friendly-health-services" TargetMode="External"/><Relationship Id="rId36" Type="http://schemas.openxmlformats.org/officeDocument/2006/relationships/hyperlink" Target="https://eur01.safelinks.protection.outlook.com/?url=http%3A%2F%2Fwww.fsrh.org%2Fstandards-and-guidance%2Fdocuments%2Ffsrhqualitystandardcontraceptiveservices%2F&amp;data=04%7C01%7Cmatthew.osborne%40nottscc.gov.uk%7Cd657aa4e7cb3417b163608d8d9926bf8%7C6e5a37bba9614e4fbaae2798a2245f30%7C0%7C0%7C637498571882215746%7CUnknown%7CTWFpbGZsb3d8eyJWIjoiMC4wLjAwMDAiLCJQIjoiV2luMzIiLCJBTiI6Ik1haWwiLCJXVCI6Mn0%3D%7C1000&amp;sdata=f9YyRIkzi%2FSMUjdlNn5bC6qJqzcwAd3dZjTIby9TWkU%3D&amp;reserved=0" TargetMode="External"/><Relationship Id="rId49" Type="http://schemas.openxmlformats.org/officeDocument/2006/relationships/hyperlink" Target="https://www.nice.org.uk/guidance/ng88/chapter/Recommendations" TargetMode="External"/><Relationship Id="rId57" Type="http://schemas.openxmlformats.org/officeDocument/2006/relationships/hyperlink" Target="https://www.gov.uk/government/publications/the-health-and-social-care-act-2008-code-of-practice-on-the-prevention-and-control-of-infections-and-related-guidance" TargetMode="External"/><Relationship Id="rId61" Type="http://schemas.openxmlformats.org/officeDocument/2006/relationships/hyperlink" Target="https://fphandbook.org/preventing-infection-iud-insertion" TargetMode="External"/><Relationship Id="rId10" Type="http://schemas.openxmlformats.org/officeDocument/2006/relationships/endnotes" Target="endnotes.xml"/><Relationship Id="rId19" Type="http://schemas.openxmlformats.org/officeDocument/2006/relationships/hyperlink" Target="https://www.northnorthants.gov.uk/health-and-wellbeing-board/reports-and-assessments" TargetMode="External"/><Relationship Id="rId31" Type="http://schemas.openxmlformats.org/officeDocument/2006/relationships/hyperlink" Target="mailto:NNCPHCommissioning@northnorthants.gov.uk" TargetMode="External"/><Relationship Id="rId44" Type="http://schemas.openxmlformats.org/officeDocument/2006/relationships/hyperlink" Target="https://www.fsrh.org/standards-and-guidance/documents/ceuguidanceintrauterinecontraception/" TargetMode="External"/><Relationship Id="rId52" Type="http://schemas.openxmlformats.org/officeDocument/2006/relationships/hyperlink" Target="https://www.nice.org.uk/guidance/ng23" TargetMode="External"/><Relationship Id="rId60" Type="http://schemas.openxmlformats.org/officeDocument/2006/relationships/hyperlink" Target="https://www.infectionpreventioncontrol.co.uk/content/uploads/2018/12/GP-01-Aseptic-technique-December-2017-Version-1.00.pdf" TargetMode="External"/><Relationship Id="rId65" Type="http://schemas.openxmlformats.org/officeDocument/2006/relationships/hyperlink" Target="https://www.emcypsa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fsrh.org/standards-and-guidance/documents/cec-ceu-guidance-young-people-mar-2010/" TargetMode="External"/><Relationship Id="rId27" Type="http://schemas.openxmlformats.org/officeDocument/2006/relationships/hyperlink" Target="https://www.rcgp.org.uk/learning-resources/safeguarding-standards-level-3" TargetMode="External"/><Relationship Id="rId30" Type="http://schemas.openxmlformats.org/officeDocument/2006/relationships/hyperlink" Target="https://assets.publishing.service.gov.uk/government/uploads/system/uploads/attachment_data/file/252975/Sexual_Health_Clinical_Governance_final.pdf" TargetMode="External"/><Relationship Id="rId35" Type="http://schemas.openxmlformats.org/officeDocument/2006/relationships/hyperlink" Target="https://www.nice.org.uk/guidance/qs129" TargetMode="External"/><Relationship Id="rId43" Type="http://schemas.openxmlformats.org/officeDocument/2006/relationships/hyperlink" Target="https://www.england.nhs.uk/nhs-standard-contract/" TargetMode="External"/><Relationship Id="rId48" Type="http://schemas.openxmlformats.org/officeDocument/2006/relationships/hyperlink" Target="https://cks.nice.org.uk/topics/menorrhagia-heavy-menstrual-bleeding/" TargetMode="External"/><Relationship Id="rId56" Type="http://schemas.openxmlformats.org/officeDocument/2006/relationships/hyperlink" Target="https://www.ips.uk.net/national-guidance" TargetMode="External"/><Relationship Id="rId64" Type="http://schemas.openxmlformats.org/officeDocument/2006/relationships/hyperlink" Target="https://www.gmc-uk.org/professional-standards/the-professional-standards/protecting-children-and-young-people" TargetMode="External"/><Relationship Id="rId8" Type="http://schemas.openxmlformats.org/officeDocument/2006/relationships/webSettings" Target="webSettings.xml"/><Relationship Id="rId51" Type="http://schemas.openxmlformats.org/officeDocument/2006/relationships/hyperlink" Target="https://cks.nice.org.uk/topics/menopause/prescribing-information/hormone-replacement-therapy-hr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yperlink" Target="https://www.fsrh.org/standards-and-guidance/documents/cec-ceu-guidance-implants-feb-2014/" TargetMode="External"/><Relationship Id="rId33" Type="http://schemas.openxmlformats.org/officeDocument/2006/relationships/package" Target="embeddings/Microsoft_Excel_Worksheet.xlsx"/><Relationship Id="rId38" Type="http://schemas.openxmlformats.org/officeDocument/2006/relationships/hyperlink" Target="https://eur01.safelinks.protection.outlook.com/?url=https%3A%2F%2Fwww.gov.uk%2Fgovernment%2Fuploads%2Fsystem%2Fuploads%2Fattachment_data%2Ffile%2F216350%2Fdh_127632.pdf&amp;data=04%7C01%7Cmatthew.osborne%40nottscc.gov.uk%7Cd657aa4e7cb3417b163608d8d9926bf8%7C6e5a37bba9614e4fbaae2798a2245f30%7C0%7C0%7C637498571882215746%7CUnknown%7CTWFpbGZsb3d8eyJWIjoiMC4wLjAwMDAiLCJQIjoiV2luMzIiLCJBTiI6Ik1haWwiLCJXVCI6Mn0%3D%7C1000&amp;sdata=QgNuHudS0cnOxWxq%2BTo0isE0YWxjqB0SrUShLToLqXM%3D&amp;reserved=0" TargetMode="External"/><Relationship Id="rId46" Type="http://schemas.openxmlformats.org/officeDocument/2006/relationships/hyperlink" Target="https://www.fsrh.org/standards-and-guidance/documents/service-standards-for-workload-in-sexual-and-reproductive/" TargetMode="External"/><Relationship Id="rId59" Type="http://schemas.openxmlformats.org/officeDocument/2006/relationships/hyperlink" Target="https://www.england.nhs.uk/publication/national-standards-of-healthcare-cleanliness-2021/" TargetMode="External"/><Relationship Id="rId67" Type="http://schemas.openxmlformats.org/officeDocument/2006/relationships/theme" Target="theme/theme1.xml"/><Relationship Id="rId20" Type="http://schemas.openxmlformats.org/officeDocument/2006/relationships/hyperlink" Target="https://fsrh.org/Public/Documents/ceu-clinical-guidance-emergency-contraception-march-2017.aspx" TargetMode="External"/><Relationship Id="rId41" Type="http://schemas.openxmlformats.org/officeDocument/2006/relationships/hyperlink" Target="https://eur01.safelinks.protection.outlook.com/?url=https%3A%2F%2Fwww.fsrh.org%2Fnews%2Ffsrh-ceu-clinical-statement-srh-transgender-nonbinary-people%2F&amp;data=05%7C01%7Cmatthew.osborne%40nottscc.gov.uk%7C8cdfb7a31ea54d21b31508dafafd986b%7C6e5a37bba9614e4fbaae2798a2245f30%7C0%7C0%7C638098264339176824%7CUnknown%7CTWFpbGZsb3d8eyJWIjoiMC4wLjAwMDAiLCJQIjoiV2luMzIiLCJBTiI6Ik1haWwiLCJXVCI6Mn0%3D%7C3000%7C%7C%7C&amp;sdata=jI5ICx0AdWWorl1EeTHDo1zhVsdKCVr%2BRTWfTPq027k%3D&amp;reserved=0" TargetMode="External"/><Relationship Id="rId54" Type="http://schemas.openxmlformats.org/officeDocument/2006/relationships/hyperlink" Target="https://www.fsrh.org/standards-and-guidance/clinical-standards/" TargetMode="External"/><Relationship Id="rId62" Type="http://schemas.openxmlformats.org/officeDocument/2006/relationships/hyperlink" Target="https://www.hse.gov.uk/healthservices/needlesticks/actions.htm"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nice.org.uk/Guidance/PH51" TargetMode="External"/><Relationship Id="rId13" Type="http://schemas.openxmlformats.org/officeDocument/2006/relationships/hyperlink" Target="https://www.fsrh.org/Common/Uploaded%20files/documents/fsrh-ukmec-full-book-2019.pdf" TargetMode="External"/><Relationship Id="rId3" Type="http://schemas.openxmlformats.org/officeDocument/2006/relationships/hyperlink" Target="https://www.northnorthants.gov.uk/corporate-plan/our-vision-values-and-key-commitments" TargetMode="External"/><Relationship Id="rId7" Type="http://schemas.openxmlformats.org/officeDocument/2006/relationships/hyperlink" Target="https://www.fsrh.org/Public/Public/Standards-and-Guidance/uk-medical-eligibility-criteria-for-contraceptive-use.aspx" TargetMode="External"/><Relationship Id="rId12" Type="http://schemas.openxmlformats.org/officeDocument/2006/relationships/hyperlink" Target="https://www.emcypsas.co.uk/" TargetMode="External"/><Relationship Id="rId17" Type="http://schemas.openxmlformats.org/officeDocument/2006/relationships/hyperlink" Target="https://www.fsrh.org/standards-and-guidance/clinical-standards/" TargetMode="External"/><Relationship Id="rId2" Type="http://schemas.openxmlformats.org/officeDocument/2006/relationships/hyperlink" Target="https://www.gov.uk/government/publications/womens-health-strategy-for-england" TargetMode="External"/><Relationship Id="rId16" Type="http://schemas.openxmlformats.org/officeDocument/2006/relationships/hyperlink" Target="https://www.gov.uk/government/publications/quality-criteria-for-young-people-friendly-health-services" TargetMode="External"/><Relationship Id="rId1" Type="http://schemas.openxmlformats.org/officeDocument/2006/relationships/hyperlink" Target="https://www.gov.uk/government/publications/a-framework-for-sexual-health-improvement-in-england" TargetMode="External"/><Relationship Id="rId6" Type="http://schemas.openxmlformats.org/officeDocument/2006/relationships/hyperlink" Target="https://fsrh.org/Public/Documents/fsrh-ceu-guidance-young-people-mar-2010.aspx" TargetMode="External"/><Relationship Id="rId11" Type="http://schemas.openxmlformats.org/officeDocument/2006/relationships/hyperlink" Target="https://www.rcgp.org.uk/learning-resources/safeguarding-standards-level-3" TargetMode="External"/><Relationship Id="rId5" Type="http://schemas.openxmlformats.org/officeDocument/2006/relationships/hyperlink" Target="https://www.fsrh.org/Public/Documents/ceu-guidance-barrier-methods-for-contraception.aspx" TargetMode="External"/><Relationship Id="rId15" Type="http://schemas.openxmlformats.org/officeDocument/2006/relationships/hyperlink" Target="https://www.igt.hscic.gov.uk/" TargetMode="External"/><Relationship Id="rId10" Type="http://schemas.openxmlformats.org/officeDocument/2006/relationships/hyperlink" Target="https://www.nice.org.uk/guidance/cg30" TargetMode="External"/><Relationship Id="rId4" Type="http://schemas.openxmlformats.org/officeDocument/2006/relationships/hyperlink" Target="https://www.northnorthants.gov.uk/health-and-wellbeing-board/reports-and-assessments" TargetMode="External"/><Relationship Id="rId9" Type="http://schemas.openxmlformats.org/officeDocument/2006/relationships/hyperlink" Target="https://www.fsrh.org/Public/Documents/clinical-guidance-progestogen-only-implants.aspx" TargetMode="External"/><Relationship Id="rId14" Type="http://schemas.openxmlformats.org/officeDocument/2006/relationships/hyperlink" Target="https://www.gmc-uk.org/professional-standards/the-professional-standards/protecting-children-and-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10" ma:contentTypeDescription="Create a new document." ma:contentTypeScope="" ma:versionID="07f6a0ee2f9837797df416dcc2ec6b5e">
  <xsd:schema xmlns:xsd="http://www.w3.org/2001/XMLSchema" xmlns:xs="http://www.w3.org/2001/XMLSchema" xmlns:p="http://schemas.microsoft.com/office/2006/metadata/properties" xmlns:ns2="789ac0c1-63ad-4d38-83b7-898dca723184" xmlns:ns3="76370127-877d-40ce-996d-22c199bb3207" targetNamespace="http://schemas.microsoft.com/office/2006/metadata/properties" ma:root="true" ma:fieldsID="a1e72e641d94e6b5536d5eec2ab203bc" ns2:_="" ns3:_="">
    <xsd:import namespace="789ac0c1-63ad-4d38-83b7-898dca723184"/>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55C85-B0A2-497B-B899-397864C191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F2F808-0D2A-458F-AB03-42499942BEB6}">
  <ds:schemaRefs>
    <ds:schemaRef ds:uri="http://schemas.openxmlformats.org/officeDocument/2006/bibliography"/>
  </ds:schemaRefs>
</ds:datastoreItem>
</file>

<file path=customXml/itemProps3.xml><?xml version="1.0" encoding="utf-8"?>
<ds:datastoreItem xmlns:ds="http://schemas.openxmlformats.org/officeDocument/2006/customXml" ds:itemID="{89182293-65C8-445F-9A60-4AD723E52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E4BBA0-7250-4FC6-91D6-35CC0EE24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8128</Words>
  <Characters>46330</Characters>
  <Application>Microsoft Office Word</Application>
  <DocSecurity>4</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Everett1</dc:creator>
  <cp:keywords/>
  <dc:description/>
  <cp:lastModifiedBy>Adekunle Adeyeye</cp:lastModifiedBy>
  <cp:revision>2</cp:revision>
  <dcterms:created xsi:type="dcterms:W3CDTF">2025-02-17T11:46:00Z</dcterms:created>
  <dcterms:modified xsi:type="dcterms:W3CDTF">2025-02-17T11:46:00Z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2021-11-17T10:06:05Z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3d06cab9-d8c0-4a30-b0c6-0a8ecb4e43ef</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