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60777" w14:textId="77777777" w:rsidR="008A0B29" w:rsidRDefault="008A0B29" w:rsidP="008A0B29">
      <w:pPr>
        <w:spacing w:after="0" w:line="240" w:lineRule="auto"/>
        <w:jc w:val="center"/>
        <w:rPr>
          <w:rFonts w:cstheme="minorHAnsi"/>
          <w:b/>
        </w:rPr>
      </w:pPr>
    </w:p>
    <w:p w14:paraId="0D694E74" w14:textId="77777777" w:rsidR="008A0B29" w:rsidRDefault="008A0B29" w:rsidP="008A0B29">
      <w:pPr>
        <w:spacing w:after="0" w:line="240" w:lineRule="auto"/>
        <w:jc w:val="center"/>
        <w:rPr>
          <w:rFonts w:cstheme="minorHAnsi"/>
          <w:b/>
        </w:rPr>
      </w:pPr>
    </w:p>
    <w:p w14:paraId="1BF37309" w14:textId="77777777" w:rsidR="00E10CE4" w:rsidRPr="0079549D" w:rsidRDefault="007E6F04" w:rsidP="008A0B29">
      <w:pPr>
        <w:spacing w:after="0" w:line="240" w:lineRule="auto"/>
        <w:jc w:val="center"/>
        <w:rPr>
          <w:rFonts w:cstheme="minorHAnsi"/>
          <w:b/>
        </w:rPr>
      </w:pPr>
      <w:r w:rsidRPr="0079549D">
        <w:rPr>
          <w:rFonts w:cstheme="minorHAnsi"/>
          <w:b/>
        </w:rPr>
        <w:t>MARKET</w:t>
      </w:r>
      <w:r w:rsidR="006256B3" w:rsidRPr="0079549D">
        <w:rPr>
          <w:rFonts w:cstheme="minorHAnsi"/>
          <w:b/>
        </w:rPr>
        <w:t xml:space="preserve"> ENGAGEMENT</w:t>
      </w:r>
      <w:r w:rsidR="009176C6" w:rsidRPr="0079549D">
        <w:rPr>
          <w:rFonts w:cstheme="minorHAnsi"/>
          <w:b/>
        </w:rPr>
        <w:t xml:space="preserve"> FOR AN IT </w:t>
      </w:r>
      <w:r w:rsidR="008423AE" w:rsidRPr="0079549D">
        <w:rPr>
          <w:rFonts w:cstheme="minorHAnsi"/>
          <w:b/>
        </w:rPr>
        <w:t>S</w:t>
      </w:r>
      <w:r w:rsidR="00E91FFE" w:rsidRPr="0079549D">
        <w:rPr>
          <w:rFonts w:cstheme="minorHAnsi"/>
          <w:b/>
        </w:rPr>
        <w:t xml:space="preserve">ERVICE MANAGEMENT </w:t>
      </w:r>
      <w:r w:rsidR="00392632">
        <w:rPr>
          <w:rFonts w:cstheme="minorHAnsi"/>
          <w:b/>
        </w:rPr>
        <w:t>SYSTEM</w:t>
      </w:r>
    </w:p>
    <w:p w14:paraId="6590F144" w14:textId="77777777" w:rsidR="00E10CE4" w:rsidRPr="008A0B29" w:rsidRDefault="00E10CE4" w:rsidP="00183B42">
      <w:pPr>
        <w:spacing w:after="0" w:line="240" w:lineRule="auto"/>
        <w:rPr>
          <w:rFonts w:cstheme="minorHAnsi"/>
          <w:b/>
        </w:rPr>
      </w:pPr>
    </w:p>
    <w:p w14:paraId="0484A51C" w14:textId="77777777" w:rsidR="006256B3" w:rsidRPr="00485584" w:rsidRDefault="009176C6" w:rsidP="00485584">
      <w:pPr>
        <w:pStyle w:val="ListParagraph"/>
        <w:numPr>
          <w:ilvl w:val="0"/>
          <w:numId w:val="3"/>
        </w:numPr>
        <w:spacing w:after="0" w:line="240" w:lineRule="auto"/>
        <w:rPr>
          <w:rFonts w:cstheme="minorHAnsi"/>
          <w:b/>
        </w:rPr>
      </w:pPr>
      <w:r>
        <w:rPr>
          <w:rFonts w:cstheme="minorHAnsi"/>
          <w:b/>
        </w:rPr>
        <w:t xml:space="preserve">Background to potential Contracting Authorities </w:t>
      </w:r>
    </w:p>
    <w:p w14:paraId="6FBEC9C2" w14:textId="77777777" w:rsidR="006256B3" w:rsidRPr="008A0B29" w:rsidRDefault="006256B3" w:rsidP="00183B42">
      <w:pPr>
        <w:spacing w:after="0" w:line="240" w:lineRule="auto"/>
        <w:rPr>
          <w:rFonts w:cstheme="minorHAnsi"/>
        </w:rPr>
      </w:pPr>
    </w:p>
    <w:p w14:paraId="054F0639" w14:textId="3E9C2E52" w:rsidR="006B0646" w:rsidRPr="006B0646" w:rsidRDefault="006B0646" w:rsidP="006B0646">
      <w:pPr>
        <w:spacing w:after="0" w:line="240" w:lineRule="auto"/>
        <w:jc w:val="both"/>
        <w:rPr>
          <w:rFonts w:ascii="Arial" w:eastAsia="Calibri" w:hAnsi="Arial" w:cs="Arial"/>
          <w:color w:val="000000" w:themeColor="text1"/>
        </w:rPr>
      </w:pPr>
      <w:r w:rsidRPr="006B0646">
        <w:rPr>
          <w:rFonts w:ascii="Arial" w:eastAsia="Calibri" w:hAnsi="Arial" w:cs="Arial"/>
          <w:color w:val="000000" w:themeColor="text1"/>
        </w:rPr>
        <w:t xml:space="preserve">Guy’s and St Thomas’ </w:t>
      </w:r>
      <w:r w:rsidR="002E3937" w:rsidRPr="006B0646">
        <w:rPr>
          <w:rFonts w:ascii="Arial" w:eastAsia="Calibri" w:hAnsi="Arial" w:cs="Arial"/>
          <w:color w:val="000000" w:themeColor="text1"/>
        </w:rPr>
        <w:t>are</w:t>
      </w:r>
      <w:r w:rsidRPr="006B0646">
        <w:rPr>
          <w:rFonts w:ascii="Arial" w:eastAsia="Calibri" w:hAnsi="Arial" w:cs="Arial"/>
          <w:color w:val="000000" w:themeColor="text1"/>
        </w:rPr>
        <w:t xml:space="preserve"> among the UK’s busiest and most successful NHS foundation trusts. The Trust provides a full range of hospital and community services for people in Lambeth, Southwark and Lewisham, as well as specialist care for patients</w:t>
      </w:r>
      <w:r w:rsidR="002E3937">
        <w:rPr>
          <w:rFonts w:ascii="Arial" w:eastAsia="Calibri" w:hAnsi="Arial" w:cs="Arial"/>
          <w:color w:val="000000" w:themeColor="text1"/>
        </w:rPr>
        <w:t xml:space="preserve">- to include </w:t>
      </w:r>
      <w:r w:rsidRPr="006B0646">
        <w:rPr>
          <w:rFonts w:ascii="Arial" w:eastAsia="Calibri" w:hAnsi="Arial" w:cs="Arial"/>
          <w:color w:val="000000" w:themeColor="text1"/>
        </w:rPr>
        <w:t>cancer, renal, orthopaedic and cardiovascular services.</w:t>
      </w:r>
    </w:p>
    <w:p w14:paraId="43AE7E2A" w14:textId="77777777" w:rsidR="006B0646" w:rsidRPr="006B0646" w:rsidRDefault="006B0646" w:rsidP="006B0646">
      <w:pPr>
        <w:spacing w:after="0" w:line="240" w:lineRule="auto"/>
        <w:jc w:val="both"/>
        <w:rPr>
          <w:rFonts w:ascii="Arial" w:eastAsia="Calibri" w:hAnsi="Arial" w:cs="Arial"/>
          <w:color w:val="000000" w:themeColor="text1"/>
        </w:rPr>
      </w:pPr>
    </w:p>
    <w:p w14:paraId="182AF9B6" w14:textId="77777777" w:rsidR="006B0646" w:rsidRPr="006B0646" w:rsidRDefault="006B0646" w:rsidP="006B0646">
      <w:pPr>
        <w:spacing w:after="0" w:line="240" w:lineRule="auto"/>
        <w:jc w:val="both"/>
        <w:rPr>
          <w:rFonts w:ascii="Arial" w:eastAsia="Calibri" w:hAnsi="Arial" w:cs="Arial"/>
          <w:color w:val="000000" w:themeColor="text1"/>
        </w:rPr>
      </w:pPr>
      <w:r w:rsidRPr="006B0646">
        <w:rPr>
          <w:rFonts w:ascii="Arial" w:eastAsia="Calibri" w:hAnsi="Arial" w:cs="Arial"/>
          <w:color w:val="000000" w:themeColor="text1"/>
        </w:rPr>
        <w:t>With over 23,500 staff the Trust is one of the largest local employers, the Trust aims to develop and support all staff so they are able to deliver high quality, safe and efficient care. The 2018 NHS staff survey results show that the Trust has one of the most engaged and motivated workforces in the NHS. This has a positive impact on the care provided to patients.</w:t>
      </w:r>
    </w:p>
    <w:p w14:paraId="43BA7689" w14:textId="77777777" w:rsidR="006B0646" w:rsidRPr="006B0646" w:rsidRDefault="006B0646" w:rsidP="006B0646">
      <w:pPr>
        <w:spacing w:after="0" w:line="240" w:lineRule="auto"/>
        <w:jc w:val="both"/>
        <w:rPr>
          <w:rFonts w:ascii="Arial" w:eastAsia="Calibri" w:hAnsi="Arial" w:cs="Arial"/>
          <w:color w:val="000000" w:themeColor="text1"/>
        </w:rPr>
      </w:pPr>
    </w:p>
    <w:p w14:paraId="6362412E" w14:textId="77777777" w:rsidR="006B0646" w:rsidRPr="006B0646" w:rsidRDefault="006B0646" w:rsidP="006B0646">
      <w:pPr>
        <w:spacing w:after="0" w:line="240" w:lineRule="auto"/>
        <w:jc w:val="both"/>
        <w:rPr>
          <w:rFonts w:ascii="Arial" w:eastAsia="Calibri" w:hAnsi="Arial" w:cs="Arial"/>
          <w:color w:val="000000" w:themeColor="text1"/>
        </w:rPr>
      </w:pPr>
      <w:r w:rsidRPr="006B0646">
        <w:rPr>
          <w:rFonts w:ascii="Arial" w:eastAsia="Calibri" w:hAnsi="Arial" w:cs="Arial"/>
          <w:color w:val="000000" w:themeColor="text1"/>
        </w:rPr>
        <w:t>Guy’s is home to the largest dental school in Europe and a £160 million Cancer Centre opened in 2016. As part of its commitment to provide care closer to home, in 2017 the Trust opened a cancer centre and a kidney treatment centre at Queen Mary’s Hospital in Sidcup. St Thomas’ has one of the largest critical care units in the UK and one of the busiest emergency departments in London. It is also home to Evelina London Children’s Hospital.</w:t>
      </w:r>
    </w:p>
    <w:p w14:paraId="4B6B72A1" w14:textId="77777777" w:rsidR="006B0646" w:rsidRPr="006B0646" w:rsidRDefault="006B0646" w:rsidP="006B0646">
      <w:pPr>
        <w:spacing w:after="0" w:line="240" w:lineRule="auto"/>
        <w:jc w:val="both"/>
        <w:rPr>
          <w:rFonts w:ascii="Arial" w:eastAsia="Calibri" w:hAnsi="Arial" w:cs="Arial"/>
          <w:color w:val="000000" w:themeColor="text1"/>
        </w:rPr>
      </w:pPr>
    </w:p>
    <w:p w14:paraId="74195A0F" w14:textId="77777777" w:rsidR="006B0646" w:rsidRPr="006B0646" w:rsidRDefault="006B0646" w:rsidP="006B0646">
      <w:pPr>
        <w:spacing w:after="0" w:line="240" w:lineRule="auto"/>
        <w:jc w:val="both"/>
        <w:rPr>
          <w:rFonts w:ascii="Arial" w:eastAsia="Calibri" w:hAnsi="Arial" w:cs="Arial"/>
          <w:color w:val="000000" w:themeColor="text1"/>
        </w:rPr>
      </w:pPr>
      <w:r w:rsidRPr="006B0646">
        <w:rPr>
          <w:rFonts w:ascii="Arial" w:eastAsia="Calibri" w:hAnsi="Arial" w:cs="Arial"/>
          <w:color w:val="000000" w:themeColor="text1"/>
        </w:rPr>
        <w:t>The adult community services teams deliver care at the heart of the local communities the Trust serves, working in partnership with GPs, local authorities and other health care and voluntary sector organisations. In 2019 adult community services were combined with acute medicine and therapy services to create Integrated Care, a new strategic business unit. Working with partners in Lambeth and Southwark, focusing on new ways of working to improve care for local patients.</w:t>
      </w:r>
    </w:p>
    <w:p w14:paraId="0BA0EDE9" w14:textId="77777777" w:rsidR="006B0646" w:rsidRPr="006B0646" w:rsidRDefault="006B0646" w:rsidP="006B0646">
      <w:pPr>
        <w:spacing w:after="0" w:line="240" w:lineRule="auto"/>
        <w:jc w:val="both"/>
        <w:rPr>
          <w:rFonts w:ascii="Arial" w:eastAsia="Calibri" w:hAnsi="Arial" w:cs="Arial"/>
          <w:color w:val="000000" w:themeColor="text1"/>
        </w:rPr>
      </w:pPr>
    </w:p>
    <w:p w14:paraId="37D3ABE2" w14:textId="77777777" w:rsidR="006B0646" w:rsidRPr="006B0646" w:rsidRDefault="006B0646" w:rsidP="006B0646">
      <w:pPr>
        <w:spacing w:after="0" w:line="240" w:lineRule="auto"/>
        <w:jc w:val="both"/>
        <w:rPr>
          <w:rFonts w:ascii="Arial" w:eastAsia="Calibri" w:hAnsi="Arial" w:cs="Arial"/>
          <w:color w:val="000000" w:themeColor="text1"/>
        </w:rPr>
      </w:pPr>
      <w:r w:rsidRPr="006B0646">
        <w:rPr>
          <w:rFonts w:ascii="Arial" w:eastAsia="Calibri" w:hAnsi="Arial" w:cs="Arial"/>
          <w:color w:val="000000" w:themeColor="text1"/>
        </w:rPr>
        <w:t xml:space="preserve">The Trust has a reputation for clinical excellence and </w:t>
      </w:r>
      <w:proofErr w:type="gramStart"/>
      <w:r w:rsidRPr="006B0646">
        <w:rPr>
          <w:rFonts w:ascii="Arial" w:eastAsia="Calibri" w:hAnsi="Arial" w:cs="Arial"/>
          <w:color w:val="000000" w:themeColor="text1"/>
        </w:rPr>
        <w:t>high quality</w:t>
      </w:r>
      <w:proofErr w:type="gramEnd"/>
      <w:r w:rsidRPr="006B0646">
        <w:rPr>
          <w:rFonts w:ascii="Arial" w:eastAsia="Calibri" w:hAnsi="Arial" w:cs="Arial"/>
          <w:color w:val="000000" w:themeColor="text1"/>
        </w:rPr>
        <w:t xml:space="preserve"> teaching and research. The Trust is part of King's Health Partners, one of six accredited UK Academic Health Sciences Centres. In partnership with King's College London the Trust has dedicated clinical research facilities and a National Institute for Health Research (NIHR) Biomedical Research Centre.</w:t>
      </w:r>
    </w:p>
    <w:p w14:paraId="4E75C555" w14:textId="77777777" w:rsidR="006B0646" w:rsidRPr="006B0646" w:rsidRDefault="006B0646" w:rsidP="006B0646">
      <w:pPr>
        <w:spacing w:after="0" w:line="240" w:lineRule="auto"/>
        <w:jc w:val="both"/>
        <w:rPr>
          <w:rFonts w:ascii="Arial" w:eastAsia="Calibri" w:hAnsi="Arial" w:cs="Arial"/>
          <w:color w:val="000000" w:themeColor="text1"/>
        </w:rPr>
      </w:pPr>
      <w:r w:rsidRPr="006B0646">
        <w:rPr>
          <w:rFonts w:ascii="Arial" w:eastAsia="Calibri" w:hAnsi="Arial" w:cs="Arial"/>
          <w:color w:val="000000" w:themeColor="text1"/>
        </w:rPr>
        <w:t>Royal Brompton and Harefield NHS Foundation Trust merged with GSTT from 1 February 2021. GSTT are also in the process of aligning with King’s College Hospital NHS Foundation Trust with a view to both Trusts potentially using the same EHR system.</w:t>
      </w:r>
    </w:p>
    <w:p w14:paraId="17202B9E" w14:textId="77777777" w:rsidR="006B0646" w:rsidRPr="006B0646" w:rsidRDefault="006B0646" w:rsidP="006B0646">
      <w:pPr>
        <w:spacing w:after="0" w:line="240" w:lineRule="auto"/>
        <w:jc w:val="both"/>
        <w:rPr>
          <w:rFonts w:ascii="Arial" w:eastAsia="Calibri" w:hAnsi="Arial" w:cs="Arial"/>
          <w:color w:val="000000" w:themeColor="text1"/>
        </w:rPr>
      </w:pPr>
      <w:r w:rsidRPr="006B0646">
        <w:rPr>
          <w:rFonts w:ascii="Arial" w:eastAsia="Calibri" w:hAnsi="Arial" w:cs="Arial"/>
          <w:color w:val="000000" w:themeColor="text1"/>
        </w:rPr>
        <w:t xml:space="preserve">For more information please see </w:t>
      </w:r>
      <w:hyperlink r:id="rId5" w:history="1">
        <w:r w:rsidRPr="006B0646">
          <w:rPr>
            <w:rFonts w:ascii="Arial" w:eastAsia="Calibri" w:hAnsi="Arial" w:cs="Arial"/>
            <w:color w:val="0000FF"/>
            <w:u w:val="single"/>
          </w:rPr>
          <w:t>https://www.guysandstthomas.nhs.uk</w:t>
        </w:r>
      </w:hyperlink>
      <w:r w:rsidRPr="006B0646">
        <w:rPr>
          <w:rFonts w:ascii="Arial" w:eastAsia="Calibri" w:hAnsi="Arial" w:cs="Arial"/>
          <w:color w:val="000000" w:themeColor="text1"/>
        </w:rPr>
        <w:t>.</w:t>
      </w:r>
    </w:p>
    <w:p w14:paraId="2C5ECE2F" w14:textId="77777777" w:rsidR="002E3937" w:rsidRDefault="002E3937" w:rsidP="006B0646">
      <w:pPr>
        <w:spacing w:after="0" w:line="240" w:lineRule="auto"/>
        <w:rPr>
          <w:rFonts w:ascii="Arial" w:eastAsia="SimSun" w:hAnsi="Arial" w:cs="Arial"/>
          <w:szCs w:val="28"/>
          <w:lang w:eastAsia="zh-CN"/>
        </w:rPr>
      </w:pPr>
    </w:p>
    <w:p w14:paraId="60568632" w14:textId="77777777" w:rsidR="002E3937" w:rsidRPr="002E3937" w:rsidRDefault="002E3937" w:rsidP="002E3937">
      <w:pPr>
        <w:spacing w:after="0" w:line="240" w:lineRule="auto"/>
        <w:rPr>
          <w:rFonts w:ascii="Arial" w:hAnsi="Arial" w:cs="Arial"/>
        </w:rPr>
      </w:pPr>
      <w:r w:rsidRPr="002E3937">
        <w:rPr>
          <w:rFonts w:ascii="Arial" w:hAnsi="Arial" w:cs="Arial"/>
        </w:rPr>
        <w:t xml:space="preserve">We are seeking knowledge of the market before commencing a formal procurement process. </w:t>
      </w:r>
    </w:p>
    <w:p w14:paraId="72672791" w14:textId="77777777" w:rsidR="002E3937" w:rsidRDefault="002E3937" w:rsidP="002E3937">
      <w:pPr>
        <w:spacing w:after="0" w:line="240" w:lineRule="auto"/>
        <w:rPr>
          <w:rFonts w:cstheme="minorHAnsi"/>
        </w:rPr>
      </w:pPr>
    </w:p>
    <w:p w14:paraId="483608CA" w14:textId="6339682F" w:rsidR="006B0646" w:rsidRPr="006B0646" w:rsidRDefault="006B0646" w:rsidP="006B0646">
      <w:pPr>
        <w:spacing w:after="0" w:line="240" w:lineRule="auto"/>
        <w:rPr>
          <w:rFonts w:ascii="Arial" w:eastAsia="Calibri" w:hAnsi="Arial" w:cs="Arial"/>
          <w:sz w:val="18"/>
          <w:szCs w:val="18"/>
        </w:rPr>
      </w:pPr>
      <w:r w:rsidRPr="006B0646">
        <w:rPr>
          <w:rFonts w:ascii="Arial" w:eastAsia="SimSun" w:hAnsi="Arial" w:cs="Arial"/>
          <w:szCs w:val="28"/>
          <w:lang w:eastAsia="zh-CN"/>
        </w:rPr>
        <w:br w:type="page"/>
      </w:r>
    </w:p>
    <w:p w14:paraId="6F433B6E" w14:textId="48939570" w:rsidR="002E3937" w:rsidRPr="002E3937" w:rsidRDefault="002E3937" w:rsidP="002E3937">
      <w:pPr>
        <w:keepNext/>
        <w:numPr>
          <w:ilvl w:val="0"/>
          <w:numId w:val="7"/>
        </w:numPr>
        <w:spacing w:after="0" w:line="240" w:lineRule="auto"/>
        <w:ind w:right="96"/>
        <w:jc w:val="both"/>
        <w:outlineLvl w:val="0"/>
        <w:rPr>
          <w:rFonts w:cstheme="minorHAnsi"/>
        </w:rPr>
      </w:pPr>
      <w:bookmarkStart w:id="0" w:name="_Toc39574902"/>
      <w:bookmarkStart w:id="1" w:name="_Toc168394785"/>
      <w:r w:rsidRPr="002E3937">
        <w:rPr>
          <w:rFonts w:ascii="Arial" w:eastAsia="SimSun" w:hAnsi="Arial" w:cs="Arial"/>
          <w:b/>
          <w:bCs/>
          <w:kern w:val="32"/>
          <w:sz w:val="28"/>
          <w:szCs w:val="32"/>
        </w:rPr>
        <w:lastRenderedPageBreak/>
        <w:t>Summary of Requirement</w:t>
      </w:r>
      <w:bookmarkEnd w:id="0"/>
      <w:bookmarkEnd w:id="1"/>
    </w:p>
    <w:p w14:paraId="60D8B690" w14:textId="77777777" w:rsidR="002E3937" w:rsidRPr="002E3937" w:rsidRDefault="002E3937" w:rsidP="002E3937">
      <w:pPr>
        <w:keepNext/>
        <w:spacing w:after="0" w:line="240" w:lineRule="auto"/>
        <w:ind w:left="360" w:right="96"/>
        <w:jc w:val="both"/>
        <w:outlineLvl w:val="0"/>
        <w:rPr>
          <w:rFonts w:cstheme="minorHAnsi"/>
        </w:rPr>
      </w:pPr>
    </w:p>
    <w:p w14:paraId="014BCACC" w14:textId="60C3F5F4" w:rsidR="002E3937" w:rsidRDefault="002E3937" w:rsidP="001B386B">
      <w:pPr>
        <w:pStyle w:val="NoSpacing"/>
        <w:rPr>
          <w:rFonts w:ascii="Arial" w:hAnsi="Arial" w:cs="Arial"/>
        </w:rPr>
      </w:pPr>
      <w:bookmarkStart w:id="2" w:name="_Toc296415791"/>
      <w:r w:rsidRPr="001B386B">
        <w:rPr>
          <w:rFonts w:ascii="Arial" w:hAnsi="Arial" w:cs="Arial"/>
        </w:rPr>
        <w:t xml:space="preserve">ACU undertakes fertility procedures that fall under the scrutiny of the Human Fertilisation and Embryology Authority (HFEA).  </w:t>
      </w:r>
    </w:p>
    <w:p w14:paraId="58BF69D4" w14:textId="77777777" w:rsidR="001B386B" w:rsidRPr="001B386B" w:rsidRDefault="001B386B" w:rsidP="001B386B">
      <w:pPr>
        <w:pStyle w:val="NoSpacing"/>
        <w:rPr>
          <w:rFonts w:ascii="Arial" w:hAnsi="Arial" w:cs="Arial"/>
        </w:rPr>
      </w:pPr>
    </w:p>
    <w:bookmarkEnd w:id="2"/>
    <w:p w14:paraId="6F270C17" w14:textId="77777777" w:rsidR="004C4A80" w:rsidRPr="004C4A80" w:rsidRDefault="004C4A80" w:rsidP="004C4A80">
      <w:pPr>
        <w:shd w:val="clear" w:color="auto" w:fill="FFFFFF"/>
        <w:spacing w:after="0" w:line="240" w:lineRule="auto"/>
        <w:rPr>
          <w:rFonts w:ascii="Arial" w:eastAsia="Times New Roman" w:hAnsi="Arial" w:cs="Arial"/>
          <w:color w:val="222222"/>
          <w:lang w:eastAsia="en-GB"/>
        </w:rPr>
      </w:pPr>
      <w:r w:rsidRPr="004C4A80">
        <w:rPr>
          <w:rFonts w:ascii="Arial" w:eastAsia="Times New Roman" w:hAnsi="Arial" w:cs="Arial"/>
          <w:color w:val="222222"/>
          <w:lang w:eastAsia="en-GB"/>
        </w:rPr>
        <w:t xml:space="preserve">The storage of gametes (sperm and oocytes) for reproductive purposes involves strict regulations and guidelines to ensure their safety, viability, and integrity. Here are key requirements for storage alarm systems: </w:t>
      </w:r>
    </w:p>
    <w:p w14:paraId="6BA95701" w14:textId="77777777" w:rsidR="004C4A80" w:rsidRPr="004C4A80" w:rsidRDefault="004C4A80" w:rsidP="004C4A80">
      <w:pPr>
        <w:shd w:val="clear" w:color="auto" w:fill="FFFFFF"/>
        <w:spacing w:after="0" w:line="240" w:lineRule="auto"/>
        <w:rPr>
          <w:rFonts w:ascii="Arial" w:eastAsia="Times New Roman" w:hAnsi="Arial" w:cs="Arial"/>
          <w:color w:val="222222"/>
          <w:lang w:eastAsia="en-GB"/>
        </w:rPr>
      </w:pPr>
      <w:r w:rsidRPr="004C4A80">
        <w:rPr>
          <w:rFonts w:ascii="Arial" w:eastAsia="Times New Roman" w:hAnsi="Arial" w:cs="Arial"/>
          <w:color w:val="222222"/>
          <w:lang w:eastAsia="en-GB"/>
        </w:rPr>
        <w:t>1. **Temperature Monitoring**: - Continuous monitoring of storage temperatures. - Alarms for temperature deviations from the set range, typically -196°C for liquid nitrogen tanks used in cryopreservation.</w:t>
      </w:r>
    </w:p>
    <w:p w14:paraId="11E2EBDE" w14:textId="77777777" w:rsidR="004C4A80" w:rsidRPr="004C4A80" w:rsidRDefault="004C4A80" w:rsidP="004C4A80">
      <w:pPr>
        <w:shd w:val="clear" w:color="auto" w:fill="FFFFFF"/>
        <w:spacing w:after="0" w:line="240" w:lineRule="auto"/>
        <w:rPr>
          <w:rFonts w:ascii="Arial" w:eastAsia="Times New Roman" w:hAnsi="Arial" w:cs="Arial"/>
          <w:color w:val="222222"/>
          <w:lang w:eastAsia="en-GB"/>
        </w:rPr>
      </w:pPr>
    </w:p>
    <w:p w14:paraId="783697D2" w14:textId="77777777" w:rsidR="004C4A80" w:rsidRPr="004C4A80" w:rsidRDefault="004C4A80" w:rsidP="004C4A80">
      <w:pPr>
        <w:shd w:val="clear" w:color="auto" w:fill="FFFFFF"/>
        <w:spacing w:after="0" w:line="240" w:lineRule="auto"/>
        <w:rPr>
          <w:rFonts w:ascii="Arial" w:eastAsia="Times New Roman" w:hAnsi="Arial" w:cs="Arial"/>
          <w:color w:val="222222"/>
          <w:lang w:eastAsia="en-GB"/>
        </w:rPr>
      </w:pPr>
      <w:r w:rsidRPr="004C4A80">
        <w:rPr>
          <w:rFonts w:ascii="Arial" w:eastAsia="Times New Roman" w:hAnsi="Arial" w:cs="Arial"/>
          <w:color w:val="222222"/>
          <w:lang w:eastAsia="en-GB"/>
        </w:rPr>
        <w:t xml:space="preserve">2. **Alarm Systems**: - Audible and visual alarms for immediate alerting of personnel. - Remote alarm systems to notify responsible staff via phone, email, or other communication methods to contact staff outside normal working hours in case of an alarm event. </w:t>
      </w:r>
    </w:p>
    <w:p w14:paraId="58814C36" w14:textId="5E9D7A96" w:rsidR="004C4A80" w:rsidRPr="004C4A80" w:rsidRDefault="004C4A80" w:rsidP="004C4A80">
      <w:pPr>
        <w:shd w:val="clear" w:color="auto" w:fill="FFFFFF"/>
        <w:spacing w:after="0" w:line="240" w:lineRule="auto"/>
        <w:rPr>
          <w:rFonts w:ascii="Arial" w:eastAsia="Times New Roman" w:hAnsi="Arial" w:cs="Arial"/>
          <w:color w:val="222222"/>
          <w:lang w:eastAsia="en-GB"/>
        </w:rPr>
      </w:pPr>
      <w:r w:rsidRPr="004C4A80">
        <w:rPr>
          <w:rFonts w:ascii="Arial" w:eastAsia="Times New Roman" w:hAnsi="Arial" w:cs="Arial"/>
          <w:color w:val="222222"/>
          <w:lang w:eastAsia="en-GB"/>
        </w:rPr>
        <w:t xml:space="preserve">There should also be - Backup power supply for alarm systems to ensure functionality during power outages. </w:t>
      </w:r>
    </w:p>
    <w:p w14:paraId="379E8AF5" w14:textId="77777777" w:rsidR="004C4A80" w:rsidRPr="004C4A80" w:rsidRDefault="004C4A80" w:rsidP="004C4A80">
      <w:pPr>
        <w:shd w:val="clear" w:color="auto" w:fill="FFFFFF"/>
        <w:spacing w:after="0" w:line="240" w:lineRule="auto"/>
        <w:rPr>
          <w:rFonts w:ascii="Arial" w:eastAsia="Times New Roman" w:hAnsi="Arial" w:cs="Arial"/>
          <w:color w:val="222222"/>
          <w:lang w:eastAsia="en-GB"/>
        </w:rPr>
      </w:pPr>
    </w:p>
    <w:p w14:paraId="38BC4715" w14:textId="77777777" w:rsidR="004C4A80" w:rsidRPr="004C4A80" w:rsidRDefault="004C4A80" w:rsidP="004C4A80">
      <w:pPr>
        <w:shd w:val="clear" w:color="auto" w:fill="FFFFFF"/>
        <w:spacing w:after="0" w:line="240" w:lineRule="auto"/>
        <w:rPr>
          <w:rFonts w:ascii="Arial" w:eastAsia="Times New Roman" w:hAnsi="Arial" w:cs="Arial"/>
          <w:color w:val="222222"/>
          <w:lang w:eastAsia="en-GB"/>
        </w:rPr>
      </w:pPr>
      <w:r w:rsidRPr="004C4A80">
        <w:rPr>
          <w:rFonts w:ascii="Arial" w:eastAsia="Times New Roman" w:hAnsi="Arial" w:cs="Arial"/>
          <w:color w:val="222222"/>
          <w:lang w:eastAsia="en-GB"/>
        </w:rPr>
        <w:t>3. **Data Logging**: - Continuous data logging of temperature and alarm events. - Regular review and maintenance of logs to ensure compliance and traceability.</w:t>
      </w:r>
    </w:p>
    <w:p w14:paraId="51415AB8" w14:textId="77777777" w:rsidR="004C4A80" w:rsidRPr="004C4A80" w:rsidRDefault="004C4A80" w:rsidP="004C4A80">
      <w:pPr>
        <w:shd w:val="clear" w:color="auto" w:fill="FFFFFF"/>
        <w:spacing w:after="0" w:line="240" w:lineRule="auto"/>
        <w:rPr>
          <w:rFonts w:ascii="Arial" w:eastAsia="Times New Roman" w:hAnsi="Arial" w:cs="Arial"/>
          <w:color w:val="222222"/>
          <w:lang w:eastAsia="en-GB"/>
        </w:rPr>
      </w:pPr>
    </w:p>
    <w:p w14:paraId="2B18ABD1" w14:textId="77777777" w:rsidR="004C4A80" w:rsidRPr="004C4A80" w:rsidRDefault="004C4A80" w:rsidP="004C4A80">
      <w:pPr>
        <w:shd w:val="clear" w:color="auto" w:fill="FFFFFF"/>
        <w:spacing w:after="0" w:line="240" w:lineRule="auto"/>
        <w:rPr>
          <w:rFonts w:ascii="Arial" w:eastAsia="Times New Roman" w:hAnsi="Arial" w:cs="Arial"/>
          <w:color w:val="222222"/>
          <w:lang w:eastAsia="en-GB"/>
        </w:rPr>
      </w:pPr>
      <w:r w:rsidRPr="004C4A80">
        <w:rPr>
          <w:rFonts w:ascii="Arial" w:eastAsia="Times New Roman" w:hAnsi="Arial" w:cs="Arial"/>
          <w:color w:val="222222"/>
          <w:lang w:eastAsia="en-GB"/>
        </w:rPr>
        <w:t xml:space="preserve"> 4. **Redundancy and Fail-Safe Measures**: - Redundant sensors and alarm systems to prevent single points of failure. - Fail-safe mechanisms that activate in case of system malfunction. </w:t>
      </w:r>
    </w:p>
    <w:p w14:paraId="2732B589" w14:textId="77777777" w:rsidR="004C4A80" w:rsidRPr="004C4A80" w:rsidRDefault="004C4A80" w:rsidP="004C4A80">
      <w:pPr>
        <w:shd w:val="clear" w:color="auto" w:fill="FFFFFF"/>
        <w:spacing w:after="0" w:line="240" w:lineRule="auto"/>
        <w:rPr>
          <w:rFonts w:ascii="Arial" w:eastAsia="Times New Roman" w:hAnsi="Arial" w:cs="Arial"/>
          <w:color w:val="222222"/>
          <w:lang w:eastAsia="en-GB"/>
        </w:rPr>
      </w:pPr>
    </w:p>
    <w:p w14:paraId="2AD99AD4" w14:textId="77777777" w:rsidR="004C4A80" w:rsidRPr="004C4A80" w:rsidRDefault="004C4A80" w:rsidP="004C4A80">
      <w:pPr>
        <w:shd w:val="clear" w:color="auto" w:fill="FFFFFF"/>
        <w:spacing w:after="0" w:line="240" w:lineRule="auto"/>
        <w:rPr>
          <w:rFonts w:ascii="Arial" w:eastAsia="Times New Roman" w:hAnsi="Arial" w:cs="Arial"/>
          <w:color w:val="222222"/>
          <w:lang w:eastAsia="en-GB"/>
        </w:rPr>
      </w:pPr>
      <w:r w:rsidRPr="004C4A80">
        <w:rPr>
          <w:rFonts w:ascii="Arial" w:eastAsia="Times New Roman" w:hAnsi="Arial" w:cs="Arial"/>
          <w:color w:val="222222"/>
          <w:lang w:eastAsia="en-GB"/>
        </w:rPr>
        <w:t>5. **Regular Maintenance and Calibration**: - Routine checks and calibration of temperature sensors and alarm systems. - Scheduled maintenance to ensure all components are functioning correctly.</w:t>
      </w:r>
    </w:p>
    <w:p w14:paraId="4B7FB1F0" w14:textId="77777777" w:rsidR="004C4A80" w:rsidRPr="004C4A80" w:rsidRDefault="004C4A80" w:rsidP="004C4A80">
      <w:pPr>
        <w:shd w:val="clear" w:color="auto" w:fill="FFFFFF"/>
        <w:spacing w:after="0" w:line="240" w:lineRule="auto"/>
        <w:rPr>
          <w:rFonts w:ascii="Arial" w:eastAsia="Times New Roman" w:hAnsi="Arial" w:cs="Arial"/>
          <w:color w:val="222222"/>
          <w:lang w:eastAsia="en-GB"/>
        </w:rPr>
      </w:pPr>
    </w:p>
    <w:p w14:paraId="564049E7" w14:textId="77777777" w:rsidR="004C4A80" w:rsidRPr="004C4A80" w:rsidRDefault="004C4A80" w:rsidP="004C4A80">
      <w:pPr>
        <w:shd w:val="clear" w:color="auto" w:fill="FFFFFF"/>
        <w:spacing w:after="0" w:line="240" w:lineRule="auto"/>
        <w:rPr>
          <w:rFonts w:ascii="Arial" w:eastAsia="Times New Roman" w:hAnsi="Arial" w:cs="Arial"/>
          <w:color w:val="222222"/>
          <w:lang w:eastAsia="en-GB"/>
        </w:rPr>
      </w:pPr>
      <w:r w:rsidRPr="004C4A80">
        <w:rPr>
          <w:rFonts w:ascii="Arial" w:eastAsia="Times New Roman" w:hAnsi="Arial" w:cs="Arial"/>
          <w:color w:val="222222"/>
          <w:lang w:eastAsia="en-GB"/>
        </w:rPr>
        <w:t xml:space="preserve"> 6. **Compliance with Regulatory Standards**: - Adherence to local and international standards such as those from the Human Fertilisation and Embryology Authority (HFEA), the American Society for Reproductive Medicine (ASRM), and the College of American Pathologists (CAP). </w:t>
      </w:r>
    </w:p>
    <w:p w14:paraId="3092408F" w14:textId="77777777" w:rsidR="004C4A80" w:rsidRPr="004C4A80" w:rsidRDefault="004C4A80" w:rsidP="004C4A80">
      <w:pPr>
        <w:shd w:val="clear" w:color="auto" w:fill="FFFFFF"/>
        <w:spacing w:after="0" w:line="240" w:lineRule="auto"/>
        <w:rPr>
          <w:rFonts w:ascii="Arial" w:eastAsia="Times New Roman" w:hAnsi="Arial" w:cs="Arial"/>
          <w:color w:val="222222"/>
          <w:lang w:eastAsia="en-GB"/>
        </w:rPr>
      </w:pPr>
    </w:p>
    <w:p w14:paraId="6623C5BF" w14:textId="77777777" w:rsidR="004C4A80" w:rsidRPr="004C4A80" w:rsidRDefault="004C4A80" w:rsidP="004C4A80">
      <w:pPr>
        <w:shd w:val="clear" w:color="auto" w:fill="FFFFFF"/>
        <w:spacing w:after="0" w:line="240" w:lineRule="auto"/>
        <w:rPr>
          <w:rFonts w:ascii="Arial" w:eastAsia="Times New Roman" w:hAnsi="Arial" w:cs="Arial"/>
          <w:color w:val="222222"/>
          <w:lang w:eastAsia="en-GB"/>
        </w:rPr>
      </w:pPr>
      <w:r w:rsidRPr="004C4A80">
        <w:rPr>
          <w:rFonts w:ascii="Arial" w:eastAsia="Times New Roman" w:hAnsi="Arial" w:cs="Arial"/>
          <w:color w:val="222222"/>
          <w:lang w:eastAsia="en-GB"/>
        </w:rPr>
        <w:t>7. **Personnel Training**: - Regular training for staff on alarm response protocols. - Clear documentation and procedural guidelines for handling alarm events.</w:t>
      </w:r>
    </w:p>
    <w:p w14:paraId="3A51FA53" w14:textId="77777777" w:rsidR="004C4A80" w:rsidRPr="004C4A80" w:rsidRDefault="004C4A80" w:rsidP="004C4A80">
      <w:pPr>
        <w:shd w:val="clear" w:color="auto" w:fill="FFFFFF"/>
        <w:spacing w:after="0" w:line="240" w:lineRule="auto"/>
        <w:rPr>
          <w:rFonts w:ascii="Arial" w:eastAsia="Times New Roman" w:hAnsi="Arial" w:cs="Arial"/>
          <w:color w:val="222222"/>
          <w:lang w:eastAsia="en-GB"/>
        </w:rPr>
      </w:pPr>
    </w:p>
    <w:p w14:paraId="5D4DBDEA" w14:textId="056622CE" w:rsidR="004C4A80" w:rsidRPr="004C4A80" w:rsidRDefault="004C4A80" w:rsidP="004C4A80">
      <w:pPr>
        <w:shd w:val="clear" w:color="auto" w:fill="FFFFFF"/>
        <w:spacing w:after="0" w:line="240" w:lineRule="auto"/>
        <w:rPr>
          <w:rFonts w:ascii="Arial" w:eastAsia="Times New Roman" w:hAnsi="Arial" w:cs="Arial"/>
          <w:color w:val="222222"/>
          <w:lang w:eastAsia="en-GB"/>
        </w:rPr>
      </w:pPr>
      <w:r w:rsidRPr="004C4A80">
        <w:rPr>
          <w:rFonts w:ascii="Arial" w:eastAsia="Times New Roman" w:hAnsi="Arial" w:cs="Arial"/>
          <w:color w:val="222222"/>
          <w:lang w:eastAsia="en-GB"/>
        </w:rPr>
        <w:t xml:space="preserve"> 8. **Physical Security**: - Controlled access to storage areas to prevent unauthorized entry and tampering. - Security systems integrated with alarm monitoring. These measures collectively ensure the protection and viability of stored gametes, minimizing the risk of damage or loss due to temperature fluctuations or system failures.</w:t>
      </w:r>
    </w:p>
    <w:p w14:paraId="08BD813E" w14:textId="77777777" w:rsidR="004C4A80" w:rsidRPr="004C4A80" w:rsidRDefault="004C4A80" w:rsidP="004C4A80">
      <w:pPr>
        <w:pStyle w:val="Heading2"/>
        <w:numPr>
          <w:ilvl w:val="0"/>
          <w:numId w:val="0"/>
        </w:numPr>
        <w:tabs>
          <w:tab w:val="left" w:pos="720"/>
        </w:tabs>
        <w:overflowPunct w:val="0"/>
        <w:autoSpaceDE w:val="0"/>
        <w:autoSpaceDN w:val="0"/>
        <w:spacing w:after="120"/>
        <w:ind w:left="720" w:hanging="720"/>
        <w:textAlignment w:val="baseline"/>
        <w:rPr>
          <w:rFonts w:asciiTheme="minorHAnsi" w:hAnsiTheme="minorHAnsi" w:cstheme="minorHAnsi"/>
          <w:lang w:eastAsia="en-US"/>
        </w:rPr>
      </w:pPr>
    </w:p>
    <w:p w14:paraId="6F5ABB8B" w14:textId="06D9B252" w:rsidR="002E3937" w:rsidRPr="004C4A80" w:rsidRDefault="002E3937" w:rsidP="002E3937">
      <w:pPr>
        <w:keepNext/>
        <w:spacing w:after="0" w:line="240" w:lineRule="auto"/>
        <w:ind w:right="96"/>
        <w:jc w:val="both"/>
        <w:outlineLvl w:val="0"/>
        <w:rPr>
          <w:rFonts w:cstheme="minorHAnsi"/>
        </w:rPr>
      </w:pPr>
    </w:p>
    <w:p w14:paraId="689A99C7" w14:textId="77777777" w:rsidR="002E3937" w:rsidRPr="002E3937" w:rsidRDefault="002E3937" w:rsidP="002E3937">
      <w:pPr>
        <w:keepNext/>
        <w:spacing w:after="0" w:line="240" w:lineRule="auto"/>
        <w:ind w:right="96"/>
        <w:jc w:val="both"/>
        <w:outlineLvl w:val="0"/>
        <w:rPr>
          <w:rFonts w:cstheme="minorHAnsi"/>
        </w:rPr>
      </w:pPr>
    </w:p>
    <w:p w14:paraId="5695599C" w14:textId="2956C9AD" w:rsidR="00485584" w:rsidRPr="00D31259" w:rsidRDefault="001B386B" w:rsidP="00183B42">
      <w:pPr>
        <w:spacing w:after="0" w:line="240" w:lineRule="auto"/>
        <w:rPr>
          <w:rFonts w:cstheme="minorHAnsi"/>
          <w:b/>
        </w:rPr>
      </w:pPr>
      <w:r>
        <w:rPr>
          <w:rFonts w:cstheme="minorHAnsi"/>
          <w:b/>
        </w:rPr>
        <w:t>2</w:t>
      </w:r>
      <w:r>
        <w:rPr>
          <w:rFonts w:cstheme="minorHAnsi"/>
          <w:b/>
        </w:rPr>
        <w:tab/>
      </w:r>
      <w:r w:rsidR="00D8603A">
        <w:rPr>
          <w:rFonts w:cstheme="minorHAnsi"/>
          <w:b/>
        </w:rPr>
        <w:t xml:space="preserve">OBJECTIVES OF THE </w:t>
      </w:r>
      <w:proofErr w:type="gramStart"/>
      <w:r w:rsidR="00D8603A">
        <w:rPr>
          <w:rFonts w:cstheme="minorHAnsi"/>
          <w:b/>
        </w:rPr>
        <w:t>PRE ENGAGEMENT</w:t>
      </w:r>
      <w:proofErr w:type="gramEnd"/>
      <w:r w:rsidR="00D8603A">
        <w:rPr>
          <w:rFonts w:cstheme="minorHAnsi"/>
          <w:b/>
        </w:rPr>
        <w:t xml:space="preserve"> </w:t>
      </w:r>
      <w:r w:rsidR="00485584" w:rsidRPr="00D31259">
        <w:rPr>
          <w:rFonts w:cstheme="minorHAnsi"/>
          <w:b/>
        </w:rPr>
        <w:t>PROCESS</w:t>
      </w:r>
    </w:p>
    <w:p w14:paraId="3A9B9488" w14:textId="77777777" w:rsidR="00485584" w:rsidRPr="00B929A7" w:rsidRDefault="00485584" w:rsidP="00485584">
      <w:pPr>
        <w:pStyle w:val="ListParagraph"/>
        <w:numPr>
          <w:ilvl w:val="0"/>
          <w:numId w:val="5"/>
        </w:numPr>
        <w:spacing w:after="0" w:line="240" w:lineRule="auto"/>
        <w:rPr>
          <w:rFonts w:eastAsia="Calibri" w:cstheme="minorHAnsi"/>
        </w:rPr>
      </w:pPr>
      <w:r>
        <w:rPr>
          <w:rFonts w:cstheme="minorHAnsi"/>
        </w:rPr>
        <w:t>To gain understanding of products available in the market</w:t>
      </w:r>
      <w:r w:rsidR="00D31259">
        <w:rPr>
          <w:rFonts w:cstheme="minorHAnsi"/>
        </w:rPr>
        <w:t xml:space="preserve"> and also understand how the market is structured </w:t>
      </w:r>
    </w:p>
    <w:p w14:paraId="7D9DFD98" w14:textId="77777777" w:rsidR="00B929A7" w:rsidRPr="00485584" w:rsidRDefault="00B929A7" w:rsidP="00485584">
      <w:pPr>
        <w:pStyle w:val="ListParagraph"/>
        <w:numPr>
          <w:ilvl w:val="0"/>
          <w:numId w:val="5"/>
        </w:numPr>
        <w:spacing w:after="0" w:line="240" w:lineRule="auto"/>
        <w:rPr>
          <w:rFonts w:eastAsia="Calibri" w:cstheme="minorHAnsi"/>
        </w:rPr>
      </w:pPr>
      <w:r>
        <w:rPr>
          <w:rFonts w:eastAsia="Calibri" w:cstheme="minorHAnsi"/>
        </w:rPr>
        <w:t xml:space="preserve">To obtain indicative pricing information to support our business case </w:t>
      </w:r>
    </w:p>
    <w:p w14:paraId="3116A868" w14:textId="77777777" w:rsidR="00D31259" w:rsidRPr="00D31259" w:rsidRDefault="00485584" w:rsidP="00485584">
      <w:pPr>
        <w:pStyle w:val="ListParagraph"/>
        <w:numPr>
          <w:ilvl w:val="0"/>
          <w:numId w:val="5"/>
        </w:numPr>
        <w:spacing w:after="0" w:line="240" w:lineRule="auto"/>
        <w:rPr>
          <w:rFonts w:eastAsia="Calibri" w:cstheme="minorHAnsi"/>
        </w:rPr>
      </w:pPr>
      <w:r>
        <w:rPr>
          <w:rFonts w:cstheme="minorHAnsi"/>
        </w:rPr>
        <w:t xml:space="preserve">To </w:t>
      </w:r>
      <w:r w:rsidR="00D31259">
        <w:rPr>
          <w:rFonts w:cstheme="minorHAnsi"/>
        </w:rPr>
        <w:t xml:space="preserve">gain understanding of how available products are priced. </w:t>
      </w:r>
    </w:p>
    <w:p w14:paraId="4D475EBE" w14:textId="77777777" w:rsidR="00485584" w:rsidRPr="00D31259" w:rsidRDefault="00D31259" w:rsidP="00485584">
      <w:pPr>
        <w:pStyle w:val="ListParagraph"/>
        <w:numPr>
          <w:ilvl w:val="0"/>
          <w:numId w:val="5"/>
        </w:numPr>
        <w:spacing w:after="0" w:line="240" w:lineRule="auto"/>
        <w:rPr>
          <w:rFonts w:eastAsia="Calibri" w:cstheme="minorHAnsi"/>
        </w:rPr>
      </w:pPr>
      <w:r>
        <w:rPr>
          <w:rFonts w:cstheme="minorHAnsi"/>
        </w:rPr>
        <w:t>To determine its route to market</w:t>
      </w:r>
    </w:p>
    <w:p w14:paraId="460A8B5F" w14:textId="77777777" w:rsidR="00D31259" w:rsidRPr="005772A2" w:rsidRDefault="00D31259" w:rsidP="00D31259">
      <w:pPr>
        <w:pStyle w:val="ListParagraph"/>
        <w:numPr>
          <w:ilvl w:val="0"/>
          <w:numId w:val="5"/>
        </w:numPr>
        <w:spacing w:after="0" w:line="240" w:lineRule="auto"/>
        <w:contextualSpacing w:val="0"/>
        <w:jc w:val="both"/>
        <w:rPr>
          <w:rFonts w:cs="Arial"/>
          <w:bCs/>
        </w:rPr>
      </w:pPr>
      <w:r w:rsidRPr="005772A2">
        <w:rPr>
          <w:rFonts w:cs="Arial"/>
          <w:bCs/>
        </w:rPr>
        <w:t xml:space="preserve">Gain the required information </w:t>
      </w:r>
      <w:r w:rsidR="009176C6">
        <w:rPr>
          <w:rFonts w:cs="Arial"/>
          <w:bCs/>
        </w:rPr>
        <w:t xml:space="preserve">to validate </w:t>
      </w:r>
      <w:r w:rsidR="00E91FFE">
        <w:rPr>
          <w:rFonts w:cs="Arial"/>
          <w:bCs/>
        </w:rPr>
        <w:t xml:space="preserve">their </w:t>
      </w:r>
      <w:r w:rsidR="00E91FFE" w:rsidRPr="005772A2">
        <w:rPr>
          <w:rFonts w:cs="Arial"/>
          <w:bCs/>
        </w:rPr>
        <w:t>tender</w:t>
      </w:r>
      <w:r w:rsidRPr="005772A2">
        <w:rPr>
          <w:rFonts w:cs="Arial"/>
          <w:bCs/>
        </w:rPr>
        <w:t xml:space="preserve"> specification and scope of work</w:t>
      </w:r>
    </w:p>
    <w:p w14:paraId="1D918804" w14:textId="77777777" w:rsidR="00D31259" w:rsidRPr="00485584" w:rsidRDefault="00D31259" w:rsidP="00485584">
      <w:pPr>
        <w:pStyle w:val="ListParagraph"/>
        <w:numPr>
          <w:ilvl w:val="0"/>
          <w:numId w:val="5"/>
        </w:numPr>
        <w:spacing w:after="0" w:line="240" w:lineRule="auto"/>
        <w:rPr>
          <w:rFonts w:eastAsia="Calibri" w:cstheme="minorHAnsi"/>
        </w:rPr>
      </w:pPr>
      <w:r>
        <w:rPr>
          <w:rFonts w:eastAsia="Calibri" w:cstheme="minorHAnsi"/>
        </w:rPr>
        <w:t>To ensure that the specification</w:t>
      </w:r>
      <w:r w:rsidR="009176C6">
        <w:rPr>
          <w:rFonts w:eastAsia="Calibri" w:cstheme="minorHAnsi"/>
        </w:rPr>
        <w:t xml:space="preserve">s and Requirements are </w:t>
      </w:r>
      <w:r>
        <w:rPr>
          <w:rFonts w:eastAsia="Calibri" w:cstheme="minorHAnsi"/>
        </w:rPr>
        <w:t>fit for purpose</w:t>
      </w:r>
    </w:p>
    <w:p w14:paraId="731BC662" w14:textId="77777777" w:rsidR="008A0B29" w:rsidRPr="008A0B29" w:rsidRDefault="008A0B29" w:rsidP="00183B42">
      <w:pPr>
        <w:spacing w:after="0" w:line="240" w:lineRule="auto"/>
        <w:rPr>
          <w:rFonts w:eastAsia="Calibri" w:cstheme="minorHAnsi"/>
          <w:b/>
        </w:rPr>
      </w:pPr>
    </w:p>
    <w:p w14:paraId="0B96A201" w14:textId="4722B0A5" w:rsidR="008A0B29" w:rsidRDefault="008A0B29" w:rsidP="008A0B29">
      <w:pPr>
        <w:rPr>
          <w:rFonts w:cstheme="minorHAnsi"/>
          <w:b/>
        </w:rPr>
      </w:pPr>
      <w:r w:rsidRPr="00D31259">
        <w:rPr>
          <w:rFonts w:cstheme="minorHAnsi"/>
          <w:b/>
        </w:rPr>
        <w:t xml:space="preserve">Functionally the </w:t>
      </w:r>
      <w:r w:rsidR="006B0646">
        <w:rPr>
          <w:rFonts w:cstheme="minorHAnsi"/>
          <w:b/>
        </w:rPr>
        <w:t xml:space="preserve">Alarms and Monitoring </w:t>
      </w:r>
      <w:r w:rsidRPr="00D31259">
        <w:rPr>
          <w:rFonts w:cstheme="minorHAnsi"/>
          <w:b/>
        </w:rPr>
        <w:t xml:space="preserve">system we seek should </w:t>
      </w:r>
      <w:r w:rsidR="001B386B">
        <w:rPr>
          <w:rFonts w:cstheme="minorHAnsi"/>
          <w:b/>
        </w:rPr>
        <w:t>comply with</w:t>
      </w:r>
      <w:r w:rsidR="006B0646">
        <w:rPr>
          <w:rFonts w:cstheme="minorHAnsi"/>
          <w:b/>
        </w:rPr>
        <w:t xml:space="preserve"> the attached </w:t>
      </w:r>
    </w:p>
    <w:p w14:paraId="2CD1B258" w14:textId="77777777" w:rsidR="006B0646" w:rsidRPr="00D31259" w:rsidRDefault="006B0646" w:rsidP="008A0B29">
      <w:pPr>
        <w:rPr>
          <w:rFonts w:cstheme="minorHAnsi"/>
          <w:b/>
        </w:rPr>
      </w:pPr>
      <w:r>
        <w:rPr>
          <w:rFonts w:cstheme="minorHAnsi"/>
          <w:b/>
        </w:rPr>
        <w:object w:dxaOrig="1508" w:dyaOrig="983" w14:anchorId="4DACC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55pt;height:49.2pt" o:ole="">
            <v:imagedata r:id="rId6" o:title=""/>
          </v:shape>
          <o:OLEObject Type="Embed" ProgID="Excel.Sheet.12" ShapeID="_x0000_i1026" DrawAspect="Icon" ObjectID="_1784402534" r:id="rId7"/>
        </w:object>
      </w:r>
    </w:p>
    <w:p w14:paraId="03B3935E" w14:textId="77777777" w:rsidR="00AD0CEF" w:rsidRDefault="00AD0CEF" w:rsidP="00EE33FA">
      <w:pPr>
        <w:pStyle w:val="ListParagraph"/>
        <w:shd w:val="clear" w:color="auto" w:fill="FFFFFF"/>
        <w:spacing w:after="0" w:line="240" w:lineRule="auto"/>
        <w:ind w:left="790"/>
        <w:contextualSpacing w:val="0"/>
        <w:rPr>
          <w:rFonts w:eastAsia="STZhongsong"/>
          <w:sz w:val="24"/>
        </w:rPr>
      </w:pPr>
    </w:p>
    <w:p w14:paraId="1B2935DF" w14:textId="77777777" w:rsidR="00AD0CEF" w:rsidRDefault="00AD0CEF" w:rsidP="00EE33FA">
      <w:pPr>
        <w:pStyle w:val="ListParagraph"/>
        <w:shd w:val="clear" w:color="auto" w:fill="FFFFFF"/>
        <w:spacing w:after="0" w:line="240" w:lineRule="auto"/>
        <w:ind w:left="790"/>
        <w:contextualSpacing w:val="0"/>
        <w:rPr>
          <w:rFonts w:eastAsia="STZhongsong"/>
          <w:sz w:val="24"/>
        </w:rPr>
      </w:pPr>
    </w:p>
    <w:p w14:paraId="170472BF" w14:textId="77777777" w:rsidR="00AD0CEF" w:rsidRDefault="00AD0CEF" w:rsidP="00EE33FA">
      <w:pPr>
        <w:pStyle w:val="ListParagraph"/>
        <w:shd w:val="clear" w:color="auto" w:fill="FFFFFF"/>
        <w:spacing w:after="0" w:line="240" w:lineRule="auto"/>
        <w:ind w:left="790"/>
        <w:contextualSpacing w:val="0"/>
        <w:rPr>
          <w:rFonts w:eastAsia="STZhongsong"/>
          <w:sz w:val="24"/>
        </w:rPr>
      </w:pPr>
    </w:p>
    <w:p w14:paraId="20B2CED9" w14:textId="77777777" w:rsidR="00485584" w:rsidRDefault="00485584" w:rsidP="00485584">
      <w:pPr>
        <w:jc w:val="both"/>
        <w:rPr>
          <w:rFonts w:cs="Arial"/>
        </w:rPr>
      </w:pPr>
      <w:r w:rsidRPr="005772A2">
        <w:rPr>
          <w:rFonts w:cs="Arial"/>
        </w:rPr>
        <w:t>3</w:t>
      </w:r>
      <w:r w:rsidRPr="005772A2">
        <w:rPr>
          <w:rFonts w:cs="Arial"/>
        </w:rPr>
        <w:tab/>
        <w:t xml:space="preserve">TIMESCALES </w:t>
      </w:r>
    </w:p>
    <w:p w14:paraId="06B61CEC" w14:textId="54D1BEAB" w:rsidR="00485584" w:rsidRPr="005772A2" w:rsidRDefault="00485584" w:rsidP="00485584">
      <w:pPr>
        <w:ind w:left="720"/>
        <w:jc w:val="both"/>
        <w:rPr>
          <w:rFonts w:cs="Arial"/>
        </w:rPr>
      </w:pPr>
      <w:r w:rsidRPr="005772A2">
        <w:rPr>
          <w:rFonts w:cs="Arial"/>
        </w:rPr>
        <w:t xml:space="preserve">The timetable for this </w:t>
      </w:r>
      <w:bookmarkStart w:id="3" w:name="_GoBack"/>
      <w:bookmarkEnd w:id="3"/>
      <w:r w:rsidR="001B386B" w:rsidRPr="005772A2">
        <w:rPr>
          <w:rFonts w:cs="Arial"/>
        </w:rPr>
        <w:t>pre-market</w:t>
      </w:r>
      <w:r w:rsidRPr="005772A2">
        <w:rPr>
          <w:rFonts w:cs="Arial"/>
        </w:rPr>
        <w:t xml:space="preserve"> engagement is outlined below: </w:t>
      </w:r>
    </w:p>
    <w:p w14:paraId="13804528" w14:textId="77777777" w:rsidR="00485584" w:rsidRPr="005772A2" w:rsidRDefault="00485584" w:rsidP="00485584">
      <w:pPr>
        <w:ind w:left="1418" w:firstLine="22"/>
        <w:jc w:val="both"/>
        <w:rPr>
          <w:rFonts w:cs="Arial"/>
          <w:bCs/>
          <w:color w:val="FF0000"/>
        </w:rPr>
      </w:pPr>
    </w:p>
    <w:tbl>
      <w:tblPr>
        <w:tblW w:w="7902" w:type="dxa"/>
        <w:tblInd w:w="1384" w:type="dxa"/>
        <w:tblLayout w:type="fixed"/>
        <w:tblLook w:val="0000" w:firstRow="0" w:lastRow="0" w:firstColumn="0" w:lastColumn="0" w:noHBand="0" w:noVBand="0"/>
      </w:tblPr>
      <w:tblGrid>
        <w:gridCol w:w="4394"/>
        <w:gridCol w:w="3508"/>
      </w:tblGrid>
      <w:tr w:rsidR="00485584" w:rsidRPr="005772A2" w14:paraId="409BD326" w14:textId="77777777" w:rsidTr="00E7024C">
        <w:trPr>
          <w:trHeight w:val="396"/>
        </w:trPr>
        <w:tc>
          <w:tcPr>
            <w:tcW w:w="4394" w:type="dxa"/>
            <w:tcBorders>
              <w:top w:val="single" w:sz="6" w:space="0" w:color="auto"/>
              <w:left w:val="single" w:sz="6" w:space="0" w:color="auto"/>
              <w:bottom w:val="single" w:sz="6" w:space="0" w:color="auto"/>
              <w:right w:val="single" w:sz="6" w:space="0" w:color="auto"/>
            </w:tcBorders>
            <w:shd w:val="clear" w:color="auto" w:fill="C6D9F1"/>
            <w:vAlign w:val="center"/>
          </w:tcPr>
          <w:p w14:paraId="3AE9C495" w14:textId="77777777" w:rsidR="00485584" w:rsidRPr="005772A2" w:rsidRDefault="00485584" w:rsidP="00E7024C">
            <w:pPr>
              <w:jc w:val="center"/>
              <w:rPr>
                <w:rFonts w:cs="Arial"/>
                <w:b/>
                <w:bCs/>
              </w:rPr>
            </w:pPr>
            <w:r w:rsidRPr="005772A2">
              <w:rPr>
                <w:rFonts w:cs="Arial"/>
                <w:b/>
                <w:bCs/>
              </w:rPr>
              <w:t xml:space="preserve">Pre market engagement activities </w:t>
            </w:r>
          </w:p>
        </w:tc>
        <w:tc>
          <w:tcPr>
            <w:tcW w:w="3508" w:type="dxa"/>
            <w:tcBorders>
              <w:top w:val="single" w:sz="6" w:space="0" w:color="auto"/>
              <w:left w:val="single" w:sz="6" w:space="0" w:color="auto"/>
              <w:bottom w:val="single" w:sz="6" w:space="0" w:color="auto"/>
              <w:right w:val="single" w:sz="6" w:space="0" w:color="auto"/>
            </w:tcBorders>
            <w:shd w:val="clear" w:color="auto" w:fill="C6D9F1"/>
            <w:vAlign w:val="center"/>
          </w:tcPr>
          <w:p w14:paraId="352752AF" w14:textId="77777777" w:rsidR="00485584" w:rsidRPr="005772A2" w:rsidRDefault="00485584" w:rsidP="00E7024C">
            <w:pPr>
              <w:jc w:val="center"/>
              <w:rPr>
                <w:rFonts w:cs="Arial"/>
                <w:b/>
                <w:bCs/>
              </w:rPr>
            </w:pPr>
            <w:r w:rsidRPr="005772A2">
              <w:rPr>
                <w:rFonts w:cs="Arial"/>
                <w:b/>
                <w:bCs/>
              </w:rPr>
              <w:t xml:space="preserve">Planned Dates </w:t>
            </w:r>
          </w:p>
        </w:tc>
      </w:tr>
      <w:tr w:rsidR="00485584" w:rsidRPr="005772A2" w14:paraId="5BD676AF" w14:textId="77777777" w:rsidTr="00D31259">
        <w:trPr>
          <w:trHeight w:val="1214"/>
        </w:trPr>
        <w:tc>
          <w:tcPr>
            <w:tcW w:w="4394" w:type="dxa"/>
            <w:tcBorders>
              <w:top w:val="single" w:sz="6" w:space="0" w:color="auto"/>
              <w:left w:val="single" w:sz="6" w:space="0" w:color="auto"/>
              <w:bottom w:val="single" w:sz="6" w:space="0" w:color="auto"/>
              <w:right w:val="single" w:sz="6" w:space="0" w:color="auto"/>
            </w:tcBorders>
            <w:vAlign w:val="center"/>
          </w:tcPr>
          <w:p w14:paraId="35002EE6" w14:textId="77777777" w:rsidR="00485584" w:rsidRPr="005772A2" w:rsidRDefault="00485584" w:rsidP="00E7024C">
            <w:pPr>
              <w:jc w:val="center"/>
              <w:rPr>
                <w:rFonts w:cs="Arial"/>
                <w:bCs/>
              </w:rPr>
            </w:pPr>
            <w:r w:rsidRPr="005772A2">
              <w:rPr>
                <w:rFonts w:cs="Arial"/>
                <w:bCs/>
              </w:rPr>
              <w:t xml:space="preserve">Issue premarket engagement document </w:t>
            </w:r>
          </w:p>
        </w:tc>
        <w:tc>
          <w:tcPr>
            <w:tcW w:w="3508" w:type="dxa"/>
            <w:tcBorders>
              <w:top w:val="single" w:sz="6" w:space="0" w:color="auto"/>
              <w:left w:val="single" w:sz="6" w:space="0" w:color="auto"/>
              <w:bottom w:val="single" w:sz="6" w:space="0" w:color="auto"/>
              <w:right w:val="single" w:sz="6" w:space="0" w:color="auto"/>
            </w:tcBorders>
            <w:shd w:val="clear" w:color="auto" w:fill="FFFF99"/>
            <w:vAlign w:val="center"/>
          </w:tcPr>
          <w:p w14:paraId="6313FC14" w14:textId="77777777" w:rsidR="00D31259" w:rsidRDefault="00D31259" w:rsidP="00E7024C">
            <w:pPr>
              <w:jc w:val="center"/>
              <w:rPr>
                <w:rFonts w:cs="Arial"/>
                <w:bCs/>
              </w:rPr>
            </w:pPr>
          </w:p>
          <w:p w14:paraId="10BA72E5" w14:textId="77777777" w:rsidR="00485584" w:rsidRPr="005772A2" w:rsidRDefault="006B0646" w:rsidP="00D31259">
            <w:pPr>
              <w:jc w:val="center"/>
              <w:rPr>
                <w:rFonts w:cs="Arial"/>
                <w:bCs/>
              </w:rPr>
            </w:pPr>
            <w:r>
              <w:rPr>
                <w:rFonts w:cs="Arial"/>
                <w:bCs/>
              </w:rPr>
              <w:t>5th</w:t>
            </w:r>
            <w:r w:rsidR="00B929A7">
              <w:rPr>
                <w:rFonts w:cs="Arial"/>
                <w:bCs/>
              </w:rPr>
              <w:t xml:space="preserve"> August 2024</w:t>
            </w:r>
          </w:p>
        </w:tc>
      </w:tr>
      <w:tr w:rsidR="00485584" w:rsidRPr="005772A2" w14:paraId="43A982A3" w14:textId="77777777" w:rsidTr="00E7024C">
        <w:trPr>
          <w:trHeight w:val="510"/>
        </w:trPr>
        <w:tc>
          <w:tcPr>
            <w:tcW w:w="4394" w:type="dxa"/>
            <w:tcBorders>
              <w:top w:val="single" w:sz="6" w:space="0" w:color="auto"/>
              <w:left w:val="single" w:sz="6" w:space="0" w:color="auto"/>
              <w:bottom w:val="single" w:sz="6" w:space="0" w:color="auto"/>
              <w:right w:val="single" w:sz="6" w:space="0" w:color="auto"/>
            </w:tcBorders>
            <w:vAlign w:val="center"/>
          </w:tcPr>
          <w:p w14:paraId="4D93F9F4" w14:textId="77777777" w:rsidR="00485584" w:rsidRPr="005772A2" w:rsidRDefault="00485584" w:rsidP="00E7024C">
            <w:pPr>
              <w:jc w:val="center"/>
              <w:rPr>
                <w:rFonts w:cs="Arial"/>
                <w:bCs/>
              </w:rPr>
            </w:pPr>
            <w:r w:rsidRPr="005772A2">
              <w:rPr>
                <w:rFonts w:cs="Arial"/>
                <w:bCs/>
              </w:rPr>
              <w:t xml:space="preserve">Clarification questions </w:t>
            </w:r>
          </w:p>
        </w:tc>
        <w:tc>
          <w:tcPr>
            <w:tcW w:w="3508" w:type="dxa"/>
            <w:tcBorders>
              <w:top w:val="single" w:sz="6" w:space="0" w:color="auto"/>
              <w:left w:val="single" w:sz="6" w:space="0" w:color="auto"/>
              <w:bottom w:val="single" w:sz="6" w:space="0" w:color="auto"/>
              <w:right w:val="single" w:sz="6" w:space="0" w:color="auto"/>
            </w:tcBorders>
            <w:shd w:val="clear" w:color="auto" w:fill="FFFF99"/>
            <w:vAlign w:val="center"/>
          </w:tcPr>
          <w:p w14:paraId="40E8F270" w14:textId="77777777" w:rsidR="00485584" w:rsidRPr="005772A2" w:rsidDel="00B725B0" w:rsidRDefault="006B0646" w:rsidP="00E7024C">
            <w:pPr>
              <w:jc w:val="center"/>
              <w:rPr>
                <w:rFonts w:cs="Arial"/>
                <w:bCs/>
              </w:rPr>
            </w:pPr>
            <w:r>
              <w:rPr>
                <w:rFonts w:cs="Arial"/>
                <w:bCs/>
              </w:rPr>
              <w:t>20</w:t>
            </w:r>
            <w:proofErr w:type="gramStart"/>
            <w:r w:rsidR="00B929A7" w:rsidRPr="00B929A7">
              <w:rPr>
                <w:rFonts w:cs="Arial"/>
                <w:bCs/>
                <w:vertAlign w:val="superscript"/>
              </w:rPr>
              <w:t>th</w:t>
            </w:r>
            <w:r w:rsidR="00B929A7">
              <w:rPr>
                <w:rFonts w:cs="Arial"/>
                <w:bCs/>
              </w:rPr>
              <w:t xml:space="preserve"> </w:t>
            </w:r>
            <w:r w:rsidR="001601AE">
              <w:rPr>
                <w:rFonts w:cs="Arial"/>
                <w:bCs/>
              </w:rPr>
              <w:t xml:space="preserve"> </w:t>
            </w:r>
            <w:r w:rsidR="00EE33FA">
              <w:rPr>
                <w:rFonts w:cs="Arial"/>
                <w:bCs/>
              </w:rPr>
              <w:t>August</w:t>
            </w:r>
            <w:proofErr w:type="gramEnd"/>
            <w:r w:rsidR="00EE33FA">
              <w:rPr>
                <w:rFonts w:cs="Arial"/>
                <w:bCs/>
              </w:rPr>
              <w:t>, 2024</w:t>
            </w:r>
          </w:p>
        </w:tc>
      </w:tr>
      <w:tr w:rsidR="00485584" w:rsidRPr="005772A2" w14:paraId="1232177A" w14:textId="77777777" w:rsidTr="00E7024C">
        <w:trPr>
          <w:trHeight w:val="510"/>
        </w:trPr>
        <w:tc>
          <w:tcPr>
            <w:tcW w:w="4394" w:type="dxa"/>
            <w:tcBorders>
              <w:top w:val="single" w:sz="6" w:space="0" w:color="auto"/>
              <w:left w:val="single" w:sz="6" w:space="0" w:color="auto"/>
              <w:bottom w:val="single" w:sz="6" w:space="0" w:color="auto"/>
              <w:right w:val="single" w:sz="6" w:space="0" w:color="auto"/>
            </w:tcBorders>
            <w:vAlign w:val="center"/>
          </w:tcPr>
          <w:p w14:paraId="590579C9" w14:textId="77777777" w:rsidR="00485584" w:rsidRPr="005772A2" w:rsidRDefault="00485584" w:rsidP="00E7024C">
            <w:pPr>
              <w:jc w:val="center"/>
              <w:rPr>
                <w:rFonts w:cs="Arial"/>
                <w:bCs/>
              </w:rPr>
            </w:pPr>
            <w:r w:rsidRPr="005772A2">
              <w:rPr>
                <w:rFonts w:cs="Arial"/>
                <w:bCs/>
              </w:rPr>
              <w:t xml:space="preserve">Submit proposals  </w:t>
            </w:r>
          </w:p>
        </w:tc>
        <w:tc>
          <w:tcPr>
            <w:tcW w:w="3508" w:type="dxa"/>
            <w:tcBorders>
              <w:top w:val="single" w:sz="6" w:space="0" w:color="auto"/>
              <w:left w:val="single" w:sz="6" w:space="0" w:color="auto"/>
              <w:bottom w:val="single" w:sz="6" w:space="0" w:color="auto"/>
              <w:right w:val="single" w:sz="6" w:space="0" w:color="auto"/>
            </w:tcBorders>
            <w:shd w:val="clear" w:color="auto" w:fill="FFFF99"/>
            <w:vAlign w:val="center"/>
          </w:tcPr>
          <w:p w14:paraId="421DF44D" w14:textId="77777777" w:rsidR="00485584" w:rsidRPr="005772A2" w:rsidRDefault="006B0646" w:rsidP="00E7024C">
            <w:pPr>
              <w:jc w:val="center"/>
              <w:rPr>
                <w:rFonts w:cs="Arial"/>
                <w:bCs/>
              </w:rPr>
            </w:pPr>
            <w:r>
              <w:rPr>
                <w:rFonts w:cs="Arial"/>
                <w:bCs/>
              </w:rPr>
              <w:t>26</w:t>
            </w:r>
            <w:proofErr w:type="gramStart"/>
            <w:r>
              <w:rPr>
                <w:rFonts w:cs="Arial"/>
                <w:bCs/>
              </w:rPr>
              <w:t>th</w:t>
            </w:r>
            <w:r w:rsidR="00B929A7" w:rsidRPr="00B929A7">
              <w:rPr>
                <w:rFonts w:cs="Arial"/>
                <w:bCs/>
                <w:vertAlign w:val="superscript"/>
              </w:rPr>
              <w:t>th</w:t>
            </w:r>
            <w:r w:rsidR="00B929A7">
              <w:rPr>
                <w:rFonts w:cs="Arial"/>
                <w:bCs/>
              </w:rPr>
              <w:t xml:space="preserve"> </w:t>
            </w:r>
            <w:r w:rsidR="00EE33FA">
              <w:rPr>
                <w:rFonts w:cs="Arial"/>
                <w:bCs/>
              </w:rPr>
              <w:t xml:space="preserve"> August</w:t>
            </w:r>
            <w:proofErr w:type="gramEnd"/>
            <w:r w:rsidR="00EE33FA">
              <w:rPr>
                <w:rFonts w:cs="Arial"/>
                <w:bCs/>
              </w:rPr>
              <w:t xml:space="preserve"> 2</w:t>
            </w:r>
            <w:r w:rsidR="001601AE">
              <w:rPr>
                <w:rFonts w:cs="Arial"/>
                <w:bCs/>
              </w:rPr>
              <w:t>02</w:t>
            </w:r>
            <w:r w:rsidR="00EE33FA">
              <w:rPr>
                <w:rFonts w:cs="Arial"/>
                <w:bCs/>
              </w:rPr>
              <w:t>4</w:t>
            </w:r>
          </w:p>
        </w:tc>
      </w:tr>
      <w:tr w:rsidR="00485584" w:rsidRPr="005772A2" w14:paraId="28FF5D0B" w14:textId="77777777" w:rsidTr="00E7024C">
        <w:trPr>
          <w:trHeight w:val="510"/>
        </w:trPr>
        <w:tc>
          <w:tcPr>
            <w:tcW w:w="4394" w:type="dxa"/>
            <w:tcBorders>
              <w:top w:val="single" w:sz="6" w:space="0" w:color="auto"/>
              <w:left w:val="single" w:sz="6" w:space="0" w:color="auto"/>
              <w:bottom w:val="single" w:sz="6" w:space="0" w:color="auto"/>
              <w:right w:val="single" w:sz="6" w:space="0" w:color="auto"/>
            </w:tcBorders>
            <w:vAlign w:val="center"/>
          </w:tcPr>
          <w:p w14:paraId="26BB4D35" w14:textId="77777777" w:rsidR="00485584" w:rsidRPr="005772A2" w:rsidRDefault="00485584" w:rsidP="001601AE">
            <w:pPr>
              <w:jc w:val="center"/>
              <w:rPr>
                <w:rFonts w:cs="Arial"/>
                <w:bCs/>
              </w:rPr>
            </w:pPr>
            <w:r w:rsidRPr="005772A2">
              <w:rPr>
                <w:rFonts w:cs="Arial"/>
                <w:bCs/>
              </w:rPr>
              <w:t xml:space="preserve">Supplier </w:t>
            </w:r>
            <w:r w:rsidR="001601AE">
              <w:rPr>
                <w:rFonts w:cs="Arial"/>
                <w:bCs/>
              </w:rPr>
              <w:t>Presentation and Q&amp;A</w:t>
            </w:r>
            <w:r w:rsidRPr="005772A2">
              <w:rPr>
                <w:rFonts w:cs="Arial"/>
                <w:bCs/>
              </w:rPr>
              <w:t xml:space="preserve">    </w:t>
            </w:r>
          </w:p>
        </w:tc>
        <w:tc>
          <w:tcPr>
            <w:tcW w:w="3508" w:type="dxa"/>
            <w:tcBorders>
              <w:top w:val="single" w:sz="6" w:space="0" w:color="auto"/>
              <w:left w:val="single" w:sz="6" w:space="0" w:color="auto"/>
              <w:bottom w:val="single" w:sz="6" w:space="0" w:color="auto"/>
              <w:right w:val="single" w:sz="6" w:space="0" w:color="auto"/>
            </w:tcBorders>
            <w:shd w:val="clear" w:color="auto" w:fill="FFFF99"/>
            <w:vAlign w:val="center"/>
          </w:tcPr>
          <w:p w14:paraId="7A8DB255" w14:textId="77777777" w:rsidR="00485584" w:rsidRPr="005772A2" w:rsidRDefault="00EE33FA" w:rsidP="00E7024C">
            <w:pPr>
              <w:jc w:val="center"/>
              <w:rPr>
                <w:rFonts w:cs="Arial"/>
                <w:bCs/>
              </w:rPr>
            </w:pPr>
            <w:r>
              <w:rPr>
                <w:rFonts w:cs="Arial"/>
                <w:bCs/>
              </w:rPr>
              <w:t xml:space="preserve">w/c </w:t>
            </w:r>
            <w:r w:rsidR="006B0646">
              <w:rPr>
                <w:rFonts w:cs="Arial"/>
                <w:bCs/>
              </w:rPr>
              <w:t>9</w:t>
            </w:r>
            <w:r w:rsidR="006B0646" w:rsidRPr="006B0646">
              <w:rPr>
                <w:rFonts w:cs="Arial"/>
                <w:bCs/>
                <w:vertAlign w:val="superscript"/>
              </w:rPr>
              <w:t>th</w:t>
            </w:r>
            <w:r w:rsidR="006B0646">
              <w:rPr>
                <w:rFonts w:cs="Arial"/>
                <w:bCs/>
              </w:rPr>
              <w:t xml:space="preserve"> September </w:t>
            </w:r>
            <w:r w:rsidR="001601AE">
              <w:rPr>
                <w:rFonts w:cs="Arial"/>
                <w:bCs/>
              </w:rPr>
              <w:t>20</w:t>
            </w:r>
            <w:r>
              <w:rPr>
                <w:rFonts w:cs="Arial"/>
                <w:bCs/>
              </w:rPr>
              <w:t>24</w:t>
            </w:r>
            <w:r w:rsidR="001601AE">
              <w:rPr>
                <w:rFonts w:cs="Arial"/>
                <w:bCs/>
              </w:rPr>
              <w:t xml:space="preserve"> </w:t>
            </w:r>
          </w:p>
        </w:tc>
      </w:tr>
    </w:tbl>
    <w:p w14:paraId="67A133B4" w14:textId="77777777" w:rsidR="00485584" w:rsidRDefault="00485584" w:rsidP="00485584">
      <w:pPr>
        <w:ind w:left="720"/>
        <w:jc w:val="both"/>
        <w:rPr>
          <w:rFonts w:cs="Arial"/>
        </w:rPr>
      </w:pPr>
      <w:bookmarkStart w:id="4" w:name="annexb"/>
      <w:bookmarkStart w:id="5" w:name="_Toc320707875"/>
      <w:bookmarkStart w:id="6" w:name="_Toc320708012"/>
      <w:bookmarkStart w:id="7" w:name="_Toc320708054"/>
      <w:bookmarkStart w:id="8" w:name="_Toc320707876"/>
      <w:bookmarkStart w:id="9" w:name="_Toc320708013"/>
      <w:bookmarkStart w:id="10" w:name="_Toc320708055"/>
      <w:bookmarkStart w:id="11" w:name="_Toc320707889"/>
      <w:bookmarkStart w:id="12" w:name="a934916"/>
      <w:bookmarkEnd w:id="4"/>
      <w:bookmarkEnd w:id="5"/>
      <w:bookmarkEnd w:id="6"/>
      <w:bookmarkEnd w:id="7"/>
      <w:bookmarkEnd w:id="8"/>
      <w:bookmarkEnd w:id="9"/>
      <w:bookmarkEnd w:id="10"/>
      <w:bookmarkEnd w:id="11"/>
      <w:bookmarkEnd w:id="12"/>
    </w:p>
    <w:p w14:paraId="2E496FE3" w14:textId="77777777" w:rsidR="006B0646" w:rsidRPr="005772A2" w:rsidRDefault="006B0646" w:rsidP="00485584">
      <w:pPr>
        <w:ind w:left="720"/>
        <w:jc w:val="both"/>
        <w:rPr>
          <w:rFonts w:cs="Arial"/>
        </w:rPr>
      </w:pPr>
    </w:p>
    <w:p w14:paraId="525615BB" w14:textId="77777777" w:rsidR="00485584" w:rsidRPr="005772A2" w:rsidRDefault="00485584" w:rsidP="00485584">
      <w:pPr>
        <w:ind w:left="360"/>
        <w:jc w:val="both"/>
        <w:rPr>
          <w:rFonts w:cs="Arial"/>
          <w:b/>
        </w:rPr>
      </w:pPr>
      <w:r w:rsidRPr="005772A2">
        <w:rPr>
          <w:rFonts w:cs="Arial"/>
          <w:b/>
        </w:rPr>
        <w:t>4</w:t>
      </w:r>
      <w:r w:rsidRPr="005772A2">
        <w:rPr>
          <w:rFonts w:cs="Arial"/>
          <w:b/>
        </w:rPr>
        <w:tab/>
        <w:t>Instruction to Suppliers</w:t>
      </w:r>
    </w:p>
    <w:p w14:paraId="4B8C7E99" w14:textId="77777777" w:rsidR="001601AE" w:rsidRPr="00AD0CEF" w:rsidRDefault="00485584" w:rsidP="00485584">
      <w:pPr>
        <w:pStyle w:val="ListParagraph"/>
        <w:jc w:val="both"/>
        <w:rPr>
          <w:rFonts w:cs="Arial"/>
        </w:rPr>
      </w:pPr>
      <w:r w:rsidRPr="00AD0CEF">
        <w:rPr>
          <w:rFonts w:cs="Arial"/>
        </w:rPr>
        <w:t xml:space="preserve">The </w:t>
      </w:r>
      <w:r w:rsidR="00F35291" w:rsidRPr="00AD0CEF">
        <w:rPr>
          <w:rFonts w:cs="Arial"/>
        </w:rPr>
        <w:t>Trust</w:t>
      </w:r>
      <w:r w:rsidR="00F35291">
        <w:rPr>
          <w:rFonts w:cs="Arial"/>
        </w:rPr>
        <w:t xml:space="preserve">s </w:t>
      </w:r>
      <w:r w:rsidR="00F35291" w:rsidRPr="00AD0CEF">
        <w:rPr>
          <w:rFonts w:cs="Arial"/>
        </w:rPr>
        <w:t>will</w:t>
      </w:r>
      <w:r w:rsidRPr="00AD0CEF">
        <w:rPr>
          <w:rFonts w:cs="Arial"/>
        </w:rPr>
        <w:t xml:space="preserve"> like to </w:t>
      </w:r>
      <w:r w:rsidR="00B929A7">
        <w:rPr>
          <w:rFonts w:cs="Arial"/>
        </w:rPr>
        <w:t xml:space="preserve">obtain a costed proposal </w:t>
      </w:r>
      <w:r w:rsidRPr="00AD0CEF">
        <w:rPr>
          <w:rFonts w:cs="Arial"/>
        </w:rPr>
        <w:t xml:space="preserve">from suppliers in line with the set objectives, </w:t>
      </w:r>
      <w:r w:rsidR="00AD0CEF">
        <w:rPr>
          <w:rFonts w:cs="Arial"/>
        </w:rPr>
        <w:t>scope</w:t>
      </w:r>
      <w:r w:rsidR="008C70D2">
        <w:rPr>
          <w:rFonts w:cs="Arial"/>
        </w:rPr>
        <w:t xml:space="preserve"> of service and the ability to deliver </w:t>
      </w:r>
      <w:r w:rsidR="002F2F3A">
        <w:rPr>
          <w:rFonts w:cs="Arial"/>
        </w:rPr>
        <w:t xml:space="preserve">the service for the Trust at a high standard.  </w:t>
      </w:r>
      <w:r w:rsidR="008C70D2">
        <w:rPr>
          <w:rFonts w:cs="Arial"/>
        </w:rPr>
        <w:t xml:space="preserve"> </w:t>
      </w:r>
    </w:p>
    <w:p w14:paraId="67E1A15A" w14:textId="77777777" w:rsidR="001601AE" w:rsidRPr="00AD0CEF" w:rsidRDefault="001601AE" w:rsidP="00485584">
      <w:pPr>
        <w:pStyle w:val="ListParagraph"/>
        <w:jc w:val="both"/>
        <w:rPr>
          <w:rFonts w:cs="Arial"/>
        </w:rPr>
      </w:pPr>
    </w:p>
    <w:p w14:paraId="55F7D781" w14:textId="77777777" w:rsidR="00D31259" w:rsidRPr="00AD0CEF" w:rsidRDefault="001601AE" w:rsidP="00485584">
      <w:pPr>
        <w:pStyle w:val="ListParagraph"/>
        <w:jc w:val="both"/>
        <w:rPr>
          <w:rFonts w:cs="Arial"/>
        </w:rPr>
      </w:pPr>
      <w:r w:rsidRPr="00AD0CEF">
        <w:rPr>
          <w:rFonts w:cs="Arial"/>
        </w:rPr>
        <w:t xml:space="preserve">Suppliers are required to submit proposals detailing </w:t>
      </w:r>
      <w:r w:rsidR="008C70D2">
        <w:rPr>
          <w:rFonts w:cs="Arial"/>
        </w:rPr>
        <w:t xml:space="preserve">the </w:t>
      </w:r>
      <w:r w:rsidR="008C70D2" w:rsidRPr="00AD0CEF">
        <w:rPr>
          <w:rFonts w:cs="Arial"/>
        </w:rPr>
        <w:t>high-level</w:t>
      </w:r>
      <w:r w:rsidR="00D8603A" w:rsidRPr="00AD0CEF">
        <w:rPr>
          <w:rFonts w:cs="Arial"/>
        </w:rPr>
        <w:t xml:space="preserve"> functionalities of their </w:t>
      </w:r>
      <w:r w:rsidR="008C70D2">
        <w:rPr>
          <w:rFonts w:cs="Arial"/>
        </w:rPr>
        <w:t>products</w:t>
      </w:r>
      <w:r w:rsidR="00D8603A" w:rsidRPr="00AD0CEF">
        <w:rPr>
          <w:rFonts w:cs="Arial"/>
        </w:rPr>
        <w:t>.</w:t>
      </w:r>
      <w:r w:rsidR="008C70D2">
        <w:rPr>
          <w:rFonts w:cs="Arial"/>
        </w:rPr>
        <w:t xml:space="preserve"> Demonstrating that their products potentially are able to deliver the specification at a high </w:t>
      </w:r>
      <w:r w:rsidR="008C70D2" w:rsidRPr="00B929A7">
        <w:rPr>
          <w:rFonts w:cs="Arial"/>
        </w:rPr>
        <w:t xml:space="preserve">standard. </w:t>
      </w:r>
      <w:r w:rsidR="00594555" w:rsidRPr="00B929A7">
        <w:rPr>
          <w:rFonts w:cs="Arial"/>
        </w:rPr>
        <w:t xml:space="preserve"> </w:t>
      </w:r>
      <w:r w:rsidR="00B929A7" w:rsidRPr="00B929A7">
        <w:rPr>
          <w:rFonts w:cs="Arial"/>
        </w:rPr>
        <w:t>Additionally, please provide indicative costing, using the template provided in the Annexure</w:t>
      </w:r>
      <w:r w:rsidR="00DB230F">
        <w:rPr>
          <w:rFonts w:cs="Arial"/>
        </w:rPr>
        <w:t xml:space="preserve">. Where applicable provide details of your assumptions and dependencies. </w:t>
      </w:r>
      <w:r w:rsidR="00B929A7" w:rsidRPr="00B929A7">
        <w:rPr>
          <w:rFonts w:cs="Arial"/>
        </w:rPr>
        <w:t xml:space="preserve"> </w:t>
      </w:r>
      <w:r w:rsidR="00B929A7">
        <w:rPr>
          <w:rFonts w:cs="Arial"/>
        </w:rPr>
        <w:t xml:space="preserve"> </w:t>
      </w:r>
      <w:r w:rsidR="00C538CA" w:rsidRPr="00AD0CEF">
        <w:rPr>
          <w:rFonts w:cs="Arial"/>
        </w:rPr>
        <w:t xml:space="preserve"> </w:t>
      </w:r>
      <w:r w:rsidR="00F948AD" w:rsidRPr="00AD0CEF">
        <w:rPr>
          <w:rFonts w:cs="Arial"/>
        </w:rPr>
        <w:t xml:space="preserve"> </w:t>
      </w:r>
      <w:r w:rsidR="006A5E97" w:rsidRPr="00AD0CEF">
        <w:rPr>
          <w:rFonts w:cs="Arial"/>
        </w:rPr>
        <w:t xml:space="preserve"> </w:t>
      </w:r>
      <w:r w:rsidR="00D31259" w:rsidRPr="00AD0CEF">
        <w:rPr>
          <w:rFonts w:cs="Arial"/>
        </w:rPr>
        <w:t xml:space="preserve"> </w:t>
      </w:r>
      <w:r w:rsidR="00485584" w:rsidRPr="00AD0CEF">
        <w:rPr>
          <w:rFonts w:cs="Arial"/>
        </w:rPr>
        <w:t xml:space="preserve"> </w:t>
      </w:r>
    </w:p>
    <w:p w14:paraId="20135997" w14:textId="77777777" w:rsidR="00D31259" w:rsidRPr="00AD0CEF" w:rsidRDefault="00D31259" w:rsidP="00485584">
      <w:pPr>
        <w:pStyle w:val="ListParagraph"/>
        <w:jc w:val="both"/>
        <w:rPr>
          <w:rFonts w:cs="Arial"/>
        </w:rPr>
      </w:pPr>
    </w:p>
    <w:p w14:paraId="2160B4A6" w14:textId="77777777" w:rsidR="00485584" w:rsidRDefault="00485584" w:rsidP="00485584">
      <w:pPr>
        <w:pStyle w:val="ListParagraph"/>
        <w:jc w:val="both"/>
        <w:rPr>
          <w:rFonts w:cs="Arial"/>
        </w:rPr>
      </w:pPr>
      <w:r w:rsidRPr="00AD0CEF">
        <w:rPr>
          <w:rFonts w:cs="Arial"/>
        </w:rPr>
        <w:t>Supplier should please note that this is not a tender process, it is a pre-market engagement</w:t>
      </w:r>
      <w:r w:rsidR="002F2F3A">
        <w:rPr>
          <w:rFonts w:cs="Arial"/>
        </w:rPr>
        <w:t xml:space="preserve"> aimed at gathering information from the Supplier market.</w:t>
      </w:r>
      <w:r w:rsidRPr="00AD0CEF">
        <w:rPr>
          <w:rFonts w:cs="Arial"/>
        </w:rPr>
        <w:t xml:space="preserve"> </w:t>
      </w:r>
      <w:r w:rsidR="00DB230F">
        <w:rPr>
          <w:rFonts w:cs="Arial"/>
        </w:rPr>
        <w:t>The pricing received will only be used for the purpose of finalising ou</w:t>
      </w:r>
      <w:r w:rsidR="00915A25">
        <w:rPr>
          <w:rFonts w:cs="Arial"/>
        </w:rPr>
        <w:t>r</w:t>
      </w:r>
      <w:r w:rsidR="00DB230F">
        <w:rPr>
          <w:rFonts w:cs="Arial"/>
        </w:rPr>
        <w:t xml:space="preserve"> business case. </w:t>
      </w:r>
    </w:p>
    <w:p w14:paraId="15FF0007" w14:textId="77777777" w:rsidR="00DB230F" w:rsidRDefault="00DB230F" w:rsidP="00485584">
      <w:pPr>
        <w:pStyle w:val="ListParagraph"/>
        <w:jc w:val="both"/>
        <w:rPr>
          <w:rFonts w:cs="Arial"/>
        </w:rPr>
      </w:pPr>
    </w:p>
    <w:p w14:paraId="72B0B719" w14:textId="77777777" w:rsidR="00485584" w:rsidRPr="008423AE" w:rsidRDefault="00DB230F" w:rsidP="00485584">
      <w:pPr>
        <w:pStyle w:val="ListParagraph"/>
        <w:jc w:val="both"/>
        <w:rPr>
          <w:rFonts w:cs="Arial"/>
        </w:rPr>
      </w:pPr>
      <w:r>
        <w:rPr>
          <w:rFonts w:cs="Arial"/>
        </w:rPr>
        <w:t xml:space="preserve">Following a review of proposals </w:t>
      </w:r>
      <w:r w:rsidR="00915A25">
        <w:rPr>
          <w:rFonts w:cs="Arial"/>
        </w:rPr>
        <w:t>received</w:t>
      </w:r>
      <w:r>
        <w:rPr>
          <w:rFonts w:cs="Arial"/>
        </w:rPr>
        <w:t>, the Trust</w:t>
      </w:r>
      <w:r w:rsidR="00915A25">
        <w:rPr>
          <w:rFonts w:cs="Arial"/>
        </w:rPr>
        <w:t>s</w:t>
      </w:r>
      <w:r>
        <w:rPr>
          <w:rFonts w:cs="Arial"/>
        </w:rPr>
        <w:t xml:space="preserve"> may invite Suppliers to present their solutions if necessary. </w:t>
      </w:r>
      <w:r w:rsidR="00485584" w:rsidRPr="008423AE">
        <w:rPr>
          <w:rFonts w:cs="Arial"/>
        </w:rPr>
        <w:t>If you will like to participate in th</w:t>
      </w:r>
      <w:r w:rsidR="00915A25">
        <w:rPr>
          <w:rFonts w:cs="Arial"/>
        </w:rPr>
        <w:t>e</w:t>
      </w:r>
      <w:r w:rsidR="00485584" w:rsidRPr="008423AE">
        <w:rPr>
          <w:rFonts w:cs="Arial"/>
        </w:rPr>
        <w:t xml:space="preserve"> presentation, Please </w:t>
      </w:r>
      <w:r w:rsidR="002F2F3A">
        <w:rPr>
          <w:rFonts w:cs="Arial"/>
        </w:rPr>
        <w:t xml:space="preserve">include </w:t>
      </w:r>
      <w:r w:rsidR="00485584" w:rsidRPr="008423AE">
        <w:rPr>
          <w:rFonts w:cs="Arial"/>
        </w:rPr>
        <w:t>contact details of people attending and state your preferred date</w:t>
      </w:r>
      <w:r w:rsidR="008C70D2">
        <w:rPr>
          <w:rFonts w:cs="Arial"/>
        </w:rPr>
        <w:t xml:space="preserve"> in the week commencing </w:t>
      </w:r>
      <w:r>
        <w:rPr>
          <w:rFonts w:cs="Arial"/>
        </w:rPr>
        <w:t>26</w:t>
      </w:r>
      <w:r w:rsidR="00EE33FA" w:rsidRPr="008423AE">
        <w:rPr>
          <w:rFonts w:cs="Arial"/>
          <w:vertAlign w:val="superscript"/>
        </w:rPr>
        <w:t>th</w:t>
      </w:r>
      <w:r w:rsidR="00EE33FA" w:rsidRPr="008423AE">
        <w:rPr>
          <w:rFonts w:cs="Arial"/>
        </w:rPr>
        <w:t xml:space="preserve"> August </w:t>
      </w:r>
      <w:proofErr w:type="gramStart"/>
      <w:r w:rsidR="00EE33FA" w:rsidRPr="008423AE">
        <w:rPr>
          <w:rFonts w:cs="Arial"/>
        </w:rPr>
        <w:t>2024</w:t>
      </w:r>
      <w:r w:rsidR="00485584" w:rsidRPr="008423AE">
        <w:rPr>
          <w:rFonts w:cs="Arial"/>
        </w:rPr>
        <w:t xml:space="preserve"> .</w:t>
      </w:r>
      <w:proofErr w:type="gramEnd"/>
      <w:r w:rsidR="00485584" w:rsidRPr="008423AE">
        <w:rPr>
          <w:rFonts w:cs="Arial"/>
        </w:rPr>
        <w:t xml:space="preserve"> </w:t>
      </w:r>
    </w:p>
    <w:p w14:paraId="006D40E2" w14:textId="77777777" w:rsidR="00485584" w:rsidRPr="008423AE" w:rsidRDefault="00485584" w:rsidP="00485584">
      <w:pPr>
        <w:pStyle w:val="ListParagraph"/>
        <w:jc w:val="both"/>
        <w:rPr>
          <w:rFonts w:cs="Arial"/>
        </w:rPr>
      </w:pPr>
    </w:p>
    <w:p w14:paraId="7A5EC8E2" w14:textId="77777777" w:rsidR="00485584" w:rsidRPr="008423AE" w:rsidRDefault="00485584" w:rsidP="00485584">
      <w:pPr>
        <w:pStyle w:val="ListParagraph"/>
        <w:jc w:val="both"/>
        <w:rPr>
          <w:rFonts w:cs="Arial"/>
        </w:rPr>
      </w:pPr>
      <w:r w:rsidRPr="008423AE">
        <w:rPr>
          <w:rFonts w:cs="Arial"/>
        </w:rPr>
        <w:lastRenderedPageBreak/>
        <w:t xml:space="preserve">Suppliers are required to send a brief proposal by the </w:t>
      </w:r>
      <w:r w:rsidR="008C70D2">
        <w:rPr>
          <w:rFonts w:cs="Arial"/>
        </w:rPr>
        <w:t>9</w:t>
      </w:r>
      <w:r w:rsidR="008C70D2" w:rsidRPr="008C70D2">
        <w:rPr>
          <w:rFonts w:cs="Arial"/>
          <w:vertAlign w:val="superscript"/>
        </w:rPr>
        <w:t>th</w:t>
      </w:r>
      <w:r w:rsidR="008C70D2">
        <w:rPr>
          <w:rFonts w:cs="Arial"/>
        </w:rPr>
        <w:t xml:space="preserve"> </w:t>
      </w:r>
      <w:r w:rsidR="00EE33FA" w:rsidRPr="008423AE">
        <w:rPr>
          <w:rFonts w:cs="Arial"/>
        </w:rPr>
        <w:t xml:space="preserve">of </w:t>
      </w:r>
      <w:r w:rsidR="006B0646">
        <w:rPr>
          <w:rFonts w:cs="Arial"/>
        </w:rPr>
        <w:t>September</w:t>
      </w:r>
      <w:r w:rsidR="008963B2" w:rsidRPr="008423AE">
        <w:rPr>
          <w:rFonts w:cs="Arial"/>
        </w:rPr>
        <w:t>, 2024</w:t>
      </w:r>
      <w:r w:rsidRPr="008423AE">
        <w:rPr>
          <w:rFonts w:cs="Arial"/>
        </w:rPr>
        <w:t xml:space="preserve"> to give us prior knowledge of </w:t>
      </w:r>
      <w:r w:rsidR="008C70D2">
        <w:rPr>
          <w:rFonts w:cs="Arial"/>
        </w:rPr>
        <w:t xml:space="preserve">their </w:t>
      </w:r>
      <w:r w:rsidRPr="008423AE">
        <w:rPr>
          <w:rFonts w:cs="Arial"/>
        </w:rPr>
        <w:t>solutions, and also state what Framework they are listed on.</w:t>
      </w:r>
    </w:p>
    <w:p w14:paraId="214D7B71" w14:textId="77777777" w:rsidR="00485584" w:rsidRPr="008423AE" w:rsidRDefault="00485584" w:rsidP="00485584">
      <w:pPr>
        <w:pStyle w:val="ListParagraph"/>
        <w:jc w:val="both"/>
        <w:rPr>
          <w:rFonts w:cs="Arial"/>
        </w:rPr>
      </w:pPr>
    </w:p>
    <w:p w14:paraId="34856E4D" w14:textId="77777777" w:rsidR="00485584" w:rsidRPr="008423AE" w:rsidRDefault="00485584" w:rsidP="00485584">
      <w:pPr>
        <w:pStyle w:val="ListParagraph"/>
        <w:jc w:val="both"/>
        <w:rPr>
          <w:rFonts w:cs="Arial"/>
        </w:rPr>
      </w:pPr>
      <w:r w:rsidRPr="008423AE">
        <w:rPr>
          <w:rFonts w:cs="Arial"/>
        </w:rPr>
        <w:t xml:space="preserve">Due to time constraints, the Trust may not be able to accommodate all suppliers. However, if the Trust chooses to tender its </w:t>
      </w:r>
      <w:r w:rsidR="008C70D2" w:rsidRPr="008423AE">
        <w:rPr>
          <w:rFonts w:cs="Arial"/>
        </w:rPr>
        <w:t>requirements,</w:t>
      </w:r>
      <w:r w:rsidRPr="008423AE">
        <w:rPr>
          <w:rFonts w:cs="Arial"/>
        </w:rPr>
        <w:t xml:space="preserve"> it will not preclude any supplier based on participation or non-participation in this</w:t>
      </w:r>
      <w:r w:rsidR="008C70D2">
        <w:rPr>
          <w:rFonts w:cs="Arial"/>
        </w:rPr>
        <w:t xml:space="preserve"> premarket engagement</w:t>
      </w:r>
      <w:r w:rsidRPr="008423AE">
        <w:rPr>
          <w:rFonts w:cs="Arial"/>
        </w:rPr>
        <w:t xml:space="preserve"> process. </w:t>
      </w:r>
    </w:p>
    <w:p w14:paraId="7DE5480D" w14:textId="77777777" w:rsidR="00485584" w:rsidRPr="008423AE" w:rsidRDefault="00485584" w:rsidP="00485584">
      <w:pPr>
        <w:pStyle w:val="ListParagraph"/>
        <w:jc w:val="both"/>
        <w:rPr>
          <w:rFonts w:cs="Arial"/>
        </w:rPr>
      </w:pPr>
    </w:p>
    <w:p w14:paraId="600A10E2" w14:textId="77777777" w:rsidR="00485584" w:rsidRPr="005772A2" w:rsidRDefault="00485584" w:rsidP="002F2F3A">
      <w:pPr>
        <w:pStyle w:val="ListParagraph"/>
        <w:jc w:val="both"/>
        <w:rPr>
          <w:rFonts w:cs="Calibri"/>
          <w:lang w:eastAsia="en-GB"/>
        </w:rPr>
      </w:pPr>
      <w:r w:rsidRPr="008423AE">
        <w:rPr>
          <w:rFonts w:cs="Arial"/>
        </w:rPr>
        <w:t>The Trust</w:t>
      </w:r>
      <w:r w:rsidR="00915A25">
        <w:rPr>
          <w:rFonts w:cs="Arial"/>
        </w:rPr>
        <w:t>s also r</w:t>
      </w:r>
      <w:r w:rsidRPr="008423AE">
        <w:rPr>
          <w:rFonts w:cs="Arial"/>
        </w:rPr>
        <w:t>eserve the right not to tender th</w:t>
      </w:r>
      <w:r w:rsidR="00915A25">
        <w:rPr>
          <w:rFonts w:cs="Arial"/>
        </w:rPr>
        <w:t xml:space="preserve">e </w:t>
      </w:r>
      <w:r w:rsidRPr="008423AE">
        <w:rPr>
          <w:rFonts w:cs="Arial"/>
        </w:rPr>
        <w:t>requirement</w:t>
      </w:r>
      <w:r w:rsidR="00915A25">
        <w:rPr>
          <w:rFonts w:cs="Arial"/>
        </w:rPr>
        <w:t>s</w:t>
      </w:r>
      <w:r w:rsidRPr="008423AE">
        <w:rPr>
          <w:rFonts w:cs="Arial"/>
        </w:rPr>
        <w:t xml:space="preserve">. </w:t>
      </w:r>
    </w:p>
    <w:p w14:paraId="7D36992C" w14:textId="77777777" w:rsidR="00485584" w:rsidRPr="005772A2" w:rsidRDefault="00485584" w:rsidP="00485584">
      <w:pPr>
        <w:rPr>
          <w:rFonts w:cs="Calibri"/>
          <w:lang w:eastAsia="en-GB"/>
        </w:rPr>
      </w:pPr>
      <w:r w:rsidRPr="005772A2">
        <w:rPr>
          <w:rFonts w:cs="Calibri"/>
          <w:lang w:eastAsia="en-GB"/>
        </w:rPr>
        <w:t> </w:t>
      </w:r>
    </w:p>
    <w:p w14:paraId="329F1C7B" w14:textId="77777777" w:rsidR="00485584" w:rsidRPr="005772A2" w:rsidRDefault="00485584" w:rsidP="00485584">
      <w:pPr>
        <w:rPr>
          <w:rFonts w:cs="Calibri"/>
          <w:lang w:eastAsia="en-GB"/>
        </w:rPr>
      </w:pPr>
      <w:r w:rsidRPr="005772A2">
        <w:rPr>
          <w:rFonts w:cs="Calibri"/>
          <w:lang w:eastAsia="en-GB"/>
        </w:rPr>
        <w:t> </w:t>
      </w:r>
    </w:p>
    <w:p w14:paraId="1D1458F4" w14:textId="77777777" w:rsidR="00485584" w:rsidRDefault="00F35291" w:rsidP="00485584">
      <w:pPr>
        <w:rPr>
          <w:rFonts w:cstheme="minorHAnsi"/>
        </w:rPr>
      </w:pPr>
      <w:r>
        <w:rPr>
          <w:rFonts w:cstheme="minorHAnsi"/>
        </w:rPr>
        <w:t xml:space="preserve">ANNEXURE – </w:t>
      </w:r>
    </w:p>
    <w:p w14:paraId="30A539F2" w14:textId="77777777" w:rsidR="00F35291" w:rsidRPr="00485584" w:rsidRDefault="00980877" w:rsidP="00485584">
      <w:pPr>
        <w:rPr>
          <w:rFonts w:cstheme="minorHAnsi"/>
        </w:rPr>
      </w:pPr>
      <w:r>
        <w:rPr>
          <w:rFonts w:cstheme="minorHAnsi"/>
        </w:rPr>
        <w:object w:dxaOrig="1508" w:dyaOrig="983" w14:anchorId="775AE799">
          <v:shape id="_x0000_i1030" type="#_x0000_t75" style="width:75.55pt;height:49.2pt" o:ole="">
            <v:imagedata r:id="rId8" o:title=""/>
          </v:shape>
          <o:OLEObject Type="Embed" ProgID="Excel.Sheet.12" ShapeID="_x0000_i1030" DrawAspect="Icon" ObjectID="_1784402535" r:id="rId9"/>
        </w:object>
      </w:r>
    </w:p>
    <w:sectPr w:rsidR="00F35291" w:rsidRPr="00485584" w:rsidSect="008A0B29">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43AC3"/>
    <w:multiLevelType w:val="hybridMultilevel"/>
    <w:tmpl w:val="7BBC7752"/>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1" w15:restartNumberingAfterBreak="0">
    <w:nsid w:val="27D66590"/>
    <w:multiLevelType w:val="hybridMultilevel"/>
    <w:tmpl w:val="71CAF5A0"/>
    <w:lvl w:ilvl="0" w:tplc="C4F2F1F8">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41749A"/>
    <w:multiLevelType w:val="hybridMultilevel"/>
    <w:tmpl w:val="1D802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200365"/>
    <w:multiLevelType w:val="multilevel"/>
    <w:tmpl w:val="6B285866"/>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4" w15:restartNumberingAfterBreak="0">
    <w:nsid w:val="54BB4D61"/>
    <w:multiLevelType w:val="hybridMultilevel"/>
    <w:tmpl w:val="194E0F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F03A4E"/>
    <w:multiLevelType w:val="multilevel"/>
    <w:tmpl w:val="965A63A6"/>
    <w:lvl w:ilvl="0">
      <w:start w:val="1"/>
      <w:numFmt w:val="decimal"/>
      <w:lvlText w:val="%1."/>
      <w:lvlJc w:val="left"/>
      <w:pPr>
        <w:ind w:left="360" w:hanging="360"/>
      </w:pPr>
      <w:rPr>
        <w:rFonts w:hint="default"/>
      </w:rPr>
    </w:lvl>
    <w:lvl w:ilvl="1">
      <w:start w:val="1"/>
      <w:numFmt w:val="decimal"/>
      <w:lvlText w:val="%1.%2."/>
      <w:lvlJc w:val="left"/>
      <w:pPr>
        <w:ind w:left="79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42D6BA9"/>
    <w:multiLevelType w:val="hybridMultilevel"/>
    <w:tmpl w:val="F5BCD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500331"/>
    <w:multiLevelType w:val="hybridMultilevel"/>
    <w:tmpl w:val="07FA3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6"/>
  </w:num>
  <w:num w:numId="5">
    <w:abstractNumId w:val="1"/>
  </w:num>
  <w:num w:numId="6">
    <w:abstractNumId w:val="0"/>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AE1"/>
    <w:rsid w:val="000549BE"/>
    <w:rsid w:val="00096521"/>
    <w:rsid w:val="001601AE"/>
    <w:rsid w:val="00183B42"/>
    <w:rsid w:val="001B386B"/>
    <w:rsid w:val="001E311C"/>
    <w:rsid w:val="002C5783"/>
    <w:rsid w:val="002E3937"/>
    <w:rsid w:val="002F2F3A"/>
    <w:rsid w:val="0033538C"/>
    <w:rsid w:val="00350864"/>
    <w:rsid w:val="00367315"/>
    <w:rsid w:val="00392632"/>
    <w:rsid w:val="00465AE1"/>
    <w:rsid w:val="00485584"/>
    <w:rsid w:val="00487385"/>
    <w:rsid w:val="004C4A80"/>
    <w:rsid w:val="00594555"/>
    <w:rsid w:val="006256B3"/>
    <w:rsid w:val="006A5E97"/>
    <w:rsid w:val="006B0646"/>
    <w:rsid w:val="006B1BE7"/>
    <w:rsid w:val="00724021"/>
    <w:rsid w:val="0079549D"/>
    <w:rsid w:val="007E6F04"/>
    <w:rsid w:val="008423AE"/>
    <w:rsid w:val="008963B2"/>
    <w:rsid w:val="008A0B29"/>
    <w:rsid w:val="008C70D2"/>
    <w:rsid w:val="00915A25"/>
    <w:rsid w:val="009176C6"/>
    <w:rsid w:val="00980877"/>
    <w:rsid w:val="00A34804"/>
    <w:rsid w:val="00AD0CEF"/>
    <w:rsid w:val="00B929A7"/>
    <w:rsid w:val="00BF79BF"/>
    <w:rsid w:val="00C25633"/>
    <w:rsid w:val="00C538CA"/>
    <w:rsid w:val="00C54931"/>
    <w:rsid w:val="00D31259"/>
    <w:rsid w:val="00D8603A"/>
    <w:rsid w:val="00DB230F"/>
    <w:rsid w:val="00E10CE4"/>
    <w:rsid w:val="00E45882"/>
    <w:rsid w:val="00E8139A"/>
    <w:rsid w:val="00E91FFE"/>
    <w:rsid w:val="00ED51C3"/>
    <w:rsid w:val="00EE33FA"/>
    <w:rsid w:val="00EF03F4"/>
    <w:rsid w:val="00F35291"/>
    <w:rsid w:val="00F94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F828C5"/>
  <w15:docId w15:val="{86641B76-AE03-41F3-8F23-E2D2C3A5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2E3937"/>
    <w:pPr>
      <w:keepNext/>
      <w:numPr>
        <w:numId w:val="8"/>
      </w:numPr>
      <w:spacing w:after="240" w:line="240" w:lineRule="auto"/>
      <w:jc w:val="both"/>
      <w:outlineLvl w:val="0"/>
    </w:pPr>
    <w:rPr>
      <w:rFonts w:ascii="Arial" w:hAnsi="Arial" w:cs="Arial"/>
      <w:caps/>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semiHidden/>
    <w:unhideWhenUsed/>
    <w:qFormat/>
    <w:rsid w:val="002E3937"/>
    <w:pPr>
      <w:numPr>
        <w:ilvl w:val="1"/>
        <w:numId w:val="8"/>
      </w:numPr>
      <w:spacing w:after="240" w:line="240" w:lineRule="auto"/>
      <w:jc w:val="both"/>
      <w:outlineLvl w:val="1"/>
    </w:pPr>
    <w:rPr>
      <w:rFonts w:ascii="Arial" w:hAnsi="Arial" w:cs="Arial"/>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2E3937"/>
    <w:pPr>
      <w:numPr>
        <w:ilvl w:val="2"/>
        <w:numId w:val="8"/>
      </w:numPr>
      <w:spacing w:after="240" w:line="240" w:lineRule="auto"/>
      <w:jc w:val="both"/>
      <w:outlineLvl w:val="2"/>
    </w:pPr>
    <w:rPr>
      <w:rFonts w:ascii="Arial"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2E3937"/>
    <w:pPr>
      <w:numPr>
        <w:ilvl w:val="3"/>
        <w:numId w:val="8"/>
      </w:numPr>
      <w:spacing w:after="240" w:line="240" w:lineRule="auto"/>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semiHidden/>
    <w:unhideWhenUsed/>
    <w:qFormat/>
    <w:rsid w:val="002E3937"/>
    <w:pPr>
      <w:numPr>
        <w:ilvl w:val="4"/>
        <w:numId w:val="8"/>
      </w:numPr>
      <w:spacing w:after="240" w:line="240" w:lineRule="auto"/>
      <w:jc w:val="both"/>
      <w:outlineLvl w:val="4"/>
    </w:pPr>
    <w:rPr>
      <w:rFonts w:ascii="Arial" w:hAnsi="Arial" w:cs="Arial"/>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
    <w:semiHidden/>
    <w:unhideWhenUsed/>
    <w:qFormat/>
    <w:rsid w:val="002E3937"/>
    <w:pPr>
      <w:numPr>
        <w:ilvl w:val="5"/>
        <w:numId w:val="8"/>
      </w:numPr>
      <w:spacing w:after="240" w:line="240" w:lineRule="auto"/>
      <w:jc w:val="both"/>
      <w:outlineLvl w:val="5"/>
    </w:pPr>
    <w:rPr>
      <w:rFonts w:ascii="Arial" w:hAnsi="Arial" w:cs="Arial"/>
      <w:lang w:eastAsia="zh-CN"/>
    </w:rPr>
  </w:style>
  <w:style w:type="paragraph" w:styleId="Heading7">
    <w:name w:val="heading 7"/>
    <w:aliases w:val="Heading 7 (Do Not Use),Heading 7(unused),Legal Level 1.1.,L2 PIP,Lev 7,H7DO NOT USE,PA Appendix Major"/>
    <w:basedOn w:val="Normal"/>
    <w:link w:val="Heading7Char"/>
    <w:uiPriority w:val="9"/>
    <w:semiHidden/>
    <w:unhideWhenUsed/>
    <w:qFormat/>
    <w:rsid w:val="002E3937"/>
    <w:pPr>
      <w:numPr>
        <w:ilvl w:val="6"/>
        <w:numId w:val="8"/>
      </w:numPr>
      <w:spacing w:after="240" w:line="240" w:lineRule="auto"/>
      <w:jc w:val="both"/>
      <w:outlineLvl w:val="6"/>
    </w:pPr>
    <w:rPr>
      <w:rFonts w:ascii="Arial" w:hAnsi="Arial" w:cs="Arial"/>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2E3937"/>
    <w:pPr>
      <w:numPr>
        <w:ilvl w:val="7"/>
        <w:numId w:val="8"/>
      </w:numPr>
      <w:spacing w:after="240" w:line="240" w:lineRule="auto"/>
      <w:jc w:val="both"/>
      <w:outlineLvl w:val="7"/>
    </w:pPr>
    <w:rPr>
      <w:rFonts w:ascii="Arial" w:hAnsi="Arial" w:cs="Arial"/>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2E3937"/>
    <w:pPr>
      <w:numPr>
        <w:ilvl w:val="8"/>
        <w:numId w:val="8"/>
      </w:numPr>
      <w:spacing w:after="240" w:line="240" w:lineRule="auto"/>
      <w:jc w:val="both"/>
      <w:outlineLvl w:val="8"/>
    </w:pPr>
    <w:rPr>
      <w:rFonts w:ascii="Arial"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465AE1"/>
    <w:pPr>
      <w:ind w:left="720"/>
      <w:contextualSpacing/>
    </w:pPr>
  </w:style>
  <w:style w:type="paragraph" w:styleId="NoSpacing">
    <w:name w:val="No Spacing"/>
    <w:uiPriority w:val="1"/>
    <w:qFormat/>
    <w:rsid w:val="00183B42"/>
    <w:pPr>
      <w:spacing w:after="0" w:line="240" w:lineRule="auto"/>
    </w:pPr>
    <w:rPr>
      <w:rFonts w:ascii="Calibri" w:eastAsia="Calibri" w:hAnsi="Calibri" w:cs="Times New Roman"/>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99"/>
    <w:qFormat/>
    <w:locked/>
    <w:rsid w:val="008A0B29"/>
  </w:style>
  <w:style w:type="paragraph" w:customStyle="1" w:styleId="Default">
    <w:name w:val="Default"/>
    <w:link w:val="DefaultChar"/>
    <w:rsid w:val="00485584"/>
    <w:pPr>
      <w:autoSpaceDE w:val="0"/>
      <w:autoSpaceDN w:val="0"/>
      <w:adjustRightInd w:val="0"/>
      <w:spacing w:after="0" w:line="240" w:lineRule="auto"/>
    </w:pPr>
    <w:rPr>
      <w:rFonts w:ascii="Arial" w:eastAsia="Calibri" w:hAnsi="Arial" w:cs="Arial"/>
      <w:color w:val="000000"/>
      <w:sz w:val="24"/>
      <w:szCs w:val="24"/>
    </w:rPr>
  </w:style>
  <w:style w:type="character" w:customStyle="1" w:styleId="DefaultChar">
    <w:name w:val="Default Char"/>
    <w:link w:val="Default"/>
    <w:locked/>
    <w:rsid w:val="00485584"/>
    <w:rPr>
      <w:rFonts w:ascii="Arial" w:eastAsia="Calibri" w:hAnsi="Arial" w:cs="Arial"/>
      <w:color w:val="000000"/>
      <w:sz w:val="24"/>
      <w:szCs w:val="24"/>
    </w:rPr>
  </w:style>
  <w:style w:type="paragraph" w:styleId="NormalWeb">
    <w:name w:val="Normal (Web)"/>
    <w:basedOn w:val="Normal"/>
    <w:uiPriority w:val="99"/>
    <w:semiHidden/>
    <w:unhideWhenUsed/>
    <w:rsid w:val="00D8603A"/>
    <w:pPr>
      <w:spacing w:after="192" w:line="240" w:lineRule="auto"/>
    </w:pPr>
    <w:rPr>
      <w:rFonts w:ascii="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6B0646"/>
    <w:pPr>
      <w:spacing w:line="240" w:lineRule="auto"/>
    </w:pPr>
    <w:rPr>
      <w:sz w:val="20"/>
      <w:szCs w:val="20"/>
    </w:rPr>
  </w:style>
  <w:style w:type="character" w:customStyle="1" w:styleId="CommentTextChar">
    <w:name w:val="Comment Text Char"/>
    <w:basedOn w:val="DefaultParagraphFont"/>
    <w:link w:val="CommentText"/>
    <w:uiPriority w:val="99"/>
    <w:semiHidden/>
    <w:rsid w:val="006B0646"/>
    <w:rPr>
      <w:sz w:val="20"/>
      <w:szCs w:val="20"/>
    </w:rPr>
  </w:style>
  <w:style w:type="character" w:styleId="CommentReference">
    <w:name w:val="annotation reference"/>
    <w:basedOn w:val="DefaultParagraphFont"/>
    <w:uiPriority w:val="99"/>
    <w:unhideWhenUsed/>
    <w:rsid w:val="006B0646"/>
    <w:rPr>
      <w:sz w:val="16"/>
      <w:szCs w:val="16"/>
    </w:rPr>
  </w:style>
  <w:style w:type="paragraph" w:styleId="BalloonText">
    <w:name w:val="Balloon Text"/>
    <w:basedOn w:val="Normal"/>
    <w:link w:val="BalloonTextChar"/>
    <w:uiPriority w:val="99"/>
    <w:semiHidden/>
    <w:unhideWhenUsed/>
    <w:rsid w:val="006B0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646"/>
    <w:rPr>
      <w:rFonts w:ascii="Segoe UI" w:hAnsi="Segoe UI" w:cs="Segoe UI"/>
      <w:sz w:val="18"/>
      <w:szCs w:val="18"/>
    </w:rPr>
  </w:style>
  <w:style w:type="character" w:customStyle="1" w:styleId="Heading1Char">
    <w:name w:val="Heading 1 Char"/>
    <w:basedOn w:val="DefaultParagraphFont"/>
    <w:link w:val="Heading1"/>
    <w:uiPriority w:val="99"/>
    <w:rsid w:val="002E3937"/>
    <w:rPr>
      <w:rFonts w:ascii="Arial" w:hAnsi="Arial" w:cs="Arial"/>
      <w:caps/>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semiHidden/>
    <w:rsid w:val="002E3937"/>
    <w:rPr>
      <w:rFonts w:ascii="Arial" w:hAnsi="Arial" w:cs="Arial"/>
      <w:lang w:eastAsia="zh-CN"/>
    </w:rPr>
  </w:style>
  <w:style w:type="character" w:customStyle="1" w:styleId="Heading3Char">
    <w:name w:val="Heading 3 Char"/>
    <w:basedOn w:val="DefaultParagraphFont"/>
    <w:link w:val="Heading3"/>
    <w:uiPriority w:val="99"/>
    <w:semiHidden/>
    <w:rsid w:val="002E3937"/>
    <w:rPr>
      <w:rFonts w:ascii="Arial" w:hAnsi="Arial" w:cs="Arial"/>
      <w:lang w:eastAsia="zh-CN"/>
    </w:rPr>
  </w:style>
  <w:style w:type="character" w:customStyle="1" w:styleId="Heading4Char">
    <w:name w:val="Heading 4 Char"/>
    <w:basedOn w:val="DefaultParagraphFont"/>
    <w:link w:val="Heading4"/>
    <w:uiPriority w:val="99"/>
    <w:semiHidden/>
    <w:rsid w:val="002E3937"/>
    <w:rPr>
      <w:rFonts w:ascii="Arial" w:hAnsi="Arial" w:cs="Arial"/>
      <w:lang w:eastAsia="zh-CN"/>
    </w:rPr>
  </w:style>
  <w:style w:type="character" w:customStyle="1" w:styleId="Heading5Char">
    <w:name w:val="Heading 5 Char"/>
    <w:basedOn w:val="DefaultParagraphFont"/>
    <w:link w:val="Heading5"/>
    <w:uiPriority w:val="9"/>
    <w:semiHidden/>
    <w:rsid w:val="002E3937"/>
    <w:rPr>
      <w:rFonts w:ascii="Arial" w:hAnsi="Arial" w:cs="Arial"/>
      <w:lang w:eastAsia="zh-CN"/>
    </w:rPr>
  </w:style>
  <w:style w:type="character" w:customStyle="1" w:styleId="Heading6Char">
    <w:name w:val="Heading 6 Char"/>
    <w:basedOn w:val="DefaultParagraphFont"/>
    <w:link w:val="Heading6"/>
    <w:uiPriority w:val="9"/>
    <w:semiHidden/>
    <w:rsid w:val="002E3937"/>
    <w:rPr>
      <w:rFonts w:ascii="Arial" w:hAnsi="Arial" w:cs="Arial"/>
      <w:lang w:eastAsia="zh-CN"/>
    </w:rPr>
  </w:style>
  <w:style w:type="character" w:customStyle="1" w:styleId="Heading7Char">
    <w:name w:val="Heading 7 Char"/>
    <w:basedOn w:val="DefaultParagraphFont"/>
    <w:link w:val="Heading7"/>
    <w:uiPriority w:val="9"/>
    <w:semiHidden/>
    <w:rsid w:val="002E3937"/>
    <w:rPr>
      <w:rFonts w:ascii="Arial" w:hAnsi="Arial" w:cs="Arial"/>
      <w:lang w:eastAsia="zh-CN"/>
    </w:rPr>
  </w:style>
  <w:style w:type="character" w:customStyle="1" w:styleId="Heading8Char">
    <w:name w:val="Heading 8 Char"/>
    <w:basedOn w:val="DefaultParagraphFont"/>
    <w:link w:val="Heading8"/>
    <w:uiPriority w:val="99"/>
    <w:semiHidden/>
    <w:rsid w:val="002E3937"/>
    <w:rPr>
      <w:rFonts w:ascii="Arial" w:hAnsi="Arial" w:cs="Arial"/>
      <w:lang w:eastAsia="zh-CN"/>
    </w:rPr>
  </w:style>
  <w:style w:type="character" w:customStyle="1" w:styleId="Heading9Char">
    <w:name w:val="Heading 9 Char"/>
    <w:basedOn w:val="DefaultParagraphFont"/>
    <w:link w:val="Heading9"/>
    <w:uiPriority w:val="99"/>
    <w:semiHidden/>
    <w:rsid w:val="002E3937"/>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659789">
      <w:bodyDiv w:val="1"/>
      <w:marLeft w:val="0"/>
      <w:marRight w:val="0"/>
      <w:marTop w:val="0"/>
      <w:marBottom w:val="0"/>
      <w:divBdr>
        <w:top w:val="none" w:sz="0" w:space="0" w:color="auto"/>
        <w:left w:val="none" w:sz="0" w:space="0" w:color="auto"/>
        <w:bottom w:val="none" w:sz="0" w:space="0" w:color="auto"/>
        <w:right w:val="none" w:sz="0" w:space="0" w:color="auto"/>
      </w:divBdr>
    </w:div>
    <w:div w:id="547454053">
      <w:bodyDiv w:val="1"/>
      <w:marLeft w:val="0"/>
      <w:marRight w:val="0"/>
      <w:marTop w:val="0"/>
      <w:marBottom w:val="0"/>
      <w:divBdr>
        <w:top w:val="none" w:sz="0" w:space="0" w:color="auto"/>
        <w:left w:val="none" w:sz="0" w:space="0" w:color="auto"/>
        <w:bottom w:val="none" w:sz="0" w:space="0" w:color="auto"/>
        <w:right w:val="none" w:sz="0" w:space="0" w:color="auto"/>
      </w:divBdr>
    </w:div>
    <w:div w:id="661549836">
      <w:bodyDiv w:val="1"/>
      <w:marLeft w:val="0"/>
      <w:marRight w:val="0"/>
      <w:marTop w:val="0"/>
      <w:marBottom w:val="0"/>
      <w:divBdr>
        <w:top w:val="none" w:sz="0" w:space="0" w:color="auto"/>
        <w:left w:val="none" w:sz="0" w:space="0" w:color="auto"/>
        <w:bottom w:val="none" w:sz="0" w:space="0" w:color="auto"/>
        <w:right w:val="none" w:sz="0" w:space="0" w:color="auto"/>
      </w:divBdr>
    </w:div>
    <w:div w:id="1875846890">
      <w:bodyDiv w:val="1"/>
      <w:marLeft w:val="0"/>
      <w:marRight w:val="0"/>
      <w:marTop w:val="0"/>
      <w:marBottom w:val="0"/>
      <w:divBdr>
        <w:top w:val="none" w:sz="0" w:space="0" w:color="auto"/>
        <w:left w:val="none" w:sz="0" w:space="0" w:color="auto"/>
        <w:bottom w:val="none" w:sz="0" w:space="0" w:color="auto"/>
        <w:right w:val="none" w:sz="0" w:space="0" w:color="auto"/>
      </w:divBdr>
      <w:divsChild>
        <w:div w:id="1402823637">
          <w:marLeft w:val="0"/>
          <w:marRight w:val="0"/>
          <w:marTop w:val="0"/>
          <w:marBottom w:val="0"/>
          <w:divBdr>
            <w:top w:val="none" w:sz="0" w:space="0" w:color="auto"/>
            <w:left w:val="none" w:sz="0" w:space="0" w:color="auto"/>
            <w:bottom w:val="none" w:sz="0" w:space="0" w:color="auto"/>
            <w:right w:val="none" w:sz="0" w:space="0" w:color="auto"/>
          </w:divBdr>
          <w:divsChild>
            <w:div w:id="1617327411">
              <w:marLeft w:val="0"/>
              <w:marRight w:val="0"/>
              <w:marTop w:val="0"/>
              <w:marBottom w:val="0"/>
              <w:divBdr>
                <w:top w:val="none" w:sz="0" w:space="0" w:color="auto"/>
                <w:left w:val="none" w:sz="0" w:space="0" w:color="auto"/>
                <w:bottom w:val="none" w:sz="0" w:space="0" w:color="auto"/>
                <w:right w:val="none" w:sz="0" w:space="0" w:color="auto"/>
              </w:divBdr>
              <w:divsChild>
                <w:div w:id="698355212">
                  <w:marLeft w:val="0"/>
                  <w:marRight w:val="0"/>
                  <w:marTop w:val="0"/>
                  <w:marBottom w:val="0"/>
                  <w:divBdr>
                    <w:top w:val="none" w:sz="0" w:space="0" w:color="auto"/>
                    <w:left w:val="none" w:sz="0" w:space="0" w:color="auto"/>
                    <w:bottom w:val="none" w:sz="0" w:space="0" w:color="auto"/>
                    <w:right w:val="none" w:sz="0" w:space="0" w:color="auto"/>
                  </w:divBdr>
                  <w:divsChild>
                    <w:div w:id="1181318527">
                      <w:marLeft w:val="0"/>
                      <w:marRight w:val="0"/>
                      <w:marTop w:val="120"/>
                      <w:marBottom w:val="0"/>
                      <w:divBdr>
                        <w:top w:val="none" w:sz="0" w:space="0" w:color="auto"/>
                        <w:left w:val="none" w:sz="0" w:space="0" w:color="auto"/>
                        <w:bottom w:val="none" w:sz="0" w:space="0" w:color="auto"/>
                        <w:right w:val="none" w:sz="0" w:space="0" w:color="auto"/>
                      </w:divBdr>
                      <w:divsChild>
                        <w:div w:id="1444837653">
                          <w:marLeft w:val="0"/>
                          <w:marRight w:val="0"/>
                          <w:marTop w:val="0"/>
                          <w:marBottom w:val="0"/>
                          <w:divBdr>
                            <w:top w:val="none" w:sz="0" w:space="0" w:color="auto"/>
                            <w:left w:val="none" w:sz="0" w:space="0" w:color="auto"/>
                            <w:bottom w:val="none" w:sz="0" w:space="0" w:color="auto"/>
                            <w:right w:val="none" w:sz="0" w:space="0" w:color="auto"/>
                          </w:divBdr>
                          <w:divsChild>
                            <w:div w:id="50162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package" Target="embeddings/Microsoft_Excel_Worksheet.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https://www.guysandstthomas.nhs.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4</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Brighton &amp; Sussex University Hospitals</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Julie</dc:creator>
  <cp:lastModifiedBy>Igandan Bimbola</cp:lastModifiedBy>
  <cp:revision>5</cp:revision>
  <dcterms:created xsi:type="dcterms:W3CDTF">2024-08-05T16:35:00Z</dcterms:created>
  <dcterms:modified xsi:type="dcterms:W3CDTF">2024-08-05T21:36:00Z</dcterms:modified>
</cp:coreProperties>
</file>