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6219793C" w:rsidR="00DC2897" w:rsidRDefault="001F6C30" w:rsidP="00DC2897">
      <w:pPr>
        <w:jc w:val="center"/>
        <w:rPr>
          <w:sz w:val="18"/>
          <w:szCs w:val="18"/>
          <w:shd w:val="clear" w:color="auto" w:fill="E3F3FF"/>
        </w:rPr>
      </w:pPr>
      <w:r>
        <w:rPr>
          <w:b/>
          <w:sz w:val="32"/>
          <w:szCs w:val="32"/>
        </w:rPr>
        <w:t>Operational Planning and Delivery for Mass Testing</w:t>
      </w:r>
    </w:p>
    <w:p w14:paraId="003CCF73" w14:textId="77777777"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77777777"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14064A37" w14:textId="395C957F" w:rsidR="00DC2897" w:rsidRDefault="001F6C30" w:rsidP="001F6C30">
      <w:pPr>
        <w:ind w:left="0"/>
        <w:jc w:val="center"/>
        <w:rPr>
          <w:b/>
          <w:sz w:val="32"/>
          <w:szCs w:val="32"/>
        </w:rPr>
      </w:pPr>
      <w:r>
        <w:rPr>
          <w:b/>
          <w:sz w:val="32"/>
          <w:szCs w:val="32"/>
        </w:rPr>
        <w:t xml:space="preserve">            Bramble Hub Ltd</w:t>
      </w:r>
    </w:p>
    <w:p w14:paraId="5059C944" w14:textId="77777777" w:rsidR="00DC2897" w:rsidRDefault="00DC2897" w:rsidP="00DC2897">
      <w:pPr>
        <w:jc w:val="center"/>
        <w:rPr>
          <w:b/>
          <w:sz w:val="32"/>
          <w:szCs w:val="32"/>
        </w:rPr>
      </w:pPr>
    </w:p>
    <w:p w14:paraId="1F8B12C4" w14:textId="3C98BCDB" w:rsidR="00DC2897" w:rsidRDefault="00DC2897" w:rsidP="00DC2897">
      <w:pPr>
        <w:rPr>
          <w:b/>
          <w:sz w:val="32"/>
          <w:szCs w:val="32"/>
          <w:highlight w:val="white"/>
        </w:rPr>
      </w:pPr>
      <w:r>
        <w:rPr>
          <w:b/>
          <w:sz w:val="32"/>
          <w:szCs w:val="32"/>
        </w:rPr>
        <w:t xml:space="preserve">          Contract Reference: </w:t>
      </w:r>
      <w:r w:rsidR="001F6C30">
        <w:rPr>
          <w:b/>
          <w:sz w:val="32"/>
          <w:szCs w:val="32"/>
        </w:rPr>
        <w:t>CCCC21A41</w:t>
      </w:r>
    </w:p>
    <w:p w14:paraId="0A621501" w14:textId="77777777" w:rsidR="00DC2897" w:rsidRDefault="00DC2897">
      <w:pPr>
        <w:overflowPunct/>
        <w:autoSpaceDE/>
        <w:autoSpaceDN/>
        <w:adjustRightInd/>
        <w:spacing w:after="0"/>
        <w:ind w:left="0"/>
        <w:jc w:val="left"/>
        <w:textAlignment w:val="auto"/>
        <w:rPr>
          <w:b/>
        </w:rPr>
      </w:pPr>
      <w:r>
        <w:rPr>
          <w:caps/>
        </w:rPr>
        <w:br w:type="page"/>
      </w:r>
    </w:p>
    <w:p w14:paraId="15AC43A5" w14:textId="7FA57AB9"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7865D695"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77777777" w:rsidR="00C24592" w:rsidRPr="00662BAE" w:rsidRDefault="00C24592">
            <w:pPr>
              <w:spacing w:after="0"/>
              <w:ind w:left="0"/>
              <w:jc w:val="left"/>
              <w:rPr>
                <w:bCs/>
              </w:rPr>
            </w:pPr>
            <w:r w:rsidRPr="00662BAE">
              <w:rPr>
                <w:bCs/>
              </w:rPr>
              <w:t>To be confirmed, following Contract Award</w:t>
            </w:r>
          </w:p>
          <w:p w14:paraId="0C32768C" w14:textId="5515812F" w:rsidR="00B86992" w:rsidRPr="00662BAE" w:rsidRDefault="00B86992">
            <w:pPr>
              <w:spacing w:after="0"/>
              <w:ind w:left="0"/>
              <w:jc w:val="left"/>
              <w:rPr>
                <w:bCs/>
              </w:rPr>
            </w:pPr>
          </w:p>
        </w:tc>
      </w:tr>
      <w:tr w:rsidR="00C24592" w:rsidRPr="00B91478" w14:paraId="403BB9AF" w14:textId="77777777" w:rsidTr="00662BAE">
        <w:trPr>
          <w:trHeight w:val="1675"/>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44A0F1A" w14:textId="77777777" w:rsidR="00C24592" w:rsidRPr="00B91478" w:rsidRDefault="00C24592">
            <w:pPr>
              <w:spacing w:after="0"/>
              <w:ind w:left="0"/>
              <w:jc w:val="left"/>
              <w:rPr>
                <w:b/>
              </w:rPr>
            </w:pPr>
          </w:p>
          <w:p w14:paraId="3602FF8F" w14:textId="77777777" w:rsidR="00C24592" w:rsidRDefault="00C24592">
            <w:pPr>
              <w:spacing w:after="0"/>
              <w:ind w:left="0"/>
              <w:jc w:val="left"/>
              <w:rPr>
                <w:b/>
              </w:rPr>
            </w:pPr>
            <w:r w:rsidRPr="00B91478">
              <w:rPr>
                <w:b/>
              </w:rPr>
              <w:t>("CUSTOMER")</w:t>
            </w:r>
          </w:p>
          <w:p w14:paraId="6D6CD18D" w14:textId="77777777" w:rsidR="000731CD" w:rsidRDefault="000731CD">
            <w:pPr>
              <w:spacing w:after="0"/>
              <w:ind w:left="0"/>
              <w:jc w:val="left"/>
              <w:rPr>
                <w:b/>
              </w:rPr>
            </w:pPr>
          </w:p>
          <w:p w14:paraId="4535A448" w14:textId="5E4F0473" w:rsidR="000731CD" w:rsidRPr="00B91478" w:rsidRDefault="000731CD">
            <w:pPr>
              <w:spacing w:after="0"/>
              <w:ind w:left="0"/>
              <w:jc w:val="left"/>
              <w:rPr>
                <w:b/>
              </w:rPr>
            </w:pP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50245880" w14:textId="00AB92B5" w:rsidR="00C24592" w:rsidRPr="001F6C30" w:rsidRDefault="001F6C30">
            <w:pPr>
              <w:spacing w:after="0"/>
              <w:ind w:left="0"/>
              <w:jc w:val="left"/>
              <w:rPr>
                <w:b/>
              </w:rPr>
            </w:pPr>
            <w:r w:rsidRPr="001F6C30">
              <w:rPr>
                <w:b/>
              </w:rPr>
              <w:t>Bramble Hub Limited</w:t>
            </w:r>
          </w:p>
          <w:p w14:paraId="44FCFDFF" w14:textId="0CB1F5C9" w:rsidR="001F6C30" w:rsidRPr="001F6C30" w:rsidRDefault="001F6C30">
            <w:pPr>
              <w:spacing w:after="0"/>
              <w:ind w:left="0"/>
              <w:jc w:val="left"/>
            </w:pPr>
            <w:r w:rsidRPr="001F6C30">
              <w:t>9E Albert Embankment, London, SE1 7SP</w:t>
            </w:r>
          </w:p>
          <w:p w14:paraId="222EDA17" w14:textId="65AF1AE9" w:rsidR="001F6C30" w:rsidRPr="001F6C30" w:rsidRDefault="001F6C30">
            <w:pPr>
              <w:spacing w:after="0"/>
              <w:ind w:left="0"/>
              <w:jc w:val="left"/>
            </w:pPr>
            <w:r w:rsidRPr="001F6C30">
              <w:t>Registered no 4136381</w:t>
            </w:r>
          </w:p>
          <w:p w14:paraId="24BDBA5D" w14:textId="77777777" w:rsidR="00C24592" w:rsidRPr="001F6C30" w:rsidRDefault="00C24592">
            <w:pPr>
              <w:spacing w:after="0"/>
              <w:ind w:left="0"/>
              <w:jc w:val="left"/>
              <w:rPr>
                <w:b/>
              </w:rPr>
            </w:pPr>
          </w:p>
          <w:p w14:paraId="0458B010" w14:textId="77777777" w:rsidR="00C24592" w:rsidRPr="001F6C30" w:rsidRDefault="00C24592">
            <w:pPr>
              <w:spacing w:after="0"/>
              <w:ind w:left="0"/>
              <w:jc w:val="left"/>
              <w:rPr>
                <w:b/>
              </w:rPr>
            </w:pPr>
            <w:r w:rsidRPr="001F6C30">
              <w:rPr>
                <w:b/>
              </w:rPr>
              <w:t>("SUPPLIER")</w:t>
            </w:r>
          </w:p>
          <w:p w14:paraId="1D64140C" w14:textId="2B96CFAE" w:rsidR="000731CD" w:rsidRPr="001F6C30" w:rsidRDefault="000731CD">
            <w:pPr>
              <w:spacing w:after="0"/>
              <w:ind w:left="0"/>
              <w:jc w:val="left"/>
              <w:rPr>
                <w:b/>
              </w:rPr>
            </w:pP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39830888" w14:textId="7DF1D148" w:rsidR="00C24592" w:rsidRDefault="001F6C30" w:rsidP="00B02A10">
            <w:pPr>
              <w:spacing w:after="0"/>
              <w:ind w:left="0"/>
              <w:jc w:val="left"/>
              <w:rPr>
                <w:b/>
              </w:rPr>
            </w:pPr>
            <w:r>
              <w:rPr>
                <w:b/>
              </w:rPr>
              <w:t>23 February 2021</w:t>
            </w:r>
          </w:p>
          <w:p w14:paraId="1B3066A4" w14:textId="77777777" w:rsidR="00C24592" w:rsidRPr="00B91478" w:rsidRDefault="00C24592" w:rsidP="00B02A10">
            <w:pPr>
              <w:spacing w:after="0"/>
              <w:ind w:left="0"/>
              <w:jc w:val="left"/>
              <w:rPr>
                <w:b/>
              </w:rPr>
            </w:pPr>
          </w:p>
          <w:p w14:paraId="7E80E23C" w14:textId="366CA2BF" w:rsidR="00C24592" w:rsidRPr="00B91478" w:rsidRDefault="00C2459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rsidP="006E1393">
            <w:pPr>
              <w:pStyle w:val="ORDERFORML1NONBOLDNONNUMBERTEXT"/>
              <w:numPr>
                <w:ilvl w:val="1"/>
                <w:numId w:val="17"/>
              </w:numPr>
              <w:spacing w:before="0" w:after="0"/>
              <w:rPr>
                <w:rFonts w:cs="Arial"/>
                <w:b/>
              </w:rPr>
            </w:pPr>
          </w:p>
        </w:tc>
        <w:tc>
          <w:tcPr>
            <w:tcW w:w="8392" w:type="dxa"/>
            <w:shd w:val="clear" w:color="auto" w:fill="auto"/>
          </w:tcPr>
          <w:p w14:paraId="2B587B19" w14:textId="2DE53463" w:rsidR="00F02150" w:rsidRPr="00B91478" w:rsidRDefault="009C2129">
            <w:pPr>
              <w:overflowPunct/>
              <w:autoSpaceDE/>
              <w:autoSpaceDN/>
              <w:adjustRightInd/>
              <w:spacing w:after="0"/>
              <w:ind w:left="0" w:right="936"/>
              <w:jc w:val="left"/>
              <w:textAlignment w:val="auto"/>
              <w:rPr>
                <w:rFonts w:eastAsia="STZhongsong"/>
                <w:b/>
                <w:lang w:eastAsia="zh-CN"/>
              </w:rPr>
            </w:pPr>
            <w:r>
              <w:rPr>
                <w:rFonts w:eastAsia="STZhongsong"/>
                <w:b/>
                <w:lang w:eastAsia="zh-CN"/>
              </w:rPr>
              <w:t xml:space="preserve">Call Off </w:t>
            </w:r>
            <w:r w:rsidR="00F02150" w:rsidRPr="00B91478">
              <w:rPr>
                <w:rFonts w:eastAsia="STZhongsong"/>
                <w:b/>
                <w:lang w:eastAsia="zh-CN"/>
              </w:rPr>
              <w:t>Commencement Date</w:t>
            </w:r>
            <w:r w:rsidR="001F6C30">
              <w:rPr>
                <w:rFonts w:eastAsia="STZhongsong"/>
                <w:lang w:eastAsia="zh-CN"/>
              </w:rPr>
              <w:t>: 27 October 2020</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1843E66E"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r w:rsidR="001F6C30">
              <w:rPr>
                <w:rFonts w:eastAsia="STZhongsong"/>
                <w:lang w:eastAsia="zh-CN"/>
              </w:rPr>
              <w:t xml:space="preserve"> 31 March 2021</w:t>
            </w:r>
          </w:p>
          <w:p w14:paraId="506BE5A8" w14:textId="679283C9" w:rsidR="00F02150" w:rsidRPr="00B91478"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78338B" w:rsidRPr="00B91478" w14:paraId="557BDC08" w14:textId="77777777" w:rsidTr="000731CD">
        <w:trPr>
          <w:trHeight w:val="8209"/>
        </w:trPr>
        <w:tc>
          <w:tcPr>
            <w:tcW w:w="704" w:type="dxa"/>
          </w:tcPr>
          <w:p w14:paraId="5A64A6E3" w14:textId="77777777" w:rsidR="0078338B" w:rsidRPr="00B91478" w:rsidRDefault="0078338B" w:rsidP="0078338B">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53D96481" w14:textId="77777777" w:rsidR="00C34A30" w:rsidRPr="00730F3E" w:rsidRDefault="00C34A30" w:rsidP="00C34A30">
            <w:pPr>
              <w:ind w:left="0"/>
            </w:pPr>
            <w:r w:rsidRPr="00730F3E">
              <w:t xml:space="preserve">The Services will form part of a large and complex programme to shape and deliver mass population testing across the UK. This will involve multiple </w:t>
            </w:r>
            <w:proofErr w:type="spellStart"/>
            <w:r w:rsidRPr="00730F3E">
              <w:t>workstreams</w:t>
            </w:r>
            <w:proofErr w:type="spellEnd"/>
            <w:r w:rsidRPr="00730F3E">
              <w:t xml:space="preserve"> and deliverables. MCF2 Lot 3 has been chosen </w:t>
            </w:r>
            <w:r>
              <w:t>[</w:t>
            </w:r>
            <w:r w:rsidRPr="00730F3E">
              <w:t>for mass testing</w:t>
            </w:r>
            <w:r>
              <w:t>]</w:t>
            </w:r>
            <w:r w:rsidRPr="00730F3E">
              <w:t xml:space="preserve"> as it is deemed complex, multi-disciplinary, transformational and large scale with multiple </w:t>
            </w:r>
            <w:proofErr w:type="spellStart"/>
            <w:r w:rsidRPr="00730F3E">
              <w:t>workstreams</w:t>
            </w:r>
            <w:proofErr w:type="spellEnd"/>
            <w:r w:rsidRPr="00730F3E">
              <w:t xml:space="preserve"> and interdependencies.  </w:t>
            </w:r>
          </w:p>
          <w:p w14:paraId="55F18001" w14:textId="77777777" w:rsidR="00C34A30" w:rsidRPr="00730F3E" w:rsidRDefault="00C34A30" w:rsidP="00C34A30">
            <w:pPr>
              <w:ind w:left="0"/>
            </w:pPr>
            <w:r w:rsidRPr="00730F3E">
              <w:t>The Supplier shall co-ordinate and report across the breadth of the specified work package and the wider Test and Trace programme of work, ensuring interdependencies are considered at the work package and programme levels.</w:t>
            </w:r>
          </w:p>
          <w:p w14:paraId="2CC889B8" w14:textId="472648EA" w:rsidR="00C34A30" w:rsidRDefault="00C34A30" w:rsidP="00C34A30">
            <w:pPr>
              <w:numPr>
                <w:ilvl w:val="1"/>
                <w:numId w:val="0"/>
              </w:numPr>
              <w:overflowPunct/>
              <w:autoSpaceDE/>
              <w:autoSpaceDN/>
              <w:spacing w:after="0"/>
              <w:jc w:val="left"/>
              <w:textAlignment w:val="auto"/>
              <w:rPr>
                <w:rFonts w:eastAsia="STZhongsong"/>
                <w:lang w:eastAsia="zh-CN"/>
              </w:rPr>
            </w:pPr>
            <w:r w:rsidRPr="00AB3AB1">
              <w:rPr>
                <w:rFonts w:eastAsia="STZhongsong"/>
                <w:lang w:eastAsia="zh-CN"/>
              </w:rPr>
              <w:t xml:space="preserve">In addition to the Services </w:t>
            </w:r>
            <w:r>
              <w:rPr>
                <w:rFonts w:eastAsia="STZhongsong"/>
                <w:lang w:eastAsia="zh-CN"/>
              </w:rPr>
              <w:t>set out</w:t>
            </w:r>
            <w:r w:rsidRPr="00AB3AB1">
              <w:rPr>
                <w:rFonts w:eastAsia="STZhongsong"/>
                <w:lang w:eastAsia="zh-CN"/>
              </w:rPr>
              <w:t xml:space="preserve"> in this section</w:t>
            </w:r>
            <w:r>
              <w:rPr>
                <w:rFonts w:eastAsia="STZhongsong"/>
                <w:lang w:eastAsia="zh-CN"/>
              </w:rPr>
              <w:t xml:space="preserve"> 2.1</w:t>
            </w:r>
            <w:r w:rsidRPr="00AB3AB1">
              <w:rPr>
                <w:rFonts w:eastAsia="STZhongsong"/>
                <w:lang w:eastAsia="zh-CN"/>
              </w:rPr>
              <w:t xml:space="preserve"> </w:t>
            </w:r>
            <w:r>
              <w:rPr>
                <w:rFonts w:eastAsia="STZhongsong"/>
                <w:lang w:eastAsia="zh-CN"/>
              </w:rPr>
              <w:t xml:space="preserve">and </w:t>
            </w:r>
            <w:r w:rsidRPr="00AB3AB1">
              <w:rPr>
                <w:rFonts w:eastAsia="STZhongsong"/>
                <w:lang w:eastAsia="zh-CN"/>
              </w:rPr>
              <w:t xml:space="preserve">Call Off Schedule 2, the </w:t>
            </w:r>
            <w:r>
              <w:rPr>
                <w:rFonts w:eastAsia="STZhongsong"/>
                <w:lang w:eastAsia="zh-CN"/>
              </w:rPr>
              <w:t>S</w:t>
            </w:r>
            <w:r w:rsidRPr="00AB3AB1">
              <w:rPr>
                <w:rFonts w:eastAsia="STZhongsong"/>
                <w:lang w:eastAsia="zh-CN"/>
              </w:rPr>
              <w:t>upplier is also required to deliver, as part of the Services, the Key Performance Indicators listed below and detailed out in Annex 1</w:t>
            </w:r>
            <w:r w:rsidR="00273FEE">
              <w:rPr>
                <w:rFonts w:eastAsia="STZhongsong"/>
                <w:lang w:eastAsia="zh-CN"/>
              </w:rPr>
              <w:t xml:space="preserve"> to this Call Off Order Form</w:t>
            </w:r>
            <w:r>
              <w:rPr>
                <w:rFonts w:eastAsia="STZhongsong"/>
                <w:lang w:eastAsia="zh-CN"/>
              </w:rPr>
              <w:t>:</w:t>
            </w:r>
          </w:p>
          <w:p w14:paraId="24582C24" w14:textId="745BE1A9" w:rsidR="00C34A30" w:rsidRPr="00C34A30" w:rsidRDefault="00C34A30" w:rsidP="00C34A30">
            <w:pPr>
              <w:pStyle w:val="ListParagraph"/>
              <w:numPr>
                <w:ilvl w:val="0"/>
                <w:numId w:val="19"/>
              </w:numPr>
              <w:overflowPunct/>
              <w:autoSpaceDE/>
              <w:autoSpaceDN/>
              <w:spacing w:after="120"/>
              <w:ind w:left="331" w:hanging="331"/>
              <w:textAlignment w:val="auto"/>
              <w:rPr>
                <w:iCs/>
              </w:rPr>
            </w:pPr>
            <w:r>
              <w:rPr>
                <w:iCs/>
              </w:rPr>
              <w:t xml:space="preserve">99% of timesheet reports completed and submitted to the Buyer within five (5) Working Days of </w:t>
            </w:r>
            <w:r w:rsidRPr="00C34A30">
              <w:rPr>
                <w:iCs/>
              </w:rPr>
              <w:t>week end detailing all billable work completed in the preceding week</w:t>
            </w:r>
          </w:p>
          <w:p w14:paraId="65A221D0" w14:textId="77777777" w:rsidR="00C34A30" w:rsidRDefault="00C34A30" w:rsidP="00C34A30">
            <w:pPr>
              <w:pStyle w:val="ListParagraph"/>
              <w:numPr>
                <w:ilvl w:val="0"/>
                <w:numId w:val="19"/>
              </w:numPr>
              <w:overflowPunct/>
              <w:autoSpaceDE/>
              <w:autoSpaceDN/>
              <w:spacing w:after="120"/>
              <w:ind w:left="331" w:hanging="331"/>
              <w:textAlignment w:val="auto"/>
              <w:rPr>
                <w:iCs/>
              </w:rPr>
            </w:pPr>
            <w:r>
              <w:rPr>
                <w:iCs/>
              </w:rPr>
              <w:t>99% minimum accuracy across total invoices received (direct match between invoiced amounts and accompanying timesheets).</w:t>
            </w:r>
          </w:p>
          <w:p w14:paraId="55F36029" w14:textId="0509D633" w:rsidR="00C34A30" w:rsidRDefault="00C34A30" w:rsidP="0078338B">
            <w:pPr>
              <w:ind w:left="0"/>
              <w:rPr>
                <w:rFonts w:ascii="Calibri" w:eastAsia="Calibri" w:hAnsi="Calibri" w:cs="Calibri"/>
                <w:iCs/>
                <w:color w:val="000000"/>
                <w:lang w:eastAsia="en-GB"/>
              </w:rPr>
            </w:pPr>
          </w:p>
          <w:p w14:paraId="2FFE4B65" w14:textId="1F4FDD8E" w:rsidR="0078338B" w:rsidRPr="00C34A30" w:rsidRDefault="0078338B" w:rsidP="0078338B">
            <w:pPr>
              <w:ind w:left="0"/>
              <w:rPr>
                <w:rFonts w:eastAsia="Calibri"/>
                <w:iCs/>
                <w:color w:val="000000"/>
                <w:lang w:eastAsia="en-GB"/>
              </w:rPr>
            </w:pPr>
            <w:r w:rsidRPr="00C34A30">
              <w:rPr>
                <w:rFonts w:eastAsia="Calibri"/>
                <w:iCs/>
                <w:color w:val="000000"/>
                <w:lang w:eastAsia="en-GB"/>
              </w:rPr>
              <w:t>Response to new demands for community mass testing and promotional events / activities compliant with prevailing pandemic condition and restrictions.</w:t>
            </w:r>
          </w:p>
          <w:p w14:paraId="7826D6D7" w14:textId="5A9928E0" w:rsidR="0078338B" w:rsidRPr="00C34A30" w:rsidRDefault="0078338B" w:rsidP="0078338B">
            <w:pPr>
              <w:ind w:left="0"/>
              <w:rPr>
                <w:rFonts w:eastAsia="Calibri"/>
                <w:iCs/>
                <w:color w:val="000000"/>
                <w:lang w:eastAsia="en-GB"/>
              </w:rPr>
            </w:pPr>
            <w:r w:rsidRPr="00C34A30">
              <w:rPr>
                <w:rFonts w:eastAsia="Calibri"/>
                <w:iCs/>
                <w:color w:val="000000"/>
                <w:lang w:eastAsia="en-GB"/>
              </w:rPr>
              <w:t>The Pilots and Use cases include:</w:t>
            </w:r>
          </w:p>
          <w:p w14:paraId="050CEF45"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Parliament</w:t>
            </w:r>
          </w:p>
          <w:p w14:paraId="5C43D29A"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NATO</w:t>
            </w:r>
          </w:p>
          <w:p w14:paraId="30F3420D"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Universities</w:t>
            </w:r>
          </w:p>
          <w:p w14:paraId="7F39B9F8"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Liverpool City</w:t>
            </w:r>
          </w:p>
          <w:p w14:paraId="64A069B6"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Regional </w:t>
            </w:r>
          </w:p>
          <w:p w14:paraId="79044674" w14:textId="77777777" w:rsidR="0078338B" w:rsidRPr="00C34A30" w:rsidRDefault="0078338B" w:rsidP="006E1393">
            <w:pPr>
              <w:pStyle w:val="ListParagraph"/>
              <w:numPr>
                <w:ilvl w:val="0"/>
                <w:numId w:val="24"/>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Community</w:t>
            </w:r>
          </w:p>
          <w:p w14:paraId="340FBA17" w14:textId="77777777" w:rsidR="0078338B" w:rsidRPr="00C34A30" w:rsidRDefault="0078338B" w:rsidP="0078338B">
            <w:pPr>
              <w:rPr>
                <w:rFonts w:eastAsia="Calibri"/>
                <w:iCs/>
                <w:color w:val="000000"/>
                <w:lang w:eastAsia="en-GB"/>
              </w:rPr>
            </w:pPr>
          </w:p>
          <w:p w14:paraId="5A62D833" w14:textId="4CAE0559" w:rsidR="0078338B" w:rsidRPr="00C34A30" w:rsidRDefault="0078338B"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sidRPr="00C34A30">
              <w:rPr>
                <w:rFonts w:eastAsia="Calibri"/>
                <w:b/>
                <w:bCs/>
                <w:iCs/>
                <w:color w:val="000000"/>
                <w:lang w:eastAsia="en-GB"/>
              </w:rPr>
              <w:t>Parliament Testin</w:t>
            </w:r>
            <w:r w:rsidR="00D758B1">
              <w:rPr>
                <w:rFonts w:eastAsia="Calibri"/>
                <w:b/>
                <w:bCs/>
                <w:iCs/>
                <w:color w:val="000000"/>
                <w:lang w:eastAsia="en-GB"/>
              </w:rPr>
              <w:t>g Programme support (REDACTED TEXT</w:t>
            </w:r>
            <w:r w:rsidRPr="00C34A30">
              <w:rPr>
                <w:rFonts w:eastAsia="Calibri"/>
                <w:b/>
                <w:bCs/>
                <w:iCs/>
                <w:color w:val="000000"/>
                <w:lang w:eastAsia="en-GB"/>
              </w:rPr>
              <w:t>)</w:t>
            </w:r>
          </w:p>
          <w:p w14:paraId="1D0D002F"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Engagement with Cabinet Office and Parliament on testing programme</w:t>
            </w:r>
          </w:p>
          <w:p w14:paraId="16CCD4E2"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Briefings for Parliament clerks and officials of testing support and operations</w:t>
            </w:r>
          </w:p>
          <w:p w14:paraId="4B0F925B"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Policy team on alignment</w:t>
            </w:r>
          </w:p>
          <w:p w14:paraId="2F6E8600"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Preparing Sub for Dido and </w:t>
            </w:r>
            <w:proofErr w:type="spellStart"/>
            <w:r w:rsidRPr="00C34A30">
              <w:rPr>
                <w:rFonts w:eastAsia="Calibri"/>
                <w:iCs/>
                <w:color w:val="000000"/>
                <w:lang w:eastAsia="en-GB"/>
              </w:rPr>
              <w:t>SoS</w:t>
            </w:r>
            <w:proofErr w:type="spellEnd"/>
          </w:p>
          <w:p w14:paraId="3E1778C7"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Site visits and inspections</w:t>
            </w:r>
          </w:p>
          <w:p w14:paraId="25814EC6"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of Parliamentary Estate plans</w:t>
            </w:r>
          </w:p>
          <w:p w14:paraId="6CB7CBA8"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of testing operations with Delivery Channels</w:t>
            </w:r>
          </w:p>
          <w:p w14:paraId="620CE20B"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Preparation feasibility options and preparations of layout plans for testing station within the Parliamentary Estate</w:t>
            </w:r>
          </w:p>
          <w:p w14:paraId="23489D22" w14:textId="77777777" w:rsidR="0078338B" w:rsidRPr="00C34A30" w:rsidRDefault="0078338B" w:rsidP="006E1393">
            <w:pPr>
              <w:pStyle w:val="ListParagraph"/>
              <w:numPr>
                <w:ilvl w:val="0"/>
                <w:numId w:val="26"/>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and briefings with DA’s on programme for devolved assemblies</w:t>
            </w:r>
          </w:p>
          <w:p w14:paraId="33C0F2BA" w14:textId="77777777" w:rsidR="0078338B" w:rsidRPr="00C34A30" w:rsidRDefault="0078338B" w:rsidP="0078338B">
            <w:pPr>
              <w:rPr>
                <w:rFonts w:eastAsia="Calibri"/>
                <w:iCs/>
                <w:color w:val="000000"/>
                <w:lang w:eastAsia="en-GB"/>
              </w:rPr>
            </w:pPr>
          </w:p>
          <w:p w14:paraId="0C2C8717" w14:textId="77777777" w:rsidR="0078338B" w:rsidRPr="00C34A30" w:rsidRDefault="0078338B" w:rsidP="0078338B">
            <w:pPr>
              <w:rPr>
                <w:rFonts w:eastAsia="Calibri"/>
                <w:iCs/>
                <w:color w:val="000000"/>
                <w:lang w:eastAsia="en-GB"/>
              </w:rPr>
            </w:pPr>
          </w:p>
          <w:p w14:paraId="234735B4" w14:textId="18FB2364" w:rsidR="0078338B" w:rsidRPr="00C34A30" w:rsidRDefault="00D758B1"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Pr>
                <w:rFonts w:eastAsia="Calibri"/>
                <w:b/>
                <w:bCs/>
                <w:iCs/>
                <w:color w:val="000000"/>
                <w:lang w:eastAsia="en-GB"/>
              </w:rPr>
              <w:t>NATO Exercise ( REDACTED TEXT</w:t>
            </w:r>
            <w:r w:rsidR="0078338B" w:rsidRPr="00C34A30">
              <w:rPr>
                <w:rFonts w:eastAsia="Calibri"/>
                <w:b/>
                <w:bCs/>
                <w:iCs/>
                <w:color w:val="000000"/>
                <w:lang w:eastAsia="en-GB"/>
              </w:rPr>
              <w:t>)</w:t>
            </w:r>
          </w:p>
          <w:p w14:paraId="7DE404A4"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Engagement with MOD/NATO/Military personnel on options for testing programme</w:t>
            </w:r>
          </w:p>
          <w:p w14:paraId="2F930802"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Preparation of SOP, Business Case and </w:t>
            </w:r>
            <w:proofErr w:type="spellStart"/>
            <w:r w:rsidRPr="00C34A30">
              <w:rPr>
                <w:rFonts w:eastAsia="Calibri"/>
                <w:iCs/>
                <w:color w:val="000000"/>
                <w:lang w:eastAsia="en-GB"/>
              </w:rPr>
              <w:t>Legals</w:t>
            </w:r>
            <w:proofErr w:type="spellEnd"/>
          </w:p>
          <w:p w14:paraId="36A6F517"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Ongoing engagement with Clinicians and PHSO on delivery</w:t>
            </w:r>
          </w:p>
          <w:p w14:paraId="3E154E52"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Briefings for military personnel and NATO officials of testing support and operations</w:t>
            </w:r>
          </w:p>
          <w:p w14:paraId="526A66E5"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Policy team on alignment</w:t>
            </w:r>
          </w:p>
          <w:p w14:paraId="56FA477E"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lastRenderedPageBreak/>
              <w:t xml:space="preserve">Preparing briefings for Dido and </w:t>
            </w:r>
            <w:proofErr w:type="spellStart"/>
            <w:r w:rsidRPr="00C34A30">
              <w:rPr>
                <w:rFonts w:eastAsia="Calibri"/>
                <w:iCs/>
                <w:color w:val="000000"/>
                <w:lang w:eastAsia="en-GB"/>
              </w:rPr>
              <w:t>SoS</w:t>
            </w:r>
            <w:proofErr w:type="spellEnd"/>
          </w:p>
          <w:p w14:paraId="5A95809E"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Site visits and inspections of three military bases</w:t>
            </w:r>
          </w:p>
          <w:p w14:paraId="3474110E"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of NATO plans, preparation of feasibility options and layout plans for testing station within the three military bases</w:t>
            </w:r>
          </w:p>
          <w:p w14:paraId="63BF0FE3"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of testing operations with Delivery Channels</w:t>
            </w:r>
          </w:p>
          <w:p w14:paraId="33D17472"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Scoping and ordering of kit, equipment and infrastructure requirements to set up test sites</w:t>
            </w:r>
          </w:p>
          <w:p w14:paraId="056D125C"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Overseeing delivery and logistics</w:t>
            </w:r>
          </w:p>
          <w:p w14:paraId="4465F7D6"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Site attendance to oversee delivery, site set up and operations</w:t>
            </w:r>
          </w:p>
          <w:p w14:paraId="16E1B139"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Take down and return of kit and equipment</w:t>
            </w:r>
          </w:p>
          <w:p w14:paraId="6B58A16F"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Organisation and deployment of extended testing plan at future ex</w:t>
            </w:r>
          </w:p>
          <w:p w14:paraId="42361556" w14:textId="77777777" w:rsidR="0078338B" w:rsidRPr="00C34A30" w:rsidRDefault="0078338B" w:rsidP="006E1393">
            <w:pPr>
              <w:pStyle w:val="ListParagraph"/>
              <w:numPr>
                <w:ilvl w:val="0"/>
                <w:numId w:val="27"/>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Recording lessons learned and debriefing</w:t>
            </w:r>
          </w:p>
          <w:p w14:paraId="2FDD6161" w14:textId="77777777" w:rsidR="0078338B" w:rsidRPr="00C34A30" w:rsidRDefault="0078338B" w:rsidP="0078338B">
            <w:pPr>
              <w:rPr>
                <w:rFonts w:eastAsia="Calibri"/>
                <w:iCs/>
                <w:color w:val="000000"/>
                <w:lang w:eastAsia="en-GB"/>
              </w:rPr>
            </w:pPr>
          </w:p>
          <w:p w14:paraId="5AED979C" w14:textId="77777777" w:rsidR="0078338B" w:rsidRPr="00C34A30" w:rsidRDefault="0078338B" w:rsidP="0078338B">
            <w:pPr>
              <w:rPr>
                <w:rFonts w:eastAsia="Calibri"/>
                <w:iCs/>
                <w:color w:val="000000"/>
                <w:lang w:eastAsia="en-GB"/>
              </w:rPr>
            </w:pPr>
          </w:p>
          <w:p w14:paraId="67DE1F8D" w14:textId="754DBA7A" w:rsidR="0078338B" w:rsidRPr="00C34A30" w:rsidRDefault="0078338B"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sidRPr="00C34A30">
              <w:rPr>
                <w:rFonts w:eastAsia="Calibri"/>
                <w:b/>
                <w:bCs/>
                <w:iCs/>
                <w:color w:val="000000"/>
                <w:lang w:eastAsia="en-GB"/>
              </w:rPr>
              <w:t>Uni</w:t>
            </w:r>
            <w:r w:rsidR="00D758B1">
              <w:rPr>
                <w:rFonts w:eastAsia="Calibri"/>
                <w:b/>
                <w:bCs/>
                <w:iCs/>
                <w:color w:val="000000"/>
                <w:lang w:eastAsia="en-GB"/>
              </w:rPr>
              <w:t>versity Programme ( REDACTED TEXT</w:t>
            </w:r>
            <w:r w:rsidRPr="00C34A30">
              <w:rPr>
                <w:rFonts w:eastAsia="Calibri"/>
                <w:b/>
                <w:bCs/>
                <w:iCs/>
                <w:color w:val="000000"/>
                <w:lang w:eastAsia="en-GB"/>
              </w:rPr>
              <w:t>)</w:t>
            </w:r>
          </w:p>
          <w:p w14:paraId="4F6D42EE"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Engagement with University personnel on plans for testing programme including briefings, incident management and response to questions</w:t>
            </w:r>
          </w:p>
          <w:p w14:paraId="2DAD9514"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Triaging inbox and instigating responses and mitigations</w:t>
            </w:r>
          </w:p>
          <w:p w14:paraId="773CFA54"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Preparation of clinical SOP, Business Case, </w:t>
            </w:r>
            <w:proofErr w:type="spellStart"/>
            <w:r w:rsidRPr="00C34A30">
              <w:rPr>
                <w:rFonts w:eastAsia="Calibri"/>
                <w:iCs/>
                <w:color w:val="000000"/>
                <w:lang w:eastAsia="en-GB"/>
              </w:rPr>
              <w:t>Legals</w:t>
            </w:r>
            <w:proofErr w:type="spellEnd"/>
            <w:r w:rsidRPr="00C34A30">
              <w:rPr>
                <w:rFonts w:eastAsia="Calibri"/>
                <w:iCs/>
                <w:color w:val="000000"/>
                <w:lang w:eastAsia="en-GB"/>
              </w:rPr>
              <w:t xml:space="preserve"> and indemnities and liaison with support functions to reach agreement</w:t>
            </w:r>
          </w:p>
          <w:p w14:paraId="795C4F17"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Clinical and Policy team on alignment</w:t>
            </w:r>
          </w:p>
          <w:p w14:paraId="655318D1"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briefings for Use Case Director and internal leadership</w:t>
            </w:r>
          </w:p>
          <w:p w14:paraId="3FEC06AF"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programmes and managing delivery</w:t>
            </w:r>
          </w:p>
          <w:p w14:paraId="5CC92B9C"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Attending daily briefings</w:t>
            </w:r>
          </w:p>
          <w:p w14:paraId="2C9AD6D1"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of testing operations with Delivery Channels</w:t>
            </w:r>
          </w:p>
          <w:p w14:paraId="4B2FCCEB"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Delivery Channels to assure Deliveries</w:t>
            </w:r>
          </w:p>
          <w:p w14:paraId="03D527AB"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Establishing incident management system and supporting incident management execution</w:t>
            </w:r>
          </w:p>
          <w:p w14:paraId="235F8BDC"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Undertaking assurance of Operational Readiness and instigating mitigations</w:t>
            </w:r>
          </w:p>
          <w:p w14:paraId="23854E5E"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Assuring and supporting delivery of kit and equipment including maintaining tracker and reporting</w:t>
            </w:r>
          </w:p>
          <w:p w14:paraId="4C1C1EA6"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with and managing DAs engagement and delivering against their requests</w:t>
            </w:r>
          </w:p>
          <w:p w14:paraId="6DD0B07A"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Supporting the preparation of the January return to </w:t>
            </w:r>
            <w:proofErr w:type="spellStart"/>
            <w:r w:rsidRPr="00C34A30">
              <w:rPr>
                <w:rFonts w:eastAsia="Calibri"/>
                <w:iCs/>
                <w:color w:val="000000"/>
                <w:lang w:eastAsia="en-GB"/>
              </w:rPr>
              <w:t>Uni</w:t>
            </w:r>
            <w:proofErr w:type="spellEnd"/>
            <w:r w:rsidRPr="00C34A30">
              <w:rPr>
                <w:rFonts w:eastAsia="Calibri"/>
                <w:iCs/>
                <w:color w:val="000000"/>
                <w:lang w:eastAsia="en-GB"/>
              </w:rPr>
              <w:t xml:space="preserve"> plan</w:t>
            </w:r>
          </w:p>
          <w:p w14:paraId="7A0F20EB" w14:textId="77777777" w:rsidR="0078338B" w:rsidRPr="00C34A30" w:rsidRDefault="0078338B" w:rsidP="006E1393">
            <w:pPr>
              <w:pStyle w:val="ListParagraph"/>
              <w:numPr>
                <w:ilvl w:val="0"/>
                <w:numId w:val="28"/>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Recording lessons learned and debriefing</w:t>
            </w:r>
          </w:p>
          <w:p w14:paraId="316EC717" w14:textId="77777777" w:rsidR="0078338B" w:rsidRPr="00C34A30" w:rsidRDefault="0078338B" w:rsidP="0078338B">
            <w:pPr>
              <w:rPr>
                <w:rFonts w:eastAsia="Calibri"/>
                <w:iCs/>
                <w:color w:val="000000"/>
                <w:lang w:eastAsia="en-GB"/>
              </w:rPr>
            </w:pPr>
          </w:p>
          <w:p w14:paraId="01D8909B" w14:textId="77777777" w:rsidR="0078338B" w:rsidRPr="00C34A30" w:rsidRDefault="0078338B" w:rsidP="0078338B">
            <w:pPr>
              <w:rPr>
                <w:rFonts w:eastAsia="Calibri"/>
                <w:iCs/>
                <w:color w:val="000000"/>
                <w:lang w:eastAsia="en-GB"/>
              </w:rPr>
            </w:pPr>
          </w:p>
          <w:p w14:paraId="6C303637" w14:textId="3344D06B" w:rsidR="0078338B" w:rsidRPr="00C34A30" w:rsidRDefault="00D758B1"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Pr>
                <w:rFonts w:eastAsia="Calibri"/>
                <w:b/>
                <w:bCs/>
                <w:iCs/>
                <w:color w:val="000000"/>
                <w:lang w:eastAsia="en-GB"/>
              </w:rPr>
              <w:t>Liverpool (REDACTED TEXT</w:t>
            </w:r>
            <w:r w:rsidR="0078338B" w:rsidRPr="00C34A30">
              <w:rPr>
                <w:rFonts w:eastAsia="Calibri"/>
                <w:b/>
                <w:bCs/>
                <w:iCs/>
                <w:color w:val="000000"/>
                <w:lang w:eastAsia="en-GB"/>
              </w:rPr>
              <w:t>)</w:t>
            </w:r>
          </w:p>
          <w:p w14:paraId="109CC6C2"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Reviewing the flow management and site set up of ATS test sites in Liverpool</w:t>
            </w:r>
          </w:p>
          <w:p w14:paraId="6981C4BC"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Team attendance on site over two days, inspecting site set up, making recommendations on queue and flow management and supporting the operations</w:t>
            </w:r>
          </w:p>
          <w:p w14:paraId="32654C58"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with Delivery Channels on revisions to plans and SOP</w:t>
            </w:r>
          </w:p>
          <w:p w14:paraId="732EA2F5"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Developing streamlined layout plans to reduce infrastructure set up and increase flows</w:t>
            </w:r>
          </w:p>
          <w:p w14:paraId="5F2E8CC9"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internal teams to instigate internal approvals to changes</w:t>
            </w:r>
          </w:p>
          <w:p w14:paraId="17DBD78F" w14:textId="77777777" w:rsidR="0078338B" w:rsidRPr="00C34A30" w:rsidRDefault="0078338B" w:rsidP="006E1393">
            <w:pPr>
              <w:pStyle w:val="ListParagraph"/>
              <w:numPr>
                <w:ilvl w:val="0"/>
                <w:numId w:val="29"/>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lessons learned and briefing Military personnel and T&amp;T leadership</w:t>
            </w:r>
          </w:p>
          <w:p w14:paraId="67E948F0" w14:textId="77777777" w:rsidR="0078338B" w:rsidRPr="00C34A30" w:rsidRDefault="0078338B" w:rsidP="0078338B">
            <w:pPr>
              <w:rPr>
                <w:rFonts w:eastAsia="Calibri"/>
                <w:iCs/>
                <w:color w:val="000000"/>
                <w:lang w:eastAsia="en-GB"/>
              </w:rPr>
            </w:pPr>
          </w:p>
          <w:p w14:paraId="7B9FFDAB" w14:textId="77777777" w:rsidR="0078338B" w:rsidRPr="00C34A30" w:rsidRDefault="0078338B" w:rsidP="0078338B">
            <w:pPr>
              <w:rPr>
                <w:rFonts w:eastAsia="Calibri"/>
                <w:iCs/>
                <w:color w:val="000000"/>
                <w:lang w:eastAsia="en-GB"/>
              </w:rPr>
            </w:pPr>
          </w:p>
          <w:p w14:paraId="43D38B32" w14:textId="25E689C4" w:rsidR="0078338B" w:rsidRPr="00C34A30" w:rsidRDefault="0078338B"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sidRPr="00C34A30">
              <w:rPr>
                <w:rFonts w:eastAsia="Calibri"/>
                <w:b/>
                <w:bCs/>
                <w:iCs/>
                <w:color w:val="000000"/>
                <w:lang w:eastAsia="en-GB"/>
              </w:rPr>
              <w:t xml:space="preserve">Regional Testing </w:t>
            </w:r>
            <w:r w:rsidR="00D758B1">
              <w:rPr>
                <w:rFonts w:eastAsia="Calibri"/>
                <w:b/>
                <w:bCs/>
                <w:iCs/>
                <w:color w:val="000000"/>
                <w:lang w:eastAsia="en-GB"/>
              </w:rPr>
              <w:t>(REDACTED TEXT</w:t>
            </w:r>
            <w:r w:rsidRPr="00C34A30">
              <w:rPr>
                <w:rFonts w:eastAsia="Calibri"/>
                <w:b/>
                <w:bCs/>
                <w:iCs/>
                <w:color w:val="000000"/>
                <w:lang w:eastAsia="en-GB"/>
              </w:rPr>
              <w:t>)</w:t>
            </w:r>
          </w:p>
          <w:p w14:paraId="258FE398"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Supporting planning for Regional Testing</w:t>
            </w:r>
          </w:p>
          <w:p w14:paraId="1C1AFD50"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Attending meetings and briefings and providing advice as required on Site Set Up</w:t>
            </w:r>
          </w:p>
          <w:p w14:paraId="5274974A"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site up layout plans for Small, Medium, Large, Drive Thru and temporary pop up test sites with streamlined layout – Open Plan/Minimum Build</w:t>
            </w:r>
          </w:p>
          <w:p w14:paraId="5DDCD8AF"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Workforce and Delivery Channels on thru put, workforce arrangements and layout to ascertain key metrics for integration into Regional Testing planning paper</w:t>
            </w:r>
          </w:p>
          <w:p w14:paraId="7C719381"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cost model for layout options</w:t>
            </w:r>
          </w:p>
          <w:p w14:paraId="2C34A537" w14:textId="77777777" w:rsidR="0078338B" w:rsidRPr="00C34A30" w:rsidRDefault="0078338B" w:rsidP="006E1393">
            <w:pPr>
              <w:pStyle w:val="ListParagraph"/>
              <w:numPr>
                <w:ilvl w:val="0"/>
                <w:numId w:val="30"/>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with, briefings and agreements with Delivery Channels and PHSCO on revised SOP and integration of revised layouts into Guidebook.</w:t>
            </w:r>
          </w:p>
          <w:p w14:paraId="7AB2F170" w14:textId="77777777" w:rsidR="0078338B" w:rsidRPr="00C34A30" w:rsidRDefault="0078338B" w:rsidP="0078338B">
            <w:pPr>
              <w:rPr>
                <w:rFonts w:eastAsia="Calibri"/>
                <w:iCs/>
                <w:color w:val="000000"/>
                <w:lang w:eastAsia="en-GB"/>
              </w:rPr>
            </w:pPr>
          </w:p>
          <w:p w14:paraId="3DE55A50" w14:textId="77777777" w:rsidR="0078338B" w:rsidRPr="00C34A30" w:rsidRDefault="0078338B" w:rsidP="0078338B">
            <w:pPr>
              <w:rPr>
                <w:rFonts w:eastAsia="Calibri"/>
                <w:iCs/>
                <w:color w:val="000000"/>
                <w:lang w:eastAsia="en-GB"/>
              </w:rPr>
            </w:pPr>
          </w:p>
          <w:p w14:paraId="22C67606" w14:textId="4BDAB5FE" w:rsidR="0078338B" w:rsidRPr="00C34A30" w:rsidRDefault="00D758B1" w:rsidP="006E1393">
            <w:pPr>
              <w:pStyle w:val="ListParagraph"/>
              <w:numPr>
                <w:ilvl w:val="0"/>
                <w:numId w:val="25"/>
              </w:numPr>
              <w:overflowPunct/>
              <w:autoSpaceDE/>
              <w:autoSpaceDN/>
              <w:adjustRightInd/>
              <w:spacing w:after="0"/>
              <w:jc w:val="left"/>
              <w:textAlignment w:val="auto"/>
              <w:rPr>
                <w:rFonts w:eastAsia="Calibri"/>
                <w:b/>
                <w:bCs/>
                <w:iCs/>
                <w:color w:val="000000"/>
                <w:lang w:eastAsia="en-GB"/>
              </w:rPr>
            </w:pPr>
            <w:r>
              <w:rPr>
                <w:rFonts w:eastAsia="Calibri"/>
                <w:b/>
                <w:bCs/>
                <w:iCs/>
                <w:color w:val="000000"/>
                <w:lang w:eastAsia="en-GB"/>
              </w:rPr>
              <w:t>Community Testing ( REDACTED TEXT</w:t>
            </w:r>
            <w:r w:rsidR="0078338B" w:rsidRPr="00C34A30">
              <w:rPr>
                <w:rFonts w:eastAsia="Calibri"/>
                <w:b/>
                <w:bCs/>
                <w:iCs/>
                <w:color w:val="000000"/>
                <w:lang w:eastAsia="en-GB"/>
              </w:rPr>
              <w:t>)</w:t>
            </w:r>
          </w:p>
          <w:p w14:paraId="32AA782E"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Attending meetings and supporting planning for Community Testing</w:t>
            </w:r>
          </w:p>
          <w:p w14:paraId="50D158CC"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Providing advice as required on Site Set Up scenarios to include in the Guidebook</w:t>
            </w:r>
          </w:p>
          <w:p w14:paraId="0A486D05"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Working with Workforce and Delivery Channels on thru put, workforce arrangements and layout to develop key metrics for each iteration of the plan</w:t>
            </w:r>
          </w:p>
          <w:p w14:paraId="178B034E"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with, briefings and agreements with Delivery Channels and PHSCO on revised SOP and integration of revised layouts into Guidebook.</w:t>
            </w:r>
          </w:p>
          <w:p w14:paraId="4B0A7A70"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plans and proposals for pre-Christmas event options in a Tier 3 location as part of the Community Testing proposal</w:t>
            </w:r>
          </w:p>
          <w:p w14:paraId="6C07EFE1"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Attending briefings with City Councils and Local Authorities</w:t>
            </w:r>
          </w:p>
          <w:p w14:paraId="078A78BD"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Liaising with DCMS, SGSA, PL and EFL on options and plans</w:t>
            </w:r>
          </w:p>
          <w:p w14:paraId="664690A6"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Liaison with Liverpool on possible test pre-Christmas for Comedy Show</w:t>
            </w:r>
          </w:p>
          <w:p w14:paraId="3C280DAA"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Preparing plans and proposals for post-Christmas event options in a Tier 3 location as part of the Community Testing roll out – reviewing all Premiership and EFL matches as well as other major sport events</w:t>
            </w:r>
          </w:p>
          <w:p w14:paraId="67A11908"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Preparing briefings for </w:t>
            </w:r>
            <w:proofErr w:type="spellStart"/>
            <w:r w:rsidRPr="00C34A30">
              <w:rPr>
                <w:rFonts w:eastAsia="Calibri"/>
                <w:iCs/>
                <w:color w:val="000000"/>
                <w:lang w:eastAsia="en-GB"/>
              </w:rPr>
              <w:t>SoS</w:t>
            </w:r>
            <w:proofErr w:type="spellEnd"/>
          </w:p>
          <w:p w14:paraId="2A4A45CA" w14:textId="77777777" w:rsidR="0078338B" w:rsidRPr="00C34A30" w:rsidRDefault="0078338B" w:rsidP="006E1393">
            <w:pPr>
              <w:pStyle w:val="ListParagraph"/>
              <w:numPr>
                <w:ilvl w:val="0"/>
                <w:numId w:val="31"/>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Delivery of events in Dec in T3 locations if approved by </w:t>
            </w:r>
            <w:proofErr w:type="spellStart"/>
            <w:r w:rsidRPr="00C34A30">
              <w:rPr>
                <w:rFonts w:eastAsia="Calibri"/>
                <w:iCs/>
                <w:color w:val="000000"/>
                <w:lang w:eastAsia="en-GB"/>
              </w:rPr>
              <w:t>SoS</w:t>
            </w:r>
            <w:proofErr w:type="spellEnd"/>
          </w:p>
          <w:p w14:paraId="57C64824" w14:textId="77777777" w:rsidR="00CC1452" w:rsidRDefault="00CC1452" w:rsidP="00CC1452">
            <w:pPr>
              <w:ind w:left="0"/>
              <w:rPr>
                <w:rFonts w:ascii="Calibri" w:eastAsia="Calibri" w:hAnsi="Calibri" w:cs="Calibri"/>
                <w:iCs/>
                <w:color w:val="000000"/>
                <w:lang w:eastAsia="en-GB"/>
              </w:rPr>
            </w:pPr>
          </w:p>
          <w:p w14:paraId="0ACCCE04" w14:textId="32C456E7" w:rsidR="0078338B" w:rsidRDefault="00CC1452" w:rsidP="00CC1452">
            <w:pPr>
              <w:ind w:left="0"/>
              <w:rPr>
                <w:rFonts w:ascii="Calibri" w:eastAsia="Calibri" w:hAnsi="Calibri" w:cs="Calibri"/>
                <w:iCs/>
                <w:color w:val="000000"/>
                <w:lang w:eastAsia="en-GB"/>
              </w:rPr>
            </w:pPr>
            <w:r>
              <w:rPr>
                <w:rFonts w:ascii="Calibri" w:eastAsia="Calibri" w:hAnsi="Calibri" w:cs="Calibri"/>
                <w:iCs/>
                <w:color w:val="000000"/>
                <w:lang w:eastAsia="en-GB"/>
              </w:rPr>
              <w:t>REDACTED TABLE</w:t>
            </w:r>
            <w:bookmarkStart w:id="1" w:name="_GoBack"/>
            <w:bookmarkEnd w:id="1"/>
          </w:p>
          <w:p w14:paraId="4848009C" w14:textId="766C9232" w:rsidR="0078338B" w:rsidRPr="00C34A30" w:rsidRDefault="0078338B" w:rsidP="0078338B">
            <w:pPr>
              <w:ind w:left="0"/>
              <w:rPr>
                <w:rFonts w:eastAsia="Calibri"/>
                <w:iCs/>
                <w:color w:val="000000"/>
                <w:lang w:eastAsia="en-GB"/>
              </w:rPr>
            </w:pPr>
            <w:r w:rsidRPr="00C34A30">
              <w:rPr>
                <w:rFonts w:eastAsia="Calibri"/>
                <w:iCs/>
                <w:color w:val="000000"/>
                <w:lang w:eastAsia="en-GB"/>
              </w:rPr>
              <w:t>The roles of  new team members and staffing includes:</w:t>
            </w:r>
          </w:p>
          <w:p w14:paraId="0D4C2EAD" w14:textId="26889DD7" w:rsidR="0078338B" w:rsidRPr="00C34A30" w:rsidRDefault="00D758B1" w:rsidP="0078338B">
            <w:pPr>
              <w:ind w:left="0"/>
              <w:rPr>
                <w:rFonts w:eastAsia="Calibri"/>
                <w:iCs/>
                <w:color w:val="000000"/>
                <w:lang w:eastAsia="en-GB"/>
              </w:rPr>
            </w:pPr>
            <w:r>
              <w:rPr>
                <w:rFonts w:eastAsia="Calibri"/>
                <w:b/>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 Parliament, University &amp; DA Lead</w:t>
            </w:r>
          </w:p>
          <w:p w14:paraId="3EA759B2" w14:textId="0FD3A610" w:rsidR="0078338B" w:rsidRPr="00C34A30" w:rsidRDefault="00D758B1"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is Leading on Parliament and Devolved Authorities for our Use Case</w:t>
            </w:r>
          </w:p>
          <w:p w14:paraId="3528DA01" w14:textId="77777777" w:rsidR="0078338B" w:rsidRPr="00C34A30" w:rsidRDefault="0078338B"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She is also managing the interface with DA’s for Universities </w:t>
            </w:r>
          </w:p>
          <w:p w14:paraId="7B40381E" w14:textId="77777777" w:rsidR="0078338B" w:rsidRPr="00C34A30" w:rsidRDefault="0078338B"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Her role was initially to coordinate the delivery of an asymptomatic testing regime across the Parliamentary Estate in Westminster but now covering DA engagement across Universities and Events to share methodology and discuss opportunities for shared working</w:t>
            </w:r>
          </w:p>
          <w:p w14:paraId="69B5DC58" w14:textId="77777777" w:rsidR="0078338B" w:rsidRPr="00C34A30" w:rsidRDefault="0078338B"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The role will identify potential venues and events in the DA’s that could be used as pilot opportunities and ensure other Leads in the </w:t>
            </w:r>
            <w:proofErr w:type="spellStart"/>
            <w:r w:rsidRPr="00C34A30">
              <w:rPr>
                <w:rFonts w:eastAsia="Calibri"/>
                <w:iCs/>
                <w:color w:val="000000"/>
                <w:lang w:eastAsia="en-GB"/>
              </w:rPr>
              <w:t>Trivandi</w:t>
            </w:r>
            <w:proofErr w:type="spellEnd"/>
            <w:r w:rsidRPr="00C34A30">
              <w:rPr>
                <w:rFonts w:eastAsia="Calibri"/>
                <w:iCs/>
                <w:color w:val="000000"/>
                <w:lang w:eastAsia="en-GB"/>
              </w:rPr>
              <w:t xml:space="preserve"> team have visibility of these opportunities</w:t>
            </w:r>
          </w:p>
          <w:p w14:paraId="00D30925" w14:textId="77777777" w:rsidR="0078338B" w:rsidRPr="00C34A30" w:rsidRDefault="0078338B"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The role will liaise closely with other Use Cases and other departments as necessary</w:t>
            </w:r>
          </w:p>
          <w:p w14:paraId="3B127681" w14:textId="77777777" w:rsidR="0078338B" w:rsidRPr="00C34A30" w:rsidRDefault="0078338B" w:rsidP="006E1393">
            <w:pPr>
              <w:pStyle w:val="ListParagraph"/>
              <w:numPr>
                <w:ilvl w:val="0"/>
                <w:numId w:val="32"/>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lastRenderedPageBreak/>
              <w:t>This role will also start to consider the requirements for a testing regime for the State Opening of Parliament in 2021.</w:t>
            </w:r>
          </w:p>
          <w:p w14:paraId="4E591731" w14:textId="77777777" w:rsidR="0078338B" w:rsidRPr="00C34A30" w:rsidRDefault="0078338B" w:rsidP="0078338B">
            <w:pPr>
              <w:rPr>
                <w:rFonts w:eastAsia="Calibri"/>
                <w:iCs/>
                <w:color w:val="000000"/>
                <w:lang w:eastAsia="en-GB"/>
              </w:rPr>
            </w:pPr>
            <w:r w:rsidRPr="00C34A30">
              <w:rPr>
                <w:rFonts w:eastAsia="Calibri"/>
                <w:iCs/>
                <w:color w:val="000000"/>
                <w:lang w:eastAsia="en-GB"/>
              </w:rPr>
              <w:t xml:space="preserve"> </w:t>
            </w:r>
          </w:p>
          <w:p w14:paraId="4ADBA06C" w14:textId="02390001" w:rsidR="0078338B" w:rsidRPr="00C34A30" w:rsidRDefault="00D758B1" w:rsidP="0078338B">
            <w:pPr>
              <w:ind w:left="0"/>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 Quality Lead</w:t>
            </w:r>
          </w:p>
          <w:p w14:paraId="66A61F1B" w14:textId="77777777" w:rsidR="0078338B" w:rsidRPr="00C34A30" w:rsidRDefault="0078338B" w:rsidP="0078338B">
            <w:pPr>
              <w:ind w:left="0"/>
              <w:rPr>
                <w:rFonts w:eastAsia="Calibri"/>
                <w:iCs/>
                <w:color w:val="000000"/>
                <w:lang w:eastAsia="en-GB"/>
              </w:rPr>
            </w:pPr>
            <w:r w:rsidRPr="00C34A30">
              <w:rPr>
                <w:rFonts w:eastAsia="Calibri"/>
                <w:iCs/>
                <w:color w:val="000000"/>
                <w:lang w:eastAsia="en-GB"/>
              </w:rPr>
              <w:t>At the request of PHSCO, Use Case 6 needed to appoint someone to fulfil the role of Quality Lead.  According to the PHCSO Mission Guidance this person will:</w:t>
            </w:r>
          </w:p>
          <w:p w14:paraId="0E0440C7"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Act as Quality Lead, with accountability for the clinical quality of the service. This individual will liaise with the PHCSO team and local Clinical Quality teams and ensure quality is considered end-to-end across the Mission’s service model </w:t>
            </w:r>
          </w:p>
          <w:p w14:paraId="5435D055"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Define what the public health outcome is they hope to achieve</w:t>
            </w:r>
          </w:p>
          <w:p w14:paraId="2F863601"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Determine / be clear who is clinically accountable for different parts of the service / testing pathway (i.e. DHSC, NHS (e.g. if test must be done professionals), commercial provider etc.) </w:t>
            </w:r>
          </w:p>
          <w:p w14:paraId="4AD29822"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Understand what local clinical quality governance or specifications need to be adhered to</w:t>
            </w:r>
          </w:p>
          <w:p w14:paraId="0C232D0B"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Consider the public health and clinical questions during service and operating model design</w:t>
            </w:r>
          </w:p>
          <w:p w14:paraId="3C83A68F"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Consider how clinical quality will be continuously monitored and improved once the service is live</w:t>
            </w:r>
          </w:p>
          <w:p w14:paraId="21999232" w14:textId="77777777" w:rsidR="0078338B" w:rsidRPr="00C34A30" w:rsidRDefault="0078338B" w:rsidP="006E1393">
            <w:pPr>
              <w:pStyle w:val="ListParagraph"/>
              <w:numPr>
                <w:ilvl w:val="0"/>
                <w:numId w:val="33"/>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Review existing Pillar 2 Clinical SOPs, and adapt if necessary to address the proposed service design for the Mission</w:t>
            </w:r>
          </w:p>
          <w:p w14:paraId="1B8A3E44" w14:textId="77777777" w:rsidR="0078338B" w:rsidRPr="00C34A30" w:rsidRDefault="0078338B" w:rsidP="0078338B">
            <w:pPr>
              <w:rPr>
                <w:rFonts w:eastAsia="Calibri"/>
                <w:iCs/>
                <w:color w:val="000000"/>
                <w:lang w:eastAsia="en-GB"/>
              </w:rPr>
            </w:pPr>
            <w:r w:rsidRPr="00C34A30">
              <w:rPr>
                <w:rFonts w:eastAsia="Calibri"/>
                <w:iCs/>
                <w:color w:val="000000"/>
                <w:lang w:eastAsia="en-GB"/>
              </w:rPr>
              <w:t xml:space="preserve"> </w:t>
            </w:r>
          </w:p>
          <w:p w14:paraId="21836FBA" w14:textId="77777777" w:rsidR="0078338B" w:rsidRPr="00C34A30" w:rsidRDefault="0078338B" w:rsidP="0078338B">
            <w:pPr>
              <w:ind w:left="0"/>
              <w:rPr>
                <w:rFonts w:eastAsia="Calibri"/>
                <w:iCs/>
                <w:color w:val="000000"/>
                <w:lang w:eastAsia="en-GB"/>
              </w:rPr>
            </w:pPr>
            <w:r w:rsidRPr="00C34A30">
              <w:rPr>
                <w:rFonts w:eastAsia="Calibri"/>
                <w:iCs/>
                <w:color w:val="000000"/>
                <w:lang w:eastAsia="en-GB"/>
              </w:rPr>
              <w:t>Key Responsibilities:</w:t>
            </w:r>
          </w:p>
          <w:p w14:paraId="4A61EED0"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alert and report to Testing Operations Quality Committee any quality issues and incidents associated with testing and reporting in their delivery channels</w:t>
            </w:r>
          </w:p>
          <w:p w14:paraId="2A137CE7"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develop and implement effective and efficient quality assurance processes in their Mission</w:t>
            </w:r>
          </w:p>
          <w:p w14:paraId="48AB6D81"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report on and monitor development, maintenance and improvement of quality and clinical governance within their Mission</w:t>
            </w:r>
          </w:p>
          <w:p w14:paraId="7394C18E"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liaise with other Quality Leads regarding the planning and establishment of a quality management system for the National Testing Programme</w:t>
            </w:r>
          </w:p>
          <w:p w14:paraId="2CD260AB"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establish and support a programme of clinical audit for their Mission</w:t>
            </w:r>
          </w:p>
          <w:p w14:paraId="1DD3522C"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share audit data and performance across the Missions</w:t>
            </w:r>
          </w:p>
          <w:p w14:paraId="4F04117D" w14:textId="77777777" w:rsidR="0078338B" w:rsidRPr="00C34A30" w:rsidRDefault="0078338B"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C34A30">
              <w:rPr>
                <w:rFonts w:eastAsia="Calibri"/>
                <w:iCs/>
                <w:color w:val="000000"/>
                <w:lang w:eastAsia="en-GB"/>
              </w:rPr>
              <w:t>To prepare specific documentation, which adheres to quality policies and objectives</w:t>
            </w:r>
          </w:p>
          <w:p w14:paraId="6A1FC864" w14:textId="5DD22B17" w:rsidR="0078338B" w:rsidRPr="00C34A30" w:rsidRDefault="00D758B1" w:rsidP="006E1393">
            <w:pPr>
              <w:pStyle w:val="ListParagraph"/>
              <w:numPr>
                <w:ilvl w:val="0"/>
                <w:numId w:val="34"/>
              </w:numPr>
              <w:overflowPunct/>
              <w:autoSpaceDE/>
              <w:autoSpaceDN/>
              <w:adjustRightInd/>
              <w:spacing w:after="0"/>
              <w:ind w:left="316" w:hanging="316"/>
              <w:jc w:val="left"/>
              <w:textAlignment w:val="auto"/>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is working across clinical policy and integration of clinical SOP across Universities and Events</w:t>
            </w:r>
          </w:p>
          <w:p w14:paraId="60579851" w14:textId="77777777" w:rsidR="0078338B" w:rsidRPr="00C34A30" w:rsidRDefault="0078338B" w:rsidP="0078338B">
            <w:pPr>
              <w:rPr>
                <w:rFonts w:eastAsia="Calibri"/>
                <w:iCs/>
                <w:color w:val="000000"/>
                <w:lang w:eastAsia="en-GB"/>
              </w:rPr>
            </w:pPr>
            <w:r w:rsidRPr="00C34A30">
              <w:rPr>
                <w:rFonts w:eastAsia="Calibri"/>
                <w:iCs/>
                <w:color w:val="000000"/>
                <w:lang w:eastAsia="en-GB"/>
              </w:rPr>
              <w:t xml:space="preserve"> </w:t>
            </w:r>
          </w:p>
          <w:p w14:paraId="1B7B3C29" w14:textId="1F9D6B8D" w:rsidR="0078338B" w:rsidRPr="00C34A30" w:rsidRDefault="00D758B1" w:rsidP="0078338B">
            <w:pPr>
              <w:ind w:left="0"/>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is a SME with a medical services background who has provided medical consultancy for global major events including multiple Olympic Games as well as an expert advisor to IOC. She has also been supporting NHS antibody testing programme.</w:t>
            </w:r>
          </w:p>
          <w:p w14:paraId="61BFB77A" w14:textId="77777777" w:rsidR="0078338B" w:rsidRPr="00C34A30" w:rsidRDefault="0078338B" w:rsidP="0078338B">
            <w:pPr>
              <w:rPr>
                <w:rFonts w:eastAsia="Calibri"/>
                <w:iCs/>
                <w:color w:val="000000"/>
                <w:lang w:eastAsia="en-GB"/>
              </w:rPr>
            </w:pPr>
            <w:r w:rsidRPr="00C34A30">
              <w:rPr>
                <w:rFonts w:eastAsia="Calibri"/>
                <w:iCs/>
                <w:color w:val="000000"/>
                <w:lang w:eastAsia="en-GB"/>
              </w:rPr>
              <w:t xml:space="preserve"> </w:t>
            </w:r>
          </w:p>
          <w:p w14:paraId="12EEA135" w14:textId="42E306E3" w:rsidR="0078338B" w:rsidRPr="00C34A30" w:rsidRDefault="00D758B1" w:rsidP="0078338B">
            <w:pPr>
              <w:ind w:left="0"/>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 Logistics Integration Lead</w:t>
            </w:r>
          </w:p>
          <w:p w14:paraId="67AB3895" w14:textId="77777777" w:rsidR="0078338B" w:rsidRPr="00C34A30" w:rsidRDefault="0078338B" w:rsidP="0078338B">
            <w:pPr>
              <w:ind w:left="0"/>
              <w:rPr>
                <w:rFonts w:eastAsia="Calibri"/>
                <w:iCs/>
                <w:color w:val="000000"/>
                <w:lang w:eastAsia="en-GB"/>
              </w:rPr>
            </w:pPr>
            <w:r w:rsidRPr="00C34A30">
              <w:rPr>
                <w:rFonts w:eastAsia="Calibri"/>
                <w:iCs/>
                <w:color w:val="000000"/>
                <w:lang w:eastAsia="en-GB"/>
              </w:rPr>
              <w:lastRenderedPageBreak/>
              <w:t>In order to integrate all logistical matters relating to deployment of testing kit and equipment we need to deploy a resource to interface on logistics.</w:t>
            </w:r>
          </w:p>
          <w:p w14:paraId="2EA68D2A"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 xml:space="preserve">This role will liaise with the Scale-Up Logistics Team and be the interface for </w:t>
            </w:r>
            <w:proofErr w:type="spellStart"/>
            <w:r w:rsidRPr="00C34A30">
              <w:rPr>
                <w:rFonts w:eastAsia="Calibri"/>
                <w:iCs/>
                <w:color w:val="000000"/>
                <w:lang w:eastAsia="en-GB"/>
              </w:rPr>
              <w:t>Trivandi</w:t>
            </w:r>
            <w:proofErr w:type="spellEnd"/>
            <w:r w:rsidRPr="00C34A30">
              <w:rPr>
                <w:rFonts w:eastAsia="Calibri"/>
                <w:iCs/>
                <w:color w:val="000000"/>
                <w:lang w:eastAsia="en-GB"/>
              </w:rPr>
              <w:t xml:space="preserve"> UC6 Leads.</w:t>
            </w:r>
          </w:p>
          <w:p w14:paraId="4682405A"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The individual will have understanding of event delivery and logistic operations.</w:t>
            </w:r>
          </w:p>
          <w:p w14:paraId="0DEB8A1A"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Identify necessary testing kit and equipment for each pilot</w:t>
            </w:r>
          </w:p>
          <w:p w14:paraId="201DACE9"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Agree roles and responsibilities for providing testing kit and equipment with the venue and Mass Testing team</w:t>
            </w:r>
          </w:p>
          <w:p w14:paraId="2D7F3997"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Identify scope gaps in testing kit and equipment provision and work with Sector Leads to resolve</w:t>
            </w:r>
          </w:p>
          <w:p w14:paraId="04D1329F"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Identify and sign off on Bill of Quantities for all events and venues</w:t>
            </w:r>
          </w:p>
          <w:p w14:paraId="688FAC4A"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Arrange delivery dates with venues and ensure booking systems, processes and venue security regimes are integrated</w:t>
            </w:r>
          </w:p>
          <w:p w14:paraId="6AD18B5D"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Manage logistics manifests at venues and define the resupply arrangements</w:t>
            </w:r>
          </w:p>
          <w:p w14:paraId="03DC71FD" w14:textId="77777777" w:rsidR="0078338B" w:rsidRPr="00C34A30" w:rsidRDefault="0078338B"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C34A30">
              <w:rPr>
                <w:rFonts w:eastAsia="Calibri"/>
                <w:iCs/>
                <w:color w:val="000000"/>
                <w:lang w:eastAsia="en-GB"/>
              </w:rPr>
              <w:t>Oversee the return of unused testing kit and equipment back to Scale Up Logistics Team</w:t>
            </w:r>
          </w:p>
          <w:p w14:paraId="3B0DAC7C" w14:textId="127D1C80" w:rsidR="0078338B" w:rsidRPr="00C34A30" w:rsidRDefault="00D758B1" w:rsidP="006E1393">
            <w:pPr>
              <w:pStyle w:val="ListParagraph"/>
              <w:numPr>
                <w:ilvl w:val="0"/>
                <w:numId w:val="35"/>
              </w:numPr>
              <w:overflowPunct/>
              <w:autoSpaceDE/>
              <w:autoSpaceDN/>
              <w:adjustRightInd/>
              <w:spacing w:after="0"/>
              <w:jc w:val="left"/>
              <w:textAlignment w:val="auto"/>
              <w:rPr>
                <w:rFonts w:eastAsia="Calibri"/>
                <w:iCs/>
                <w:color w:val="000000"/>
                <w:lang w:eastAsia="en-GB"/>
              </w:rPr>
            </w:pPr>
            <w:r w:rsidRPr="00D758B1">
              <w:rPr>
                <w:rFonts w:eastAsia="Calibri"/>
                <w:bCs/>
                <w:iCs/>
                <w:color w:val="000000"/>
                <w:lang w:eastAsia="en-GB"/>
              </w:rPr>
              <w:t>REDACTED TEXT</w:t>
            </w:r>
            <w:r w:rsidRPr="00C34A30">
              <w:rPr>
                <w:rFonts w:eastAsia="Calibri"/>
                <w:iCs/>
                <w:color w:val="000000"/>
                <w:lang w:eastAsia="en-GB"/>
              </w:rPr>
              <w:t xml:space="preserve"> </w:t>
            </w:r>
            <w:r w:rsidR="0078338B" w:rsidRPr="00C34A30">
              <w:rPr>
                <w:rFonts w:eastAsia="Calibri"/>
                <w:iCs/>
                <w:color w:val="000000"/>
                <w:lang w:eastAsia="en-GB"/>
              </w:rPr>
              <w:t xml:space="preserve"> is supporting Universities and Events</w:t>
            </w:r>
          </w:p>
          <w:p w14:paraId="169EE605" w14:textId="77777777" w:rsidR="0078338B" w:rsidRPr="00C34A30" w:rsidRDefault="0078338B" w:rsidP="0078338B">
            <w:pPr>
              <w:rPr>
                <w:rFonts w:eastAsia="Calibri"/>
                <w:iCs/>
                <w:color w:val="000000"/>
                <w:lang w:eastAsia="en-GB"/>
              </w:rPr>
            </w:pPr>
          </w:p>
          <w:p w14:paraId="6D7FB8ED" w14:textId="518E2331" w:rsidR="0078338B" w:rsidRPr="00172A22" w:rsidRDefault="0078338B" w:rsidP="0078338B">
            <w:pPr>
              <w:numPr>
                <w:ilvl w:val="1"/>
                <w:numId w:val="0"/>
              </w:numPr>
              <w:overflowPunct/>
              <w:autoSpaceDE/>
              <w:autoSpaceDN/>
              <w:spacing w:after="0"/>
              <w:jc w:val="left"/>
              <w:textAlignment w:val="auto"/>
              <w:rPr>
                <w:rFonts w:eastAsia="STZhongsong"/>
                <w:b/>
                <w:i/>
                <w:iCs/>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3CDD773E" w14:textId="7FC309F5" w:rsidR="00D410A1" w:rsidRDefault="00730F3E" w:rsidP="00D410A1">
            <w:pPr>
              <w:ind w:left="0"/>
            </w:pPr>
            <w:r>
              <w:t xml:space="preserve">The </w:t>
            </w:r>
            <w:r w:rsidR="00D410A1">
              <w:t xml:space="preserve">Supplier shall provide the Customer with a draft Project Plan for Approval within </w:t>
            </w:r>
            <w:r w:rsidR="002F0DD4" w:rsidRPr="00825AD4">
              <w:t>10</w:t>
            </w:r>
            <w:r w:rsidR="00825AD4" w:rsidRPr="00825AD4">
              <w:t xml:space="preserve"> </w:t>
            </w:r>
            <w:r w:rsidR="00D410A1">
              <w:t>Working Days from</w:t>
            </w:r>
            <w:r w:rsidR="00CC1452">
              <w:t xml:space="preserve"> the Call Off Commencement Date</w:t>
            </w:r>
          </w:p>
          <w:p w14:paraId="13F0CCA2" w14:textId="188E39FC" w:rsidR="00D410A1" w:rsidRPr="00982D63" w:rsidRDefault="00D410A1" w:rsidP="00D410A1">
            <w:pPr>
              <w:ind w:left="0"/>
            </w:pPr>
            <w:r>
              <w:t xml:space="preserve">This Call-Off Contract will include the following Project Plan, exit and </w:t>
            </w:r>
            <w:proofErr w:type="spellStart"/>
            <w:r>
              <w:t>of</w:t>
            </w:r>
            <w:r w:rsidR="00825AD4">
              <w:t>fboarding</w:t>
            </w:r>
            <w:proofErr w:type="spellEnd"/>
            <w:r w:rsidR="00825AD4">
              <w:t xml:space="preserve"> plans and milestones:</w:t>
            </w:r>
          </w:p>
        </w:tc>
      </w:tr>
      <w:tr w:rsidR="00D410A1" w:rsidRPr="00730F3E" w14:paraId="6A021251" w14:textId="77777777" w:rsidTr="000731CD">
        <w:tc>
          <w:tcPr>
            <w:tcW w:w="9910" w:type="dxa"/>
            <w:gridSpan w:val="2"/>
          </w:tcPr>
          <w:tbl>
            <w:tblPr>
              <w:tblStyle w:val="TableGrid"/>
              <w:tblW w:w="0" w:type="auto"/>
              <w:tblLook w:val="04A0" w:firstRow="1" w:lastRow="0" w:firstColumn="1" w:lastColumn="0" w:noHBand="0" w:noVBand="1"/>
            </w:tblPr>
            <w:tblGrid>
              <w:gridCol w:w="1439"/>
              <w:gridCol w:w="1450"/>
              <w:gridCol w:w="1039"/>
              <w:gridCol w:w="1684"/>
              <w:gridCol w:w="1750"/>
              <w:gridCol w:w="1161"/>
              <w:gridCol w:w="1161"/>
            </w:tblGrid>
            <w:tr w:rsidR="00D410A1" w:rsidRPr="00D410A1" w14:paraId="66CB4C4D" w14:textId="77777777" w:rsidTr="00825AD4">
              <w:trPr>
                <w:trHeight w:val="670"/>
              </w:trPr>
              <w:tc>
                <w:tcPr>
                  <w:tcW w:w="0" w:type="auto"/>
                </w:tcPr>
                <w:p w14:paraId="5384D251" w14:textId="77777777" w:rsidR="00D410A1" w:rsidRPr="00D410A1" w:rsidRDefault="00D410A1" w:rsidP="00D410A1">
                  <w:pPr>
                    <w:ind w:left="0"/>
                    <w:jc w:val="left"/>
                    <w:rPr>
                      <w:b/>
                      <w:sz w:val="20"/>
                    </w:rPr>
                  </w:pPr>
                  <w:r w:rsidRPr="00D410A1">
                    <w:rPr>
                      <w:b/>
                      <w:sz w:val="20"/>
                    </w:rPr>
                    <w:t>Milestone</w:t>
                  </w:r>
                </w:p>
              </w:tc>
              <w:tc>
                <w:tcPr>
                  <w:tcW w:w="1450" w:type="dxa"/>
                </w:tcPr>
                <w:p w14:paraId="29854E62" w14:textId="77777777" w:rsidR="00D410A1" w:rsidRPr="00D410A1" w:rsidRDefault="00D410A1" w:rsidP="00D410A1">
                  <w:pPr>
                    <w:ind w:left="0"/>
                    <w:jc w:val="left"/>
                    <w:rPr>
                      <w:b/>
                      <w:sz w:val="20"/>
                    </w:rPr>
                  </w:pPr>
                  <w:r w:rsidRPr="00D410A1">
                    <w:rPr>
                      <w:b/>
                      <w:sz w:val="20"/>
                    </w:rPr>
                    <w:t>Deliverables</w:t>
                  </w:r>
                </w:p>
              </w:tc>
              <w:tc>
                <w:tcPr>
                  <w:tcW w:w="1039" w:type="dxa"/>
                </w:tcPr>
                <w:p w14:paraId="7A1CE116" w14:textId="77777777" w:rsidR="00D410A1" w:rsidRPr="00D410A1" w:rsidRDefault="00D410A1" w:rsidP="00D410A1">
                  <w:pPr>
                    <w:ind w:left="0"/>
                    <w:jc w:val="left"/>
                    <w:rPr>
                      <w:b/>
                      <w:sz w:val="20"/>
                    </w:rPr>
                  </w:pPr>
                  <w:r w:rsidRPr="00D410A1">
                    <w:rPr>
                      <w:b/>
                      <w:sz w:val="20"/>
                    </w:rPr>
                    <w:t>Duration</w:t>
                  </w:r>
                </w:p>
              </w:tc>
              <w:tc>
                <w:tcPr>
                  <w:tcW w:w="0" w:type="auto"/>
                </w:tcPr>
                <w:p w14:paraId="40F400E1" w14:textId="77777777" w:rsidR="00D410A1" w:rsidRPr="00D410A1" w:rsidRDefault="00D410A1" w:rsidP="00D410A1">
                  <w:pPr>
                    <w:ind w:left="0"/>
                    <w:jc w:val="left"/>
                    <w:rPr>
                      <w:b/>
                      <w:sz w:val="20"/>
                    </w:rPr>
                  </w:pPr>
                  <w:r w:rsidRPr="00D410A1">
                    <w:rPr>
                      <w:b/>
                      <w:sz w:val="20"/>
                    </w:rPr>
                    <w:t>Milestone Date</w:t>
                  </w:r>
                </w:p>
              </w:tc>
              <w:tc>
                <w:tcPr>
                  <w:tcW w:w="1750" w:type="dxa"/>
                </w:tcPr>
                <w:p w14:paraId="6BD28330" w14:textId="77777777" w:rsidR="00D410A1" w:rsidRPr="00D410A1" w:rsidRDefault="00D410A1" w:rsidP="00D410A1">
                  <w:pPr>
                    <w:ind w:left="0"/>
                    <w:jc w:val="left"/>
                    <w:rPr>
                      <w:b/>
                      <w:sz w:val="20"/>
                    </w:rPr>
                  </w:pPr>
                  <w:r w:rsidRPr="00D410A1">
                    <w:rPr>
                      <w:b/>
                      <w:sz w:val="20"/>
                    </w:rPr>
                    <w:t>Customer Responsibilities</w:t>
                  </w:r>
                </w:p>
              </w:tc>
              <w:tc>
                <w:tcPr>
                  <w:tcW w:w="1161" w:type="dxa"/>
                </w:tcPr>
                <w:p w14:paraId="05FFC546" w14:textId="77777777" w:rsidR="00D410A1" w:rsidRPr="00D410A1" w:rsidRDefault="00D410A1" w:rsidP="00D410A1">
                  <w:pPr>
                    <w:ind w:left="0"/>
                    <w:jc w:val="left"/>
                    <w:rPr>
                      <w:b/>
                      <w:sz w:val="20"/>
                    </w:rPr>
                  </w:pPr>
                  <w:r w:rsidRPr="00D410A1">
                    <w:rPr>
                      <w:b/>
                      <w:sz w:val="20"/>
                    </w:rPr>
                    <w:t>Milestone Payments</w:t>
                  </w:r>
                </w:p>
              </w:tc>
              <w:tc>
                <w:tcPr>
                  <w:tcW w:w="1161" w:type="dxa"/>
                </w:tcPr>
                <w:p w14:paraId="403FB338" w14:textId="77777777" w:rsidR="00D410A1" w:rsidRPr="00D410A1" w:rsidRDefault="00D410A1" w:rsidP="00D410A1">
                  <w:pPr>
                    <w:ind w:left="0"/>
                    <w:jc w:val="left"/>
                    <w:rPr>
                      <w:b/>
                      <w:sz w:val="20"/>
                    </w:rPr>
                  </w:pPr>
                  <w:r w:rsidRPr="00D410A1">
                    <w:rPr>
                      <w:b/>
                      <w:sz w:val="20"/>
                    </w:rPr>
                    <w:t>Delay Payments</w:t>
                  </w:r>
                </w:p>
              </w:tc>
            </w:tr>
            <w:tr w:rsidR="00D410A1" w:rsidRPr="00532A43" w:rsidDel="007976AA" w14:paraId="384806F0" w14:textId="77777777" w:rsidTr="00825AD4">
              <w:trPr>
                <w:trHeight w:val="2565"/>
              </w:trPr>
              <w:tc>
                <w:tcPr>
                  <w:tcW w:w="0" w:type="auto"/>
                </w:tcPr>
                <w:p w14:paraId="203B0176" w14:textId="77777777" w:rsidR="00D410A1" w:rsidRPr="00532A43" w:rsidRDefault="00D410A1" w:rsidP="00D410A1">
                  <w:pPr>
                    <w:ind w:left="0"/>
                    <w:rPr>
                      <w:sz w:val="20"/>
                    </w:rPr>
                  </w:pPr>
                  <w:r>
                    <w:rPr>
                      <w:sz w:val="20"/>
                      <w:szCs w:val="20"/>
                    </w:rPr>
                    <w:lastRenderedPageBreak/>
                    <w:t>Project Plan Delivered</w:t>
                  </w:r>
                </w:p>
              </w:tc>
              <w:tc>
                <w:tcPr>
                  <w:tcW w:w="1450" w:type="dxa"/>
                </w:tcPr>
                <w:p w14:paraId="12B3DD64" w14:textId="77777777" w:rsidR="00D410A1" w:rsidRDefault="00D410A1" w:rsidP="00D410A1">
                  <w:pPr>
                    <w:suppressAutoHyphens/>
                    <w:overflowPunct/>
                    <w:autoSpaceDE/>
                    <w:adjustRightInd/>
                    <w:spacing w:after="0" w:line="276" w:lineRule="auto"/>
                    <w:ind w:left="0"/>
                    <w:jc w:val="left"/>
                    <w:rPr>
                      <w:sz w:val="20"/>
                      <w:szCs w:val="20"/>
                    </w:rPr>
                  </w:pPr>
                  <w:r>
                    <w:rPr>
                      <w:sz w:val="20"/>
                      <w:szCs w:val="20"/>
                    </w:rPr>
                    <w:t xml:space="preserve">An Approved Project Plan per work package (to include all Deliverables and Milestones) </w:t>
                  </w:r>
                </w:p>
                <w:p w14:paraId="194110C9" w14:textId="77777777" w:rsidR="00D410A1" w:rsidRDefault="00D410A1" w:rsidP="00D410A1">
                  <w:pPr>
                    <w:suppressAutoHyphens/>
                    <w:overflowPunct/>
                    <w:autoSpaceDE/>
                    <w:adjustRightInd/>
                    <w:spacing w:after="0" w:line="276" w:lineRule="auto"/>
                    <w:ind w:left="0"/>
                    <w:jc w:val="left"/>
                    <w:rPr>
                      <w:sz w:val="20"/>
                      <w:szCs w:val="20"/>
                    </w:rPr>
                  </w:pPr>
                </w:p>
                <w:p w14:paraId="702D9F1F" w14:textId="77777777" w:rsidR="00D410A1" w:rsidRPr="00532A43" w:rsidRDefault="00D410A1" w:rsidP="00D410A1">
                  <w:pPr>
                    <w:suppressAutoHyphens/>
                    <w:overflowPunct/>
                    <w:autoSpaceDE/>
                    <w:adjustRightInd/>
                    <w:spacing w:after="0" w:line="276" w:lineRule="auto"/>
                    <w:ind w:left="0"/>
                    <w:jc w:val="left"/>
                    <w:rPr>
                      <w:sz w:val="20"/>
                    </w:rPr>
                  </w:pPr>
                </w:p>
              </w:tc>
              <w:tc>
                <w:tcPr>
                  <w:tcW w:w="1039" w:type="dxa"/>
                </w:tcPr>
                <w:p w14:paraId="213E59A1" w14:textId="77777777" w:rsidR="00D410A1" w:rsidRPr="00532A43" w:rsidDel="007976AA" w:rsidRDefault="00D410A1" w:rsidP="00D410A1">
                  <w:pPr>
                    <w:ind w:left="0"/>
                    <w:jc w:val="center"/>
                    <w:rPr>
                      <w:sz w:val="20"/>
                      <w:highlight w:val="yellow"/>
                    </w:rPr>
                  </w:pPr>
                </w:p>
              </w:tc>
              <w:tc>
                <w:tcPr>
                  <w:tcW w:w="0" w:type="auto"/>
                </w:tcPr>
                <w:p w14:paraId="70014895" w14:textId="77777777" w:rsidR="00D410A1" w:rsidRPr="00532A43" w:rsidDel="007976AA" w:rsidRDefault="00D410A1" w:rsidP="00D410A1">
                  <w:pPr>
                    <w:ind w:left="0"/>
                    <w:jc w:val="center"/>
                    <w:rPr>
                      <w:sz w:val="20"/>
                      <w:highlight w:val="yellow"/>
                    </w:rPr>
                  </w:pPr>
                  <w:r w:rsidRPr="00825AD4">
                    <w:rPr>
                      <w:sz w:val="20"/>
                      <w:szCs w:val="20"/>
                    </w:rPr>
                    <w:t>Within ten (10) Working Days of Call Off Contract Commencement</w:t>
                  </w:r>
                </w:p>
              </w:tc>
              <w:tc>
                <w:tcPr>
                  <w:tcW w:w="1750" w:type="dxa"/>
                </w:tcPr>
                <w:p w14:paraId="7C4A66D3" w14:textId="77777777" w:rsidR="00D410A1" w:rsidRPr="00532A43" w:rsidDel="007976AA" w:rsidRDefault="00D410A1" w:rsidP="00D410A1">
                  <w:pPr>
                    <w:ind w:left="0"/>
                    <w:jc w:val="center"/>
                    <w:rPr>
                      <w:sz w:val="20"/>
                      <w:highlight w:val="yellow"/>
                    </w:rPr>
                  </w:pPr>
                </w:p>
              </w:tc>
              <w:tc>
                <w:tcPr>
                  <w:tcW w:w="1161" w:type="dxa"/>
                </w:tcPr>
                <w:p w14:paraId="4D579FAB" w14:textId="316FD4C5" w:rsidR="00D410A1" w:rsidRPr="00825AD4" w:rsidDel="007976AA" w:rsidRDefault="00A15BBF" w:rsidP="00D410A1">
                  <w:pPr>
                    <w:ind w:left="0"/>
                    <w:jc w:val="center"/>
                    <w:rPr>
                      <w:sz w:val="20"/>
                    </w:rPr>
                  </w:pPr>
                  <w:r>
                    <w:rPr>
                      <w:sz w:val="20"/>
                      <w:szCs w:val="20"/>
                    </w:rPr>
                    <w:t>n/a</w:t>
                  </w:r>
                </w:p>
              </w:tc>
              <w:tc>
                <w:tcPr>
                  <w:tcW w:w="1161" w:type="dxa"/>
                </w:tcPr>
                <w:p w14:paraId="35953611" w14:textId="77777777" w:rsidR="00D410A1" w:rsidRPr="00532A43" w:rsidDel="007976AA" w:rsidRDefault="00D410A1" w:rsidP="00D410A1">
                  <w:pPr>
                    <w:ind w:left="0"/>
                    <w:jc w:val="center"/>
                    <w:rPr>
                      <w:sz w:val="20"/>
                      <w:highlight w:val="yellow"/>
                    </w:rPr>
                  </w:pPr>
                </w:p>
              </w:tc>
            </w:tr>
            <w:tr w:rsidR="00D410A1" w:rsidRPr="00EE2AA6" w:rsidDel="007976AA" w14:paraId="1C8A16F3" w14:textId="77777777" w:rsidTr="00825AD4">
              <w:trPr>
                <w:trHeight w:val="3600"/>
              </w:trPr>
              <w:tc>
                <w:tcPr>
                  <w:tcW w:w="0" w:type="auto"/>
                </w:tcPr>
                <w:p w14:paraId="3E3EFA15" w14:textId="77777777" w:rsidR="00D410A1" w:rsidRPr="00EE2AA6" w:rsidDel="007976AA" w:rsidRDefault="00D410A1" w:rsidP="00D410A1">
                  <w:pPr>
                    <w:ind w:left="0"/>
                    <w:rPr>
                      <w:sz w:val="20"/>
                      <w:szCs w:val="20"/>
                    </w:rPr>
                  </w:pPr>
                  <w:r>
                    <w:rPr>
                      <w:sz w:val="20"/>
                      <w:szCs w:val="20"/>
                    </w:rPr>
                    <w:t>Knowledge Transfer Complete</w:t>
                  </w:r>
                </w:p>
              </w:tc>
              <w:tc>
                <w:tcPr>
                  <w:tcW w:w="1450" w:type="dxa"/>
                </w:tcPr>
                <w:p w14:paraId="110CC9C1" w14:textId="77777777" w:rsidR="00D410A1" w:rsidRPr="00FA6C40" w:rsidDel="007976AA" w:rsidRDefault="00D410A1" w:rsidP="00D410A1">
                  <w:pPr>
                    <w:suppressAutoHyphens/>
                    <w:overflowPunct/>
                    <w:autoSpaceDE/>
                    <w:adjustRightInd/>
                    <w:spacing w:after="0" w:line="276" w:lineRule="auto"/>
                    <w:ind w:left="0"/>
                    <w:jc w:val="left"/>
                    <w:rPr>
                      <w:sz w:val="20"/>
                      <w:szCs w:val="20"/>
                    </w:rPr>
                  </w:pPr>
                  <w:r>
                    <w:rPr>
                      <w:sz w:val="20"/>
                      <w:szCs w:val="20"/>
                    </w:rPr>
                    <w:t>A knowledge transfer plan in accordance with paragraph 13 of Call Off Schedule 9 (Exit Management) as varied by section 8.4 of this Order Form</w:t>
                  </w:r>
                </w:p>
              </w:tc>
              <w:tc>
                <w:tcPr>
                  <w:tcW w:w="1039" w:type="dxa"/>
                </w:tcPr>
                <w:p w14:paraId="32A4A796" w14:textId="77777777" w:rsidR="00D410A1" w:rsidRPr="00EE2AA6" w:rsidDel="007976AA" w:rsidRDefault="00D410A1" w:rsidP="00D410A1">
                  <w:pPr>
                    <w:ind w:left="0"/>
                    <w:jc w:val="center"/>
                    <w:rPr>
                      <w:sz w:val="20"/>
                      <w:szCs w:val="20"/>
                      <w:highlight w:val="yellow"/>
                    </w:rPr>
                  </w:pPr>
                </w:p>
              </w:tc>
              <w:tc>
                <w:tcPr>
                  <w:tcW w:w="0" w:type="auto"/>
                </w:tcPr>
                <w:p w14:paraId="71BE015A" w14:textId="77777777" w:rsidR="00D410A1" w:rsidRPr="00EE2AA6" w:rsidDel="007976AA" w:rsidRDefault="00D410A1" w:rsidP="00D410A1">
                  <w:pPr>
                    <w:ind w:left="0"/>
                    <w:jc w:val="center"/>
                    <w:rPr>
                      <w:sz w:val="20"/>
                      <w:szCs w:val="20"/>
                      <w:highlight w:val="yellow"/>
                    </w:rPr>
                  </w:pPr>
                  <w:r w:rsidRPr="00825AD4">
                    <w:rPr>
                      <w:sz w:val="20"/>
                      <w:szCs w:val="20"/>
                    </w:rPr>
                    <w:t>Within twenty (20) Working Days of Call Off Contract Commencement</w:t>
                  </w:r>
                </w:p>
              </w:tc>
              <w:tc>
                <w:tcPr>
                  <w:tcW w:w="1750" w:type="dxa"/>
                </w:tcPr>
                <w:p w14:paraId="2146CE10" w14:textId="77777777" w:rsidR="00D410A1" w:rsidRPr="00EE2AA6" w:rsidDel="007976AA" w:rsidRDefault="00D410A1" w:rsidP="00D410A1">
                  <w:pPr>
                    <w:ind w:left="0"/>
                    <w:jc w:val="center"/>
                    <w:rPr>
                      <w:sz w:val="20"/>
                      <w:szCs w:val="20"/>
                      <w:highlight w:val="yellow"/>
                    </w:rPr>
                  </w:pPr>
                </w:p>
              </w:tc>
              <w:tc>
                <w:tcPr>
                  <w:tcW w:w="1161" w:type="dxa"/>
                </w:tcPr>
                <w:p w14:paraId="345BF2BC" w14:textId="4C81C217" w:rsidR="00D410A1" w:rsidRPr="00825AD4" w:rsidDel="007976AA" w:rsidRDefault="00A15BBF" w:rsidP="00825AD4">
                  <w:pPr>
                    <w:ind w:left="0"/>
                    <w:jc w:val="center"/>
                    <w:rPr>
                      <w:sz w:val="20"/>
                      <w:szCs w:val="20"/>
                    </w:rPr>
                  </w:pPr>
                  <w:r>
                    <w:rPr>
                      <w:sz w:val="20"/>
                      <w:szCs w:val="20"/>
                    </w:rPr>
                    <w:t>n/a</w:t>
                  </w:r>
                </w:p>
              </w:tc>
              <w:tc>
                <w:tcPr>
                  <w:tcW w:w="1161" w:type="dxa"/>
                </w:tcPr>
                <w:p w14:paraId="467BF59B" w14:textId="77777777" w:rsidR="00D410A1" w:rsidRPr="00EE2AA6" w:rsidDel="007976AA" w:rsidRDefault="00D410A1" w:rsidP="00D410A1">
                  <w:pPr>
                    <w:ind w:left="0"/>
                    <w:jc w:val="center"/>
                    <w:rPr>
                      <w:sz w:val="20"/>
                      <w:szCs w:val="20"/>
                      <w:highlight w:val="yellow"/>
                    </w:rPr>
                  </w:pPr>
                </w:p>
              </w:tc>
            </w:tr>
            <w:tr w:rsidR="00D410A1" w:rsidRPr="00EE2AA6" w14:paraId="6811AF31" w14:textId="77777777" w:rsidTr="00825AD4">
              <w:trPr>
                <w:trHeight w:val="903"/>
              </w:trPr>
              <w:tc>
                <w:tcPr>
                  <w:tcW w:w="0" w:type="auto"/>
                </w:tcPr>
                <w:p w14:paraId="789F215F" w14:textId="77777777" w:rsidR="00D410A1" w:rsidRPr="00825AD4" w:rsidRDefault="00D410A1" w:rsidP="00D410A1">
                  <w:pPr>
                    <w:spacing w:before="240"/>
                    <w:ind w:left="0"/>
                    <w:rPr>
                      <w:sz w:val="20"/>
                      <w:szCs w:val="20"/>
                    </w:rPr>
                  </w:pPr>
                  <w:r w:rsidRPr="00825AD4">
                    <w:rPr>
                      <w:sz w:val="20"/>
                      <w:szCs w:val="20"/>
                    </w:rPr>
                    <w:t>Transparency Reports</w:t>
                  </w:r>
                </w:p>
              </w:tc>
              <w:tc>
                <w:tcPr>
                  <w:tcW w:w="1450" w:type="dxa"/>
                </w:tcPr>
                <w:p w14:paraId="0BD02317" w14:textId="08BAA009" w:rsidR="00D410A1" w:rsidRPr="00825AD4" w:rsidRDefault="00C912F6" w:rsidP="002F0DD4">
                  <w:pPr>
                    <w:ind w:left="0"/>
                    <w:rPr>
                      <w:sz w:val="20"/>
                      <w:szCs w:val="20"/>
                    </w:rPr>
                  </w:pPr>
                  <w:r w:rsidRPr="00825AD4">
                    <w:rPr>
                      <w:sz w:val="20"/>
                      <w:szCs w:val="20"/>
                    </w:rPr>
                    <w:t>A</w:t>
                  </w:r>
                  <w:r w:rsidR="00825AD4" w:rsidRPr="00825AD4">
                    <w:rPr>
                      <w:sz w:val="20"/>
                      <w:szCs w:val="20"/>
                    </w:rPr>
                    <w:t>s set out in section 10.10 below</w:t>
                  </w:r>
                </w:p>
              </w:tc>
              <w:tc>
                <w:tcPr>
                  <w:tcW w:w="1039" w:type="dxa"/>
                </w:tcPr>
                <w:p w14:paraId="4ADEDA49" w14:textId="77777777" w:rsidR="00D410A1" w:rsidRPr="00825AD4" w:rsidRDefault="00D410A1" w:rsidP="00D410A1">
                  <w:pPr>
                    <w:ind w:left="0"/>
                    <w:jc w:val="center"/>
                    <w:rPr>
                      <w:sz w:val="20"/>
                      <w:szCs w:val="20"/>
                    </w:rPr>
                  </w:pPr>
                </w:p>
              </w:tc>
              <w:tc>
                <w:tcPr>
                  <w:tcW w:w="0" w:type="auto"/>
                </w:tcPr>
                <w:p w14:paraId="6268ED72" w14:textId="47F81E29" w:rsidR="00D410A1" w:rsidRPr="00825AD4" w:rsidRDefault="00C912F6" w:rsidP="00D410A1">
                  <w:pPr>
                    <w:ind w:left="0"/>
                    <w:jc w:val="center"/>
                    <w:rPr>
                      <w:sz w:val="20"/>
                      <w:szCs w:val="20"/>
                    </w:rPr>
                  </w:pPr>
                  <w:r w:rsidRPr="00825AD4">
                    <w:rPr>
                      <w:sz w:val="20"/>
                      <w:szCs w:val="20"/>
                    </w:rPr>
                    <w:t>As set out in section 10.10 below</w:t>
                  </w:r>
                </w:p>
              </w:tc>
              <w:tc>
                <w:tcPr>
                  <w:tcW w:w="1750" w:type="dxa"/>
                </w:tcPr>
                <w:p w14:paraId="6E6A20D4" w14:textId="77777777" w:rsidR="00D410A1" w:rsidRPr="00EE2AA6" w:rsidRDefault="00D410A1" w:rsidP="00D410A1">
                  <w:pPr>
                    <w:ind w:left="0"/>
                    <w:jc w:val="center"/>
                    <w:rPr>
                      <w:sz w:val="20"/>
                      <w:szCs w:val="20"/>
                      <w:highlight w:val="yellow"/>
                    </w:rPr>
                  </w:pPr>
                </w:p>
              </w:tc>
              <w:tc>
                <w:tcPr>
                  <w:tcW w:w="1161" w:type="dxa"/>
                </w:tcPr>
                <w:p w14:paraId="787A4CDD" w14:textId="0E181CB3" w:rsidR="00D410A1" w:rsidRPr="00EE2AA6" w:rsidRDefault="00A15BBF" w:rsidP="00D410A1">
                  <w:pPr>
                    <w:ind w:left="0"/>
                    <w:jc w:val="center"/>
                    <w:rPr>
                      <w:sz w:val="20"/>
                      <w:szCs w:val="20"/>
                      <w:highlight w:val="yellow"/>
                    </w:rPr>
                  </w:pPr>
                  <w:r w:rsidRPr="00A15BBF">
                    <w:rPr>
                      <w:sz w:val="20"/>
                      <w:szCs w:val="20"/>
                    </w:rPr>
                    <w:t>n/a</w:t>
                  </w:r>
                </w:p>
              </w:tc>
              <w:tc>
                <w:tcPr>
                  <w:tcW w:w="1161" w:type="dxa"/>
                </w:tcPr>
                <w:p w14:paraId="06E3B133" w14:textId="77777777" w:rsidR="00D410A1" w:rsidRPr="00EE2AA6" w:rsidRDefault="00D410A1" w:rsidP="00D410A1">
                  <w:pPr>
                    <w:ind w:left="0"/>
                    <w:jc w:val="center"/>
                    <w:rPr>
                      <w:sz w:val="20"/>
                      <w:szCs w:val="20"/>
                      <w:highlight w:val="yellow"/>
                    </w:rPr>
                  </w:pPr>
                </w:p>
              </w:tc>
            </w:tr>
          </w:tbl>
          <w:p w14:paraId="48FE9760" w14:textId="77777777" w:rsidR="00D410A1" w:rsidRPr="00982D63" w:rsidRDefault="00D410A1">
            <w:pPr>
              <w:ind w:left="0"/>
              <w:rPr>
                <w:b/>
              </w:rPr>
            </w:pP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t xml:space="preserve">4.1. </w:t>
            </w:r>
          </w:p>
        </w:tc>
        <w:tc>
          <w:tcPr>
            <w:tcW w:w="9214" w:type="dxa"/>
            <w:shd w:val="clear" w:color="auto" w:fill="auto"/>
          </w:tcPr>
          <w:p w14:paraId="6F2590BC" w14:textId="6D87B219" w:rsidR="00B5520B" w:rsidRPr="00B91478" w:rsidRDefault="00B5520B" w:rsidP="00825AD4">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2F0DD4" w:rsidRPr="002F0DD4">
              <w:rPr>
                <w:rFonts w:eastAsia="STZhongsong"/>
                <w:lang w:eastAsia="zh-CN"/>
              </w:rPr>
              <w:t xml:space="preserve">As defined in the Call Off Terms </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687AF9A1" w:rsidR="00B5520B"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5ABC5C3" w14:textId="50DDD640" w:rsidR="00273FEE" w:rsidRPr="00273FEE" w:rsidRDefault="00273FEE">
            <w:pPr>
              <w:numPr>
                <w:ilvl w:val="1"/>
                <w:numId w:val="0"/>
              </w:numPr>
              <w:overflowPunct/>
              <w:autoSpaceDE/>
              <w:autoSpaceDN/>
              <w:spacing w:after="120"/>
              <w:jc w:val="left"/>
              <w:textAlignment w:val="auto"/>
              <w:rPr>
                <w:rFonts w:eastAsia="STZhongsong"/>
                <w:lang w:eastAsia="zh-CN"/>
              </w:rPr>
            </w:pPr>
            <w:r w:rsidRPr="00273FEE">
              <w:rPr>
                <w:rFonts w:eastAsia="STZhongsong"/>
                <w:lang w:eastAsia="zh-CN"/>
              </w:rPr>
              <w:t>As detailed  in Annex 1 to the Call Off Order Form</w:t>
            </w:r>
          </w:p>
          <w:p w14:paraId="23838567" w14:textId="7108B1DE" w:rsidR="00B5520B" w:rsidRPr="00754676" w:rsidRDefault="0091668D">
            <w:pPr>
              <w:numPr>
                <w:ilvl w:val="1"/>
                <w:numId w:val="0"/>
              </w:numPr>
              <w:overflowPunct/>
              <w:autoSpaceDE/>
              <w:autoSpaceDN/>
              <w:spacing w:after="120"/>
              <w:jc w:val="left"/>
              <w:textAlignment w:val="auto"/>
              <w:rPr>
                <w:rFonts w:eastAsia="STZhongsong"/>
                <w:bCs/>
                <w:lang w:eastAsia="zh-CN"/>
              </w:rPr>
            </w:pPr>
            <w:r w:rsidRPr="00F65018">
              <w:rPr>
                <w:rFonts w:eastAsia="STZhongsong"/>
                <w:lang w:eastAsia="zh-CN"/>
              </w:rPr>
              <w:t>The Supplier shall provide w</w:t>
            </w:r>
            <w:r w:rsidR="001572E1" w:rsidRPr="00F65018">
              <w:rPr>
                <w:rFonts w:eastAsia="STZhongsong"/>
                <w:lang w:eastAsia="zh-CN"/>
              </w:rPr>
              <w:t xml:space="preserve">eekly timesheet reports </w:t>
            </w:r>
            <w:r w:rsidR="0011796B" w:rsidRPr="00F65018">
              <w:rPr>
                <w:rFonts w:eastAsia="STZhongsong"/>
                <w:lang w:eastAsia="zh-CN"/>
              </w:rPr>
              <w:t xml:space="preserve">in a format to be determined by the Customer </w:t>
            </w:r>
            <w:r w:rsidR="001572E1" w:rsidRPr="00F65018">
              <w:rPr>
                <w:rFonts w:eastAsia="STZhongsong"/>
                <w:lang w:eastAsia="zh-CN"/>
              </w:rPr>
              <w:t xml:space="preserve">showing time spent </w:t>
            </w:r>
            <w:r w:rsidRPr="00F65018">
              <w:rPr>
                <w:rFonts w:eastAsia="STZhongsong"/>
                <w:lang w:eastAsia="zh-CN"/>
              </w:rPr>
              <w:t xml:space="preserve">by </w:t>
            </w:r>
            <w:r w:rsidR="0011796B" w:rsidRPr="00F65018">
              <w:rPr>
                <w:rFonts w:eastAsia="STZhongsong"/>
                <w:lang w:eastAsia="zh-CN"/>
              </w:rPr>
              <w:t xml:space="preserve">each member of </w:t>
            </w:r>
            <w:r w:rsidRPr="00F65018">
              <w:rPr>
                <w:rFonts w:eastAsia="STZhongsong"/>
                <w:lang w:eastAsia="zh-CN"/>
              </w:rPr>
              <w:t>Supplier Personnel</w:t>
            </w:r>
            <w:r w:rsidR="00273FEE">
              <w:rPr>
                <w:rFonts w:eastAsia="STZhongsong"/>
                <w:lang w:eastAsia="zh-CN"/>
              </w:rPr>
              <w:t xml:space="preserve"> against agreed budgets.</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172A22">
        <w:trPr>
          <w:trHeight w:val="1229"/>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08D427F" w:rsidR="0005252A" w:rsidRDefault="0005252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E558A8E" w14:textId="77777777" w:rsidR="00825AD4" w:rsidRDefault="00825AD4">
            <w:pPr>
              <w:numPr>
                <w:ilvl w:val="1"/>
                <w:numId w:val="0"/>
              </w:numPr>
              <w:overflowPunct/>
              <w:autoSpaceDE/>
              <w:autoSpaceDN/>
              <w:spacing w:after="120"/>
              <w:jc w:val="left"/>
              <w:textAlignment w:val="auto"/>
              <w:rPr>
                <w:rFonts w:eastAsia="STZhongsong"/>
                <w:b/>
                <w:highlight w:val="green"/>
                <w:lang w:eastAsia="zh-CN"/>
              </w:rPr>
            </w:pPr>
          </w:p>
          <w:p w14:paraId="10DD0DC6" w14:textId="2A6ACD5F" w:rsidR="0005252A" w:rsidRPr="00825AD4" w:rsidRDefault="00825AD4">
            <w:pPr>
              <w:numPr>
                <w:ilvl w:val="1"/>
                <w:numId w:val="0"/>
              </w:numPr>
              <w:overflowPunct/>
              <w:autoSpaceDE/>
              <w:autoSpaceDN/>
              <w:spacing w:after="120"/>
              <w:jc w:val="left"/>
              <w:textAlignment w:val="auto"/>
              <w:rPr>
                <w:rFonts w:eastAsia="STZhongsong"/>
                <w:lang w:eastAsia="zh-CN"/>
              </w:rPr>
            </w:pPr>
            <w:r w:rsidRPr="00825AD4">
              <w:rPr>
                <w:rFonts w:eastAsia="STZhongsong"/>
                <w:lang w:eastAsia="zh-CN"/>
              </w:rPr>
              <w:t xml:space="preserve">As listed in the Services at 2.1 </w:t>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D54581C" w14:textId="77777777" w:rsidR="0005252A" w:rsidRPr="004E0AA8" w:rsidRDefault="00CA1B3D">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p w14:paraId="31751354" w14:textId="70BC8443" w:rsidR="00CA1B3D" w:rsidRDefault="00CA1B3D" w:rsidP="00CA1B3D">
            <w:pPr>
              <w:pStyle w:val="Heading3"/>
              <w:rPr>
                <w:rFonts w:eastAsia="Times New Roman"/>
              </w:rPr>
            </w:pPr>
            <w:bookmarkStart w:id="2" w:name="_Ref21460500"/>
            <w:r w:rsidRPr="004E0AA8">
              <w:rPr>
                <w:rFonts w:eastAsia="Times New Roman"/>
              </w:rPr>
              <w:t xml:space="preserve">The Supplier shall ensure that the checks specified in HMG Baseline Personnel Security Standard have been carried out in respect of any of </w:t>
            </w:r>
            <w:r w:rsidR="00642F6F" w:rsidRPr="004E0AA8">
              <w:rPr>
                <w:rFonts w:eastAsia="Times New Roman"/>
              </w:rPr>
              <w:t>Supplier Personnel</w:t>
            </w:r>
            <w:r w:rsidRPr="004E0AA8">
              <w:rPr>
                <w:rFonts w:eastAsia="Times New Roman"/>
              </w:rPr>
              <w:t xml:space="preserve"> assigned to access </w:t>
            </w:r>
            <w:r w:rsidR="00642F6F" w:rsidRPr="004E0AA8">
              <w:rPr>
                <w:rFonts w:eastAsia="Times New Roman"/>
              </w:rPr>
              <w:t xml:space="preserve">the Customer </w:t>
            </w:r>
            <w:r w:rsidRPr="004E0AA8">
              <w:rPr>
                <w:rFonts w:eastAsia="Times New Roman"/>
              </w:rPr>
              <w:t xml:space="preserve">Premises, </w:t>
            </w:r>
            <w:r w:rsidR="00642F6F" w:rsidRPr="004E0AA8">
              <w:rPr>
                <w:rFonts w:eastAsia="Times New Roman"/>
              </w:rPr>
              <w:t>Customer</w:t>
            </w:r>
            <w:r w:rsidRPr="004E0AA8">
              <w:rPr>
                <w:rFonts w:eastAsia="Times New Roman"/>
              </w:rPr>
              <w:t xml:space="preserve"> Property, </w:t>
            </w:r>
            <w:r w:rsidR="00642F6F" w:rsidRPr="004E0AA8">
              <w:rPr>
                <w:rFonts w:eastAsia="Times New Roman"/>
              </w:rPr>
              <w:t>Customer</w:t>
            </w:r>
            <w:r w:rsidRPr="004E0AA8">
              <w:rPr>
                <w:rFonts w:eastAsia="Times New Roman"/>
              </w:rPr>
              <w:t xml:space="preserve"> Data or any other property or information belonging to the </w:t>
            </w:r>
            <w:r w:rsidR="00642F6F" w:rsidRPr="004E0AA8">
              <w:rPr>
                <w:rFonts w:eastAsia="Times New Roman"/>
              </w:rPr>
              <w:t>Customer</w:t>
            </w:r>
            <w:r w:rsidRPr="004E0AA8">
              <w:rPr>
                <w:rFonts w:eastAsia="Times New Roman"/>
              </w:rPr>
              <w:t xml:space="preserve">, and </w:t>
            </w:r>
            <w:r w:rsidR="00642F6F" w:rsidRPr="004E0AA8">
              <w:rPr>
                <w:rFonts w:eastAsia="Times New Roman"/>
              </w:rPr>
              <w:t xml:space="preserve">that </w:t>
            </w:r>
            <w:r w:rsidRPr="004E0AA8">
              <w:rPr>
                <w:rFonts w:eastAsia="Times New Roman"/>
              </w:rPr>
              <w:t>the results of those checks were satisfactory.</w:t>
            </w:r>
            <w:bookmarkEnd w:id="2"/>
            <w:r w:rsidR="00642F6F" w:rsidRPr="004E0AA8">
              <w:rPr>
                <w:rFonts w:eastAsia="Times New Roman"/>
              </w:rPr>
              <w:t xml:space="preserve"> The Supplier shall document full and accurate records of HMG Baseline Personnel Security Standard checks.</w:t>
            </w:r>
          </w:p>
          <w:p w14:paraId="78F1A122" w14:textId="77777777" w:rsidR="004E0AA8" w:rsidRDefault="004E0AA8" w:rsidP="004E0AA8">
            <w:pPr>
              <w:pStyle w:val="Default"/>
              <w:spacing w:after="134"/>
              <w:rPr>
                <w:sz w:val="22"/>
                <w:szCs w:val="22"/>
              </w:rPr>
            </w:pPr>
            <w:r>
              <w:rPr>
                <w:sz w:val="22"/>
                <w:szCs w:val="22"/>
              </w:rPr>
              <w:t xml:space="preserve">This sub-clause 28.2 shall apply if the Customer has specified Relevant Convictions in the Call Off Order Form. </w:t>
            </w:r>
          </w:p>
          <w:p w14:paraId="68BF99E6" w14:textId="77777777" w:rsidR="004E0AA8" w:rsidRDefault="004E0AA8" w:rsidP="004E0AA8">
            <w:pPr>
              <w:pStyle w:val="Default"/>
              <w:spacing w:after="134"/>
              <w:rPr>
                <w:sz w:val="22"/>
                <w:szCs w:val="22"/>
              </w:rPr>
            </w:pPr>
            <w:r>
              <w:rPr>
                <w:sz w:val="22"/>
                <w:szCs w:val="22"/>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4E0AA8" w:rsidRDefault="004E0AA8" w:rsidP="004E0AA8">
            <w:pPr>
              <w:pStyle w:val="Default"/>
              <w:rPr>
                <w:sz w:val="22"/>
                <w:szCs w:val="22"/>
              </w:rPr>
            </w:pPr>
            <w:r w:rsidRPr="004E0AA8">
              <w:rPr>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4E0AA8" w:rsidRDefault="004E0AA8" w:rsidP="006E1393">
            <w:pPr>
              <w:pStyle w:val="Default"/>
              <w:numPr>
                <w:ilvl w:val="0"/>
                <w:numId w:val="18"/>
              </w:numPr>
              <w:spacing w:after="134"/>
              <w:rPr>
                <w:sz w:val="22"/>
                <w:szCs w:val="22"/>
              </w:rPr>
            </w:pPr>
            <w:r w:rsidRPr="004E0AA8">
              <w:rPr>
                <w:sz w:val="22"/>
                <w:szCs w:val="22"/>
              </w:rPr>
              <w:t>carry out a check with the records held by the Department for Education (</w:t>
            </w:r>
            <w:proofErr w:type="spellStart"/>
            <w:r w:rsidRPr="004E0AA8">
              <w:rPr>
                <w:sz w:val="22"/>
                <w:szCs w:val="22"/>
              </w:rPr>
              <w:t>DfE</w:t>
            </w:r>
            <w:proofErr w:type="spellEnd"/>
            <w:r w:rsidRPr="004E0AA8">
              <w:rPr>
                <w:sz w:val="22"/>
                <w:szCs w:val="22"/>
              </w:rPr>
              <w:t>);</w:t>
            </w:r>
          </w:p>
          <w:p w14:paraId="5FB2A496" w14:textId="77777777" w:rsidR="004E0AA8" w:rsidRPr="004E0AA8" w:rsidRDefault="004E0AA8" w:rsidP="006E1393">
            <w:pPr>
              <w:pStyle w:val="Default"/>
              <w:numPr>
                <w:ilvl w:val="0"/>
                <w:numId w:val="18"/>
              </w:numPr>
              <w:spacing w:after="134"/>
              <w:rPr>
                <w:sz w:val="22"/>
                <w:szCs w:val="22"/>
              </w:rPr>
            </w:pPr>
            <w:r w:rsidRPr="004E0AA8">
              <w:rPr>
                <w:sz w:val="22"/>
                <w:szCs w:val="22"/>
              </w:rPr>
              <w:t xml:space="preserve">conduct thorough questioning regarding any Relevant Convictions; and </w:t>
            </w:r>
          </w:p>
          <w:p w14:paraId="580BCAD0" w14:textId="3CAA5784" w:rsidR="00CA1B3D" w:rsidRPr="00CA1B3D" w:rsidRDefault="004E0AA8" w:rsidP="006E1393">
            <w:pPr>
              <w:pStyle w:val="Default"/>
              <w:numPr>
                <w:ilvl w:val="0"/>
                <w:numId w:val="18"/>
              </w:numPr>
              <w:spacing w:after="134"/>
              <w:rPr>
                <w:rFonts w:eastAsia="STZhongsong"/>
                <w:bCs/>
                <w:lang w:eastAsia="zh-CN"/>
              </w:rPr>
            </w:pPr>
            <w:proofErr w:type="gramStart"/>
            <w:r w:rsidRPr="004E0AA8">
              <w:rPr>
                <w:sz w:val="22"/>
                <w:szCs w:val="22"/>
              </w:rPr>
              <w:t>ensure</w:t>
            </w:r>
            <w:proofErr w:type="gramEnd"/>
            <w:r w:rsidRPr="004E0AA8">
              <w:rPr>
                <w:sz w:val="22"/>
                <w:szCs w:val="22"/>
              </w:rPr>
              <w:t xml:space="preserv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5D328A">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632E470A" w:rsidR="00B5520B"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69E5A5D" w14:textId="4D41C1BF" w:rsidR="00A15BBF" w:rsidRPr="00B91478" w:rsidRDefault="00A15BBF" w:rsidP="00BB4A0B">
            <w:pPr>
              <w:numPr>
                <w:ilvl w:val="1"/>
                <w:numId w:val="0"/>
              </w:numPr>
              <w:overflowPunct/>
              <w:autoSpaceDE/>
              <w:autoSpaceDN/>
              <w:spacing w:after="120"/>
              <w:textAlignment w:val="auto"/>
              <w:rPr>
                <w:rFonts w:eastAsia="STZhongsong"/>
                <w:lang w:eastAsia="zh-CN"/>
              </w:rPr>
            </w:pPr>
            <w:r>
              <w:rPr>
                <w:rFonts w:eastAsia="STZhongsong"/>
                <w:lang w:eastAsia="zh-CN"/>
              </w:rPr>
              <w:t>The total contract value shall not exceed £865,168.29 (excluding VAT).</w:t>
            </w:r>
          </w:p>
          <w:p w14:paraId="4A35A1F8" w14:textId="77777777" w:rsidR="00A06B3F" w:rsidRDefault="00754676" w:rsidP="00BB4A0B">
            <w:pPr>
              <w:numPr>
                <w:ilvl w:val="1"/>
                <w:numId w:val="0"/>
              </w:numPr>
              <w:overflowPunct/>
              <w:autoSpaceDE/>
              <w:autoSpaceDN/>
              <w:spacing w:after="120"/>
              <w:textAlignment w:val="auto"/>
              <w:rPr>
                <w:rFonts w:eastAsia="STZhongsong"/>
                <w:lang w:eastAsia="zh-CN"/>
              </w:rPr>
            </w:pPr>
            <w:r w:rsidRPr="00A06B3F">
              <w:rPr>
                <w:rFonts w:eastAsia="STZhongsong"/>
                <w:lang w:eastAsia="zh-CN"/>
              </w:rPr>
              <w:t>Table of grades &amp; rates</w:t>
            </w:r>
            <w:r w:rsidR="00A06B3F" w:rsidRPr="00A06B3F">
              <w:rPr>
                <w:rFonts w:eastAsia="STZhongsong"/>
                <w:lang w:eastAsia="zh-CN"/>
              </w:rPr>
              <w:t>:</w:t>
            </w:r>
            <w:r w:rsidR="00A06B3F">
              <w:rPr>
                <w:rFonts w:eastAsia="STZhongsong"/>
                <w:lang w:eastAsia="zh-CN"/>
              </w:rPr>
              <w:t xml:space="preserve"> </w:t>
            </w:r>
          </w:p>
          <w:p w14:paraId="2752FC5A" w14:textId="4B7ACA6B" w:rsidR="00754676" w:rsidRDefault="00754676" w:rsidP="00BB4A0B">
            <w:pPr>
              <w:numPr>
                <w:ilvl w:val="1"/>
                <w:numId w:val="0"/>
              </w:numPr>
              <w:overflowPunct/>
              <w:autoSpaceDE/>
              <w:autoSpaceDN/>
              <w:spacing w:after="120"/>
              <w:textAlignment w:val="auto"/>
              <w:rPr>
                <w:rFonts w:eastAsia="STZhongsong"/>
                <w:lang w:eastAsia="zh-CN"/>
              </w:rPr>
            </w:pPr>
          </w:p>
          <w:p w14:paraId="7A082A0D" w14:textId="6834E250" w:rsidR="005D328A" w:rsidRDefault="00D758B1" w:rsidP="00BB4A0B">
            <w:pPr>
              <w:numPr>
                <w:ilvl w:val="1"/>
                <w:numId w:val="0"/>
              </w:numPr>
              <w:overflowPunct/>
              <w:autoSpaceDE/>
              <w:autoSpaceDN/>
              <w:spacing w:after="120"/>
              <w:textAlignment w:val="auto"/>
              <w:rPr>
                <w:rFonts w:eastAsia="STZhongsong"/>
                <w:lang w:eastAsia="zh-CN"/>
              </w:rPr>
            </w:pPr>
            <w:r>
              <w:rPr>
                <w:rFonts w:eastAsia="STZhongsong"/>
                <w:noProof/>
                <w:lang w:eastAsia="en-GB"/>
              </w:rPr>
              <w:t>REDACTED TABLE</w:t>
            </w:r>
          </w:p>
          <w:p w14:paraId="6760181A" w14:textId="21D16B25" w:rsidR="005D328A" w:rsidRPr="00B91478" w:rsidRDefault="005D328A" w:rsidP="00BB4A0B">
            <w:pPr>
              <w:numPr>
                <w:ilvl w:val="1"/>
                <w:numId w:val="0"/>
              </w:numPr>
              <w:overflowPunct/>
              <w:autoSpaceDE/>
              <w:autoSpaceDN/>
              <w:spacing w:after="120"/>
              <w:textAlignment w:val="auto"/>
              <w:rPr>
                <w:rFonts w:eastAsia="STZhongsong"/>
                <w:lang w:eastAsia="zh-CN"/>
              </w:rPr>
            </w:pPr>
          </w:p>
        </w:tc>
      </w:tr>
      <w:tr w:rsidR="00B5520B" w:rsidRPr="00B91478" w14:paraId="1B702A76" w14:textId="77777777" w:rsidTr="005D328A">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3D5C386" w14:textId="063FDBA2" w:rsidR="00B5520B" w:rsidRPr="00A15EF7" w:rsidRDefault="002B2D19" w:rsidP="00BB4A0B">
            <w:pPr>
              <w:numPr>
                <w:ilvl w:val="1"/>
                <w:numId w:val="0"/>
              </w:numPr>
              <w:overflowPunct/>
              <w:autoSpaceDE/>
              <w:autoSpaceDN/>
              <w:spacing w:after="120"/>
              <w:textAlignment w:val="auto"/>
              <w:rPr>
                <w:rFonts w:eastAsia="STZhongsong"/>
                <w:lang w:eastAsia="zh-CN"/>
              </w:rPr>
            </w:pPr>
            <w:r w:rsidRPr="00A15EF7">
              <w:rPr>
                <w:rFonts w:eastAsia="STZhongsong"/>
                <w:lang w:eastAsia="zh-CN"/>
              </w:rPr>
              <w:t>Monthly in arrears</w:t>
            </w:r>
          </w:p>
          <w:p w14:paraId="1A2DD206" w14:textId="5AE46D25" w:rsidR="00E96586" w:rsidRDefault="00E96586" w:rsidP="00E96586">
            <w:pPr>
              <w:numPr>
                <w:ilvl w:val="1"/>
                <w:numId w:val="0"/>
              </w:numPr>
              <w:overflowPunct/>
              <w:autoSpaceDE/>
              <w:autoSpaceDN/>
              <w:spacing w:after="120"/>
              <w:textAlignment w:val="auto"/>
              <w:rPr>
                <w:rFonts w:eastAsia="STZhongsong"/>
                <w:lang w:eastAsia="zh-CN"/>
              </w:rPr>
            </w:pPr>
            <w:r w:rsidRPr="00A15EF7">
              <w:rPr>
                <w:rFonts w:eastAsia="STZhongsong"/>
                <w:lang w:eastAsia="zh-CN"/>
              </w:rPr>
              <w:t xml:space="preserve">In Annex 2 of Call Off Schedule 3 (Call Off Contract </w:t>
            </w:r>
            <w:r w:rsidR="00A15EF7" w:rsidRPr="00A15EF7">
              <w:rPr>
                <w:rFonts w:eastAsia="STZhongsong"/>
                <w:lang w:eastAsia="zh-CN"/>
              </w:rPr>
              <w:t>Charges, Payment and Invoicing)</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lastRenderedPageBreak/>
              <w:t>Submitted invoices must be accompanied by supporting information including:</w:t>
            </w:r>
          </w:p>
          <w:p w14:paraId="255DD162" w14:textId="77777777" w:rsidR="00E96586" w:rsidRDefault="00E96586" w:rsidP="006E1393">
            <w:pPr>
              <w:pStyle w:val="ListParagraph"/>
              <w:numPr>
                <w:ilvl w:val="0"/>
                <w:numId w:val="20"/>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1B365241" w14:textId="77777777" w:rsidR="00E96586" w:rsidRPr="000C660D" w:rsidRDefault="00E96586" w:rsidP="006E1393">
            <w:pPr>
              <w:pStyle w:val="ListParagraph"/>
              <w:numPr>
                <w:ilvl w:val="0"/>
                <w:numId w:val="20"/>
              </w:numPr>
              <w:overflowPunct/>
              <w:autoSpaceDE/>
              <w:autoSpaceDN/>
              <w:spacing w:after="120"/>
              <w:textAlignment w:val="auto"/>
              <w:rPr>
                <w:rFonts w:eastAsia="STZhongsong"/>
                <w:bCs/>
                <w:lang w:eastAsia="zh-CN"/>
              </w:rPr>
            </w:pPr>
            <w:proofErr w:type="gramStart"/>
            <w:r>
              <w:rPr>
                <w:rFonts w:eastAsia="STZhongsong"/>
                <w:bCs/>
                <w:lang w:eastAsia="zh-CN"/>
              </w:rPr>
              <w:t>such</w:t>
            </w:r>
            <w:proofErr w:type="gramEnd"/>
            <w:r>
              <w:rPr>
                <w:rFonts w:eastAsia="STZhongsong"/>
                <w:bCs/>
                <w:lang w:eastAsia="zh-CN"/>
              </w:rPr>
              <w:t xml:space="preserve"> other information as the Customer (acting reasonably) may require in order to verify the invoiced amounts. </w:t>
            </w:r>
          </w:p>
          <w:p w14:paraId="0DFE3D31" w14:textId="77777777" w:rsidR="00E96586" w:rsidRDefault="00E96586" w:rsidP="00E96586">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p w14:paraId="6D7E2F67" w14:textId="77777777" w:rsidR="00E96586" w:rsidRPr="000C0209" w:rsidRDefault="00E96586" w:rsidP="00E96586">
            <w:pPr>
              <w:spacing w:before="240"/>
              <w:ind w:left="0"/>
              <w:jc w:val="left"/>
              <w:rPr>
                <w:lang w:eastAsia="en-GB"/>
              </w:rPr>
            </w:pPr>
            <w:r w:rsidRPr="00AB3AB1">
              <w:t>Invoice payment will be approved upon satisfactory delivery of the agreed Key Performance Indicator targets set out in Annex 1 to this Call Off Order Form and (in respect of the period of [x] weeks before the end of the Initial Period (and any Extension Period, where applicable) a completed knowledge transfer in accordance with section 8.4 of this Call Off Order Form.</w:t>
            </w:r>
          </w:p>
          <w:p w14:paraId="0B09DB3F" w14:textId="0ABAB44A" w:rsidR="00E96586" w:rsidRPr="00B91478" w:rsidRDefault="00E96586" w:rsidP="00E96586">
            <w:pPr>
              <w:numPr>
                <w:ilvl w:val="1"/>
                <w:numId w:val="0"/>
              </w:numPr>
              <w:overflowPunct/>
              <w:autoSpaceDE/>
              <w:autoSpaceDN/>
              <w:spacing w:after="120"/>
              <w:textAlignment w:val="auto"/>
              <w:rPr>
                <w:rFonts w:eastAsia="STZhongsong"/>
                <w:b/>
                <w:lang w:eastAsia="zh-CN"/>
              </w:rPr>
            </w:pPr>
          </w:p>
        </w:tc>
      </w:tr>
      <w:tr w:rsidR="00B5520B" w:rsidRPr="00B91478" w14:paraId="509E85CE" w14:textId="77777777" w:rsidTr="005D328A">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5D328A">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6502BBC6" w14:textId="4CBFDE89" w:rsidR="00984D40" w:rsidRDefault="00CC1452" w:rsidP="00BB4A0B">
            <w:pPr>
              <w:numPr>
                <w:ilvl w:val="1"/>
                <w:numId w:val="0"/>
              </w:numPr>
              <w:overflowPunct/>
              <w:autoSpaceDE/>
              <w:autoSpaceDN/>
              <w:spacing w:after="120"/>
              <w:textAlignment w:val="auto"/>
            </w:pPr>
            <w:hyperlink r:id="rId9" w:history="1">
              <w:r w:rsidR="00984D40" w:rsidRPr="00EA2667">
                <w:rPr>
                  <w:rStyle w:val="Hyperlink"/>
                </w:rPr>
                <w:t>tandt.sbs@nhs.net</w:t>
              </w:r>
            </w:hyperlink>
          </w:p>
          <w:p w14:paraId="4EA9B06A" w14:textId="6C0DB5C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5D328A">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5D328A">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07B02CA" w:rsidR="00B5520B" w:rsidRPr="00B91478" w:rsidRDefault="00A15EF7" w:rsidP="00A15EF7">
            <w:pPr>
              <w:numPr>
                <w:ilvl w:val="1"/>
                <w:numId w:val="0"/>
              </w:numPr>
              <w:tabs>
                <w:tab w:val="left" w:pos="2783"/>
              </w:tabs>
              <w:overflowPunct/>
              <w:autoSpaceDE/>
              <w:autoSpaceDN/>
              <w:spacing w:after="120"/>
              <w:textAlignment w:val="auto"/>
              <w:rPr>
                <w:rFonts w:eastAsia="STZhongsong"/>
                <w:lang w:eastAsia="zh-CN"/>
              </w:rPr>
            </w:pPr>
            <w:r>
              <w:rPr>
                <w:bCs/>
              </w:rPr>
              <w:t>n/a</w:t>
            </w:r>
            <w:r w:rsidR="00B5520B" w:rsidRPr="002B2D19">
              <w:rPr>
                <w:rFonts w:eastAsia="STZhongsong"/>
                <w:bCs/>
                <w:lang w:eastAsia="zh-CN"/>
              </w:rPr>
              <w:tab/>
            </w:r>
          </w:p>
        </w:tc>
      </w:tr>
      <w:tr w:rsidR="00B5520B" w:rsidRPr="00B91478" w14:paraId="2C9FE932" w14:textId="77777777" w:rsidTr="005D328A">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68D3CEA3" w:rsidR="00810FF4" w:rsidRPr="00B91478" w:rsidRDefault="00810FF4" w:rsidP="00A15EF7">
            <w:pPr>
              <w:keepNext/>
              <w:keepLines/>
              <w:overflowPunct/>
              <w:autoSpaceDE/>
              <w:autoSpaceDN/>
              <w:spacing w:before="240"/>
              <w:ind w:left="0"/>
              <w:textAlignment w:val="auto"/>
              <w:rPr>
                <w:rFonts w:eastAsia="STZhongsong"/>
                <w:b/>
                <w:caps/>
                <w:lang w:eastAsia="zh-CN"/>
              </w:rPr>
            </w:pPr>
            <w:r w:rsidRPr="00B91478">
              <w:t>The sum of £</w:t>
            </w:r>
            <w:r w:rsidR="00A15EF7">
              <w:t>865,168.29</w:t>
            </w:r>
            <w:r w:rsidRPr="00B91478">
              <w:t xml:space="preserve"> </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2617089B" w:rsidR="00810FF4" w:rsidRPr="00B91478" w:rsidRDefault="00E1153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Clause 37.2.1 </w:t>
            </w:r>
            <w:r w:rsidRPr="00B91478">
              <w:rPr>
                <w:rFonts w:eastAsia="STZhongsong"/>
                <w:lang w:eastAsia="zh-CN"/>
              </w:rPr>
              <w:t>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64D33A8B"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Professional Indemnity </w:t>
            </w:r>
            <w:r w:rsidRPr="00A15EF7">
              <w:rPr>
                <w:rFonts w:eastAsia="STZhongsong"/>
                <w:lang w:eastAsia="zh-CN"/>
              </w:rPr>
              <w:t>– £5m</w:t>
            </w:r>
            <w:r w:rsidRPr="00923AD5">
              <w:rPr>
                <w:rFonts w:eastAsia="STZhongsong"/>
                <w:lang w:eastAsia="zh-CN"/>
              </w:rPr>
              <w:t xml:space="preserve"> per claim and in the aggregate per annum</w:t>
            </w:r>
          </w:p>
          <w:p w14:paraId="6BAE02FD" w14:textId="77777777" w:rsidR="00923AD5" w:rsidRPr="00923AD5"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Employers’ liability – as required by law</w:t>
            </w:r>
          </w:p>
          <w:p w14:paraId="4451852C" w14:textId="2B995230" w:rsidR="00923AD5" w:rsidRPr="00923AD5" w:rsidRDefault="00923AD5" w:rsidP="00A15EF7">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Third Party Public and Products Liability </w:t>
            </w:r>
            <w:r w:rsidRPr="00A15EF7">
              <w:rPr>
                <w:rFonts w:eastAsia="STZhongsong"/>
                <w:lang w:eastAsia="zh-CN"/>
              </w:rPr>
              <w:t>Insurance – £5m</w:t>
            </w:r>
            <w:r w:rsidRPr="00923AD5">
              <w:rPr>
                <w:rFonts w:eastAsia="STZhongsong"/>
                <w:lang w:eastAsia="zh-CN"/>
              </w:rPr>
              <w:t xml:space="preserve"> per </w:t>
            </w:r>
            <w:r w:rsidR="00D50C28" w:rsidRPr="00923AD5">
              <w:rPr>
                <w:rFonts w:eastAsia="STZhongsong"/>
                <w:lang w:eastAsia="zh-CN"/>
              </w:rPr>
              <w:t>occurrence</w:t>
            </w:r>
            <w:r w:rsidRPr="00923AD5">
              <w:rPr>
                <w:rFonts w:eastAsia="STZhongsong"/>
                <w:lang w:eastAsia="zh-CN"/>
              </w:rPr>
              <w:t xml:space="preserve"> and in the aggregate per annum</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3EFB367A"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t xml:space="preserve">The period of thirty (30) Working Days in Clause 42.7 </w:t>
            </w:r>
            <w:r w:rsidRPr="00542302">
              <w:rPr>
                <w:rFonts w:eastAsia="STZhongsong"/>
                <w:lang w:eastAsia="zh-CN"/>
              </w:rPr>
              <w:t xml:space="preserve">shall be amended to </w:t>
            </w:r>
            <w:r w:rsidR="002C1A8E">
              <w:rPr>
                <w:rFonts w:eastAsia="STZhongsong"/>
                <w:lang w:eastAsia="zh-CN"/>
              </w:rPr>
              <w:t>five (</w:t>
            </w:r>
            <w:r w:rsidRPr="00542302">
              <w:rPr>
                <w:rFonts w:eastAsia="STZhongsong"/>
                <w:lang w:eastAsia="zh-CN"/>
              </w:rPr>
              <w:t>5</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7777777"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73004E2C" w14:textId="07B22521" w:rsidR="00E96586" w:rsidRPr="00064C45" w:rsidRDefault="00E96586" w:rsidP="00E96586">
            <w:pPr>
              <w:numPr>
                <w:ilvl w:val="1"/>
                <w:numId w:val="0"/>
              </w:numPr>
              <w:overflowPunct/>
              <w:autoSpaceDE/>
              <w:autoSpaceDN/>
              <w:spacing w:after="120"/>
              <w:textAlignment w:val="auto"/>
              <w:rPr>
                <w:bCs/>
              </w:rPr>
            </w:pPr>
            <w:r>
              <w:rPr>
                <w:bCs/>
              </w:rPr>
              <w:t>13.1 T</w:t>
            </w:r>
            <w:r w:rsidRPr="00064C45">
              <w:rPr>
                <w:bCs/>
              </w:rPr>
              <w:t xml:space="preserve">he Supplier will </w:t>
            </w:r>
            <w:r>
              <w:rPr>
                <w:bCs/>
              </w:rPr>
              <w:t xml:space="preserve">produce and submit to the Customer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Th</w:t>
            </w:r>
            <w:r>
              <w:rPr>
                <w:bCs/>
              </w:rPr>
              <w:t>e draft</w:t>
            </w:r>
            <w:r w:rsidRPr="00064C45">
              <w:rPr>
                <w:bCs/>
              </w:rPr>
              <w:t xml:space="preserve"> </w:t>
            </w:r>
            <w:r>
              <w:rPr>
                <w:bCs/>
              </w:rPr>
              <w:t xml:space="preserve">knowledge transfer </w:t>
            </w:r>
            <w:r w:rsidRPr="00064C45">
              <w:rPr>
                <w:bCs/>
              </w:rPr>
              <w:t xml:space="preserve">plan </w:t>
            </w:r>
            <w:r>
              <w:rPr>
                <w:bCs/>
              </w:rPr>
              <w:t>shall set out as</w:t>
            </w:r>
            <w:r w:rsidRPr="00064C45">
              <w:rPr>
                <w:bCs/>
              </w:rPr>
              <w:t xml:space="preserve"> a minimum:</w:t>
            </w:r>
          </w:p>
          <w:p w14:paraId="6DC3D229" w14:textId="77777777" w:rsidR="00E96586" w:rsidRDefault="00E96586" w:rsidP="006E1393">
            <w:pPr>
              <w:numPr>
                <w:ilvl w:val="0"/>
                <w:numId w:val="21"/>
              </w:numPr>
              <w:overflowPunct/>
              <w:autoSpaceDE/>
              <w:autoSpaceDN/>
              <w:spacing w:after="120"/>
              <w:textAlignment w:val="auto"/>
              <w:rPr>
                <w:bCs/>
              </w:rPr>
            </w:pPr>
            <w:r>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064C45" w:rsidRDefault="00E96586" w:rsidP="006E1393">
            <w:pPr>
              <w:numPr>
                <w:ilvl w:val="0"/>
                <w:numId w:val="21"/>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36782D66" w14:textId="58470A66" w:rsidR="00E96586" w:rsidRPr="00064C45" w:rsidRDefault="00E96586" w:rsidP="006E1393">
            <w:pPr>
              <w:numPr>
                <w:ilvl w:val="0"/>
                <w:numId w:val="21"/>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r w:rsidR="00D50C28">
              <w:rPr>
                <w:bCs/>
              </w:rPr>
              <w:t>timescales</w:t>
            </w:r>
            <w:r>
              <w:rPr>
                <w:bCs/>
              </w:rPr>
              <w:t xml:space="preserve"> for documentation and provision; </w:t>
            </w:r>
          </w:p>
          <w:p w14:paraId="3B728077" w14:textId="77777777" w:rsidR="00E96586" w:rsidRPr="00064C45" w:rsidRDefault="00E96586" w:rsidP="006E1393">
            <w:pPr>
              <w:numPr>
                <w:ilvl w:val="0"/>
                <w:numId w:val="21"/>
              </w:numPr>
              <w:overflowPunct/>
              <w:autoSpaceDE/>
              <w:autoSpaceDN/>
              <w:spacing w:after="120"/>
              <w:textAlignment w:val="auto"/>
              <w:rPr>
                <w:bCs/>
              </w:rPr>
            </w:pPr>
            <w:r>
              <w:rPr>
                <w:bCs/>
              </w:rPr>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32B729FA" w14:textId="77777777" w:rsidR="00E96586" w:rsidRPr="00064C45" w:rsidRDefault="00E96586" w:rsidP="006E1393">
            <w:pPr>
              <w:numPr>
                <w:ilvl w:val="0"/>
                <w:numId w:val="21"/>
              </w:numPr>
              <w:overflowPunct/>
              <w:autoSpaceDE/>
              <w:autoSpaceDN/>
              <w:spacing w:after="120"/>
              <w:textAlignment w:val="auto"/>
              <w:rPr>
                <w:bCs/>
              </w:rPr>
            </w:pPr>
            <w:r>
              <w:rPr>
                <w:bCs/>
              </w:rPr>
              <w:t>Definitions of an agreed</w:t>
            </w:r>
            <w:r w:rsidRPr="00064C45">
              <w:rPr>
                <w:bCs/>
              </w:rPr>
              <w:t xml:space="preserve"> acceptable standard and sign-off process (including roles and responsibilities from Supplier and </w:t>
            </w:r>
            <w:r>
              <w:rPr>
                <w:bCs/>
              </w:rPr>
              <w:t>Customer</w:t>
            </w:r>
            <w:r w:rsidRPr="00064C45">
              <w:rPr>
                <w:bCs/>
              </w:rPr>
              <w:t xml:space="preserve"> teams)</w:t>
            </w:r>
          </w:p>
          <w:p w14:paraId="37D22002" w14:textId="57AAC2AC" w:rsidR="00E96586" w:rsidRDefault="00E96586" w:rsidP="00E96586">
            <w:pPr>
              <w:numPr>
                <w:ilvl w:val="1"/>
                <w:numId w:val="0"/>
              </w:numPr>
              <w:overflowPunct/>
              <w:autoSpaceDE/>
              <w:autoSpaceDN/>
              <w:spacing w:after="120"/>
              <w:textAlignment w:val="auto"/>
            </w:pPr>
            <w:r>
              <w:t xml:space="preserve">13.2 The Parties shall use reasonable endeavours to agree the contents of the knowledge transfer </w:t>
            </w:r>
            <w:r w:rsidRPr="00A15EF7">
              <w:t>plan. If the Parties are unable to agree the co</w:t>
            </w:r>
            <w:r w:rsidR="00A15EF7" w:rsidRPr="00A15EF7">
              <w:t>ntents of the Exit Plan within ten (10)</w:t>
            </w:r>
            <w:r w:rsidR="00A15EF7">
              <w:t xml:space="preserve"> </w:t>
            </w:r>
            <w:r w:rsidRPr="00A15EF7">
              <w:t>Working</w:t>
            </w:r>
            <w:r>
              <w:t xml:space="preserve"> Days of its submission, then such Dispute shall be resolved in accordance with the Dispute Resolution Procedure. </w:t>
            </w:r>
          </w:p>
          <w:p w14:paraId="1322AB72" w14:textId="77777777" w:rsidR="00E96586" w:rsidRDefault="00E96586" w:rsidP="00E96586">
            <w:pPr>
              <w:numPr>
                <w:ilvl w:val="1"/>
                <w:numId w:val="0"/>
              </w:numPr>
              <w:overflowPunct/>
              <w:autoSpaceDE/>
              <w:autoSpaceDN/>
              <w:spacing w:after="120"/>
              <w:textAlignment w:val="auto"/>
            </w:pPr>
            <w:r>
              <w:lastRenderedPageBreak/>
              <w:t>13.3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3866D9B9" w:rsidR="00E96586" w:rsidRDefault="00E96586" w:rsidP="00E96586">
            <w:pPr>
              <w:numPr>
                <w:ilvl w:val="1"/>
                <w:numId w:val="0"/>
              </w:numPr>
              <w:overflowPunct/>
              <w:autoSpaceDE/>
              <w:autoSpaceDN/>
              <w:spacing w:after="120"/>
              <w:textAlignment w:val="auto"/>
            </w:pPr>
            <w:r>
              <w:t xml:space="preserve">13.3.1 </w:t>
            </w:r>
            <w:proofErr w:type="gramStart"/>
            <w:r>
              <w:t>comply</w:t>
            </w:r>
            <w:proofErr w:type="gramEnd"/>
            <w:r>
              <w:t xml:space="preserve"> with all of its obligations contained in the </w:t>
            </w:r>
            <w:r w:rsidR="00D50C28">
              <w:t>Knowledge</w:t>
            </w:r>
            <w:r>
              <w:t xml:space="preserve"> Transfer Plan and shall make available for the purposes of knowledge transfer to the Customer and/or the Replacement Supplier. </w:t>
            </w:r>
          </w:p>
          <w:p w14:paraId="1458C54E" w14:textId="77777777" w:rsidR="00E96586" w:rsidRDefault="00E96586" w:rsidP="00E96586">
            <w:pPr>
              <w:numPr>
                <w:ilvl w:val="1"/>
                <w:numId w:val="0"/>
              </w:numPr>
              <w:overflowPunct/>
              <w:autoSpaceDE/>
              <w:autoSpaceDN/>
              <w:spacing w:after="120"/>
              <w:textAlignment w:val="auto"/>
              <w:rPr>
                <w:bCs/>
              </w:rPr>
            </w:pPr>
            <w:r>
              <w:rPr>
                <w:bCs/>
              </w:rPr>
              <w:t>13.3.2 provide no less than [40 hours] of dedicated resource time from Supplier Personnel who were actively engaged in the provision of the Services to carry out the knowledge transfer activities set out in the knowledge transfer plan</w:t>
            </w:r>
            <w:r w:rsidRPr="00565DE9">
              <w:rPr>
                <w:bCs/>
              </w:rPr>
              <w:t>.  This cost will be absorbed by the supplier at the time of contract expiry.</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B91478" w:rsidRDefault="003B455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6DA5C137" w:rsidR="003B455E" w:rsidRPr="00A15EF7" w:rsidRDefault="00A15EF7">
            <w:pPr>
              <w:numPr>
                <w:ilvl w:val="1"/>
                <w:numId w:val="0"/>
              </w:numPr>
              <w:overflowPunct/>
              <w:autoSpaceDE/>
              <w:autoSpaceDN/>
              <w:spacing w:after="120"/>
              <w:jc w:val="left"/>
              <w:textAlignment w:val="auto"/>
              <w:rPr>
                <w:rFonts w:eastAsia="STZhongsong"/>
                <w:lang w:eastAsia="zh-CN"/>
              </w:rPr>
            </w:pPr>
            <w:r w:rsidRPr="00A15EF7">
              <w:rPr>
                <w:rFonts w:eastAsia="STZhongsong"/>
                <w:lang w:eastAsia="zh-CN"/>
              </w:rPr>
              <w:t>Supplier breakdown of pricing</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29A560E" w14:textId="69F72EAC" w:rsidR="00810FF4" w:rsidRPr="00F641B6"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p w14:paraId="45E18F3C" w14:textId="3D6E3C4F" w:rsidR="00810FF4" w:rsidRPr="00B91478"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45E660E" w14:textId="02CA13B1" w:rsidR="00810FF4" w:rsidRPr="00542302" w:rsidRDefault="00810FF4" w:rsidP="003B455E">
            <w:pPr>
              <w:numPr>
                <w:ilvl w:val="1"/>
                <w:numId w:val="0"/>
              </w:numPr>
              <w:overflowPunct/>
              <w:autoSpaceDE/>
              <w:autoSpaceDN/>
              <w:spacing w:after="120"/>
              <w:jc w:val="left"/>
              <w:textAlignment w:val="auto"/>
              <w:rPr>
                <w:rFonts w:eastAsia="STZhongsong"/>
                <w:b/>
                <w:lang w:eastAsia="zh-CN"/>
              </w:rPr>
            </w:pPr>
            <w:r w:rsidRPr="00542302">
              <w:rPr>
                <w:rFonts w:eastAsia="STZhongsong"/>
                <w:lang w:eastAsia="zh-CN"/>
              </w:rPr>
              <w:t>Select short form security requirements</w:t>
            </w:r>
            <w:r w:rsidR="00A15EF7">
              <w:rPr>
                <w:rFonts w:eastAsia="STZhongsong"/>
                <w:lang w:eastAsia="zh-CN"/>
              </w:rPr>
              <w:t xml:space="preserve"> </w:t>
            </w:r>
          </w:p>
          <w:p w14:paraId="647E0FD5"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A15EF7" w:rsidRDefault="00810FF4">
            <w:pPr>
              <w:numPr>
                <w:ilvl w:val="1"/>
                <w:numId w:val="0"/>
              </w:numPr>
              <w:overflowPunct/>
              <w:autoSpaceDE/>
              <w:autoSpaceDN/>
              <w:spacing w:after="120"/>
              <w:jc w:val="left"/>
              <w:textAlignment w:val="auto"/>
              <w:rPr>
                <w:rFonts w:eastAsia="STZhongsong"/>
                <w:b/>
                <w:lang w:eastAsia="zh-CN"/>
              </w:rPr>
            </w:pPr>
            <w:r w:rsidRPr="00A15EF7">
              <w:rPr>
                <w:rFonts w:eastAsia="STZhongsong"/>
                <w:b/>
                <w:lang w:eastAsia="zh-CN"/>
              </w:rPr>
              <w:t>ICT Policy:</w:t>
            </w:r>
          </w:p>
          <w:p w14:paraId="6C5624F3" w14:textId="396BCFB9" w:rsidR="00810FF4" w:rsidRPr="00A15EF7" w:rsidRDefault="004E0AA8" w:rsidP="003B455E">
            <w:pPr>
              <w:numPr>
                <w:ilvl w:val="1"/>
                <w:numId w:val="0"/>
              </w:numPr>
              <w:overflowPunct/>
              <w:autoSpaceDE/>
              <w:autoSpaceDN/>
              <w:spacing w:after="120"/>
              <w:jc w:val="left"/>
              <w:textAlignment w:val="auto"/>
              <w:rPr>
                <w:rFonts w:eastAsia="STZhongsong"/>
                <w:b/>
                <w:lang w:eastAsia="zh-CN"/>
              </w:rPr>
            </w:pPr>
            <w:r w:rsidRPr="00A15EF7">
              <w:rPr>
                <w:rFonts w:eastAsia="STZhongsong"/>
                <w:lang w:eastAsia="zh-CN"/>
              </w:rPr>
              <w:t xml:space="preserve">As per </w:t>
            </w:r>
            <w:r w:rsidRPr="00A15EF7">
              <w:rPr>
                <w:rFonts w:eastAsia="Calibri"/>
                <w:color w:val="000000"/>
                <w:lang w:eastAsia="en-GB"/>
              </w:rPr>
              <w:t>Department for Health and Social Care standard policy</w:t>
            </w:r>
          </w:p>
          <w:p w14:paraId="3FD47CAF" w14:textId="77777777" w:rsidR="00810FF4" w:rsidRPr="00A15EF7" w:rsidRDefault="00810FF4">
            <w:pPr>
              <w:numPr>
                <w:ilvl w:val="1"/>
                <w:numId w:val="0"/>
              </w:numPr>
              <w:overflowPunct/>
              <w:autoSpaceDE/>
              <w:autoSpaceDN/>
              <w:spacing w:after="120"/>
              <w:jc w:val="left"/>
              <w:textAlignment w:val="auto"/>
              <w:rPr>
                <w:rFonts w:eastAsia="STZhongsong"/>
                <w:b/>
                <w:lang w:eastAsia="zh-CN"/>
              </w:rPr>
            </w:pP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3384664" w14:textId="42E7366A" w:rsidR="00810FF4" w:rsidRPr="00982D63" w:rsidRDefault="00810FF4" w:rsidP="003B455E">
            <w:pPr>
              <w:numPr>
                <w:ilvl w:val="1"/>
                <w:numId w:val="0"/>
              </w:numPr>
              <w:overflowPunct/>
              <w:autoSpaceDE/>
              <w:autoSpaceDN/>
              <w:spacing w:after="120"/>
              <w:textAlignment w:val="auto"/>
            </w:pPr>
            <w:r w:rsidRPr="00542302">
              <w:t>In Call Off Schedule 8 (Business Continuity and Disaster Recovery)</w:t>
            </w:r>
          </w:p>
          <w:p w14:paraId="50F15A0C" w14:textId="77777777" w:rsidR="00810FF4" w:rsidRPr="00730F3E" w:rsidRDefault="00810FF4" w:rsidP="00BB4A0B">
            <w:pPr>
              <w:numPr>
                <w:ilvl w:val="1"/>
                <w:numId w:val="0"/>
              </w:numPr>
              <w:overflowPunct/>
              <w:autoSpaceDE/>
              <w:autoSpaceDN/>
              <w:spacing w:after="0"/>
              <w:textAlignment w:val="auto"/>
              <w:rPr>
                <w:b/>
              </w:rPr>
            </w:pPr>
          </w:p>
          <w:p w14:paraId="5618519B" w14:textId="77777777" w:rsidR="00810FF4" w:rsidRPr="00730F3E" w:rsidRDefault="00810FF4" w:rsidP="00BB4A0B">
            <w:pPr>
              <w:numPr>
                <w:ilvl w:val="1"/>
                <w:numId w:val="0"/>
              </w:numPr>
              <w:overflowPunct/>
              <w:autoSpaceDE/>
              <w:autoSpaceDN/>
              <w:spacing w:after="0"/>
              <w:textAlignment w:val="auto"/>
            </w:pPr>
            <w:r w:rsidRPr="00730F3E">
              <w:rPr>
                <w:b/>
              </w:rPr>
              <w:t>Disaster Period</w:t>
            </w:r>
            <w:r w:rsidRPr="00730F3E">
              <w:t>:</w:t>
            </w:r>
          </w:p>
          <w:p w14:paraId="7DFF7994" w14:textId="0D7577DE" w:rsidR="00810FF4" w:rsidRPr="00982D63" w:rsidRDefault="00810FF4" w:rsidP="00BB4A0B">
            <w:pPr>
              <w:numPr>
                <w:ilvl w:val="1"/>
                <w:numId w:val="0"/>
              </w:numPr>
              <w:overflowPunct/>
              <w:autoSpaceDE/>
              <w:autoSpaceDN/>
              <w:spacing w:after="120"/>
              <w:textAlignment w:val="auto"/>
              <w:rPr>
                <w:rFonts w:eastAsia="STZhongsong"/>
                <w:lang w:eastAsia="zh-CN"/>
              </w:rPr>
            </w:pPr>
            <w:r w:rsidRPr="00730F3E">
              <w:t xml:space="preserve">For the purpose of the definition of “Disaster” in Call Off Schedule 1 (Definitions) the “Disaster Period” shall be </w:t>
            </w:r>
            <w:r w:rsidR="00982D63" w:rsidRPr="00F65018">
              <w:rPr>
                <w:bCs/>
              </w:rPr>
              <w:t xml:space="preserve">as defined in the </w:t>
            </w:r>
            <w:r w:rsidR="00F65018" w:rsidRPr="00F65018">
              <w:rPr>
                <w:bCs/>
              </w:rPr>
              <w:t>BCDR</w:t>
            </w:r>
            <w:r w:rsidR="00982D63" w:rsidRPr="00F65018">
              <w:rPr>
                <w:bCs/>
              </w:rPr>
              <w:t xml:space="preserve"> Plan</w:t>
            </w:r>
            <w:r w:rsidR="00F65018" w:rsidRPr="00F65018">
              <w:rPr>
                <w:bCs/>
              </w:rPr>
              <w:t>.</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77777777"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3856E91C" w14:textId="77777777" w:rsidR="00810FF4" w:rsidRDefault="00810FF4" w:rsidP="00B02A10">
            <w:pPr>
              <w:numPr>
                <w:ilvl w:val="1"/>
                <w:numId w:val="0"/>
              </w:numPr>
              <w:overflowPunct/>
              <w:autoSpaceDE/>
              <w:autoSpaceDN/>
              <w:spacing w:after="120"/>
              <w:textAlignment w:val="auto"/>
              <w:rPr>
                <w:rFonts w:eastAsia="STZhongsong"/>
                <w:b/>
                <w:highlight w:val="green"/>
                <w:lang w:eastAsia="zh-CN"/>
              </w:rPr>
            </w:pPr>
            <w:r w:rsidRPr="00B91478">
              <w:rPr>
                <w:rFonts w:eastAsia="STZhongsong"/>
                <w:lang w:eastAsia="zh-CN"/>
              </w:rPr>
              <w:t xml:space="preserve">Supplier’s postal address and email address: </w:t>
            </w:r>
          </w:p>
          <w:p w14:paraId="3913BC95" w14:textId="77777777" w:rsidR="004550BA" w:rsidRDefault="004550BA" w:rsidP="00B02A10">
            <w:pPr>
              <w:numPr>
                <w:ilvl w:val="1"/>
                <w:numId w:val="0"/>
              </w:numPr>
              <w:overflowPunct/>
              <w:autoSpaceDE/>
              <w:autoSpaceDN/>
              <w:spacing w:after="120"/>
              <w:textAlignment w:val="auto"/>
              <w:rPr>
                <w:rFonts w:eastAsia="STZhongsong"/>
                <w:b/>
                <w:lang w:eastAsia="zh-CN"/>
              </w:rPr>
            </w:pPr>
            <w:r>
              <w:rPr>
                <w:rFonts w:eastAsia="STZhongsong"/>
                <w:b/>
                <w:lang w:eastAsia="zh-CN"/>
              </w:rPr>
              <w:t>Bramble Hub Limited</w:t>
            </w:r>
          </w:p>
          <w:p w14:paraId="33789543" w14:textId="79ADB6E9" w:rsidR="004550BA" w:rsidRDefault="004550BA" w:rsidP="00B02A10">
            <w:pPr>
              <w:numPr>
                <w:ilvl w:val="1"/>
                <w:numId w:val="0"/>
              </w:numPr>
              <w:overflowPunct/>
              <w:autoSpaceDE/>
              <w:autoSpaceDN/>
              <w:spacing w:after="120"/>
              <w:textAlignment w:val="auto"/>
              <w:rPr>
                <w:rFonts w:eastAsia="STZhongsong"/>
                <w:b/>
                <w:lang w:eastAsia="zh-CN"/>
              </w:rPr>
            </w:pPr>
            <w:r>
              <w:rPr>
                <w:rFonts w:eastAsia="STZhongsong"/>
                <w:b/>
                <w:lang w:eastAsia="zh-CN"/>
              </w:rPr>
              <w:t>9E Albert Embankment</w:t>
            </w:r>
          </w:p>
          <w:p w14:paraId="184F0D58" w14:textId="73B8D080" w:rsidR="004550BA" w:rsidRDefault="004550BA" w:rsidP="00B02A10">
            <w:pPr>
              <w:numPr>
                <w:ilvl w:val="1"/>
                <w:numId w:val="0"/>
              </w:numPr>
              <w:overflowPunct/>
              <w:autoSpaceDE/>
              <w:autoSpaceDN/>
              <w:spacing w:after="120"/>
              <w:textAlignment w:val="auto"/>
              <w:rPr>
                <w:rFonts w:eastAsia="STZhongsong"/>
                <w:b/>
                <w:lang w:eastAsia="zh-CN"/>
              </w:rPr>
            </w:pPr>
            <w:r>
              <w:rPr>
                <w:rFonts w:eastAsia="STZhongsong"/>
                <w:b/>
                <w:lang w:eastAsia="zh-CN"/>
              </w:rPr>
              <w:t>London</w:t>
            </w:r>
          </w:p>
          <w:p w14:paraId="1423B4D1" w14:textId="0586A2F1" w:rsidR="004550BA" w:rsidRDefault="004550BA" w:rsidP="00B02A10">
            <w:pPr>
              <w:numPr>
                <w:ilvl w:val="1"/>
                <w:numId w:val="0"/>
              </w:numPr>
              <w:overflowPunct/>
              <w:autoSpaceDE/>
              <w:autoSpaceDN/>
              <w:spacing w:after="120"/>
              <w:textAlignment w:val="auto"/>
              <w:rPr>
                <w:rFonts w:eastAsia="STZhongsong"/>
                <w:b/>
                <w:lang w:eastAsia="zh-CN"/>
              </w:rPr>
            </w:pPr>
            <w:r>
              <w:rPr>
                <w:rFonts w:eastAsia="STZhongsong"/>
                <w:b/>
                <w:lang w:eastAsia="zh-CN"/>
              </w:rPr>
              <w:t>SE1 7SP</w:t>
            </w:r>
          </w:p>
          <w:p w14:paraId="1925B4C5" w14:textId="23B94B55" w:rsidR="004550BA" w:rsidRDefault="004550BA" w:rsidP="00B02A10">
            <w:pPr>
              <w:numPr>
                <w:ilvl w:val="1"/>
                <w:numId w:val="0"/>
              </w:numPr>
              <w:overflowPunct/>
              <w:autoSpaceDE/>
              <w:autoSpaceDN/>
              <w:spacing w:after="120"/>
              <w:textAlignment w:val="auto"/>
              <w:rPr>
                <w:rFonts w:eastAsia="STZhongsong"/>
                <w:b/>
                <w:lang w:eastAsia="zh-CN"/>
              </w:rPr>
            </w:pPr>
            <w:r>
              <w:rPr>
                <w:rFonts w:eastAsia="STZhongsong"/>
                <w:b/>
                <w:lang w:eastAsia="zh-CN"/>
              </w:rPr>
              <w:t>contact@bramblehub.co.uk</w:t>
            </w:r>
          </w:p>
          <w:p w14:paraId="1518267C" w14:textId="0CEB21B3" w:rsidR="004550BA" w:rsidRPr="00B91478" w:rsidRDefault="004550BA" w:rsidP="00B02A10">
            <w:pPr>
              <w:numPr>
                <w:ilvl w:val="1"/>
                <w:numId w:val="0"/>
              </w:numPr>
              <w:overflowPunct/>
              <w:autoSpaceDE/>
              <w:autoSpaceDN/>
              <w:spacing w:after="120"/>
              <w:textAlignment w:val="auto"/>
              <w:rPr>
                <w:rFonts w:eastAsia="STZhongsong"/>
                <w:b/>
                <w:lang w:eastAsia="zh-CN"/>
              </w:rPr>
            </w:pP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7293960B" w14:textId="1E343348" w:rsidR="00810FF4" w:rsidRDefault="00E96586"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the table below (and </w:t>
            </w:r>
            <w:r w:rsidR="00810FF4" w:rsidRPr="00B91478">
              <w:rPr>
                <w:rFonts w:eastAsia="STZhongsong"/>
                <w:lang w:eastAsia="zh-CN"/>
              </w:rPr>
              <w:t xml:space="preserve">Call Off Schedule </w:t>
            </w:r>
            <w:r w:rsidR="00810FF4">
              <w:rPr>
                <w:rFonts w:eastAsia="STZhongsong"/>
                <w:lang w:eastAsia="zh-CN"/>
              </w:rPr>
              <w:t>13</w:t>
            </w:r>
            <w:r w:rsidR="00810FF4" w:rsidRPr="00B91478">
              <w:rPr>
                <w:rFonts w:eastAsia="STZhongsong"/>
                <w:lang w:eastAsia="zh-CN"/>
              </w:rPr>
              <w:t xml:space="preserve"> (Transparency Reports)</w:t>
            </w:r>
            <w:r>
              <w:rPr>
                <w:rFonts w:eastAsia="STZhongsong"/>
                <w:lang w:eastAsia="zh-CN"/>
              </w:rPr>
              <w:t>):</w:t>
            </w:r>
          </w:p>
          <w:p w14:paraId="568BAB22" w14:textId="53A01471" w:rsidR="00810FF4" w:rsidRDefault="00810FF4" w:rsidP="00FB2B54">
            <w:pPr>
              <w:numPr>
                <w:ilvl w:val="1"/>
                <w:numId w:val="0"/>
              </w:numPr>
              <w:overflowPunct/>
              <w:autoSpaceDE/>
              <w:autoSpaceDN/>
              <w:spacing w:after="120"/>
              <w:textAlignment w:val="auto"/>
              <w:rPr>
                <w:rFonts w:eastAsia="STZhongsong"/>
                <w:lang w:eastAsia="zh-CN"/>
              </w:rPr>
            </w:pPr>
          </w:p>
          <w:tbl>
            <w:tblPr>
              <w:tblStyle w:val="TableGrid"/>
              <w:tblW w:w="8466" w:type="dxa"/>
              <w:tblLayout w:type="fixed"/>
              <w:tblLook w:val="04A0" w:firstRow="1" w:lastRow="0" w:firstColumn="1" w:lastColumn="0" w:noHBand="0" w:noVBand="1"/>
            </w:tblPr>
            <w:tblGrid>
              <w:gridCol w:w="1875"/>
              <w:gridCol w:w="3118"/>
              <w:gridCol w:w="1276"/>
              <w:gridCol w:w="2197"/>
            </w:tblGrid>
            <w:tr w:rsidR="00E96586" w:rsidRPr="00CA72CB" w14:paraId="5913A294" w14:textId="77777777" w:rsidTr="000731CD">
              <w:tc>
                <w:tcPr>
                  <w:tcW w:w="1875" w:type="dxa"/>
                </w:tcPr>
                <w:p w14:paraId="47312E30"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TITLE</w:t>
                  </w:r>
                </w:p>
              </w:tc>
              <w:tc>
                <w:tcPr>
                  <w:tcW w:w="3118" w:type="dxa"/>
                </w:tcPr>
                <w:p w14:paraId="44C5C46C"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CONTENT</w:t>
                  </w:r>
                </w:p>
              </w:tc>
              <w:tc>
                <w:tcPr>
                  <w:tcW w:w="1276" w:type="dxa"/>
                </w:tcPr>
                <w:p w14:paraId="720D4D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FORMAT</w:t>
                  </w:r>
                </w:p>
              </w:tc>
              <w:tc>
                <w:tcPr>
                  <w:tcW w:w="2197" w:type="dxa"/>
                </w:tcPr>
                <w:p w14:paraId="03511808" w14:textId="77777777" w:rsidR="00E96586" w:rsidRPr="00CA72CB" w:rsidRDefault="00E96586" w:rsidP="00E96586">
                  <w:pPr>
                    <w:numPr>
                      <w:ilvl w:val="1"/>
                      <w:numId w:val="0"/>
                    </w:numPr>
                    <w:overflowPunct/>
                    <w:autoSpaceDE/>
                    <w:autoSpaceDN/>
                    <w:spacing w:after="120"/>
                    <w:jc w:val="center"/>
                    <w:textAlignment w:val="auto"/>
                    <w:rPr>
                      <w:b/>
                    </w:rPr>
                  </w:pPr>
                  <w:r w:rsidRPr="00CA72CB">
                    <w:rPr>
                      <w:b/>
                    </w:rPr>
                    <w:t>FREQUENCY</w:t>
                  </w:r>
                </w:p>
              </w:tc>
            </w:tr>
            <w:tr w:rsidR="00E96586" w:rsidRPr="00B77BD6" w14:paraId="62EE1376" w14:textId="77777777" w:rsidTr="000731CD">
              <w:tc>
                <w:tcPr>
                  <w:tcW w:w="1875" w:type="dxa"/>
                </w:tcPr>
                <w:p w14:paraId="6150E008" w14:textId="77777777" w:rsidR="00E96586" w:rsidRPr="00564CC9" w:rsidDel="00CA72CB" w:rsidRDefault="00E96586" w:rsidP="00E96586">
                  <w:pPr>
                    <w:numPr>
                      <w:ilvl w:val="1"/>
                      <w:numId w:val="0"/>
                    </w:numPr>
                    <w:overflowPunct/>
                    <w:autoSpaceDE/>
                    <w:autoSpaceDN/>
                    <w:spacing w:after="120"/>
                    <w:jc w:val="left"/>
                    <w:textAlignment w:val="auto"/>
                  </w:pPr>
                  <w:r w:rsidRPr="00CA72CB">
                    <w:rPr>
                      <w:iCs/>
                    </w:rPr>
                    <w:t xml:space="preserve">Project Progress </w:t>
                  </w:r>
                  <w:r>
                    <w:rPr>
                      <w:iCs/>
                    </w:rPr>
                    <w:t xml:space="preserve">&amp; </w:t>
                  </w:r>
                  <w:r w:rsidRPr="008C57C7">
                    <w:rPr>
                      <w:iCs/>
                    </w:rPr>
                    <w:t>Deliverables</w:t>
                  </w:r>
                  <w:r>
                    <w:rPr>
                      <w:iCs/>
                    </w:rPr>
                    <w:t xml:space="preserve"> </w:t>
                  </w:r>
                  <w:r w:rsidRPr="00CA72CB">
                    <w:rPr>
                      <w:iCs/>
                    </w:rPr>
                    <w:t>Report</w:t>
                  </w:r>
                </w:p>
              </w:tc>
              <w:tc>
                <w:tcPr>
                  <w:tcW w:w="3118" w:type="dxa"/>
                </w:tcPr>
                <w:p w14:paraId="76AF82B2" w14:textId="77777777" w:rsidR="00E96586" w:rsidRDefault="00E96586" w:rsidP="006E1393">
                  <w:pPr>
                    <w:pStyle w:val="ListParagraph"/>
                    <w:numPr>
                      <w:ilvl w:val="0"/>
                      <w:numId w:val="22"/>
                    </w:numPr>
                    <w:overflowPunct/>
                    <w:autoSpaceDE/>
                    <w:autoSpaceDN/>
                    <w:spacing w:after="120"/>
                    <w:jc w:val="left"/>
                    <w:textAlignment w:val="auto"/>
                    <w:rPr>
                      <w:iCs/>
                    </w:rPr>
                  </w:pPr>
                  <w:r>
                    <w:rPr>
                      <w:iCs/>
                    </w:rPr>
                    <w:t>A summary of resource utilised: activities completed and cost assigned in the week completed;</w:t>
                  </w:r>
                </w:p>
                <w:p w14:paraId="4635E72B" w14:textId="77777777" w:rsidR="00E96586" w:rsidRDefault="00E96586" w:rsidP="006E1393">
                  <w:pPr>
                    <w:pStyle w:val="ListParagraph"/>
                    <w:numPr>
                      <w:ilvl w:val="0"/>
                      <w:numId w:val="22"/>
                    </w:numPr>
                    <w:overflowPunct/>
                    <w:autoSpaceDE/>
                    <w:autoSpaceDN/>
                    <w:spacing w:after="120"/>
                    <w:jc w:val="left"/>
                    <w:textAlignment w:val="auto"/>
                    <w:rPr>
                      <w:iCs/>
                    </w:rPr>
                  </w:pPr>
                  <w:r>
                    <w:rPr>
                      <w:iCs/>
                    </w:rPr>
                    <w:t xml:space="preserve">A rolling two (2) week forecast of resource required </w:t>
                  </w:r>
                </w:p>
                <w:p w14:paraId="1CF223E1" w14:textId="77777777" w:rsidR="00E96586" w:rsidRDefault="00E96586" w:rsidP="006E1393">
                  <w:pPr>
                    <w:pStyle w:val="ListParagraph"/>
                    <w:numPr>
                      <w:ilvl w:val="0"/>
                      <w:numId w:val="22"/>
                    </w:numPr>
                    <w:overflowPunct/>
                    <w:autoSpaceDE/>
                    <w:autoSpaceDN/>
                    <w:spacing w:after="120"/>
                    <w:jc w:val="left"/>
                    <w:textAlignment w:val="auto"/>
                    <w:rPr>
                      <w:iCs/>
                    </w:rPr>
                  </w:pPr>
                  <w:r>
                    <w:rPr>
                      <w:iCs/>
                    </w:rPr>
                    <w:t>Overview of all open and closed actions</w:t>
                  </w:r>
                </w:p>
                <w:p w14:paraId="10573E9D" w14:textId="77777777" w:rsidR="00E96586" w:rsidRDefault="00E96586" w:rsidP="006E1393">
                  <w:pPr>
                    <w:pStyle w:val="ListParagraph"/>
                    <w:numPr>
                      <w:ilvl w:val="0"/>
                      <w:numId w:val="22"/>
                    </w:numPr>
                    <w:overflowPunct/>
                    <w:autoSpaceDE/>
                    <w:autoSpaceDN/>
                    <w:spacing w:after="120"/>
                    <w:jc w:val="left"/>
                    <w:textAlignment w:val="auto"/>
                    <w:rPr>
                      <w:iCs/>
                    </w:rPr>
                  </w:pPr>
                  <w:r>
                    <w:rPr>
                      <w:iCs/>
                    </w:rPr>
                    <w:t>Overview of open and closed risks and issues</w:t>
                  </w:r>
                </w:p>
                <w:p w14:paraId="7E09D8A2" w14:textId="77777777" w:rsidR="00E96586" w:rsidRDefault="00E96586" w:rsidP="006E1393">
                  <w:pPr>
                    <w:pStyle w:val="ListParagraph"/>
                    <w:numPr>
                      <w:ilvl w:val="0"/>
                      <w:numId w:val="22"/>
                    </w:numPr>
                    <w:overflowPunct/>
                    <w:autoSpaceDE/>
                    <w:autoSpaceDN/>
                    <w:spacing w:after="120"/>
                    <w:jc w:val="left"/>
                    <w:textAlignment w:val="auto"/>
                    <w:rPr>
                      <w:iCs/>
                    </w:rPr>
                  </w:pPr>
                  <w:r>
                    <w:rPr>
                      <w:iCs/>
                    </w:rPr>
                    <w:t>Deliverables provided and Milestones completed/achieved in the relevant week</w:t>
                  </w:r>
                </w:p>
                <w:p w14:paraId="5AC8C99E" w14:textId="77777777" w:rsidR="00E96586" w:rsidRPr="00564CC9" w:rsidDel="00CA72CB" w:rsidRDefault="00E96586" w:rsidP="006E1393">
                  <w:pPr>
                    <w:pStyle w:val="ListParagraph"/>
                    <w:numPr>
                      <w:ilvl w:val="0"/>
                      <w:numId w:val="22"/>
                    </w:numPr>
                    <w:overflowPunct/>
                    <w:autoSpaceDE/>
                    <w:autoSpaceDN/>
                    <w:spacing w:after="120"/>
                    <w:jc w:val="left"/>
                    <w:textAlignment w:val="auto"/>
                  </w:pPr>
                  <w:r>
                    <w:rPr>
                      <w:iCs/>
                    </w:rPr>
                    <w:t>Anticipated delays to delivery of Milestones and Deliverables</w:t>
                  </w:r>
                </w:p>
              </w:tc>
              <w:tc>
                <w:tcPr>
                  <w:tcW w:w="1276" w:type="dxa"/>
                </w:tcPr>
                <w:p w14:paraId="63EB9B85" w14:textId="60B68C73" w:rsidR="00E96586" w:rsidRPr="00CA72CB" w:rsidDel="00CA72CB" w:rsidRDefault="004550BA" w:rsidP="00E96586">
                  <w:pPr>
                    <w:ind w:left="0"/>
                    <w:jc w:val="center"/>
                    <w:rPr>
                      <w:iCs/>
                    </w:rPr>
                  </w:pPr>
                  <w:r w:rsidRPr="004550BA">
                    <w:rPr>
                      <w:iCs/>
                    </w:rPr>
                    <w:t>Excel or Word</w:t>
                  </w:r>
                </w:p>
              </w:tc>
              <w:tc>
                <w:tcPr>
                  <w:tcW w:w="2197" w:type="dxa"/>
                </w:tcPr>
                <w:p w14:paraId="60BA3773" w14:textId="77777777" w:rsidR="00E96586" w:rsidRPr="00CA72CB" w:rsidDel="00CA72CB" w:rsidRDefault="00E96586" w:rsidP="00E96586">
                  <w:pPr>
                    <w:ind w:left="0"/>
                    <w:jc w:val="center"/>
                    <w:rPr>
                      <w:iCs/>
                    </w:rPr>
                  </w:pPr>
                  <w:r w:rsidRPr="00CA72CB">
                    <w:rPr>
                      <w:iCs/>
                    </w:rPr>
                    <w:t>Weekly</w:t>
                  </w:r>
                </w:p>
              </w:tc>
            </w:tr>
            <w:tr w:rsidR="00E96586" w:rsidRPr="00B77BD6" w14:paraId="70874DB8" w14:textId="77777777" w:rsidTr="000731CD">
              <w:tc>
                <w:tcPr>
                  <w:tcW w:w="1875" w:type="dxa"/>
                </w:tcPr>
                <w:p w14:paraId="626D8A27" w14:textId="77777777" w:rsidR="00E96586" w:rsidRPr="00564CC9" w:rsidDel="00CA72CB" w:rsidRDefault="00E96586" w:rsidP="00E96586">
                  <w:pPr>
                    <w:numPr>
                      <w:ilvl w:val="1"/>
                      <w:numId w:val="0"/>
                    </w:numPr>
                    <w:overflowPunct/>
                    <w:autoSpaceDE/>
                    <w:autoSpaceDN/>
                    <w:spacing w:after="120"/>
                    <w:jc w:val="left"/>
                    <w:textAlignment w:val="auto"/>
                  </w:pPr>
                  <w:r>
                    <w:rPr>
                      <w:iCs/>
                    </w:rPr>
                    <w:t xml:space="preserve">KPI </w:t>
                  </w:r>
                  <w:r w:rsidRPr="00564CC9">
                    <w:t>Performance</w:t>
                  </w:r>
                  <w:r>
                    <w:rPr>
                      <w:iCs/>
                    </w:rPr>
                    <w:t xml:space="preserve"> Report</w:t>
                  </w:r>
                </w:p>
              </w:tc>
              <w:tc>
                <w:tcPr>
                  <w:tcW w:w="3118" w:type="dxa"/>
                </w:tcPr>
                <w:p w14:paraId="1F59F6C7" w14:textId="05E487E5" w:rsidR="00E96586" w:rsidRPr="00DB41B9" w:rsidDel="00CA72CB" w:rsidRDefault="00E96586" w:rsidP="006E1393">
                  <w:pPr>
                    <w:pStyle w:val="ListParagraph"/>
                    <w:numPr>
                      <w:ilvl w:val="0"/>
                      <w:numId w:val="19"/>
                    </w:numPr>
                    <w:overflowPunct/>
                    <w:autoSpaceDE/>
                    <w:autoSpaceDN/>
                    <w:spacing w:after="120"/>
                    <w:ind w:left="331" w:hanging="331"/>
                    <w:textAlignment w:val="auto"/>
                    <w:rPr>
                      <w:iCs/>
                    </w:rPr>
                  </w:pPr>
                  <w:r>
                    <w:rPr>
                      <w:iCs/>
                    </w:rPr>
                    <w:t xml:space="preserve">Outlining the Supplier’s performance against the key performance </w:t>
                  </w:r>
                  <w:r>
                    <w:rPr>
                      <w:iCs/>
                    </w:rPr>
                    <w:lastRenderedPageBreak/>
                    <w:t>indicators referred to in section 2.1</w:t>
                  </w:r>
                  <w:r w:rsidR="00E64C7C">
                    <w:rPr>
                      <w:iCs/>
                    </w:rPr>
                    <w:t xml:space="preserve"> above</w:t>
                  </w:r>
                </w:p>
              </w:tc>
              <w:tc>
                <w:tcPr>
                  <w:tcW w:w="1276" w:type="dxa"/>
                </w:tcPr>
                <w:p w14:paraId="595CE664" w14:textId="77777777" w:rsidR="00E96586" w:rsidRPr="00CA72CB" w:rsidDel="00CA72CB" w:rsidRDefault="00E96586" w:rsidP="00E96586">
                  <w:pPr>
                    <w:ind w:left="0"/>
                    <w:jc w:val="center"/>
                    <w:rPr>
                      <w:iCs/>
                    </w:rPr>
                  </w:pPr>
                </w:p>
              </w:tc>
              <w:tc>
                <w:tcPr>
                  <w:tcW w:w="2197" w:type="dxa"/>
                </w:tcPr>
                <w:p w14:paraId="5BFF69B6" w14:textId="15FEB0EF" w:rsidR="00E96586" w:rsidRPr="00CA72CB" w:rsidDel="00CA72CB" w:rsidRDefault="004550BA" w:rsidP="00E96586">
                  <w:pPr>
                    <w:ind w:left="0"/>
                    <w:jc w:val="center"/>
                    <w:rPr>
                      <w:iCs/>
                    </w:rPr>
                  </w:pPr>
                  <w:r w:rsidRPr="004550BA">
                    <w:t>tbc</w:t>
                  </w:r>
                </w:p>
              </w:tc>
            </w:tr>
          </w:tbl>
          <w:p w14:paraId="1BBA6BFC" w14:textId="5039DACC" w:rsidR="00E96586" w:rsidRPr="00B91478" w:rsidRDefault="00E96586" w:rsidP="00FB2B54">
            <w:pPr>
              <w:numPr>
                <w:ilvl w:val="1"/>
                <w:numId w:val="0"/>
              </w:numPr>
              <w:overflowPunct/>
              <w:autoSpaceDE/>
              <w:autoSpaceDN/>
              <w:spacing w:after="120"/>
              <w:textAlignment w:val="auto"/>
              <w:rPr>
                <w:rFonts w:eastAsia="STZhongsong"/>
                <w:lang w:eastAsia="zh-CN"/>
              </w:rPr>
            </w:pP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4550BA" w:rsidRDefault="00810FF4" w:rsidP="00BB4A0B">
            <w:pPr>
              <w:numPr>
                <w:ilvl w:val="1"/>
                <w:numId w:val="0"/>
              </w:numPr>
              <w:overflowPunct/>
              <w:autoSpaceDE/>
              <w:autoSpaceDN/>
              <w:spacing w:after="120"/>
              <w:textAlignment w:val="auto"/>
              <w:rPr>
                <w:rFonts w:eastAsia="STZhongsong"/>
                <w:b/>
                <w:lang w:eastAsia="zh-CN"/>
              </w:rPr>
            </w:pPr>
            <w:r w:rsidRPr="004550BA">
              <w:rPr>
                <w:rFonts w:eastAsia="STZhongsong"/>
                <w:b/>
                <w:lang w:eastAsia="zh-CN"/>
              </w:rPr>
              <w:t>Alternative and/or Additional Clauses from Call Off Schedule 14 and if required, any Customer alternative pricing mechanism:</w:t>
            </w:r>
          </w:p>
          <w:p w14:paraId="6B7CD9A5" w14:textId="0EA4C388" w:rsidR="00810FF4" w:rsidRPr="004550BA" w:rsidRDefault="00810FF4">
            <w:pPr>
              <w:numPr>
                <w:ilvl w:val="1"/>
                <w:numId w:val="0"/>
              </w:numPr>
              <w:overflowPunct/>
              <w:autoSpaceDE/>
              <w:autoSpaceDN/>
              <w:spacing w:after="120"/>
              <w:jc w:val="left"/>
              <w:textAlignment w:val="auto"/>
              <w:rPr>
                <w:rFonts w:eastAsia="STZhongsong"/>
                <w:bCs/>
                <w:lang w:eastAsia="zh-CN"/>
              </w:rPr>
            </w:pPr>
            <w:r w:rsidRPr="004550BA">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163D67F2" w:rsidR="00810FF4" w:rsidRPr="00B91478" w:rsidRDefault="004550BA" w:rsidP="004550BA">
            <w:pPr>
              <w:numPr>
                <w:ilvl w:val="1"/>
                <w:numId w:val="0"/>
              </w:numPr>
              <w:overflowPunct/>
              <w:autoSpaceDE/>
              <w:autoSpaceDN/>
              <w:spacing w:after="120"/>
              <w:jc w:val="left"/>
              <w:textAlignment w:val="auto"/>
              <w:rPr>
                <w:rFonts w:eastAsia="STZhongsong"/>
                <w:b/>
                <w:lang w:eastAsia="zh-CN"/>
              </w:rPr>
            </w:pPr>
            <w:r>
              <w:rPr>
                <w:rFonts w:eastAsia="STZhongsong"/>
                <w:lang w:eastAsia="zh-CN"/>
              </w:rPr>
              <w:t>n/a</w:t>
            </w: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2730CC4" w14:textId="77777777" w:rsidR="00810FF4"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2C7C704F" w:rsidR="00810FF4" w:rsidRPr="00B91478" w:rsidRDefault="00810FF4" w:rsidP="00BB4A0B">
            <w:pPr>
              <w:numPr>
                <w:ilvl w:val="1"/>
                <w:numId w:val="0"/>
              </w:numPr>
              <w:overflowPunct/>
              <w:autoSpaceDE/>
              <w:autoSpaceDN/>
              <w:spacing w:after="120"/>
              <w:textAlignment w:val="auto"/>
              <w:rPr>
                <w:rFonts w:eastAsia="STZhongsong"/>
                <w:lang w:eastAsia="zh-CN"/>
              </w:rPr>
            </w:pP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3"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D85D15C" w14:textId="77777777"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16B1679" w14:textId="77777777" w:rsidR="00810FF4" w:rsidRDefault="00810FF4">
            <w:pPr>
              <w:numPr>
                <w:ilvl w:val="1"/>
                <w:numId w:val="0"/>
              </w:numPr>
              <w:overflowPunct/>
              <w:autoSpaceDE/>
              <w:autoSpaceDN/>
              <w:spacing w:after="120"/>
              <w:jc w:val="left"/>
              <w:textAlignment w:val="auto"/>
              <w:rPr>
                <w:rFonts w:eastAsia="STZhongsong"/>
                <w:lang w:eastAsia="zh-CN"/>
              </w:rPr>
            </w:pPr>
          </w:p>
          <w:p w14:paraId="3E3F8396" w14:textId="69DCE4EA" w:rsidR="00810FF4"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D758B1" w:rsidRPr="00D758B1">
              <w:rPr>
                <w:rFonts w:eastAsia="Calibri"/>
                <w:bCs/>
                <w:iCs/>
                <w:color w:val="000000"/>
                <w:lang w:eastAsia="en-GB"/>
              </w:rPr>
              <w:t>REDACTED TEXT</w:t>
            </w:r>
            <w:r w:rsidR="00D758B1" w:rsidRPr="00C34A30">
              <w:rPr>
                <w:rFonts w:eastAsia="Calibri"/>
                <w:iCs/>
                <w:color w:val="000000"/>
                <w:lang w:eastAsia="en-GB"/>
              </w:rPr>
              <w:t xml:space="preserve">  </w:t>
            </w:r>
          </w:p>
          <w:p w14:paraId="5CBFCC90" w14:textId="2D3D6A3D" w:rsidR="00810FF4" w:rsidRDefault="00810FF4" w:rsidP="00F641B6">
            <w:pPr>
              <w:numPr>
                <w:ilvl w:val="1"/>
                <w:numId w:val="0"/>
              </w:numPr>
              <w:overflowPunct/>
              <w:autoSpaceDE/>
              <w:autoSpaceDN/>
              <w:spacing w:after="120"/>
              <w:jc w:val="left"/>
              <w:textAlignment w:val="auto"/>
            </w:pPr>
            <w:r>
              <w:rPr>
                <w:rFonts w:eastAsia="STZhongsong"/>
                <w:lang w:eastAsia="zh-CN"/>
              </w:rPr>
              <w:t xml:space="preserve">Email: </w:t>
            </w:r>
            <w:r w:rsidR="00D758B1" w:rsidRPr="00D758B1">
              <w:rPr>
                <w:rFonts w:eastAsia="Calibri"/>
                <w:bCs/>
                <w:iCs/>
                <w:color w:val="000000"/>
                <w:lang w:eastAsia="en-GB"/>
              </w:rPr>
              <w:t>REDACTED TEXT</w:t>
            </w:r>
            <w:r w:rsidR="00D758B1" w:rsidRPr="00C34A30">
              <w:rPr>
                <w:rFonts w:eastAsia="Calibri"/>
                <w:iCs/>
                <w:color w:val="000000"/>
                <w:lang w:eastAsia="en-GB"/>
              </w:rPr>
              <w:t xml:space="preserve">  </w:t>
            </w:r>
          </w:p>
          <w:p w14:paraId="60B6E8DE" w14:textId="77777777" w:rsidR="00810FF4" w:rsidRDefault="00810FF4">
            <w:pPr>
              <w:numPr>
                <w:ilvl w:val="1"/>
                <w:numId w:val="0"/>
              </w:numPr>
              <w:overflowPunct/>
              <w:autoSpaceDE/>
              <w:autoSpaceDN/>
              <w:spacing w:after="120"/>
              <w:jc w:val="left"/>
              <w:textAlignment w:val="auto"/>
              <w:rPr>
                <w:rFonts w:eastAsia="STZhongsong"/>
                <w:lang w:eastAsia="zh-CN"/>
              </w:rPr>
            </w:pPr>
          </w:p>
          <w:p w14:paraId="68544DC6" w14:textId="3EDA437C" w:rsidR="00810FF4" w:rsidRPr="002D0D68"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2D0D68" w:rsidRPr="002D0D68">
              <w:rPr>
                <w:rFonts w:eastAsia="STZhongsong"/>
                <w:lang w:eastAsia="zh-CN"/>
              </w:rPr>
              <w:t>To be confirmed</w:t>
            </w:r>
          </w:p>
          <w:p w14:paraId="01FCB531" w14:textId="526E45B5" w:rsidR="00810FF4" w:rsidRPr="002440C8" w:rsidRDefault="00810FF4">
            <w:pPr>
              <w:numPr>
                <w:ilvl w:val="1"/>
                <w:numId w:val="0"/>
              </w:numPr>
              <w:overflowPunct/>
              <w:autoSpaceDE/>
              <w:autoSpaceDN/>
              <w:spacing w:after="120"/>
              <w:jc w:val="left"/>
              <w:textAlignment w:val="auto"/>
              <w:rPr>
                <w:rFonts w:eastAsia="STZhongsong"/>
                <w:lang w:eastAsia="zh-CN"/>
              </w:rPr>
            </w:pPr>
            <w:r w:rsidRPr="002D0D68">
              <w:rPr>
                <w:rFonts w:eastAsia="STZhongsong"/>
                <w:lang w:eastAsia="zh-CN"/>
              </w:rPr>
              <w:t xml:space="preserve">Email: </w:t>
            </w:r>
            <w:r w:rsidR="002D0D68" w:rsidRPr="002D0D68">
              <w:rPr>
                <w:rFonts w:eastAsia="STZhongsong"/>
                <w:lang w:eastAsia="zh-CN"/>
              </w:rPr>
              <w:t>To be confirmed</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2E2CFAE1" w14:textId="7CECDE35" w:rsidR="00810FF4" w:rsidRDefault="004550BA" w:rsidP="00810FF4">
                  <w:pPr>
                    <w:numPr>
                      <w:ilvl w:val="1"/>
                      <w:numId w:val="0"/>
                    </w:numPr>
                    <w:overflowPunct/>
                    <w:autoSpaceDE/>
                    <w:autoSpaceDN/>
                    <w:spacing w:after="120"/>
                    <w:jc w:val="left"/>
                    <w:textAlignment w:val="auto"/>
                    <w:rPr>
                      <w:i/>
                      <w:highlight w:val="yellow"/>
                    </w:rPr>
                  </w:pPr>
                  <w:r w:rsidRPr="004550BA">
                    <w:rPr>
                      <w:i/>
                    </w:rPr>
                    <w:t>CCCC21A41</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63C083C2" w:rsidR="00810FF4" w:rsidRPr="004550BA" w:rsidRDefault="004550BA" w:rsidP="00810FF4">
                  <w:pPr>
                    <w:numPr>
                      <w:ilvl w:val="1"/>
                      <w:numId w:val="0"/>
                    </w:numPr>
                    <w:overflowPunct/>
                    <w:autoSpaceDE/>
                    <w:autoSpaceDN/>
                    <w:spacing w:after="120"/>
                    <w:jc w:val="left"/>
                    <w:textAlignment w:val="auto"/>
                    <w:rPr>
                      <w:i/>
                    </w:rPr>
                  </w:pPr>
                  <w:r w:rsidRPr="004550BA">
                    <w:rPr>
                      <w:rFonts w:eastAsia="Calibri"/>
                      <w:b/>
                      <w:lang w:val="en-US"/>
                    </w:rPr>
                    <w:t>27 October 2020</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 xml:space="preserve">Description Of </w:t>
                  </w:r>
                  <w:proofErr w:type="spellStart"/>
                  <w:r w:rsidRPr="00810FF4">
                    <w:rPr>
                      <w:rFonts w:eastAsia="Calibri"/>
                      <w:b/>
                      <w:lang w:val="en-US"/>
                    </w:rPr>
                    <w:t>Authorised</w:t>
                  </w:r>
                  <w:proofErr w:type="spellEnd"/>
                  <w:r w:rsidRPr="00810FF4">
                    <w:rPr>
                      <w:rFonts w:eastAsia="Calibri"/>
                      <w:b/>
                      <w:lang w:val="en-US"/>
                    </w:rPr>
                    <w:t xml:space="preserve">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598ADC30" w14:textId="7CF28552" w:rsidR="00810FF4" w:rsidRPr="009B7BA2" w:rsidRDefault="00D4376C" w:rsidP="00D4376C">
                  <w:pPr>
                    <w:numPr>
                      <w:ilvl w:val="1"/>
                      <w:numId w:val="0"/>
                    </w:numPr>
                    <w:overflowPunct/>
                    <w:autoSpaceDE/>
                    <w:autoSpaceDN/>
                    <w:spacing w:after="120"/>
                    <w:jc w:val="left"/>
                    <w:textAlignment w:val="auto"/>
                    <w:rPr>
                      <w:i/>
                    </w:rPr>
                  </w:pPr>
                  <w:r w:rsidRPr="009B7BA2">
                    <w:rPr>
                      <w:rFonts w:eastAsia="Calibri"/>
                    </w:rPr>
                    <w:t xml:space="preserve">The Parties acknowledge that for the purposes of the Data Protection Legislation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Use of Personal Data</w:t>
                  </w:r>
                </w:p>
              </w:tc>
              <w:tc>
                <w:tcPr>
                  <w:tcW w:w="4420" w:type="dxa"/>
                </w:tcPr>
                <w:p w14:paraId="19103F0A" w14:textId="05E48484" w:rsidR="00810FF4" w:rsidRPr="009B7BA2" w:rsidRDefault="00D4376C" w:rsidP="00810FF4">
                  <w:pPr>
                    <w:numPr>
                      <w:ilvl w:val="1"/>
                      <w:numId w:val="0"/>
                    </w:numPr>
                    <w:overflowPunct/>
                    <w:autoSpaceDE/>
                    <w:autoSpaceDN/>
                    <w:spacing w:after="120"/>
                    <w:jc w:val="left"/>
                    <w:textAlignment w:val="auto"/>
                    <w:rPr>
                      <w:i/>
                    </w:rPr>
                  </w:pPr>
                  <w:r w:rsidRPr="009B7BA2">
                    <w:rPr>
                      <w:rFonts w:eastAsia="Calibri"/>
                      <w:lang w:val="en-US"/>
                    </w:rPr>
                    <w:t xml:space="preserve">Managing the obligations under the Call Off Contract Agreement, including delivery of the Services.  </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Duration of the processing</w:t>
                  </w:r>
                </w:p>
              </w:tc>
              <w:tc>
                <w:tcPr>
                  <w:tcW w:w="4420" w:type="dxa"/>
                </w:tcPr>
                <w:p w14:paraId="4E9B2328" w14:textId="6B5CD557" w:rsidR="00810FF4" w:rsidRPr="009B7BA2" w:rsidRDefault="00810FF4" w:rsidP="00810FF4">
                  <w:pPr>
                    <w:numPr>
                      <w:ilvl w:val="1"/>
                      <w:numId w:val="0"/>
                    </w:numPr>
                    <w:overflowPunct/>
                    <w:autoSpaceDE/>
                    <w:autoSpaceDN/>
                    <w:spacing w:after="120"/>
                    <w:jc w:val="left"/>
                    <w:textAlignment w:val="auto"/>
                    <w:rPr>
                      <w:i/>
                    </w:rPr>
                  </w:pPr>
                  <w:r w:rsidRPr="009B7BA2">
                    <w:rPr>
                      <w:rFonts w:eastAsia="Calibri"/>
                      <w:lang w:val="en-US"/>
                    </w:rPr>
                    <w:t xml:space="preserve">For the duration of the </w:t>
                  </w:r>
                  <w:r w:rsidR="00BB7D10" w:rsidRPr="009B7BA2">
                    <w:rPr>
                      <w:rFonts w:eastAsia="Calibri"/>
                      <w:lang w:val="en-US"/>
                    </w:rPr>
                    <w:t>Call Off Contract Agreement.</w:t>
                  </w:r>
                </w:p>
              </w:tc>
            </w:tr>
            <w:tr w:rsidR="00810FF4" w14:paraId="4D33CD8F" w14:textId="77777777" w:rsidTr="00810FF4">
              <w:tc>
                <w:tcPr>
                  <w:tcW w:w="4393" w:type="dxa"/>
                </w:tcPr>
                <w:p w14:paraId="019EAB5F"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09495DC3" w:rsidR="00810FF4" w:rsidRPr="00D4376C" w:rsidRDefault="00D4376C" w:rsidP="00810FF4">
                  <w:pPr>
                    <w:numPr>
                      <w:ilvl w:val="1"/>
                      <w:numId w:val="0"/>
                    </w:numPr>
                    <w:overflowPunct/>
                    <w:autoSpaceDE/>
                    <w:autoSpaceDN/>
                    <w:spacing w:after="120"/>
                    <w:jc w:val="left"/>
                    <w:textAlignment w:val="auto"/>
                    <w:rPr>
                      <w:i/>
                      <w:highlight w:val="cyan"/>
                    </w:rPr>
                  </w:pPr>
                  <w:r w:rsidRPr="004550BA">
                    <w:rPr>
                      <w:iCs/>
                    </w:rPr>
                    <w:t>As necessary for the Supplier to deliver the Services, in particular by using the Personal Data specified below to contact and discuss relevant matters with employees and contractors of the Customer.</w:t>
                  </w:r>
                </w:p>
              </w:tc>
            </w:tr>
            <w:tr w:rsidR="00810FF4" w14:paraId="1D6A6B65" w14:textId="77777777" w:rsidTr="00810FF4">
              <w:tc>
                <w:tcPr>
                  <w:tcW w:w="4393" w:type="dxa"/>
                </w:tcPr>
                <w:p w14:paraId="5761C53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lastRenderedPageBreak/>
                    <w:t>Type of Personal Data</w:t>
                  </w:r>
                </w:p>
              </w:tc>
              <w:tc>
                <w:tcPr>
                  <w:tcW w:w="4420" w:type="dxa"/>
                </w:tcPr>
                <w:p w14:paraId="5CD76F6C" w14:textId="77777777" w:rsidR="00810FF4" w:rsidRPr="009B7BA2" w:rsidRDefault="00810FF4" w:rsidP="00810FF4">
                  <w:pPr>
                    <w:spacing w:line="312" w:lineRule="auto"/>
                    <w:ind w:left="117"/>
                    <w:jc w:val="left"/>
                  </w:pPr>
                  <w:r w:rsidRPr="009B7BA2">
                    <w:t>Full name</w:t>
                  </w:r>
                </w:p>
                <w:p w14:paraId="4FDA7506" w14:textId="43AF371A" w:rsidR="00810FF4" w:rsidRPr="009B7BA2" w:rsidRDefault="00810FF4" w:rsidP="00810FF4">
                  <w:pPr>
                    <w:spacing w:line="312" w:lineRule="auto"/>
                    <w:ind w:left="117"/>
                    <w:jc w:val="left"/>
                  </w:pPr>
                  <w:r w:rsidRPr="009B7BA2">
                    <w:t>Wor</w:t>
                  </w:r>
                  <w:r w:rsidR="00D02199">
                    <w:t>k</w:t>
                  </w:r>
                  <w:r w:rsidRPr="009B7BA2">
                    <w:t>place address</w:t>
                  </w:r>
                </w:p>
                <w:p w14:paraId="0AC84B83" w14:textId="77777777" w:rsidR="00810FF4" w:rsidRPr="009B7BA2" w:rsidRDefault="00810FF4" w:rsidP="00810FF4">
                  <w:pPr>
                    <w:spacing w:line="312" w:lineRule="auto"/>
                    <w:ind w:left="117"/>
                    <w:jc w:val="left"/>
                  </w:pPr>
                  <w:r w:rsidRPr="009B7BA2">
                    <w:t xml:space="preserve">Workplace Phone Number </w:t>
                  </w:r>
                </w:p>
                <w:p w14:paraId="0F4D337F" w14:textId="09BB1024" w:rsidR="00810FF4" w:rsidRPr="009B7BA2" w:rsidRDefault="00810FF4" w:rsidP="00D4376C">
                  <w:pPr>
                    <w:spacing w:line="312" w:lineRule="auto"/>
                    <w:ind w:left="117"/>
                    <w:jc w:val="left"/>
                    <w:rPr>
                      <w:rFonts w:eastAsia="Calibri"/>
                      <w:b/>
                      <w:lang w:val="en-US"/>
                    </w:rPr>
                  </w:pPr>
                  <w:r w:rsidRPr="009B7BA2">
                    <w:t xml:space="preserve">Workplace email address </w:t>
                  </w:r>
                </w:p>
                <w:tbl>
                  <w:tblPr>
                    <w:tblW w:w="6240" w:type="dxa"/>
                    <w:tblLayout w:type="fixed"/>
                    <w:tblLook w:val="04A0" w:firstRow="1" w:lastRow="0" w:firstColumn="1" w:lastColumn="0" w:noHBand="0" w:noVBand="1"/>
                  </w:tblPr>
                  <w:tblGrid>
                    <w:gridCol w:w="6240"/>
                  </w:tblGrid>
                  <w:tr w:rsidR="00810FF4" w:rsidRPr="009B7BA2" w14:paraId="0C5D0196" w14:textId="77777777" w:rsidTr="002B2D19">
                    <w:trPr>
                      <w:trHeight w:val="300"/>
                    </w:trPr>
                    <w:tc>
                      <w:tcPr>
                        <w:tcW w:w="6240" w:type="dxa"/>
                        <w:tcBorders>
                          <w:top w:val="nil"/>
                          <w:left w:val="nil"/>
                          <w:bottom w:val="nil"/>
                          <w:right w:val="nil"/>
                        </w:tcBorders>
                        <w:shd w:val="clear" w:color="auto" w:fill="auto"/>
                        <w:noWrap/>
                        <w:vAlign w:val="bottom"/>
                        <w:hideMark/>
                      </w:tcPr>
                      <w:p w14:paraId="2F6AEC87" w14:textId="77777777" w:rsidR="00810FF4" w:rsidRDefault="00810FF4" w:rsidP="00810FF4">
                        <w:pPr>
                          <w:spacing w:line="312" w:lineRule="auto"/>
                          <w:ind w:left="0"/>
                          <w:jc w:val="left"/>
                        </w:pPr>
                        <w:r w:rsidRPr="009B7BA2">
                          <w:t>Job title or role</w:t>
                        </w:r>
                      </w:p>
                      <w:p w14:paraId="6B1B2B67" w14:textId="2BC9879F" w:rsidR="00D02199" w:rsidRPr="009B7BA2" w:rsidRDefault="00D02199" w:rsidP="00D02199">
                        <w:pPr>
                          <w:spacing w:line="312" w:lineRule="auto"/>
                          <w:ind w:left="0"/>
                          <w:jc w:val="left"/>
                        </w:pPr>
                      </w:p>
                    </w:tc>
                  </w:tr>
                </w:tbl>
                <w:p w14:paraId="5C159ED2" w14:textId="77777777" w:rsidR="00810FF4" w:rsidRPr="009B7BA2" w:rsidRDefault="00810FF4" w:rsidP="00810FF4">
                  <w:pPr>
                    <w:numPr>
                      <w:ilvl w:val="1"/>
                      <w:numId w:val="0"/>
                    </w:numPr>
                    <w:overflowPunct/>
                    <w:autoSpaceDE/>
                    <w:autoSpaceDN/>
                    <w:spacing w:after="120"/>
                    <w:jc w:val="left"/>
                    <w:textAlignment w:val="auto"/>
                    <w:rPr>
                      <w:i/>
                    </w:rPr>
                  </w:pPr>
                </w:p>
              </w:tc>
            </w:tr>
            <w:tr w:rsidR="00810FF4" w14:paraId="3B2FB5E5" w14:textId="77777777" w:rsidTr="00810FF4">
              <w:tc>
                <w:tcPr>
                  <w:tcW w:w="4393" w:type="dxa"/>
                </w:tcPr>
                <w:p w14:paraId="16A6CE92" w14:textId="77777777" w:rsidR="00810FF4" w:rsidRPr="008537E1" w:rsidRDefault="00810FF4" w:rsidP="00810FF4">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184F7874" w14:textId="3D697E06" w:rsidR="00810FF4" w:rsidRPr="009B7BA2" w:rsidRDefault="00D4376C" w:rsidP="00D4376C">
                  <w:pPr>
                    <w:spacing w:line="312" w:lineRule="auto"/>
                    <w:ind w:left="0"/>
                    <w:jc w:val="left"/>
                  </w:pPr>
                  <w:r w:rsidRPr="009B7BA2">
                    <w:t xml:space="preserve">Employees and contractors of the Customer.  </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3"/>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0688A881" w14:textId="1561702D" w:rsidR="000731CD" w:rsidRDefault="000731CD" w:rsidP="000731CD">
      <w:pPr>
        <w:pStyle w:val="TOC1"/>
      </w:pPr>
      <w:r>
        <w:lastRenderedPageBreak/>
        <w:t>Annex 1 –  Details of key performance indicators which are required to be delivered by Supplier as part of the Services listed in Section 2.1</w:t>
      </w:r>
      <w:r w:rsidRPr="00774FF9">
        <w:t xml:space="preserve"> </w:t>
      </w:r>
      <w:r>
        <w:t>of this Call Off Order Form</w:t>
      </w:r>
    </w:p>
    <w:p w14:paraId="43B50626" w14:textId="77777777" w:rsidR="000731CD" w:rsidRDefault="000731CD" w:rsidP="000731CD">
      <w:pPr>
        <w:rPr>
          <w:lang w:eastAsia="en-GB"/>
        </w:rPr>
      </w:pPr>
    </w:p>
    <w:p w14:paraId="12B9BCDE" w14:textId="77777777" w:rsidR="000731CD" w:rsidRPr="008B2B5B" w:rsidRDefault="000731CD" w:rsidP="000731CD">
      <w:pPr>
        <w:ind w:left="0"/>
        <w:jc w:val="left"/>
        <w:rPr>
          <w:b/>
          <w:bCs/>
          <w:sz w:val="20"/>
          <w:szCs w:val="20"/>
        </w:rPr>
      </w:pPr>
      <w:r w:rsidRPr="008B2B5B">
        <w:rPr>
          <w:b/>
          <w:bCs/>
          <w:sz w:val="20"/>
          <w:szCs w:val="20"/>
        </w:rPr>
        <w:t xml:space="preserve">Key </w:t>
      </w:r>
      <w:r>
        <w:rPr>
          <w:b/>
          <w:bCs/>
          <w:sz w:val="20"/>
          <w:szCs w:val="20"/>
        </w:rPr>
        <w:t>p</w:t>
      </w:r>
      <w:r w:rsidRPr="008B2B5B">
        <w:rPr>
          <w:b/>
          <w:bCs/>
          <w:sz w:val="20"/>
          <w:szCs w:val="20"/>
        </w:rPr>
        <w:t xml:space="preserve">erformance </w:t>
      </w:r>
      <w:r>
        <w:rPr>
          <w:b/>
          <w:bCs/>
          <w:sz w:val="20"/>
          <w:szCs w:val="20"/>
        </w:rPr>
        <w:t>i</w:t>
      </w:r>
      <w:r w:rsidRPr="008B2B5B">
        <w:rPr>
          <w:b/>
          <w:bCs/>
          <w:sz w:val="20"/>
          <w:szCs w:val="20"/>
        </w:rPr>
        <w:t>ndicators</w:t>
      </w:r>
    </w:p>
    <w:p w14:paraId="7A8F5B0D" w14:textId="77777777" w:rsidR="000731CD" w:rsidRPr="003C4C3D" w:rsidRDefault="000731CD" w:rsidP="006E1393">
      <w:pPr>
        <w:pStyle w:val="ListParagraph"/>
        <w:numPr>
          <w:ilvl w:val="0"/>
          <w:numId w:val="23"/>
        </w:numPr>
        <w:rPr>
          <w:sz w:val="20"/>
          <w:szCs w:val="20"/>
        </w:rPr>
      </w:pPr>
      <w:r w:rsidRPr="003C4C3D">
        <w:rPr>
          <w:sz w:val="20"/>
          <w:szCs w:val="20"/>
        </w:rPr>
        <w:t>From the Commencement Date and during the Call Off Contract Term, the Supplier shall meet or exceed the following key performance indicators: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421"/>
        <w:gridCol w:w="2130"/>
        <w:gridCol w:w="1139"/>
        <w:gridCol w:w="1704"/>
        <w:gridCol w:w="1707"/>
      </w:tblGrid>
      <w:tr w:rsidR="000731CD" w:rsidRPr="008B2B5B" w14:paraId="06735682" w14:textId="77777777" w:rsidTr="009A7CCA">
        <w:trPr>
          <w:tblHeader/>
        </w:trPr>
        <w:tc>
          <w:tcPr>
            <w:tcW w:w="326" w:type="pct"/>
            <w:tcBorders>
              <w:bottom w:val="single" w:sz="4" w:space="0" w:color="auto"/>
            </w:tcBorders>
            <w:shd w:val="clear" w:color="auto" w:fill="D9D9D9"/>
          </w:tcPr>
          <w:p w14:paraId="68A4E9B9"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No.</w:t>
            </w:r>
          </w:p>
        </w:tc>
        <w:tc>
          <w:tcPr>
            <w:tcW w:w="820" w:type="pct"/>
            <w:tcBorders>
              <w:bottom w:val="single" w:sz="4" w:space="0" w:color="auto"/>
            </w:tcBorders>
            <w:shd w:val="clear" w:color="auto" w:fill="D9D9D9"/>
          </w:tcPr>
          <w:p w14:paraId="19A73C8B"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Subsidiary Performance Indicator Title</w:t>
            </w:r>
          </w:p>
        </w:tc>
        <w:tc>
          <w:tcPr>
            <w:tcW w:w="1229" w:type="pct"/>
            <w:tcBorders>
              <w:bottom w:val="single" w:sz="4" w:space="0" w:color="auto"/>
            </w:tcBorders>
            <w:shd w:val="clear" w:color="auto" w:fill="D9D9D9"/>
          </w:tcPr>
          <w:p w14:paraId="3FCA6E46" w14:textId="77777777" w:rsidR="000731CD" w:rsidRPr="008B2B5B" w:rsidRDefault="000731CD" w:rsidP="009A7CCA">
            <w:pPr>
              <w:pStyle w:val="Table-Text"/>
              <w:rPr>
                <w:rFonts w:ascii="Arial" w:hAnsi="Arial" w:cs="Arial"/>
                <w:b/>
                <w:sz w:val="16"/>
                <w:szCs w:val="16"/>
              </w:rPr>
            </w:pPr>
            <w:r w:rsidRPr="008B2B5B">
              <w:rPr>
                <w:rFonts w:ascii="Arial" w:hAnsi="Arial" w:cs="Arial"/>
                <w:b/>
                <w:sz w:val="16"/>
                <w:szCs w:val="16"/>
              </w:rPr>
              <w:t>Definition</w:t>
            </w:r>
          </w:p>
        </w:tc>
        <w:tc>
          <w:tcPr>
            <w:tcW w:w="657" w:type="pct"/>
            <w:tcBorders>
              <w:bottom w:val="single" w:sz="4" w:space="0" w:color="auto"/>
            </w:tcBorders>
            <w:shd w:val="clear" w:color="auto" w:fill="D9D9D9"/>
          </w:tcPr>
          <w:p w14:paraId="53F53BBC"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Formula</w:t>
            </w:r>
          </w:p>
        </w:tc>
        <w:tc>
          <w:tcPr>
            <w:tcW w:w="983" w:type="pct"/>
            <w:tcBorders>
              <w:bottom w:val="single" w:sz="4" w:space="0" w:color="auto"/>
            </w:tcBorders>
            <w:shd w:val="clear" w:color="auto" w:fill="D9D9D9"/>
          </w:tcPr>
          <w:p w14:paraId="02018001"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A</w:t>
            </w:r>
          </w:p>
        </w:tc>
        <w:tc>
          <w:tcPr>
            <w:tcW w:w="985" w:type="pct"/>
            <w:tcBorders>
              <w:bottom w:val="single" w:sz="4" w:space="0" w:color="auto"/>
            </w:tcBorders>
            <w:shd w:val="clear" w:color="auto" w:fill="D9D9D9"/>
          </w:tcPr>
          <w:p w14:paraId="0E985EA3" w14:textId="77777777" w:rsidR="000731CD" w:rsidRPr="008B2B5B" w:rsidDel="003A0FED" w:rsidRDefault="000731CD" w:rsidP="009A7CCA">
            <w:pPr>
              <w:pStyle w:val="Table-Text"/>
              <w:rPr>
                <w:rFonts w:ascii="Arial" w:hAnsi="Arial" w:cs="Arial"/>
                <w:b/>
                <w:sz w:val="16"/>
                <w:szCs w:val="16"/>
              </w:rPr>
            </w:pPr>
            <w:r w:rsidRPr="008B2B5B">
              <w:rPr>
                <w:rFonts w:ascii="Arial" w:hAnsi="Arial" w:cs="Arial"/>
                <w:b/>
                <w:sz w:val="16"/>
                <w:szCs w:val="16"/>
              </w:rPr>
              <w:t>B</w:t>
            </w:r>
          </w:p>
        </w:tc>
      </w:tr>
      <w:tr w:rsidR="000731CD" w:rsidRPr="008B2B5B" w14:paraId="5B16587A" w14:textId="77777777" w:rsidTr="009A7CCA">
        <w:trPr>
          <w:trHeight w:val="880"/>
        </w:trPr>
        <w:tc>
          <w:tcPr>
            <w:tcW w:w="326" w:type="pct"/>
            <w:tcBorders>
              <w:top w:val="nil"/>
              <w:bottom w:val="single" w:sz="4" w:space="0" w:color="auto"/>
            </w:tcBorders>
          </w:tcPr>
          <w:p w14:paraId="11CA61B1"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1</w:t>
            </w:r>
          </w:p>
        </w:tc>
        <w:tc>
          <w:tcPr>
            <w:tcW w:w="820" w:type="pct"/>
            <w:tcBorders>
              <w:top w:val="nil"/>
              <w:bottom w:val="single" w:sz="4" w:space="0" w:color="auto"/>
            </w:tcBorders>
          </w:tcPr>
          <w:p w14:paraId="1C127A13" w14:textId="77777777" w:rsidR="000731CD" w:rsidRPr="008B2B5B" w:rsidRDefault="000731CD" w:rsidP="009A7CCA">
            <w:pPr>
              <w:pStyle w:val="MarginText"/>
              <w:spacing w:before="120"/>
              <w:rPr>
                <w:rFonts w:cs="Arial"/>
                <w:sz w:val="16"/>
                <w:szCs w:val="16"/>
              </w:rPr>
            </w:pPr>
            <w:r>
              <w:rPr>
                <w:rFonts w:cs="Arial"/>
                <w:sz w:val="16"/>
                <w:szCs w:val="16"/>
              </w:rPr>
              <w:t xml:space="preserve">On Time Timesheet Submission </w:t>
            </w:r>
          </w:p>
        </w:tc>
        <w:tc>
          <w:tcPr>
            <w:tcW w:w="1229" w:type="pct"/>
            <w:tcBorders>
              <w:bottom w:val="single" w:sz="4" w:space="0" w:color="auto"/>
            </w:tcBorders>
          </w:tcPr>
          <w:p w14:paraId="0BE1FC47" w14:textId="77777777" w:rsidR="000731CD" w:rsidRDefault="000731CD" w:rsidP="009A7CCA">
            <w:pPr>
              <w:pStyle w:val="Table-Text"/>
              <w:rPr>
                <w:rFonts w:ascii="Arial" w:hAnsi="Arial" w:cs="Arial"/>
                <w:sz w:val="16"/>
                <w:szCs w:val="16"/>
              </w:rPr>
            </w:pPr>
            <w:r w:rsidRPr="008B2B5B">
              <w:rPr>
                <w:rFonts w:ascii="Arial" w:hAnsi="Arial" w:cs="Arial"/>
                <w:sz w:val="16"/>
                <w:szCs w:val="16"/>
              </w:rPr>
              <w:t>9</w:t>
            </w:r>
            <w:r>
              <w:rPr>
                <w:rFonts w:ascii="Arial" w:hAnsi="Arial" w:cs="Arial"/>
                <w:sz w:val="16"/>
                <w:szCs w:val="16"/>
              </w:rPr>
              <w:t>9</w:t>
            </w:r>
            <w:r w:rsidRPr="008B2B5B">
              <w:rPr>
                <w:rFonts w:ascii="Arial" w:hAnsi="Arial" w:cs="Arial"/>
                <w:sz w:val="16"/>
                <w:szCs w:val="16"/>
              </w:rPr>
              <w:t>% of all timesheets</w:t>
            </w:r>
            <w:r>
              <w:rPr>
                <w:rFonts w:ascii="Arial" w:hAnsi="Arial" w:cs="Arial"/>
                <w:sz w:val="16"/>
                <w:szCs w:val="16"/>
              </w:rPr>
              <w:t xml:space="preserve"> </w:t>
            </w:r>
            <w:r w:rsidRPr="008B2B5B">
              <w:rPr>
                <w:rFonts w:ascii="Arial" w:hAnsi="Arial" w:cs="Arial"/>
                <w:sz w:val="16"/>
                <w:szCs w:val="16"/>
              </w:rPr>
              <w:t xml:space="preserve">detailing all billable work completed </w:t>
            </w:r>
            <w:r>
              <w:rPr>
                <w:rFonts w:ascii="Arial" w:hAnsi="Arial" w:cs="Arial"/>
                <w:sz w:val="16"/>
                <w:szCs w:val="16"/>
              </w:rPr>
              <w:t xml:space="preserve">in the relevant KPI Measurement Period </w:t>
            </w:r>
            <w:r w:rsidRPr="008B2B5B">
              <w:rPr>
                <w:rFonts w:ascii="Arial" w:hAnsi="Arial" w:cs="Arial"/>
                <w:sz w:val="16"/>
                <w:szCs w:val="16"/>
              </w:rPr>
              <w:t xml:space="preserve">are completed and issued </w:t>
            </w:r>
            <w:r>
              <w:rPr>
                <w:rFonts w:ascii="Arial" w:hAnsi="Arial" w:cs="Arial"/>
                <w:sz w:val="16"/>
                <w:szCs w:val="16"/>
              </w:rPr>
              <w:t>to the Customer On Time</w:t>
            </w:r>
          </w:p>
          <w:p w14:paraId="7797ED4E" w14:textId="77777777" w:rsidR="000731CD" w:rsidRPr="008B2B5B" w:rsidRDefault="000731CD" w:rsidP="009A7CCA">
            <w:pPr>
              <w:pStyle w:val="Table-Text"/>
              <w:rPr>
                <w:rFonts w:ascii="Arial" w:hAnsi="Arial" w:cs="Arial"/>
                <w:sz w:val="16"/>
                <w:szCs w:val="16"/>
              </w:rPr>
            </w:pPr>
            <w:r>
              <w:rPr>
                <w:rFonts w:ascii="Arial" w:hAnsi="Arial" w:cs="Arial"/>
                <w:sz w:val="16"/>
                <w:szCs w:val="16"/>
              </w:rPr>
              <w:t xml:space="preserve">Where “On Time” means </w:t>
            </w:r>
            <w:r w:rsidRPr="008B2B5B">
              <w:rPr>
                <w:rFonts w:ascii="Arial" w:hAnsi="Arial" w:cs="Arial"/>
                <w:sz w:val="16"/>
                <w:szCs w:val="16"/>
              </w:rPr>
              <w:t xml:space="preserve">within </w:t>
            </w:r>
            <w:r>
              <w:rPr>
                <w:rFonts w:ascii="Arial" w:hAnsi="Arial" w:cs="Arial"/>
                <w:sz w:val="16"/>
                <w:szCs w:val="16"/>
              </w:rPr>
              <w:t>five (</w:t>
            </w:r>
            <w:r w:rsidRPr="008B2B5B">
              <w:rPr>
                <w:rFonts w:ascii="Arial" w:hAnsi="Arial" w:cs="Arial"/>
                <w:sz w:val="16"/>
                <w:szCs w:val="16"/>
              </w:rPr>
              <w:t>5</w:t>
            </w:r>
            <w:r>
              <w:rPr>
                <w:rFonts w:ascii="Arial" w:hAnsi="Arial" w:cs="Arial"/>
                <w:sz w:val="16"/>
                <w:szCs w:val="16"/>
              </w:rPr>
              <w:t>)</w:t>
            </w:r>
            <w:r w:rsidRPr="008B2B5B">
              <w:rPr>
                <w:rFonts w:ascii="Arial" w:hAnsi="Arial" w:cs="Arial"/>
                <w:sz w:val="16"/>
                <w:szCs w:val="16"/>
              </w:rPr>
              <w:t xml:space="preserve"> </w:t>
            </w:r>
            <w:r>
              <w:rPr>
                <w:rFonts w:ascii="Arial" w:hAnsi="Arial" w:cs="Arial"/>
                <w:sz w:val="16"/>
                <w:szCs w:val="16"/>
              </w:rPr>
              <w:t>W</w:t>
            </w:r>
            <w:r w:rsidRPr="008B2B5B">
              <w:rPr>
                <w:rFonts w:ascii="Arial" w:hAnsi="Arial" w:cs="Arial"/>
                <w:sz w:val="16"/>
                <w:szCs w:val="16"/>
              </w:rPr>
              <w:t xml:space="preserve">orking </w:t>
            </w:r>
            <w:r>
              <w:rPr>
                <w:rFonts w:ascii="Arial" w:hAnsi="Arial" w:cs="Arial"/>
                <w:sz w:val="16"/>
                <w:szCs w:val="16"/>
              </w:rPr>
              <w:t>D</w:t>
            </w:r>
            <w:r w:rsidRPr="008B2B5B">
              <w:rPr>
                <w:rFonts w:ascii="Arial" w:hAnsi="Arial" w:cs="Arial"/>
                <w:sz w:val="16"/>
                <w:szCs w:val="16"/>
              </w:rPr>
              <w:t>ays of</w:t>
            </w:r>
            <w:r>
              <w:rPr>
                <w:rFonts w:ascii="Arial" w:hAnsi="Arial" w:cs="Arial"/>
                <w:sz w:val="16"/>
                <w:szCs w:val="16"/>
              </w:rPr>
              <w:t xml:space="preserve"> the end of the relevant KPI Measurement Period </w:t>
            </w:r>
            <w:r w:rsidRPr="008B2B5B">
              <w:rPr>
                <w:rFonts w:ascii="Arial" w:hAnsi="Arial" w:cs="Arial"/>
                <w:sz w:val="16"/>
                <w:szCs w:val="16"/>
              </w:rPr>
              <w:t xml:space="preserve"> </w:t>
            </w:r>
          </w:p>
        </w:tc>
        <w:tc>
          <w:tcPr>
            <w:tcW w:w="657" w:type="pct"/>
            <w:tcBorders>
              <w:bottom w:val="single" w:sz="4" w:space="0" w:color="auto"/>
            </w:tcBorders>
          </w:tcPr>
          <w:p w14:paraId="1A77CE69"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bottom w:val="single" w:sz="4" w:space="0" w:color="auto"/>
            </w:tcBorders>
          </w:tcPr>
          <w:p w14:paraId="01365C67"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completed timesheets submitted On Time in the relevant KPI Measurement Period</w:t>
            </w:r>
          </w:p>
        </w:tc>
        <w:tc>
          <w:tcPr>
            <w:tcW w:w="985" w:type="pct"/>
            <w:tcBorders>
              <w:bottom w:val="single" w:sz="4" w:space="0" w:color="auto"/>
            </w:tcBorders>
          </w:tcPr>
          <w:p w14:paraId="1D838F1F"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completed timesheets submitted in the relevant KPI Measurement Period</w:t>
            </w:r>
          </w:p>
        </w:tc>
      </w:tr>
      <w:tr w:rsidR="000731CD" w:rsidRPr="008B2B5B" w14:paraId="4028619A" w14:textId="77777777" w:rsidTr="009A7CCA">
        <w:tc>
          <w:tcPr>
            <w:tcW w:w="326" w:type="pct"/>
            <w:tcBorders>
              <w:top w:val="single" w:sz="4" w:space="0" w:color="auto"/>
              <w:bottom w:val="single" w:sz="4" w:space="0" w:color="auto"/>
            </w:tcBorders>
          </w:tcPr>
          <w:p w14:paraId="034D18DA" w14:textId="77777777" w:rsidR="000731CD" w:rsidRPr="008B2B5B" w:rsidRDefault="000731CD" w:rsidP="009A7CCA">
            <w:pPr>
              <w:pStyle w:val="Table-Text"/>
              <w:rPr>
                <w:rFonts w:ascii="Arial" w:hAnsi="Arial" w:cs="Arial"/>
                <w:sz w:val="16"/>
                <w:szCs w:val="16"/>
              </w:rPr>
            </w:pPr>
            <w:r w:rsidRPr="008B2B5B">
              <w:rPr>
                <w:rFonts w:ascii="Arial" w:hAnsi="Arial" w:cs="Arial"/>
                <w:sz w:val="16"/>
                <w:szCs w:val="16"/>
              </w:rPr>
              <w:t>2</w:t>
            </w:r>
          </w:p>
        </w:tc>
        <w:tc>
          <w:tcPr>
            <w:tcW w:w="820" w:type="pct"/>
            <w:tcBorders>
              <w:top w:val="single" w:sz="4" w:space="0" w:color="auto"/>
              <w:bottom w:val="single" w:sz="4" w:space="0" w:color="auto"/>
            </w:tcBorders>
          </w:tcPr>
          <w:p w14:paraId="3FBF1ACB" w14:textId="77777777" w:rsidR="000731CD" w:rsidRPr="008B2B5B" w:rsidRDefault="000731CD" w:rsidP="009A7CCA">
            <w:pPr>
              <w:pStyle w:val="Table-Text"/>
              <w:rPr>
                <w:rFonts w:ascii="Arial" w:hAnsi="Arial" w:cs="Arial"/>
                <w:sz w:val="16"/>
                <w:szCs w:val="16"/>
              </w:rPr>
            </w:pPr>
            <w:r>
              <w:rPr>
                <w:rFonts w:ascii="Arial" w:hAnsi="Arial" w:cs="Arial"/>
                <w:sz w:val="16"/>
                <w:szCs w:val="16"/>
              </w:rPr>
              <w:t>Invoice Accuracy</w:t>
            </w:r>
          </w:p>
        </w:tc>
        <w:tc>
          <w:tcPr>
            <w:tcW w:w="1229" w:type="pct"/>
            <w:tcBorders>
              <w:top w:val="single" w:sz="4" w:space="0" w:color="auto"/>
              <w:bottom w:val="single" w:sz="4" w:space="0" w:color="auto"/>
            </w:tcBorders>
          </w:tcPr>
          <w:p w14:paraId="2173AF0C" w14:textId="77777777" w:rsidR="000731CD" w:rsidRDefault="000731CD" w:rsidP="009A7CCA">
            <w:pPr>
              <w:pStyle w:val="Table-Text"/>
              <w:rPr>
                <w:rFonts w:ascii="Arial" w:hAnsi="Arial" w:cs="Arial"/>
                <w:sz w:val="16"/>
                <w:szCs w:val="16"/>
              </w:rPr>
            </w:pPr>
            <w:r w:rsidRPr="00253A6E">
              <w:rPr>
                <w:rFonts w:ascii="Arial" w:hAnsi="Arial" w:cs="Arial"/>
                <w:sz w:val="16"/>
                <w:szCs w:val="16"/>
              </w:rPr>
              <w:t xml:space="preserve">99% </w:t>
            </w:r>
            <w:r>
              <w:rPr>
                <w:rFonts w:ascii="Arial" w:hAnsi="Arial" w:cs="Arial"/>
                <w:sz w:val="16"/>
                <w:szCs w:val="16"/>
              </w:rPr>
              <w:t>of all invoices submitted to the Customer for payment tin the relevant KPI Measurement Period are Accurate</w:t>
            </w:r>
          </w:p>
          <w:p w14:paraId="6E0F2CE8" w14:textId="77777777" w:rsidR="000731CD" w:rsidRPr="008B2B5B" w:rsidRDefault="000731CD" w:rsidP="009A7CCA">
            <w:pPr>
              <w:pStyle w:val="Table-Text"/>
              <w:rPr>
                <w:rFonts w:ascii="Arial" w:hAnsi="Arial" w:cs="Arial"/>
                <w:sz w:val="16"/>
                <w:szCs w:val="16"/>
              </w:rPr>
            </w:pPr>
            <w:r>
              <w:rPr>
                <w:rFonts w:ascii="Arial" w:hAnsi="Arial" w:cs="Arial"/>
                <w:sz w:val="16"/>
                <w:szCs w:val="16"/>
              </w:rPr>
              <w:t xml:space="preserve">Where “Accurate” means that the amount specified in an invoice fully aligns to the supporting timesheets provided with such invoice(s). </w:t>
            </w:r>
          </w:p>
        </w:tc>
        <w:tc>
          <w:tcPr>
            <w:tcW w:w="657" w:type="pct"/>
            <w:tcBorders>
              <w:top w:val="single" w:sz="4" w:space="0" w:color="auto"/>
              <w:bottom w:val="single" w:sz="4" w:space="0" w:color="auto"/>
            </w:tcBorders>
          </w:tcPr>
          <w:p w14:paraId="573AC068" w14:textId="77777777" w:rsidR="000731CD" w:rsidRPr="008B2B5B" w:rsidRDefault="000731CD" w:rsidP="009A7CCA">
            <w:pPr>
              <w:pStyle w:val="Table-Text"/>
              <w:rPr>
                <w:rFonts w:ascii="Arial" w:hAnsi="Arial" w:cs="Arial"/>
                <w:sz w:val="16"/>
                <w:szCs w:val="16"/>
              </w:rPr>
            </w:pPr>
            <w:r>
              <w:rPr>
                <w:rFonts w:ascii="Arial" w:hAnsi="Arial" w:cs="Arial"/>
                <w:sz w:val="16"/>
                <w:szCs w:val="16"/>
              </w:rPr>
              <w:t>(A/B)x100</w:t>
            </w:r>
          </w:p>
        </w:tc>
        <w:tc>
          <w:tcPr>
            <w:tcW w:w="983" w:type="pct"/>
            <w:tcBorders>
              <w:top w:val="single" w:sz="4" w:space="0" w:color="auto"/>
              <w:bottom w:val="single" w:sz="4" w:space="0" w:color="auto"/>
            </w:tcBorders>
          </w:tcPr>
          <w:p w14:paraId="03F44700" w14:textId="77777777" w:rsidR="000731CD" w:rsidRPr="008B2B5B" w:rsidRDefault="000731CD" w:rsidP="009A7CCA">
            <w:pPr>
              <w:pStyle w:val="Table-Text"/>
              <w:rPr>
                <w:rFonts w:ascii="Arial" w:hAnsi="Arial" w:cs="Arial"/>
                <w:sz w:val="16"/>
                <w:szCs w:val="16"/>
              </w:rPr>
            </w:pPr>
            <w:r>
              <w:rPr>
                <w:rFonts w:ascii="Arial" w:hAnsi="Arial" w:cs="Arial"/>
                <w:sz w:val="16"/>
                <w:szCs w:val="16"/>
              </w:rPr>
              <w:t>Number of Accurate invoices submitted in the relevant KPI Measurement Period</w:t>
            </w:r>
          </w:p>
        </w:tc>
        <w:tc>
          <w:tcPr>
            <w:tcW w:w="985" w:type="pct"/>
            <w:tcBorders>
              <w:top w:val="single" w:sz="4" w:space="0" w:color="auto"/>
              <w:bottom w:val="single" w:sz="4" w:space="0" w:color="auto"/>
            </w:tcBorders>
          </w:tcPr>
          <w:p w14:paraId="4D549015" w14:textId="77777777" w:rsidR="000731CD" w:rsidRPr="008B2B5B" w:rsidRDefault="000731CD" w:rsidP="009A7CCA">
            <w:pPr>
              <w:pStyle w:val="Table-Text"/>
              <w:rPr>
                <w:rFonts w:ascii="Arial" w:hAnsi="Arial" w:cs="Arial"/>
                <w:sz w:val="16"/>
                <w:szCs w:val="16"/>
              </w:rPr>
            </w:pPr>
            <w:r>
              <w:rPr>
                <w:rFonts w:ascii="Arial" w:hAnsi="Arial" w:cs="Arial"/>
                <w:sz w:val="16"/>
                <w:szCs w:val="16"/>
              </w:rPr>
              <w:t>Total number of invoices submitted in the relevant KPI Measurement Period</w:t>
            </w:r>
          </w:p>
        </w:tc>
      </w:tr>
    </w:tbl>
    <w:p w14:paraId="683520F7" w14:textId="77777777" w:rsidR="000731CD" w:rsidRDefault="000731CD" w:rsidP="000731CD">
      <w:pPr>
        <w:rPr>
          <w:sz w:val="20"/>
          <w:szCs w:val="20"/>
        </w:rPr>
      </w:pPr>
    </w:p>
    <w:p w14:paraId="593EA3A2" w14:textId="32F7EEB7" w:rsidR="000731CD" w:rsidRPr="003C4C3D" w:rsidRDefault="000731CD" w:rsidP="006E1393">
      <w:pPr>
        <w:pStyle w:val="ListParagraph"/>
        <w:numPr>
          <w:ilvl w:val="0"/>
          <w:numId w:val="23"/>
        </w:numPr>
        <w:rPr>
          <w:sz w:val="20"/>
          <w:szCs w:val="20"/>
        </w:rPr>
      </w:pPr>
      <w:r w:rsidRPr="003C4C3D">
        <w:rPr>
          <w:sz w:val="20"/>
          <w:szCs w:val="20"/>
        </w:rPr>
        <w:t>The Supplier shall measure performance against the k</w:t>
      </w:r>
      <w:r w:rsidR="00E45282">
        <w:rPr>
          <w:sz w:val="20"/>
          <w:szCs w:val="20"/>
        </w:rPr>
        <w:t xml:space="preserve">ey performance indicators </w:t>
      </w:r>
      <w:r w:rsidR="00E45282" w:rsidRPr="00E45282">
        <w:rPr>
          <w:sz w:val="20"/>
          <w:szCs w:val="20"/>
        </w:rPr>
        <w:t xml:space="preserve">on a </w:t>
      </w:r>
      <w:r w:rsidRPr="00E45282">
        <w:rPr>
          <w:b/>
          <w:bCs/>
          <w:i/>
          <w:iCs/>
          <w:sz w:val="20"/>
          <w:szCs w:val="20"/>
        </w:rPr>
        <w:t>weekly</w:t>
      </w:r>
      <w:r w:rsidRPr="00E45282">
        <w:rPr>
          <w:sz w:val="20"/>
          <w:szCs w:val="20"/>
        </w:rPr>
        <w:t xml:space="preserve"> basis (“</w:t>
      </w:r>
      <w:r w:rsidRPr="00E45282">
        <w:rPr>
          <w:b/>
          <w:bCs/>
          <w:sz w:val="20"/>
          <w:szCs w:val="20"/>
        </w:rPr>
        <w:t>KPI Measurement Period</w:t>
      </w:r>
      <w:r w:rsidR="00E45282" w:rsidRPr="00E45282">
        <w:rPr>
          <w:sz w:val="20"/>
          <w:szCs w:val="20"/>
        </w:rPr>
        <w:t>”). Within 5</w:t>
      </w:r>
      <w:r w:rsidRPr="00E45282">
        <w:rPr>
          <w:sz w:val="20"/>
          <w:szCs w:val="20"/>
        </w:rPr>
        <w:t xml:space="preserve"> W</w:t>
      </w:r>
      <w:r w:rsidR="00E45282" w:rsidRPr="00E45282">
        <w:rPr>
          <w:sz w:val="20"/>
          <w:szCs w:val="20"/>
        </w:rPr>
        <w:t xml:space="preserve">orking Days of the end of each </w:t>
      </w:r>
      <w:r w:rsidR="00E45282" w:rsidRPr="00E45282">
        <w:rPr>
          <w:b/>
          <w:bCs/>
          <w:i/>
          <w:iCs/>
          <w:sz w:val="20"/>
          <w:szCs w:val="20"/>
        </w:rPr>
        <w:t>week</w:t>
      </w:r>
      <w:r w:rsidRPr="00E45282">
        <w:rPr>
          <w:sz w:val="20"/>
          <w:szCs w:val="20"/>
        </w:rPr>
        <w:t xml:space="preserve"> the Supplier shall provide</w:t>
      </w:r>
      <w:bookmarkStart w:id="4" w:name="_Ref36043964"/>
      <w:r w:rsidRPr="00E45282">
        <w:rPr>
          <w:sz w:val="20"/>
          <w:szCs w:val="20"/>
        </w:rPr>
        <w:t xml:space="preserve"> a report to the Customer which summarises the performance by the Supplier</w:t>
      </w:r>
      <w:r w:rsidRPr="003C4C3D">
        <w:rPr>
          <w:sz w:val="20"/>
          <w:szCs w:val="20"/>
        </w:rPr>
        <w:t xml:space="preserve"> against each of the key performance indicators (“</w:t>
      </w:r>
      <w:r w:rsidRPr="003C4C3D">
        <w:rPr>
          <w:b/>
          <w:bCs/>
          <w:sz w:val="20"/>
          <w:szCs w:val="20"/>
        </w:rPr>
        <w:t>KPI Performance Report</w:t>
      </w:r>
      <w:r w:rsidRPr="003C4C3D">
        <w:rPr>
          <w:sz w:val="20"/>
          <w:szCs w:val="20"/>
        </w:rPr>
        <w:t>”).</w:t>
      </w:r>
      <w:r w:rsidRPr="003C4C3D">
        <w:rPr>
          <w:b/>
          <w:bCs/>
          <w:sz w:val="20"/>
          <w:szCs w:val="20"/>
        </w:rPr>
        <w:t xml:space="preserve"> </w:t>
      </w:r>
      <w:bookmarkEnd w:id="4"/>
    </w:p>
    <w:p w14:paraId="53185A03" w14:textId="77777777" w:rsidR="000731CD" w:rsidRPr="003C4C3D" w:rsidRDefault="000731CD" w:rsidP="000731CD">
      <w:pPr>
        <w:pStyle w:val="ListParagraph"/>
        <w:rPr>
          <w:sz w:val="20"/>
          <w:szCs w:val="20"/>
        </w:rPr>
      </w:pPr>
    </w:p>
    <w:p w14:paraId="68420EF6" w14:textId="77777777" w:rsidR="000731CD" w:rsidRPr="000A43DC" w:rsidRDefault="000731CD" w:rsidP="006E1393">
      <w:pPr>
        <w:pStyle w:val="ListParagraph"/>
        <w:numPr>
          <w:ilvl w:val="0"/>
          <w:numId w:val="23"/>
        </w:numPr>
        <w:rPr>
          <w:b/>
          <w:bCs/>
          <w:sz w:val="20"/>
          <w:szCs w:val="20"/>
        </w:rPr>
      </w:pPr>
      <w:r>
        <w:rPr>
          <w:sz w:val="20"/>
          <w:szCs w:val="20"/>
        </w:rPr>
        <w:t>On a weekly basis the Supplier shall, at no additional cost to the Customer, provide a project report to the Customer setting out:</w:t>
      </w:r>
    </w:p>
    <w:p w14:paraId="4944E675" w14:textId="77777777" w:rsidR="000731CD" w:rsidRPr="000A43DC" w:rsidRDefault="000731CD" w:rsidP="000731CD">
      <w:pPr>
        <w:pStyle w:val="ListParagraph"/>
        <w:ind w:left="360"/>
        <w:rPr>
          <w:b/>
          <w:bCs/>
          <w:sz w:val="20"/>
          <w:szCs w:val="20"/>
        </w:rPr>
      </w:pPr>
    </w:p>
    <w:p w14:paraId="7349F057" w14:textId="77777777" w:rsidR="000731CD" w:rsidRPr="000A43DC" w:rsidRDefault="000731CD" w:rsidP="006E1393">
      <w:pPr>
        <w:pStyle w:val="ListParagraph"/>
        <w:numPr>
          <w:ilvl w:val="1"/>
          <w:numId w:val="23"/>
        </w:numPr>
        <w:rPr>
          <w:sz w:val="20"/>
          <w:szCs w:val="20"/>
        </w:rPr>
      </w:pPr>
      <w:r w:rsidRPr="000A43DC">
        <w:rPr>
          <w:sz w:val="20"/>
          <w:szCs w:val="20"/>
        </w:rPr>
        <w:t>a</w:t>
      </w:r>
      <w:r w:rsidRPr="003C4C3D">
        <w:rPr>
          <w:sz w:val="20"/>
          <w:szCs w:val="20"/>
        </w:rPr>
        <w:t xml:space="preserve"> summary of resources utilised: activit</w:t>
      </w:r>
      <w:r w:rsidRPr="000A43DC">
        <w:rPr>
          <w:sz w:val="20"/>
          <w:szCs w:val="20"/>
        </w:rPr>
        <w:t>i</w:t>
      </w:r>
      <w:r w:rsidRPr="003C4C3D">
        <w:rPr>
          <w:sz w:val="20"/>
          <w:szCs w:val="20"/>
        </w:rPr>
        <w:t>es completed and cost assigned</w:t>
      </w:r>
      <w:r w:rsidRPr="000A43DC">
        <w:rPr>
          <w:sz w:val="20"/>
          <w:szCs w:val="20"/>
        </w:rPr>
        <w:t xml:space="preserve"> in the relevant week;</w:t>
      </w:r>
    </w:p>
    <w:p w14:paraId="769631A3" w14:textId="77777777" w:rsidR="000731CD" w:rsidRPr="003C4C3D" w:rsidRDefault="000731CD" w:rsidP="006E1393">
      <w:pPr>
        <w:pStyle w:val="ListParagraph"/>
        <w:numPr>
          <w:ilvl w:val="1"/>
          <w:numId w:val="23"/>
        </w:numPr>
        <w:rPr>
          <w:sz w:val="20"/>
          <w:szCs w:val="20"/>
        </w:rPr>
      </w:pPr>
      <w:r w:rsidRPr="000A43DC">
        <w:rPr>
          <w:sz w:val="20"/>
          <w:szCs w:val="20"/>
        </w:rPr>
        <w:t>a rolling</w:t>
      </w:r>
      <w:r w:rsidRPr="003C4C3D">
        <w:rPr>
          <w:sz w:val="20"/>
          <w:szCs w:val="20"/>
        </w:rPr>
        <w:t xml:space="preserve"> forecast of resources required </w:t>
      </w:r>
      <w:r w:rsidRPr="000A43DC">
        <w:rPr>
          <w:sz w:val="20"/>
          <w:szCs w:val="20"/>
        </w:rPr>
        <w:t>forthcoming</w:t>
      </w:r>
      <w:r w:rsidRPr="003C4C3D">
        <w:rPr>
          <w:sz w:val="20"/>
          <w:szCs w:val="20"/>
        </w:rPr>
        <w:t xml:space="preserve"> 14 day</w:t>
      </w:r>
      <w:r w:rsidRPr="000A43DC">
        <w:rPr>
          <w:sz w:val="20"/>
          <w:szCs w:val="20"/>
        </w:rPr>
        <w:t xml:space="preserve"> period</w:t>
      </w:r>
      <w:r w:rsidRPr="003C4C3D">
        <w:rPr>
          <w:sz w:val="20"/>
          <w:szCs w:val="20"/>
        </w:rPr>
        <w:t xml:space="preserve"> to enable the </w:t>
      </w:r>
      <w:r w:rsidRPr="000A43DC">
        <w:rPr>
          <w:sz w:val="20"/>
          <w:szCs w:val="20"/>
        </w:rPr>
        <w:t>Customer</w:t>
      </w:r>
      <w:r w:rsidRPr="003C4C3D">
        <w:rPr>
          <w:sz w:val="20"/>
          <w:szCs w:val="20"/>
        </w:rPr>
        <w:t xml:space="preserve"> to approve the </w:t>
      </w:r>
      <w:r w:rsidRPr="000A43DC">
        <w:rPr>
          <w:sz w:val="20"/>
          <w:szCs w:val="20"/>
        </w:rPr>
        <w:t xml:space="preserve">anticipated </w:t>
      </w:r>
      <w:r w:rsidRPr="003C4C3D">
        <w:rPr>
          <w:sz w:val="20"/>
          <w:szCs w:val="20"/>
        </w:rPr>
        <w:t>costs</w:t>
      </w:r>
      <w:r>
        <w:rPr>
          <w:sz w:val="20"/>
          <w:szCs w:val="20"/>
        </w:rPr>
        <w:t>;</w:t>
      </w:r>
    </w:p>
    <w:p w14:paraId="7AFB3A1D" w14:textId="77777777" w:rsidR="000731CD" w:rsidRPr="003C4C3D" w:rsidRDefault="000731CD" w:rsidP="006E1393">
      <w:pPr>
        <w:pStyle w:val="ListParagraph"/>
        <w:numPr>
          <w:ilvl w:val="1"/>
          <w:numId w:val="23"/>
        </w:numPr>
        <w:rPr>
          <w:sz w:val="20"/>
          <w:szCs w:val="20"/>
        </w:rPr>
      </w:pPr>
      <w:r w:rsidRPr="003C4C3D">
        <w:rPr>
          <w:sz w:val="20"/>
          <w:szCs w:val="20"/>
        </w:rPr>
        <w:t>all open and closed Actions</w:t>
      </w:r>
      <w:r>
        <w:rPr>
          <w:sz w:val="20"/>
          <w:szCs w:val="20"/>
        </w:rPr>
        <w:t>;</w:t>
      </w:r>
    </w:p>
    <w:p w14:paraId="12F16D23" w14:textId="77777777" w:rsidR="000731CD" w:rsidRDefault="000731CD" w:rsidP="006E1393">
      <w:pPr>
        <w:pStyle w:val="ListParagraph"/>
        <w:numPr>
          <w:ilvl w:val="1"/>
          <w:numId w:val="23"/>
        </w:numPr>
        <w:rPr>
          <w:sz w:val="20"/>
          <w:szCs w:val="20"/>
        </w:rPr>
      </w:pPr>
      <w:r w:rsidRPr="003C4C3D">
        <w:rPr>
          <w:sz w:val="20"/>
          <w:szCs w:val="20"/>
        </w:rPr>
        <w:t>all open and closed Risks and Issues</w:t>
      </w:r>
      <w:r>
        <w:rPr>
          <w:sz w:val="20"/>
          <w:szCs w:val="20"/>
        </w:rPr>
        <w:t>;</w:t>
      </w:r>
    </w:p>
    <w:p w14:paraId="52F4A245" w14:textId="77777777" w:rsidR="000731CD" w:rsidRDefault="000731CD" w:rsidP="006E1393">
      <w:pPr>
        <w:pStyle w:val="ListParagraph"/>
        <w:numPr>
          <w:ilvl w:val="1"/>
          <w:numId w:val="23"/>
        </w:numPr>
        <w:rPr>
          <w:sz w:val="20"/>
          <w:szCs w:val="20"/>
        </w:rPr>
      </w:pPr>
      <w:r>
        <w:rPr>
          <w:sz w:val="20"/>
          <w:szCs w:val="20"/>
        </w:rPr>
        <w:t>Deliverables provided in the relevant week and any Deliverables scheduled to be delivered in that week which have not been delivered and the anticipated date for delivery;</w:t>
      </w:r>
    </w:p>
    <w:p w14:paraId="0E0200A5" w14:textId="77777777" w:rsidR="000731CD" w:rsidRDefault="000731CD" w:rsidP="006E1393">
      <w:pPr>
        <w:pStyle w:val="ListParagraph"/>
        <w:numPr>
          <w:ilvl w:val="1"/>
          <w:numId w:val="23"/>
        </w:numPr>
        <w:rPr>
          <w:sz w:val="20"/>
          <w:szCs w:val="20"/>
        </w:rPr>
      </w:pPr>
      <w:r>
        <w:rPr>
          <w:sz w:val="20"/>
          <w:szCs w:val="20"/>
        </w:rPr>
        <w:t>Milestones achieved in the relevant week and any Milestones scheduled to be achieved in that week which have not been achieved and the anticipated date for achievement;</w:t>
      </w:r>
    </w:p>
    <w:p w14:paraId="7DDF69AB" w14:textId="77777777" w:rsidR="000731CD" w:rsidRDefault="000731CD" w:rsidP="006E1393">
      <w:pPr>
        <w:pStyle w:val="ListParagraph"/>
        <w:numPr>
          <w:ilvl w:val="1"/>
          <w:numId w:val="23"/>
        </w:numPr>
        <w:rPr>
          <w:sz w:val="20"/>
          <w:szCs w:val="20"/>
        </w:rPr>
      </w:pPr>
      <w:r>
        <w:rPr>
          <w:sz w:val="20"/>
          <w:szCs w:val="20"/>
        </w:rPr>
        <w:t xml:space="preserve">any proposed changes to the Project Plan; </w:t>
      </w:r>
    </w:p>
    <w:p w14:paraId="7EE5BA01" w14:textId="77777777" w:rsidR="000731CD" w:rsidRDefault="000731CD" w:rsidP="000731CD">
      <w:pPr>
        <w:pStyle w:val="ListParagraph"/>
        <w:ind w:left="360"/>
        <w:rPr>
          <w:sz w:val="20"/>
          <w:szCs w:val="20"/>
        </w:rPr>
      </w:pPr>
    </w:p>
    <w:p w14:paraId="4E1DC65A" w14:textId="77777777" w:rsidR="000731CD" w:rsidRDefault="000731CD" w:rsidP="000731CD">
      <w:pPr>
        <w:pStyle w:val="ListParagraph"/>
        <w:ind w:left="360"/>
        <w:rPr>
          <w:sz w:val="20"/>
          <w:szCs w:val="20"/>
        </w:rPr>
      </w:pPr>
      <w:r>
        <w:rPr>
          <w:sz w:val="20"/>
          <w:szCs w:val="20"/>
        </w:rPr>
        <w:t>A</w:t>
      </w:r>
      <w:r w:rsidRPr="000A43DC">
        <w:rPr>
          <w:sz w:val="20"/>
          <w:szCs w:val="20"/>
        </w:rPr>
        <w:t xml:space="preserve">ny errors or omissions in the report submissions </w:t>
      </w:r>
      <w:r>
        <w:rPr>
          <w:sz w:val="20"/>
          <w:szCs w:val="20"/>
        </w:rPr>
        <w:t>identified in a report must</w:t>
      </w:r>
      <w:r w:rsidRPr="000A43DC">
        <w:rPr>
          <w:sz w:val="20"/>
          <w:szCs w:val="20"/>
        </w:rPr>
        <w:t xml:space="preserve"> be corrected </w:t>
      </w:r>
      <w:r>
        <w:rPr>
          <w:sz w:val="20"/>
          <w:szCs w:val="20"/>
        </w:rPr>
        <w:t xml:space="preserve">by the Supplier </w:t>
      </w:r>
      <w:r w:rsidRPr="000A43DC">
        <w:rPr>
          <w:sz w:val="20"/>
          <w:szCs w:val="20"/>
        </w:rPr>
        <w:t xml:space="preserve">within five </w:t>
      </w:r>
      <w:r>
        <w:rPr>
          <w:sz w:val="20"/>
          <w:szCs w:val="20"/>
        </w:rPr>
        <w:t>(5) W</w:t>
      </w:r>
      <w:r w:rsidRPr="000A43DC">
        <w:rPr>
          <w:sz w:val="20"/>
          <w:szCs w:val="20"/>
        </w:rPr>
        <w:t xml:space="preserve">orking </w:t>
      </w:r>
      <w:r>
        <w:rPr>
          <w:sz w:val="20"/>
          <w:szCs w:val="20"/>
        </w:rPr>
        <w:t>D</w:t>
      </w:r>
      <w:r w:rsidRPr="000A43DC">
        <w:rPr>
          <w:sz w:val="20"/>
          <w:szCs w:val="20"/>
        </w:rPr>
        <w:t>ays of the error</w:t>
      </w:r>
      <w:r>
        <w:rPr>
          <w:sz w:val="20"/>
          <w:szCs w:val="20"/>
        </w:rPr>
        <w:t>/omission</w:t>
      </w:r>
      <w:r w:rsidRPr="000A43DC">
        <w:rPr>
          <w:sz w:val="20"/>
          <w:szCs w:val="20"/>
        </w:rPr>
        <w:t xml:space="preserve"> being identified.</w:t>
      </w:r>
    </w:p>
    <w:p w14:paraId="674F4CA0" w14:textId="77777777" w:rsidR="000731CD" w:rsidRPr="000A43DC" w:rsidRDefault="000731CD" w:rsidP="000731CD">
      <w:pPr>
        <w:pStyle w:val="ListParagraph"/>
        <w:ind w:left="360"/>
        <w:rPr>
          <w:sz w:val="20"/>
          <w:szCs w:val="20"/>
        </w:rPr>
      </w:pPr>
    </w:p>
    <w:p w14:paraId="683B7F79" w14:textId="77777777" w:rsidR="000731CD" w:rsidRPr="000A43DC" w:rsidRDefault="000731CD" w:rsidP="006E1393">
      <w:pPr>
        <w:pStyle w:val="ListParagraph"/>
        <w:numPr>
          <w:ilvl w:val="0"/>
          <w:numId w:val="23"/>
        </w:numPr>
        <w:rPr>
          <w:sz w:val="20"/>
          <w:szCs w:val="20"/>
        </w:rPr>
      </w:pPr>
      <w:r w:rsidRPr="003C4C3D">
        <w:rPr>
          <w:sz w:val="20"/>
          <w:szCs w:val="20"/>
        </w:rPr>
        <w:t xml:space="preserve">The Supplier shall have processes and systems in place to ensure costs and pricing are managed appropriately during the Call </w:t>
      </w:r>
      <w:proofErr w:type="gramStart"/>
      <w:r w:rsidRPr="003C4C3D">
        <w:rPr>
          <w:sz w:val="20"/>
          <w:szCs w:val="20"/>
        </w:rPr>
        <w:t>Off</w:t>
      </w:r>
      <w:proofErr w:type="gramEnd"/>
      <w:r w:rsidRPr="003C4C3D">
        <w:rPr>
          <w:sz w:val="20"/>
          <w:szCs w:val="20"/>
        </w:rPr>
        <w:t xml:space="preserve"> Contract</w:t>
      </w:r>
      <w:r>
        <w:rPr>
          <w:sz w:val="20"/>
          <w:szCs w:val="20"/>
        </w:rPr>
        <w:t xml:space="preserve"> Term and will </w:t>
      </w:r>
      <w:r w:rsidRPr="003C4C3D">
        <w:rPr>
          <w:sz w:val="20"/>
          <w:szCs w:val="20"/>
        </w:rPr>
        <w:t>ensure that an effective mix of the grades are assigned</w:t>
      </w:r>
      <w:r>
        <w:rPr>
          <w:sz w:val="20"/>
          <w:szCs w:val="20"/>
        </w:rPr>
        <w:t xml:space="preserve"> to a project team</w:t>
      </w:r>
      <w:r w:rsidRPr="003C4C3D">
        <w:rPr>
          <w:sz w:val="20"/>
          <w:szCs w:val="20"/>
        </w:rPr>
        <w:t xml:space="preserve"> and managed during the Call Off Contract </w:t>
      </w:r>
      <w:r>
        <w:rPr>
          <w:sz w:val="20"/>
          <w:szCs w:val="20"/>
        </w:rPr>
        <w:t xml:space="preserve">Term </w:t>
      </w:r>
      <w:r w:rsidRPr="003C4C3D">
        <w:rPr>
          <w:sz w:val="20"/>
          <w:szCs w:val="20"/>
        </w:rPr>
        <w:t xml:space="preserve">to </w:t>
      </w:r>
      <w:r>
        <w:rPr>
          <w:sz w:val="20"/>
          <w:szCs w:val="20"/>
        </w:rPr>
        <w:t>deliver</w:t>
      </w:r>
      <w:r w:rsidRPr="003C4C3D">
        <w:rPr>
          <w:sz w:val="20"/>
          <w:szCs w:val="20"/>
        </w:rPr>
        <w:t xml:space="preserve"> best value for money for the Customer.</w:t>
      </w:r>
    </w:p>
    <w:p w14:paraId="77014388" w14:textId="77777777" w:rsidR="000731CD" w:rsidRPr="000731CD" w:rsidRDefault="000731CD" w:rsidP="000731CD">
      <w:pPr>
        <w:rPr>
          <w:lang w:eastAsia="en-GB"/>
        </w:rPr>
      </w:pPr>
    </w:p>
    <w:sectPr w:rsidR="000731CD" w:rsidRPr="000731CD">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A6A50" w16cid:durableId="23131788"/>
  <w16cid:commentId w16cid:paraId="0257B5AD" w16cid:durableId="23B27986"/>
  <w16cid:commentId w16cid:paraId="63274101" w16cid:durableId="230F02C4"/>
  <w16cid:commentId w16cid:paraId="211673B5" w16cid:durableId="230F034E"/>
  <w16cid:commentId w16cid:paraId="114B3AC6" w16cid:durableId="23131FD2"/>
  <w16cid:commentId w16cid:paraId="709907FA" w16cid:durableId="2312F63A"/>
  <w16cid:commentId w16cid:paraId="3F8CABE3" w16cid:durableId="230F14A9"/>
  <w16cid:commentId w16cid:paraId="15E11F60" w16cid:durableId="23132059"/>
  <w16cid:commentId w16cid:paraId="36ADC93D" w16cid:durableId="231EF060"/>
  <w16cid:commentId w16cid:paraId="330FA5B5" w16cid:durableId="23130513"/>
  <w16cid:commentId w16cid:paraId="414E998F" w16cid:durableId="23134890"/>
  <w16cid:commentId w16cid:paraId="71EA5407" w16cid:durableId="2304FC3C"/>
  <w16cid:commentId w16cid:paraId="55DE09A8" w16cid:durableId="2313490B"/>
  <w16cid:commentId w16cid:paraId="463B6177" w16cid:durableId="23130982"/>
  <w16cid:commentId w16cid:paraId="325EF55D" w16cid:durableId="231309E9"/>
  <w16cid:commentId w16cid:paraId="19FD062C" w16cid:durableId="231C4762"/>
  <w16cid:commentId w16cid:paraId="7282DE02" w16cid:durableId="23130AE6"/>
  <w16cid:commentId w16cid:paraId="3A6AD848" w16cid:durableId="231317C0"/>
  <w16cid:commentId w16cid:paraId="0070374A" w16cid:durableId="2304FC9B"/>
  <w16cid:commentId w16cid:paraId="0C7B8389" w16cid:durableId="23B282B7"/>
  <w16cid:commentId w16cid:paraId="10738257" w16cid:durableId="23B2835A"/>
  <w16cid:commentId w16cid:paraId="18E4576D" w16cid:durableId="23B284CC"/>
  <w16cid:commentId w16cid:paraId="7814E86B" w16cid:durableId="23B28873"/>
  <w16cid:commentId w16cid:paraId="15C93C58" w16cid:durableId="2313189C"/>
  <w16cid:commentId w16cid:paraId="4F2E6851" w16cid:durableId="23B28916"/>
  <w16cid:commentId w16cid:paraId="0536E6CA" w16cid:durableId="231340B6"/>
  <w16cid:commentId w16cid:paraId="59A77999" w16cid:durableId="23B28A52"/>
  <w16cid:commentId w16cid:paraId="2261C885" w16cid:durableId="231C43B4"/>
  <w16cid:commentId w16cid:paraId="67CB99F7" w16cid:durableId="23B28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5824" w14:textId="77777777" w:rsidR="0078134E" w:rsidRDefault="0078134E">
      <w:r>
        <w:separator/>
      </w:r>
    </w:p>
    <w:p w14:paraId="1DF13BA4" w14:textId="77777777" w:rsidR="0078134E" w:rsidRDefault="0078134E"/>
    <w:p w14:paraId="4A89BEE5" w14:textId="77777777" w:rsidR="0078134E" w:rsidRDefault="0078134E"/>
    <w:p w14:paraId="216D3980" w14:textId="77777777" w:rsidR="0078134E" w:rsidRDefault="0078134E"/>
    <w:p w14:paraId="7643A2F6" w14:textId="77777777" w:rsidR="0078134E" w:rsidRDefault="0078134E"/>
  </w:endnote>
  <w:endnote w:type="continuationSeparator" w:id="0">
    <w:p w14:paraId="09E4D7D3" w14:textId="77777777" w:rsidR="0078134E" w:rsidRDefault="0078134E">
      <w:r>
        <w:continuationSeparator/>
      </w:r>
    </w:p>
    <w:p w14:paraId="2B385EAB" w14:textId="77777777" w:rsidR="0078134E" w:rsidRDefault="0078134E"/>
    <w:p w14:paraId="2C94959F" w14:textId="77777777" w:rsidR="0078134E" w:rsidRDefault="0078134E"/>
    <w:p w14:paraId="5B3CC3E2" w14:textId="77777777" w:rsidR="0078134E" w:rsidRDefault="0078134E"/>
    <w:p w14:paraId="4533AE1C" w14:textId="77777777" w:rsidR="0078134E" w:rsidRDefault="0078134E"/>
  </w:endnote>
  <w:endnote w:type="continuationNotice" w:id="1">
    <w:p w14:paraId="4912C79D" w14:textId="77777777" w:rsidR="0078134E" w:rsidRDefault="007813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2D0D68" w:rsidRPr="00D53DEB" w:rsidRDefault="002D0D68"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54FD3511" w14:textId="1C08E563" w:rsidR="002D0D68" w:rsidRDefault="002D0D68" w:rsidP="00054E54">
    <w:pPr>
      <w:pStyle w:val="Footer"/>
      <w:pBdr>
        <w:top w:val="single" w:sz="6" w:space="1" w:color="auto"/>
      </w:pBdr>
      <w:tabs>
        <w:tab w:val="right" w:pos="8647"/>
      </w:tabs>
      <w:ind w:left="0"/>
      <w:rPr>
        <w:sz w:val="16"/>
        <w:szCs w:val="16"/>
      </w:rPr>
    </w:pPr>
    <w:r>
      <w:rPr>
        <w:sz w:val="16"/>
        <w:szCs w:val="16"/>
      </w:rPr>
      <w:t>Framework Schedule 4 – CCCC21A41 Call Off</w:t>
    </w:r>
    <w:r w:rsidRPr="00D53DEB">
      <w:rPr>
        <w:sz w:val="16"/>
        <w:szCs w:val="16"/>
      </w:rPr>
      <w:t xml:space="preserve"> Order Form </w:t>
    </w:r>
  </w:p>
  <w:p w14:paraId="7D3C4483" w14:textId="598F9E9C" w:rsidR="002D0D68" w:rsidRDefault="002D0D68" w:rsidP="00054E54">
    <w:pPr>
      <w:pStyle w:val="Footer"/>
      <w:pBdr>
        <w:top w:val="single" w:sz="6" w:space="1" w:color="auto"/>
      </w:pBdr>
      <w:tabs>
        <w:tab w:val="right" w:pos="8647"/>
      </w:tabs>
      <w:ind w:left="0"/>
      <w:rPr>
        <w:sz w:val="16"/>
        <w:szCs w:val="16"/>
      </w:rPr>
    </w:pPr>
    <w:r>
      <w:rPr>
        <w:sz w:val="16"/>
        <w:szCs w:val="16"/>
      </w:rPr>
      <w:t>© Crown copyright 2018</w:t>
    </w:r>
  </w:p>
  <w:p w14:paraId="08DC505A" w14:textId="24D8D7DE" w:rsidR="002D0D68" w:rsidRPr="00054E54" w:rsidRDefault="002D0D68">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C1452">
      <w:rPr>
        <w:noProof/>
        <w:sz w:val="16"/>
        <w:szCs w:val="16"/>
      </w:rPr>
      <w:t>3</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2D0D68" w:rsidRDefault="002D0D68"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2D0D68" w:rsidRPr="004319D6" w:rsidRDefault="002D0D68"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2D0D68" w:rsidRDefault="002D0D68"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2D0D68" w:rsidRPr="009968DA" w:rsidRDefault="002D0D68"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2D0D68" w:rsidRDefault="002D0D68" w:rsidP="00054E54">
    <w:pPr>
      <w:pStyle w:val="Footer"/>
      <w:pBdr>
        <w:top w:val="single" w:sz="6" w:space="1" w:color="auto"/>
      </w:pBdr>
      <w:tabs>
        <w:tab w:val="right" w:pos="8647"/>
      </w:tabs>
      <w:ind w:left="0"/>
      <w:rPr>
        <w:sz w:val="16"/>
        <w:szCs w:val="16"/>
      </w:rPr>
    </w:pPr>
  </w:p>
  <w:p w14:paraId="73B75459" w14:textId="05C332BD" w:rsidR="002D0D68" w:rsidRPr="00054E54" w:rsidRDefault="002D0D68"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C1452">
      <w:rPr>
        <w:noProof/>
        <w:sz w:val="16"/>
        <w:szCs w:val="16"/>
      </w:rPr>
      <w:t>1</w:t>
    </w:r>
    <w:r w:rsidRPr="00054E54">
      <w:rPr>
        <w:noProof/>
        <w:sz w:val="16"/>
        <w:szCs w:val="16"/>
      </w:rPr>
      <w:fldChar w:fldCharType="end"/>
    </w:r>
  </w:p>
  <w:p w14:paraId="5B2BBFDC" w14:textId="77777777" w:rsidR="002D0D68" w:rsidRDefault="002D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585B" w14:textId="77777777" w:rsidR="0078134E" w:rsidRDefault="0078134E">
      <w:r>
        <w:separator/>
      </w:r>
    </w:p>
  </w:footnote>
  <w:footnote w:type="continuationSeparator" w:id="0">
    <w:p w14:paraId="2E462AF5" w14:textId="77777777" w:rsidR="0078134E" w:rsidRDefault="0078134E">
      <w:r>
        <w:continuationSeparator/>
      </w:r>
    </w:p>
  </w:footnote>
  <w:footnote w:type="continuationNotice" w:id="1">
    <w:p w14:paraId="4CE739D3" w14:textId="77777777" w:rsidR="0078134E" w:rsidRDefault="007813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2D0D68" w:rsidRDefault="002D0D6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2D0D68" w:rsidRDefault="002D0D68"/>
  <w:p w14:paraId="2A494745" w14:textId="77777777" w:rsidR="002D0D68" w:rsidRDefault="002D0D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2D0D68" w:rsidRDefault="002D0D6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15C77"/>
    <w:multiLevelType w:val="hybridMultilevel"/>
    <w:tmpl w:val="FC585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ED19FE"/>
    <w:multiLevelType w:val="hybridMultilevel"/>
    <w:tmpl w:val="C4AA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F540AF"/>
    <w:multiLevelType w:val="hybridMultilevel"/>
    <w:tmpl w:val="9C5E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A2775"/>
    <w:multiLevelType w:val="hybridMultilevel"/>
    <w:tmpl w:val="DE120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0E53C2"/>
    <w:multiLevelType w:val="hybridMultilevel"/>
    <w:tmpl w:val="1EDA0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8624A7"/>
    <w:multiLevelType w:val="hybridMultilevel"/>
    <w:tmpl w:val="C6703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5D012C2C"/>
    <w:multiLevelType w:val="hybridMultilevel"/>
    <w:tmpl w:val="944E07BE"/>
    <w:lvl w:ilvl="0" w:tplc="B0D6A5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761DD1"/>
    <w:multiLevelType w:val="hybridMultilevel"/>
    <w:tmpl w:val="191A5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E4C65"/>
    <w:multiLevelType w:val="hybridMultilevel"/>
    <w:tmpl w:val="1B0AD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B8601E"/>
    <w:multiLevelType w:val="hybridMultilevel"/>
    <w:tmpl w:val="5D4A6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9B152E"/>
    <w:multiLevelType w:val="hybridMultilevel"/>
    <w:tmpl w:val="99BC5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2703FF"/>
    <w:multiLevelType w:val="hybridMultilevel"/>
    <w:tmpl w:val="39DC2CB8"/>
    <w:lvl w:ilvl="0" w:tplc="0809000F">
      <w:start w:val="1"/>
      <w:numFmt w:val="decimal"/>
      <w:lvlText w:val="%1."/>
      <w:lvlJc w:val="left"/>
      <w:pPr>
        <w:ind w:left="360" w:hanging="360"/>
      </w:pPr>
    </w:lvl>
    <w:lvl w:ilvl="1" w:tplc="775C7368">
      <w:numFmt w:val="bullet"/>
      <w:lvlText w:val="•"/>
      <w:lvlJc w:val="left"/>
      <w:pPr>
        <w:ind w:left="1440" w:hanging="720"/>
      </w:pPr>
      <w:rPr>
        <w:rFonts w:ascii="Calibri" w:eastAsia="Calibr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1"/>
  </w:num>
  <w:num w:numId="4">
    <w:abstractNumId w:val="38"/>
  </w:num>
  <w:num w:numId="5">
    <w:abstractNumId w:val="17"/>
  </w:num>
  <w:num w:numId="6">
    <w:abstractNumId w:val="32"/>
  </w:num>
  <w:num w:numId="7">
    <w:abstractNumId w:val="30"/>
  </w:num>
  <w:num w:numId="8">
    <w:abstractNumId w:val="23"/>
  </w:num>
  <w:num w:numId="9">
    <w:abstractNumId w:val="38"/>
  </w:num>
  <w:num w:numId="10">
    <w:abstractNumId w:val="22"/>
  </w:num>
  <w:num w:numId="11">
    <w:abstractNumId w:val="5"/>
  </w:num>
  <w:num w:numId="12">
    <w:abstractNumId w:val="6"/>
  </w:num>
  <w:num w:numId="13">
    <w:abstractNumId w:val="4"/>
  </w:num>
  <w:num w:numId="14">
    <w:abstractNumId w:val="2"/>
  </w:num>
  <w:num w:numId="15">
    <w:abstractNumId w:val="31"/>
  </w:num>
  <w:num w:numId="16">
    <w:abstractNumId w:val="0"/>
  </w:num>
  <w:num w:numId="17">
    <w:abstractNumId w:val="39"/>
  </w:num>
  <w:num w:numId="18">
    <w:abstractNumId w:val="1"/>
  </w:num>
  <w:num w:numId="19">
    <w:abstractNumId w:val="18"/>
  </w:num>
  <w:num w:numId="20">
    <w:abstractNumId w:val="7"/>
  </w:num>
  <w:num w:numId="21">
    <w:abstractNumId w:val="9"/>
  </w:num>
  <w:num w:numId="22">
    <w:abstractNumId w:val="25"/>
  </w:num>
  <w:num w:numId="23">
    <w:abstractNumId w:val="13"/>
  </w:num>
  <w:num w:numId="24">
    <w:abstractNumId w:val="24"/>
  </w:num>
  <w:num w:numId="25">
    <w:abstractNumId w:val="36"/>
  </w:num>
  <w:num w:numId="26">
    <w:abstractNumId w:val="35"/>
  </w:num>
  <w:num w:numId="27">
    <w:abstractNumId w:val="33"/>
  </w:num>
  <w:num w:numId="28">
    <w:abstractNumId w:val="34"/>
  </w:num>
  <w:num w:numId="29">
    <w:abstractNumId w:val="8"/>
  </w:num>
  <w:num w:numId="30">
    <w:abstractNumId w:val="28"/>
  </w:num>
  <w:num w:numId="31">
    <w:abstractNumId w:val="20"/>
  </w:num>
  <w:num w:numId="32">
    <w:abstractNumId w:val="21"/>
  </w:num>
  <w:num w:numId="33">
    <w:abstractNumId w:val="15"/>
  </w:num>
  <w:num w:numId="34">
    <w:abstractNumId w:val="27"/>
  </w:num>
  <w:num w:numId="35">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5252A"/>
    <w:rsid w:val="00054E54"/>
    <w:rsid w:val="00057425"/>
    <w:rsid w:val="000638D8"/>
    <w:rsid w:val="000731CD"/>
    <w:rsid w:val="000D0701"/>
    <w:rsid w:val="000D16E1"/>
    <w:rsid w:val="00100C58"/>
    <w:rsid w:val="00111007"/>
    <w:rsid w:val="0011796B"/>
    <w:rsid w:val="001572E1"/>
    <w:rsid w:val="00172A22"/>
    <w:rsid w:val="0018542B"/>
    <w:rsid w:val="001C4435"/>
    <w:rsid w:val="001C7FAC"/>
    <w:rsid w:val="001D5E87"/>
    <w:rsid w:val="001F6C30"/>
    <w:rsid w:val="002047E1"/>
    <w:rsid w:val="00224F1D"/>
    <w:rsid w:val="0023206B"/>
    <w:rsid w:val="0023253F"/>
    <w:rsid w:val="002440C8"/>
    <w:rsid w:val="00272E8F"/>
    <w:rsid w:val="00273FEE"/>
    <w:rsid w:val="002740F1"/>
    <w:rsid w:val="002A30C1"/>
    <w:rsid w:val="002B00EA"/>
    <w:rsid w:val="002B2D19"/>
    <w:rsid w:val="002C177B"/>
    <w:rsid w:val="002C1A8E"/>
    <w:rsid w:val="002C5A6F"/>
    <w:rsid w:val="002D0D68"/>
    <w:rsid w:val="002F0DD4"/>
    <w:rsid w:val="00306EA9"/>
    <w:rsid w:val="003125B9"/>
    <w:rsid w:val="003228BA"/>
    <w:rsid w:val="00327EA5"/>
    <w:rsid w:val="00340AAB"/>
    <w:rsid w:val="00345F2B"/>
    <w:rsid w:val="00364CA0"/>
    <w:rsid w:val="00397FC8"/>
    <w:rsid w:val="003A1092"/>
    <w:rsid w:val="003A2249"/>
    <w:rsid w:val="003B455E"/>
    <w:rsid w:val="003C22DC"/>
    <w:rsid w:val="003E3877"/>
    <w:rsid w:val="003F3581"/>
    <w:rsid w:val="00405425"/>
    <w:rsid w:val="00430FA9"/>
    <w:rsid w:val="00450387"/>
    <w:rsid w:val="004550BA"/>
    <w:rsid w:val="00457085"/>
    <w:rsid w:val="00471F7C"/>
    <w:rsid w:val="00492B7E"/>
    <w:rsid w:val="004944BE"/>
    <w:rsid w:val="004D4A61"/>
    <w:rsid w:val="004D6F66"/>
    <w:rsid w:val="004E05DC"/>
    <w:rsid w:val="004E0AA8"/>
    <w:rsid w:val="00501C41"/>
    <w:rsid w:val="00537215"/>
    <w:rsid w:val="00542302"/>
    <w:rsid w:val="005C3449"/>
    <w:rsid w:val="005D328A"/>
    <w:rsid w:val="0061276A"/>
    <w:rsid w:val="0061699B"/>
    <w:rsid w:val="00630ACD"/>
    <w:rsid w:val="006311F8"/>
    <w:rsid w:val="00642F6F"/>
    <w:rsid w:val="0065497E"/>
    <w:rsid w:val="006614D5"/>
    <w:rsid w:val="00662BAE"/>
    <w:rsid w:val="00664D82"/>
    <w:rsid w:val="006A0AF3"/>
    <w:rsid w:val="006A6022"/>
    <w:rsid w:val="006B7D2C"/>
    <w:rsid w:val="006E1393"/>
    <w:rsid w:val="006F3D4A"/>
    <w:rsid w:val="00700725"/>
    <w:rsid w:val="00730F3E"/>
    <w:rsid w:val="00753E53"/>
    <w:rsid w:val="00754676"/>
    <w:rsid w:val="00755201"/>
    <w:rsid w:val="00771E0B"/>
    <w:rsid w:val="0078134E"/>
    <w:rsid w:val="0078338B"/>
    <w:rsid w:val="00786287"/>
    <w:rsid w:val="00794C4D"/>
    <w:rsid w:val="007A091B"/>
    <w:rsid w:val="007A1F85"/>
    <w:rsid w:val="007A44A1"/>
    <w:rsid w:val="007A723D"/>
    <w:rsid w:val="007D26F7"/>
    <w:rsid w:val="007E034B"/>
    <w:rsid w:val="007E1DDC"/>
    <w:rsid w:val="00810FF4"/>
    <w:rsid w:val="008153FF"/>
    <w:rsid w:val="00825AD4"/>
    <w:rsid w:val="00830DC0"/>
    <w:rsid w:val="00850E5C"/>
    <w:rsid w:val="00861833"/>
    <w:rsid w:val="008727D1"/>
    <w:rsid w:val="00887A8F"/>
    <w:rsid w:val="008931FF"/>
    <w:rsid w:val="008B389E"/>
    <w:rsid w:val="009036BF"/>
    <w:rsid w:val="0091668D"/>
    <w:rsid w:val="00923AD5"/>
    <w:rsid w:val="009244B7"/>
    <w:rsid w:val="00963FFF"/>
    <w:rsid w:val="00982D63"/>
    <w:rsid w:val="00984D40"/>
    <w:rsid w:val="009968DA"/>
    <w:rsid w:val="00997414"/>
    <w:rsid w:val="009A7CCA"/>
    <w:rsid w:val="009B3CDF"/>
    <w:rsid w:val="009B7BA2"/>
    <w:rsid w:val="009C2129"/>
    <w:rsid w:val="009C2140"/>
    <w:rsid w:val="009D0AB1"/>
    <w:rsid w:val="009E291D"/>
    <w:rsid w:val="009F2E61"/>
    <w:rsid w:val="009F480B"/>
    <w:rsid w:val="00A06B3F"/>
    <w:rsid w:val="00A0744F"/>
    <w:rsid w:val="00A15BBF"/>
    <w:rsid w:val="00A15EF7"/>
    <w:rsid w:val="00A1763C"/>
    <w:rsid w:val="00A17789"/>
    <w:rsid w:val="00A64B35"/>
    <w:rsid w:val="00A65D7D"/>
    <w:rsid w:val="00A75D41"/>
    <w:rsid w:val="00A955D8"/>
    <w:rsid w:val="00AA7DB0"/>
    <w:rsid w:val="00AD5365"/>
    <w:rsid w:val="00B02A10"/>
    <w:rsid w:val="00B34C44"/>
    <w:rsid w:val="00B5520B"/>
    <w:rsid w:val="00B64CAD"/>
    <w:rsid w:val="00B770E2"/>
    <w:rsid w:val="00B82F41"/>
    <w:rsid w:val="00B86992"/>
    <w:rsid w:val="00B91478"/>
    <w:rsid w:val="00BB45CD"/>
    <w:rsid w:val="00BB4A0B"/>
    <w:rsid w:val="00BB7D10"/>
    <w:rsid w:val="00BC2BB3"/>
    <w:rsid w:val="00C17DB9"/>
    <w:rsid w:val="00C24592"/>
    <w:rsid w:val="00C34A30"/>
    <w:rsid w:val="00C912F6"/>
    <w:rsid w:val="00CA1B3D"/>
    <w:rsid w:val="00CA491C"/>
    <w:rsid w:val="00CB44F1"/>
    <w:rsid w:val="00CC1452"/>
    <w:rsid w:val="00CC663B"/>
    <w:rsid w:val="00CD552E"/>
    <w:rsid w:val="00CE21B9"/>
    <w:rsid w:val="00CF4F29"/>
    <w:rsid w:val="00D02199"/>
    <w:rsid w:val="00D2378A"/>
    <w:rsid w:val="00D326AD"/>
    <w:rsid w:val="00D410A1"/>
    <w:rsid w:val="00D4376C"/>
    <w:rsid w:val="00D50C28"/>
    <w:rsid w:val="00D525A1"/>
    <w:rsid w:val="00D53DEB"/>
    <w:rsid w:val="00D61A90"/>
    <w:rsid w:val="00D66440"/>
    <w:rsid w:val="00D758B1"/>
    <w:rsid w:val="00DC2897"/>
    <w:rsid w:val="00DE1860"/>
    <w:rsid w:val="00E11534"/>
    <w:rsid w:val="00E32B8F"/>
    <w:rsid w:val="00E45282"/>
    <w:rsid w:val="00E45F29"/>
    <w:rsid w:val="00E54047"/>
    <w:rsid w:val="00E64C7C"/>
    <w:rsid w:val="00E77CCE"/>
    <w:rsid w:val="00E93D4C"/>
    <w:rsid w:val="00E96586"/>
    <w:rsid w:val="00EA30EB"/>
    <w:rsid w:val="00EF289B"/>
    <w:rsid w:val="00EF348C"/>
    <w:rsid w:val="00F02150"/>
    <w:rsid w:val="00F1780F"/>
    <w:rsid w:val="00F641B6"/>
    <w:rsid w:val="00F65018"/>
    <w:rsid w:val="00F763AE"/>
    <w:rsid w:val="00F770DB"/>
    <w:rsid w:val="00F8600F"/>
    <w:rsid w:val="00FB2B54"/>
    <w:rsid w:val="00FB38C9"/>
    <w:rsid w:val="00FD6D7A"/>
    <w:rsid w:val="00FE0298"/>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ndt.sbs@nhs.net" TargetMode="Externa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91FDE-7F23-45FB-86AA-46008B9F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4348</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28184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2021-02-23T09:59:00Z</dcterms:created>
  <dcterms:modified xsi:type="dcterms:W3CDTF">2021-03-08T15:35:00Z</dcterms:modified>
</cp:coreProperties>
</file>