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4705197"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2C7620">
      <w:pPr>
        <w:pStyle w:val="Covertitle"/>
      </w:pPr>
    </w:p>
    <w:p w14:paraId="412394D9" w14:textId="77777777" w:rsidR="00BA4F54" w:rsidRDefault="00BA4F54" w:rsidP="002C7620">
      <w:pPr>
        <w:pStyle w:val="Covertitle"/>
      </w:pPr>
    </w:p>
    <w:p w14:paraId="0D12115E" w14:textId="77777777" w:rsidR="00BA4F54" w:rsidRDefault="00BA4F54" w:rsidP="002C7620">
      <w:pPr>
        <w:pStyle w:val="Covertitle"/>
      </w:pPr>
    </w:p>
    <w:p w14:paraId="0930F009" w14:textId="77777777" w:rsidR="00BA4F54" w:rsidRDefault="00BA4F54" w:rsidP="002C7620">
      <w:pPr>
        <w:pStyle w:val="Covertitle"/>
      </w:pPr>
    </w:p>
    <w:p w14:paraId="3575352E" w14:textId="77777777" w:rsidR="00BA4F54" w:rsidRDefault="00BA4F54" w:rsidP="002C7620">
      <w:pPr>
        <w:pStyle w:val="Covertitle"/>
      </w:pPr>
    </w:p>
    <w:p w14:paraId="6C85EA1E" w14:textId="667C7EBA" w:rsidR="000D7C5A" w:rsidRPr="007905D0" w:rsidRDefault="00E944DA" w:rsidP="002C7620">
      <w:pPr>
        <w:pStyle w:val="Covertitle"/>
      </w:pPr>
      <w:r>
        <w:t>Economic</w:t>
      </w:r>
      <w:r w:rsidR="00C17B80">
        <w:t xml:space="preserve"> Analysis</w:t>
      </w:r>
      <w:r w:rsidR="00EA6626">
        <w:t xml:space="preserve"> Services Framework</w:t>
      </w:r>
    </w:p>
    <w:p w14:paraId="68737AE1" w14:textId="77777777" w:rsidR="00FF04AE" w:rsidRDefault="00EA6626" w:rsidP="002C7620">
      <w:pPr>
        <w:pStyle w:val="Cover-sub-title"/>
        <w:spacing w:after="240"/>
      </w:pPr>
      <w:r>
        <w:t>Brief</w:t>
      </w:r>
    </w:p>
    <w:p w14:paraId="313DFEDA" w14:textId="77777777" w:rsidR="006B78CE" w:rsidRPr="00EB58B8" w:rsidRDefault="00D219B7" w:rsidP="00EA6626">
      <w:pPr>
        <w:pStyle w:val="Heading2"/>
      </w:pPr>
      <w:r>
        <w:br w:type="page"/>
      </w:r>
      <w:r w:rsidR="00EA6626" w:rsidRPr="00EB58B8">
        <w:lastRenderedPageBreak/>
        <w:t>Introduction</w:t>
      </w:r>
    </w:p>
    <w:p w14:paraId="6DB16EC3" w14:textId="1FAE3872" w:rsidR="00FC1D10" w:rsidRPr="00EB58B8" w:rsidRDefault="00FC1D10" w:rsidP="00FC1D10">
      <w:pPr>
        <w:pStyle w:val="NormalWeb"/>
        <w:numPr>
          <w:ilvl w:val="1"/>
          <w:numId w:val="8"/>
        </w:numPr>
        <w:ind w:left="567" w:hanging="567"/>
        <w:rPr>
          <w:rFonts w:ascii="Arial" w:hAnsi="Arial" w:cs="Arial"/>
          <w:sz w:val="22"/>
          <w:szCs w:val="22"/>
        </w:rPr>
      </w:pPr>
      <w:r w:rsidRPr="00EB58B8">
        <w:rPr>
          <w:rFonts w:ascii="Arial" w:hAnsi="Arial" w:cs="Arial"/>
          <w:sz w:val="22"/>
          <w:szCs w:val="22"/>
        </w:rPr>
        <w:t xml:space="preserve">The Defence Reform Act 2014 established the SSRO as an independent regulator of the UK Government’s procurement of single source military equipment and services. Single source procurement is a procedure in which a purchase is made without competition.  The SSRO is the custodian of the single source procurement framework and has a number of functions under the Act and the Single Source Contract Regulations 2014. </w:t>
      </w:r>
      <w:r w:rsidR="00A765B5">
        <w:rPr>
          <w:rFonts w:ascii="Arial" w:hAnsi="Arial" w:cs="Arial"/>
          <w:sz w:val="22"/>
          <w:szCs w:val="22"/>
        </w:rPr>
        <w:br/>
      </w:r>
    </w:p>
    <w:p w14:paraId="4AF3109F" w14:textId="77777777" w:rsidR="00FC1D10" w:rsidRPr="00EB58B8" w:rsidRDefault="00FC1D10" w:rsidP="00FC1D10">
      <w:pPr>
        <w:pStyle w:val="NormalWeb"/>
        <w:numPr>
          <w:ilvl w:val="1"/>
          <w:numId w:val="8"/>
        </w:numPr>
        <w:ind w:left="567" w:hanging="567"/>
        <w:rPr>
          <w:rFonts w:ascii="Arial" w:hAnsi="Arial" w:cs="Arial"/>
          <w:sz w:val="22"/>
          <w:szCs w:val="22"/>
        </w:rPr>
      </w:pPr>
      <w:r w:rsidRPr="00EB58B8">
        <w:rPr>
          <w:rFonts w:ascii="Arial" w:hAnsi="Arial" w:cs="Arial"/>
          <w:sz w:val="22"/>
          <w:szCs w:val="22"/>
        </w:rPr>
        <w:t xml:space="preserve">The Defence Reform Act and the Single Source Contract Regulations establish a regulatory framework, which includes the following key features – </w:t>
      </w:r>
    </w:p>
    <w:p w14:paraId="69D17F3F" w14:textId="77777777" w:rsidR="00FC1D10" w:rsidRPr="00EB58B8" w:rsidRDefault="00FC1D10" w:rsidP="00FC1D10">
      <w:pPr>
        <w:pStyle w:val="NormalWeb"/>
        <w:numPr>
          <w:ilvl w:val="0"/>
          <w:numId w:val="9"/>
        </w:numPr>
        <w:ind w:left="1134" w:hanging="567"/>
        <w:rPr>
          <w:rFonts w:ascii="Arial" w:hAnsi="Arial" w:cs="Arial"/>
          <w:sz w:val="22"/>
          <w:szCs w:val="22"/>
        </w:rPr>
      </w:pPr>
      <w:r w:rsidRPr="00EB58B8">
        <w:rPr>
          <w:rFonts w:ascii="Arial" w:hAnsi="Arial" w:cs="Arial"/>
          <w:sz w:val="22"/>
          <w:szCs w:val="22"/>
        </w:rPr>
        <w:t xml:space="preserve">The contract price of a qualifying contract is determined by the formula: price = (CPR x AC) + AC, where CPR is the contract profit rate and AC means the allowable costs. The contract profit rate is determined in each case by beginning with a baseline profit rate and making appropriate adjustments as part of a six-step process. The allowable costs are such costs as the parties agree satisfy the test of being appropriate, attributable to the contract and reasonable in the circumstances. </w:t>
      </w:r>
    </w:p>
    <w:p w14:paraId="250B8BC6" w14:textId="77777777" w:rsidR="00FC1D10" w:rsidRPr="00EB58B8" w:rsidRDefault="00FC1D10" w:rsidP="00FC1D10">
      <w:pPr>
        <w:pStyle w:val="NormalWeb"/>
        <w:numPr>
          <w:ilvl w:val="0"/>
          <w:numId w:val="9"/>
        </w:numPr>
        <w:ind w:left="1134" w:hanging="567"/>
        <w:rPr>
          <w:rFonts w:ascii="Arial" w:hAnsi="Arial" w:cs="Arial"/>
          <w:sz w:val="22"/>
          <w:szCs w:val="22"/>
        </w:rPr>
      </w:pPr>
      <w:r w:rsidRPr="00EB58B8">
        <w:rPr>
          <w:rFonts w:ascii="Arial" w:hAnsi="Arial" w:cs="Arial"/>
          <w:sz w:val="22"/>
          <w:szCs w:val="22"/>
        </w:rPr>
        <w:t xml:space="preserve">The SSRO makes an annual assessment of the baseline profit rate and the other rates and adjustments required for determining the contract profit rate. The SSRO issues statutory guidance in relation to determining both the contract profit rate and whether costs are allowable costs. The SSRO adjudicates when requested to do so by parties to qualifying contracts or proposed qualifying contracts; it gives opinions and makes determinations in relation to the contract profit rate and allowable costs and other matters relating to qualifying contracts. </w:t>
      </w:r>
    </w:p>
    <w:p w14:paraId="46FDF662" w14:textId="77777777" w:rsidR="00FC1D10" w:rsidRPr="00EB58B8" w:rsidRDefault="00FC1D10" w:rsidP="00FC1D10">
      <w:pPr>
        <w:pStyle w:val="NormalWeb"/>
        <w:numPr>
          <w:ilvl w:val="0"/>
          <w:numId w:val="9"/>
        </w:numPr>
        <w:ind w:left="1134" w:hanging="567"/>
        <w:rPr>
          <w:rFonts w:ascii="Arial" w:hAnsi="Arial" w:cs="Arial"/>
          <w:sz w:val="22"/>
          <w:szCs w:val="22"/>
        </w:rPr>
      </w:pPr>
      <w:r w:rsidRPr="00EB58B8">
        <w:rPr>
          <w:rFonts w:ascii="Arial" w:hAnsi="Arial" w:cs="Arial"/>
          <w:sz w:val="22"/>
          <w:szCs w:val="22"/>
        </w:rPr>
        <w:t xml:space="preserve">Contractors are required to submit reports to the MOD and the SSRO in relation to qualifying contracts. These reports are required from inception, through the life of the contract and at contract completion. The SSRO maintains a database of the reported information, known as </w:t>
      </w:r>
      <w:proofErr w:type="spellStart"/>
      <w:r w:rsidRPr="00EB58B8">
        <w:rPr>
          <w:rFonts w:ascii="Arial" w:hAnsi="Arial" w:cs="Arial"/>
          <w:sz w:val="22"/>
          <w:szCs w:val="22"/>
        </w:rPr>
        <w:t>DefCARS</w:t>
      </w:r>
      <w:proofErr w:type="spellEnd"/>
      <w:r w:rsidRPr="00EB58B8">
        <w:rPr>
          <w:rFonts w:ascii="Arial" w:hAnsi="Arial" w:cs="Arial"/>
          <w:sz w:val="22"/>
          <w:szCs w:val="22"/>
        </w:rPr>
        <w:t xml:space="preserve">. The suite of information in </w:t>
      </w:r>
      <w:proofErr w:type="spellStart"/>
      <w:r w:rsidRPr="00EB58B8">
        <w:rPr>
          <w:rFonts w:ascii="Arial" w:hAnsi="Arial" w:cs="Arial"/>
          <w:sz w:val="22"/>
          <w:szCs w:val="22"/>
        </w:rPr>
        <w:t>DefCARS</w:t>
      </w:r>
      <w:proofErr w:type="spellEnd"/>
      <w:r w:rsidRPr="00EB58B8">
        <w:rPr>
          <w:rFonts w:ascii="Arial" w:hAnsi="Arial" w:cs="Arial"/>
          <w:sz w:val="22"/>
          <w:szCs w:val="22"/>
        </w:rPr>
        <w:t xml:space="preserve"> may be used to improve the government’s negotiations (e.g. through benchmarking) and for performance management. </w:t>
      </w:r>
    </w:p>
    <w:p w14:paraId="17E1E412" w14:textId="77777777" w:rsidR="00FC1D10" w:rsidRPr="00EB58B8" w:rsidRDefault="00FC1D10" w:rsidP="00FC1D10">
      <w:pPr>
        <w:pStyle w:val="NormalWeb"/>
        <w:numPr>
          <w:ilvl w:val="0"/>
          <w:numId w:val="9"/>
        </w:numPr>
        <w:ind w:left="1134" w:hanging="567"/>
        <w:rPr>
          <w:rFonts w:ascii="Arial" w:hAnsi="Arial" w:cs="Arial"/>
          <w:sz w:val="22"/>
          <w:szCs w:val="22"/>
        </w:rPr>
      </w:pPr>
      <w:r w:rsidRPr="00EB58B8">
        <w:rPr>
          <w:rFonts w:ascii="Arial" w:hAnsi="Arial" w:cs="Arial"/>
          <w:sz w:val="22"/>
          <w:szCs w:val="22"/>
        </w:rPr>
        <w:t xml:space="preserve">The SSRO monitors compliance with reporting requirements and keeps the Act and the Regulations under review. It analyses the information provided and prepares reports, with the goal of improving single source procurement. The SSRO has a programme of value for money studies, designed to support the discharge of its functions, including the formulation of statutory guidance and the ongoing review of the legislation. In carrying out all of its functions, the SSRO aims to ensure value for money for the government and fair prices for contractors. </w:t>
      </w:r>
    </w:p>
    <w:p w14:paraId="4FF7518B" w14:textId="38153FB0" w:rsidR="00FC1D10" w:rsidRPr="00EB58B8" w:rsidRDefault="00FC1D10" w:rsidP="00FC1D10">
      <w:pPr>
        <w:pStyle w:val="NormalWeb"/>
        <w:numPr>
          <w:ilvl w:val="1"/>
          <w:numId w:val="8"/>
        </w:numPr>
        <w:ind w:left="567" w:hanging="567"/>
        <w:rPr>
          <w:rFonts w:ascii="Arial" w:hAnsi="Arial" w:cs="Arial"/>
          <w:sz w:val="22"/>
          <w:szCs w:val="22"/>
        </w:rPr>
      </w:pPr>
      <w:r w:rsidRPr="00EB58B8">
        <w:rPr>
          <w:rFonts w:ascii="Arial" w:hAnsi="Arial" w:cs="Arial"/>
          <w:sz w:val="22"/>
          <w:szCs w:val="22"/>
        </w:rPr>
        <w:t xml:space="preserve">The SSRO expects to require </w:t>
      </w:r>
      <w:r w:rsidR="001D4F70">
        <w:rPr>
          <w:rFonts w:ascii="Arial" w:hAnsi="Arial" w:cs="Arial"/>
          <w:sz w:val="22"/>
          <w:szCs w:val="22"/>
        </w:rPr>
        <w:t>economic analysis,</w:t>
      </w:r>
      <w:r w:rsidRPr="00EB58B8">
        <w:rPr>
          <w:rFonts w:ascii="Arial" w:hAnsi="Arial" w:cs="Arial"/>
          <w:sz w:val="22"/>
          <w:szCs w:val="22"/>
        </w:rPr>
        <w:t xml:space="preserve"> advice and support to ensure the efficient and effective discharge of its functions. This may relate to any of the SSRO’s functions where elements of specialised knowledge and skills are required, including independent views and assessment of the credibility of analysis. It is considered this may be particularly important in respect of the following: </w:t>
      </w:r>
    </w:p>
    <w:p w14:paraId="5E001484" w14:textId="77777777" w:rsidR="00FC1D10" w:rsidRPr="00EB58B8" w:rsidRDefault="00FC1D10" w:rsidP="00FC1D10">
      <w:pPr>
        <w:pStyle w:val="NormalWeb"/>
        <w:numPr>
          <w:ilvl w:val="0"/>
          <w:numId w:val="10"/>
        </w:numPr>
        <w:rPr>
          <w:rFonts w:ascii="Arial" w:hAnsi="Arial" w:cs="Arial"/>
          <w:sz w:val="22"/>
          <w:szCs w:val="22"/>
        </w:rPr>
      </w:pPr>
      <w:r w:rsidRPr="00EB58B8">
        <w:rPr>
          <w:rFonts w:ascii="Arial" w:hAnsi="Arial" w:cs="Arial"/>
          <w:sz w:val="22"/>
          <w:szCs w:val="22"/>
        </w:rPr>
        <w:t xml:space="preserve">assessment of the appropriate baseline profit, capital servicing rates and SSRO funding adjustment used to calculate the contract profit rate, </w:t>
      </w:r>
    </w:p>
    <w:p w14:paraId="441FEFAF" w14:textId="77777777" w:rsidR="00FC1D10" w:rsidRPr="00EB58B8" w:rsidRDefault="00FC1D10" w:rsidP="00FC1D10">
      <w:pPr>
        <w:pStyle w:val="NormalWeb"/>
        <w:numPr>
          <w:ilvl w:val="0"/>
          <w:numId w:val="10"/>
        </w:numPr>
        <w:rPr>
          <w:rFonts w:ascii="Arial" w:hAnsi="Arial" w:cs="Arial"/>
          <w:sz w:val="22"/>
          <w:szCs w:val="22"/>
        </w:rPr>
      </w:pPr>
      <w:r w:rsidRPr="00EB58B8">
        <w:rPr>
          <w:rFonts w:ascii="Arial" w:hAnsi="Arial" w:cs="Arial"/>
          <w:sz w:val="22"/>
          <w:szCs w:val="22"/>
        </w:rPr>
        <w:t xml:space="preserve">opinions or determinations on matters related to qualifying defence contracts, and  </w:t>
      </w:r>
    </w:p>
    <w:p w14:paraId="183ADD5A" w14:textId="77777777" w:rsidR="00FC1D10" w:rsidRPr="001D3AC1" w:rsidRDefault="00FC1D10" w:rsidP="00FC1D10">
      <w:pPr>
        <w:pStyle w:val="NormalWeb"/>
        <w:numPr>
          <w:ilvl w:val="0"/>
          <w:numId w:val="10"/>
        </w:numPr>
        <w:rPr>
          <w:rFonts w:ascii="Arial" w:hAnsi="Arial" w:cs="Arial"/>
          <w:sz w:val="22"/>
          <w:szCs w:val="22"/>
        </w:rPr>
      </w:pPr>
      <w:proofErr w:type="gramStart"/>
      <w:r w:rsidRPr="00EB58B8">
        <w:rPr>
          <w:rFonts w:ascii="Arial" w:hAnsi="Arial" w:cs="Arial"/>
          <w:sz w:val="22"/>
          <w:szCs w:val="22"/>
        </w:rPr>
        <w:t>analysis</w:t>
      </w:r>
      <w:proofErr w:type="gramEnd"/>
      <w:r w:rsidRPr="00EB58B8">
        <w:rPr>
          <w:rFonts w:ascii="Arial" w:hAnsi="Arial" w:cs="Arial"/>
          <w:sz w:val="22"/>
          <w:szCs w:val="22"/>
        </w:rPr>
        <w:t xml:space="preserve"> of information</w:t>
      </w:r>
      <w:r w:rsidRPr="001D3AC1">
        <w:rPr>
          <w:rFonts w:ascii="Arial" w:hAnsi="Arial" w:cs="Arial"/>
          <w:sz w:val="22"/>
          <w:szCs w:val="22"/>
        </w:rPr>
        <w:t xml:space="preserve">, conduct of value for money studies and preparation of reports. </w:t>
      </w:r>
    </w:p>
    <w:p w14:paraId="3266C75D" w14:textId="2A933A61" w:rsidR="00E6609E" w:rsidRPr="001D3AC1" w:rsidRDefault="00C153E5" w:rsidP="00C153E5">
      <w:pPr>
        <w:pStyle w:val="Heading2"/>
      </w:pPr>
      <w:r w:rsidRPr="001D3AC1">
        <w:t>The Services</w:t>
      </w:r>
    </w:p>
    <w:p w14:paraId="643E92D7" w14:textId="3CA6B09B" w:rsidR="00674A49" w:rsidRPr="001D3AC1" w:rsidRDefault="00FC1D10" w:rsidP="00674A49">
      <w:pPr>
        <w:pStyle w:val="Textnumbered"/>
      </w:pPr>
      <w:r w:rsidRPr="001D3AC1">
        <w:t>The SSRO expects it may</w:t>
      </w:r>
      <w:r w:rsidR="00C153E5" w:rsidRPr="001D3AC1">
        <w:t xml:space="preserve"> require </w:t>
      </w:r>
      <w:r w:rsidR="001D3AC1" w:rsidRPr="001D3AC1">
        <w:t>economic</w:t>
      </w:r>
      <w:r w:rsidR="009F63B0">
        <w:t xml:space="preserve"> advice and</w:t>
      </w:r>
      <w:r w:rsidR="00C17B80" w:rsidRPr="001D3AC1">
        <w:t xml:space="preserve"> analysis </w:t>
      </w:r>
      <w:r w:rsidRPr="001D3AC1">
        <w:t>services in</w:t>
      </w:r>
      <w:r w:rsidR="00C153E5" w:rsidRPr="001D3AC1">
        <w:t xml:space="preserve"> support </w:t>
      </w:r>
      <w:r w:rsidRPr="001D3AC1">
        <w:t xml:space="preserve">of </w:t>
      </w:r>
      <w:r w:rsidR="00C153E5" w:rsidRPr="001D3AC1">
        <w:t>delivery of its statutory functions</w:t>
      </w:r>
      <w:r w:rsidR="00460C7F">
        <w:t>.</w:t>
      </w:r>
    </w:p>
    <w:p w14:paraId="4702D661" w14:textId="3157BF3F" w:rsidR="00C17B80" w:rsidRPr="001D3AC1" w:rsidRDefault="001D3AC1" w:rsidP="00C17B80">
      <w:pPr>
        <w:pStyle w:val="Textnumbered"/>
      </w:pPr>
      <w:r w:rsidRPr="001D3AC1">
        <w:rPr>
          <w:lang w:val="en"/>
        </w:rPr>
        <w:lastRenderedPageBreak/>
        <w:t>Economic</w:t>
      </w:r>
      <w:r w:rsidR="00FC1D10" w:rsidRPr="001D3AC1">
        <w:rPr>
          <w:lang w:val="en"/>
        </w:rPr>
        <w:t xml:space="preserve"> analysis services will include providing strategic advice and analysis to the SSRO. Some of the services </w:t>
      </w:r>
      <w:r w:rsidR="00FC1D10" w:rsidRPr="001D4F70">
        <w:rPr>
          <w:lang w:val="en"/>
        </w:rPr>
        <w:t>will require significant knowledge</w:t>
      </w:r>
      <w:r w:rsidR="00FC1D10" w:rsidRPr="001D3AC1">
        <w:rPr>
          <w:lang w:val="en"/>
        </w:rPr>
        <w:t xml:space="preserve"> of the </w:t>
      </w:r>
      <w:proofErr w:type="spellStart"/>
      <w:r w:rsidR="00FC1D10" w:rsidRPr="001D3AC1">
        <w:rPr>
          <w:lang w:val="en"/>
        </w:rPr>
        <w:t>defence</w:t>
      </w:r>
      <w:proofErr w:type="spellEnd"/>
      <w:r w:rsidR="00FC1D10" w:rsidRPr="001D3AC1">
        <w:rPr>
          <w:lang w:val="en"/>
        </w:rPr>
        <w:t xml:space="preserve"> industry, both in the UK and worldwide. Areas of support and advice required may include:</w:t>
      </w:r>
    </w:p>
    <w:p w14:paraId="69A3BA91" w14:textId="6A162535" w:rsidR="004E0A76" w:rsidRPr="00721B97" w:rsidRDefault="00FE04EA" w:rsidP="004E0A76">
      <w:pPr>
        <w:pStyle w:val="Textnumbered"/>
        <w:numPr>
          <w:ilvl w:val="4"/>
          <w:numId w:val="3"/>
        </w:numPr>
      </w:pPr>
      <w:r>
        <w:rPr>
          <w:rFonts w:cs="Arial"/>
          <w:szCs w:val="22"/>
        </w:rPr>
        <w:t>e</w:t>
      </w:r>
      <w:r w:rsidR="004E0A76" w:rsidRPr="00721B97">
        <w:rPr>
          <w:rFonts w:cs="Arial"/>
          <w:szCs w:val="22"/>
        </w:rPr>
        <w:t>conomic analysis, including but not limited to the development of complex economic models and interrogating established models; understanding and assess</w:t>
      </w:r>
      <w:r>
        <w:rPr>
          <w:rFonts w:cs="Arial"/>
          <w:szCs w:val="22"/>
        </w:rPr>
        <w:t xml:space="preserve">ing </w:t>
      </w:r>
      <w:r w:rsidR="004E0A76" w:rsidRPr="00721B97">
        <w:t>risk confidence levels</w:t>
      </w:r>
      <w:r w:rsidR="004E0A76" w:rsidRPr="00721B97">
        <w:rPr>
          <w:rFonts w:cs="Arial"/>
          <w:szCs w:val="22"/>
        </w:rPr>
        <w:t>;</w:t>
      </w:r>
    </w:p>
    <w:p w14:paraId="49394862" w14:textId="4C455EE9" w:rsidR="004E0A76" w:rsidRPr="00721B97" w:rsidRDefault="00FE04EA" w:rsidP="004E0A76">
      <w:pPr>
        <w:pStyle w:val="Textnumbered"/>
        <w:numPr>
          <w:ilvl w:val="4"/>
          <w:numId w:val="3"/>
        </w:numPr>
      </w:pPr>
      <w:r>
        <w:t>k</w:t>
      </w:r>
      <w:r w:rsidR="004E0A76" w:rsidRPr="00721B97">
        <w:t xml:space="preserve">nowledge of and access to best practices; </w:t>
      </w:r>
    </w:p>
    <w:p w14:paraId="359AAD2C" w14:textId="4CE46EED" w:rsidR="004E0A76" w:rsidRPr="00721B97" w:rsidRDefault="00FE04EA" w:rsidP="004E0A76">
      <w:pPr>
        <w:pStyle w:val="Textnumbered"/>
        <w:numPr>
          <w:ilvl w:val="4"/>
          <w:numId w:val="3"/>
        </w:numPr>
      </w:pPr>
      <w:proofErr w:type="gramStart"/>
      <w:r>
        <w:t>s</w:t>
      </w:r>
      <w:r w:rsidR="004E0A76" w:rsidRPr="00721B97">
        <w:t>upporting</w:t>
      </w:r>
      <w:proofErr w:type="gramEnd"/>
      <w:r w:rsidR="004E0A76" w:rsidRPr="00721B97">
        <w:t xml:space="preserve"> regulatory investigation and compliance work in order to deliver successful outcomes in accordance with prescribed deadlines.</w:t>
      </w:r>
    </w:p>
    <w:p w14:paraId="09F23519" w14:textId="0E3DC61E" w:rsidR="004E0A76" w:rsidRPr="00721B97" w:rsidRDefault="00FE04EA" w:rsidP="004E0A76">
      <w:pPr>
        <w:pStyle w:val="Textnumbered"/>
        <w:numPr>
          <w:ilvl w:val="4"/>
          <w:numId w:val="3"/>
        </w:numPr>
      </w:pPr>
      <w:proofErr w:type="gramStart"/>
      <w:r>
        <w:t>u</w:t>
      </w:r>
      <w:r w:rsidR="004E0A76" w:rsidRPr="00721B97">
        <w:t>nderstanding</w:t>
      </w:r>
      <w:proofErr w:type="gramEnd"/>
      <w:r w:rsidR="004E0A76" w:rsidRPr="00721B97">
        <w:t xml:space="preserve"> of the Single Source Regulatory Framework, including the SSRO’s statutory guidance on </w:t>
      </w:r>
      <w:r>
        <w:t xml:space="preserve">the </w:t>
      </w:r>
      <w:r w:rsidR="004E0A76" w:rsidRPr="00721B97">
        <w:t xml:space="preserve">Contract Profit Rate and on </w:t>
      </w:r>
      <w:r>
        <w:t>the Single Source Cost Standards</w:t>
      </w:r>
      <w:r w:rsidR="004E0A76" w:rsidRPr="00721B97">
        <w:t xml:space="preserve">. </w:t>
      </w:r>
    </w:p>
    <w:p w14:paraId="78397598" w14:textId="77777777" w:rsidR="00C17B80" w:rsidRPr="000C38F4" w:rsidRDefault="00C17B80" w:rsidP="00C17B80">
      <w:pPr>
        <w:rPr>
          <w:highlight w:val="yellow"/>
        </w:rPr>
      </w:pPr>
    </w:p>
    <w:p w14:paraId="06010770" w14:textId="5E4D2299" w:rsidR="00C153E5" w:rsidRPr="004E0A76" w:rsidRDefault="00C153E5" w:rsidP="002D0B89">
      <w:pPr>
        <w:pStyle w:val="Textnumbered"/>
        <w:tabs>
          <w:tab w:val="clear" w:pos="567"/>
        </w:tabs>
        <w:ind w:left="720" w:hanging="720"/>
      </w:pPr>
      <w:r w:rsidRPr="004E0A76">
        <w:t>The estimated total value of the services which the SSRO may require is</w:t>
      </w:r>
      <w:r w:rsidR="00B55F17" w:rsidRPr="004E0A76">
        <w:t xml:space="preserve"> likely to be in the </w:t>
      </w:r>
      <w:r w:rsidR="00B55F17" w:rsidRPr="001D4F70">
        <w:t>order of</w:t>
      </w:r>
      <w:r w:rsidRPr="001D4F70">
        <w:t xml:space="preserve"> £</w:t>
      </w:r>
      <w:r w:rsidR="00FE04EA">
        <w:t>90,000</w:t>
      </w:r>
      <w:r w:rsidR="00627057" w:rsidRPr="001D4F70">
        <w:t xml:space="preserve"> over</w:t>
      </w:r>
      <w:r w:rsidR="00627057" w:rsidRPr="004E0A76">
        <w:t xml:space="preserve"> the</w:t>
      </w:r>
      <w:r w:rsidR="00FE04EA">
        <w:t xml:space="preserve"> 18 month</w:t>
      </w:r>
      <w:r w:rsidR="00627057" w:rsidRPr="004E0A76">
        <w:t xml:space="preserve"> period of the Agreement</w:t>
      </w:r>
      <w:r w:rsidRPr="004E0A76">
        <w:t>.</w:t>
      </w:r>
    </w:p>
    <w:p w14:paraId="60C3A68A" w14:textId="78F23DBB" w:rsidR="00AF742E" w:rsidRPr="004E0A76" w:rsidRDefault="002B1483" w:rsidP="002D0B89">
      <w:pPr>
        <w:pStyle w:val="Textnumbered"/>
        <w:tabs>
          <w:tab w:val="clear" w:pos="567"/>
        </w:tabs>
        <w:ind w:left="720" w:hanging="720"/>
      </w:pPr>
      <w:r w:rsidRPr="004E0A76">
        <w:t xml:space="preserve">The SSRO </w:t>
      </w:r>
      <w:r w:rsidR="00B55F17" w:rsidRPr="004E0A76">
        <w:t>requires</w:t>
      </w:r>
      <w:r w:rsidRPr="004E0A76">
        <w:t xml:space="preserve"> services which deli</w:t>
      </w:r>
      <w:r w:rsidR="00AF742E" w:rsidRPr="004E0A76">
        <w:t>ver</w:t>
      </w:r>
      <w:r w:rsidRPr="004E0A76">
        <w:t xml:space="preserve"> value for money, having regard to a combination of economy, </w:t>
      </w:r>
      <w:r w:rsidR="00AF742E" w:rsidRPr="004E0A76">
        <w:t>effectiveness and efficiency.</w:t>
      </w:r>
    </w:p>
    <w:p w14:paraId="2C984722" w14:textId="429DEE76" w:rsidR="002B1483" w:rsidRPr="004E0A76" w:rsidRDefault="00AF742E" w:rsidP="002D0B89">
      <w:pPr>
        <w:pStyle w:val="Textnumbered"/>
        <w:tabs>
          <w:tab w:val="clear" w:pos="567"/>
        </w:tabs>
        <w:ind w:left="720" w:hanging="720"/>
      </w:pPr>
      <w:r w:rsidRPr="004E0A76">
        <w:t>The t</w:t>
      </w:r>
      <w:r w:rsidR="002B1483" w:rsidRPr="004E0A76">
        <w:t>imeliness</w:t>
      </w:r>
      <w:r w:rsidRPr="004E0A76">
        <w:t xml:space="preserve"> of services</w:t>
      </w:r>
      <w:r w:rsidR="002B1483" w:rsidRPr="004E0A76">
        <w:t xml:space="preserve"> is a particular </w:t>
      </w:r>
      <w:r w:rsidR="00B55F17" w:rsidRPr="004E0A76">
        <w:t>challenge</w:t>
      </w:r>
      <w:r w:rsidR="002B1483" w:rsidRPr="004E0A76">
        <w:t xml:space="preserve">, as the SSRO expects to deliver its functions to exacting timescales and may frequently require rapid responses </w:t>
      </w:r>
      <w:r w:rsidR="00B55F17" w:rsidRPr="004E0A76">
        <w:t>at</w:t>
      </w:r>
      <w:r w:rsidR="002B1483" w:rsidRPr="004E0A76">
        <w:t xml:space="preserve"> short notice.</w:t>
      </w:r>
    </w:p>
    <w:p w14:paraId="482E6613" w14:textId="1280D62F" w:rsidR="00AF742E" w:rsidRPr="004E0A76" w:rsidRDefault="00AF742E" w:rsidP="002D0B89">
      <w:pPr>
        <w:pStyle w:val="Textnumbered"/>
        <w:tabs>
          <w:tab w:val="clear" w:pos="567"/>
        </w:tabs>
        <w:ind w:left="720" w:hanging="720"/>
      </w:pPr>
      <w:r w:rsidRPr="004E0A76">
        <w:t xml:space="preserve">Consistent with the SSRO’s objective of achieving value for money, it is interested in any value-added services which the Contractor </w:t>
      </w:r>
      <w:r w:rsidR="00B55F17" w:rsidRPr="004E0A76">
        <w:t>is able to</w:t>
      </w:r>
      <w:r w:rsidRPr="004E0A76">
        <w:t xml:space="preserve"> provide.</w:t>
      </w:r>
    </w:p>
    <w:p w14:paraId="3C191DA6" w14:textId="424F4826" w:rsidR="00C153E5" w:rsidRPr="000C38F4" w:rsidRDefault="002D0B89" w:rsidP="002D0B89">
      <w:pPr>
        <w:pStyle w:val="Heading2"/>
      </w:pPr>
      <w:r w:rsidRPr="000C38F4">
        <w:t>Number of providers</w:t>
      </w:r>
    </w:p>
    <w:p w14:paraId="375D19D6" w14:textId="2B9A8EF3" w:rsidR="002D0B89" w:rsidRPr="000C38F4" w:rsidRDefault="002D0B89" w:rsidP="002D0B89">
      <w:pPr>
        <w:pStyle w:val="Textnumbered"/>
        <w:tabs>
          <w:tab w:val="clear" w:pos="567"/>
        </w:tabs>
        <w:ind w:left="720" w:hanging="720"/>
      </w:pPr>
      <w:r w:rsidRPr="000C38F4">
        <w:t xml:space="preserve">The SSRO </w:t>
      </w:r>
      <w:r w:rsidR="00B55F17" w:rsidRPr="000C38F4">
        <w:t xml:space="preserve">is creating </w:t>
      </w:r>
      <w:r w:rsidRPr="000C38F4">
        <w:t xml:space="preserve">a framework with </w:t>
      </w:r>
      <w:r w:rsidR="00627057" w:rsidRPr="000C38F4">
        <w:t>one or more contractors</w:t>
      </w:r>
      <w:r w:rsidRPr="000C38F4">
        <w:t>.</w:t>
      </w:r>
      <w:r w:rsidR="00627057" w:rsidRPr="000C38F4">
        <w:t xml:space="preserve">  It is expected that the number of c</w:t>
      </w:r>
      <w:r w:rsidR="000C38F4" w:rsidRPr="000C38F4">
        <w:t>ontractors would not exceed three</w:t>
      </w:r>
      <w:r w:rsidR="00627057" w:rsidRPr="000C38F4">
        <w:t>, although t</w:t>
      </w:r>
      <w:r w:rsidRPr="000C38F4">
        <w:t xml:space="preserve">he ultimate number of firms selected </w:t>
      </w:r>
      <w:r w:rsidR="00B55F17" w:rsidRPr="000C38F4">
        <w:t xml:space="preserve">to the framework </w:t>
      </w:r>
      <w:r w:rsidRPr="000C38F4">
        <w:t>will be at the sole discretion of the SSRO.</w:t>
      </w:r>
    </w:p>
    <w:p w14:paraId="51BAC633" w14:textId="7873B518" w:rsidR="002D0B89" w:rsidRPr="000C38F4" w:rsidRDefault="00CF2591" w:rsidP="00CF2591">
      <w:pPr>
        <w:pStyle w:val="Heading2"/>
      </w:pPr>
      <w:r w:rsidRPr="000C38F4">
        <w:t>Relationship</w:t>
      </w:r>
    </w:p>
    <w:p w14:paraId="41230B42" w14:textId="18FF6365" w:rsidR="00CF2591" w:rsidRPr="000C38F4" w:rsidRDefault="00CF2591" w:rsidP="00CF2591">
      <w:pPr>
        <w:pStyle w:val="Textnumbered"/>
        <w:tabs>
          <w:tab w:val="clear" w:pos="567"/>
        </w:tabs>
        <w:ind w:left="720" w:hanging="720"/>
      </w:pPr>
      <w:r w:rsidRPr="000C38F4">
        <w:t xml:space="preserve">The SSRO considers the relationship between the Contractor and the SSRO to be key to delivery of services which </w:t>
      </w:r>
      <w:r w:rsidR="00AF742E" w:rsidRPr="000C38F4">
        <w:t xml:space="preserve">economically, </w:t>
      </w:r>
      <w:r w:rsidRPr="000C38F4">
        <w:t>effectively and efficiently support delivery of the SSRO’</w:t>
      </w:r>
      <w:r w:rsidR="002E7D0B" w:rsidRPr="000C38F4">
        <w:t>s functions.</w:t>
      </w:r>
    </w:p>
    <w:p w14:paraId="7B7BA080" w14:textId="2AACC48F" w:rsidR="002E7D0B" w:rsidRPr="000C38F4" w:rsidRDefault="002E7D0B" w:rsidP="00CF2591">
      <w:pPr>
        <w:pStyle w:val="Textnumbered"/>
        <w:tabs>
          <w:tab w:val="clear" w:pos="567"/>
        </w:tabs>
        <w:ind w:left="720" w:hanging="720"/>
      </w:pPr>
      <w:r w:rsidRPr="000C38F4">
        <w:t>The Contractor must nominate a relationship partner whose role it will be to –</w:t>
      </w:r>
    </w:p>
    <w:p w14:paraId="5F5FC905" w14:textId="77777777" w:rsidR="00490B3F" w:rsidRPr="000C38F4" w:rsidRDefault="00490B3F" w:rsidP="00490B3F">
      <w:pPr>
        <w:pStyle w:val="Textnumbered"/>
        <w:numPr>
          <w:ilvl w:val="2"/>
          <w:numId w:val="11"/>
        </w:numPr>
      </w:pPr>
      <w:r w:rsidRPr="000C38F4">
        <w:t>manage the relationship between the contractor and the SSRO on a day to day basis;</w:t>
      </w:r>
    </w:p>
    <w:p w14:paraId="78AFA8C5" w14:textId="77777777" w:rsidR="00490B3F" w:rsidRPr="000C38F4" w:rsidRDefault="00490B3F" w:rsidP="00490B3F">
      <w:pPr>
        <w:pStyle w:val="Textnumbered"/>
        <w:numPr>
          <w:ilvl w:val="2"/>
          <w:numId w:val="11"/>
        </w:numPr>
      </w:pPr>
      <w:r w:rsidRPr="000C38F4">
        <w:t>be the primary point of contact for the SSRO;</w:t>
      </w:r>
    </w:p>
    <w:p w14:paraId="05EA733F" w14:textId="77777777" w:rsidR="00490B3F" w:rsidRPr="000C38F4" w:rsidRDefault="00490B3F" w:rsidP="00490B3F">
      <w:pPr>
        <w:pStyle w:val="Textnumbered"/>
        <w:numPr>
          <w:ilvl w:val="2"/>
          <w:numId w:val="11"/>
        </w:numPr>
      </w:pPr>
      <w:r w:rsidRPr="000C38F4">
        <w:t>propose whichever of the Contractor’s staff is most suitable for a particular matter, having regard to the requirements of economy, effectiveness and efficiency, and remain a point of contact throughout the engagement;</w:t>
      </w:r>
    </w:p>
    <w:p w14:paraId="0E53FE19" w14:textId="77777777" w:rsidR="00490B3F" w:rsidRPr="000C38F4" w:rsidRDefault="00490B3F" w:rsidP="00490B3F">
      <w:pPr>
        <w:pStyle w:val="Textnumbered"/>
        <w:numPr>
          <w:ilvl w:val="2"/>
          <w:numId w:val="11"/>
        </w:numPr>
      </w:pPr>
      <w:r w:rsidRPr="000C38F4">
        <w:t>actively monitor and advise on conflicts of interest as they arise and be the author of any conflict waiver requests to the SSRO;</w:t>
      </w:r>
    </w:p>
    <w:p w14:paraId="4747C020" w14:textId="77777777" w:rsidR="00490B3F" w:rsidRPr="000C38F4" w:rsidRDefault="00490B3F" w:rsidP="00490B3F">
      <w:pPr>
        <w:pStyle w:val="Textnumbered"/>
        <w:numPr>
          <w:ilvl w:val="2"/>
          <w:numId w:val="11"/>
        </w:numPr>
      </w:pPr>
      <w:r w:rsidRPr="000C38F4">
        <w:t>understand the SSRO as an organisation and help translate that to the firm’s cost engineers working on a particular matter;</w:t>
      </w:r>
    </w:p>
    <w:p w14:paraId="26A26A90" w14:textId="022E6DD2" w:rsidR="00490B3F" w:rsidRPr="000C38F4" w:rsidRDefault="00490B3F" w:rsidP="00490B3F">
      <w:pPr>
        <w:pStyle w:val="Textnumbered"/>
        <w:numPr>
          <w:ilvl w:val="2"/>
          <w:numId w:val="11"/>
        </w:numPr>
      </w:pPr>
      <w:r w:rsidRPr="000C38F4">
        <w:t>ensure compliance with security requirements</w:t>
      </w:r>
      <w:r w:rsidR="00930ED1" w:rsidRPr="000C38F4">
        <w:t>;</w:t>
      </w:r>
    </w:p>
    <w:p w14:paraId="3FDECF1C" w14:textId="77777777" w:rsidR="00490B3F" w:rsidRPr="000C38F4" w:rsidRDefault="00490B3F" w:rsidP="00490B3F">
      <w:pPr>
        <w:pStyle w:val="Textnumbered"/>
        <w:numPr>
          <w:ilvl w:val="2"/>
          <w:numId w:val="11"/>
        </w:numPr>
      </w:pPr>
      <w:r w:rsidRPr="000C38F4">
        <w:t>remain consistently informed about the Contractor’s performance on a matter and be a point of escalation;</w:t>
      </w:r>
    </w:p>
    <w:p w14:paraId="61BC32DF" w14:textId="77777777" w:rsidR="00490B3F" w:rsidRPr="000C38F4" w:rsidRDefault="00490B3F" w:rsidP="00490B3F">
      <w:pPr>
        <w:pStyle w:val="Textnumbered"/>
        <w:numPr>
          <w:ilvl w:val="2"/>
          <w:numId w:val="11"/>
        </w:numPr>
      </w:pPr>
      <w:r w:rsidRPr="000C38F4">
        <w:t>be available to address issues in a timely manner and meet the SSRO’s urgency requirements;</w:t>
      </w:r>
    </w:p>
    <w:p w14:paraId="0BF87CB7" w14:textId="77777777" w:rsidR="00490B3F" w:rsidRPr="000C38F4" w:rsidRDefault="00490B3F" w:rsidP="00490B3F">
      <w:pPr>
        <w:pStyle w:val="Textnumbered"/>
        <w:numPr>
          <w:ilvl w:val="2"/>
          <w:numId w:val="11"/>
        </w:numPr>
      </w:pPr>
      <w:r w:rsidRPr="000C38F4">
        <w:t>ensure that the agreed fee structure is followed and that costs are communicated to the SSRO on a routine basis throughout an engagement; and</w:t>
      </w:r>
    </w:p>
    <w:p w14:paraId="56D53AF1" w14:textId="77777777" w:rsidR="00490B3F" w:rsidRPr="000C38F4" w:rsidRDefault="00490B3F" w:rsidP="00490B3F">
      <w:pPr>
        <w:pStyle w:val="Textnumbered"/>
        <w:numPr>
          <w:ilvl w:val="2"/>
          <w:numId w:val="11"/>
        </w:numPr>
      </w:pPr>
      <w:proofErr w:type="gramStart"/>
      <w:r w:rsidRPr="000C38F4">
        <w:t>be</w:t>
      </w:r>
      <w:proofErr w:type="gramEnd"/>
      <w:r w:rsidRPr="000C38F4">
        <w:t xml:space="preserve"> a point of contact for the SSRO’s auditors if necessary.</w:t>
      </w:r>
    </w:p>
    <w:p w14:paraId="26694BDD" w14:textId="5F2B1EC5" w:rsidR="002E7D0B" w:rsidRPr="000C38F4" w:rsidRDefault="00FF044D" w:rsidP="00FF044D">
      <w:pPr>
        <w:pStyle w:val="Heading2"/>
      </w:pPr>
      <w:r w:rsidRPr="000C38F4">
        <w:t>Conflicts of interest</w:t>
      </w:r>
    </w:p>
    <w:p w14:paraId="538CF562" w14:textId="7ABFB4C5" w:rsidR="00FF044D" w:rsidRPr="009F63B0" w:rsidRDefault="00FF044D" w:rsidP="00FF044D">
      <w:pPr>
        <w:pStyle w:val="Textnumbered"/>
        <w:tabs>
          <w:tab w:val="clear" w:pos="567"/>
        </w:tabs>
        <w:ind w:left="720" w:hanging="720"/>
      </w:pPr>
      <w:r w:rsidRPr="009F63B0">
        <w:t xml:space="preserve">The SSRO </w:t>
      </w:r>
      <w:r w:rsidR="00B55F17" w:rsidRPr="009F63B0">
        <w:t>recognises</w:t>
      </w:r>
      <w:r w:rsidRPr="009F63B0">
        <w:t xml:space="preserve"> that Contractors with relevant experience and expertise may encounter conflicts of interest due to working with, or having worked with, stakeholders who are subject to regulation by the SSRO.  Bidders should consider whether they are likely to experience conflicts and whether that will present a significant barrier to accepting engagements under the </w:t>
      </w:r>
      <w:r w:rsidR="00C74C01" w:rsidRPr="009F63B0">
        <w:t>Agreement</w:t>
      </w:r>
      <w:r w:rsidRPr="009F63B0">
        <w:t>.</w:t>
      </w:r>
      <w:r w:rsidR="00C74C01" w:rsidRPr="009F63B0">
        <w:t xml:space="preserve">  Bidders should demonstrate that they have an effective and efficient mechanism for assessing</w:t>
      </w:r>
      <w:r w:rsidR="00460C7F" w:rsidRPr="009F63B0">
        <w:t xml:space="preserve"> and managing</w:t>
      </w:r>
      <w:r w:rsidR="00C74C01" w:rsidRPr="009F63B0">
        <w:t xml:space="preserve"> conflicts of interest, which will enable the SSRO’s expectations of timeliness to be met.</w:t>
      </w:r>
    </w:p>
    <w:p w14:paraId="7C59C888" w14:textId="18EB30E6" w:rsidR="00FF044D" w:rsidRPr="000C38F4" w:rsidRDefault="00FF044D" w:rsidP="00FF044D">
      <w:pPr>
        <w:pStyle w:val="Textnumbered"/>
        <w:tabs>
          <w:tab w:val="clear" w:pos="567"/>
        </w:tabs>
        <w:ind w:left="720" w:hanging="720"/>
      </w:pPr>
      <w:r w:rsidRPr="000C38F4">
        <w:t>Contractors will be required to check for actual or potential conflicts of interest that exist or may arise as a result of their status as an approved provider in accordance with their professional codes of conduct and the nature of the SSRO’s activities and the identity of its stakeholders.  If the Contractor accepts an engagement without disclosure of a conflict of interest then the SSRO will take that as a representation that a conflicts check has been conducted and no conflict exists.</w:t>
      </w:r>
    </w:p>
    <w:p w14:paraId="0B82EE19" w14:textId="4DF94E2B" w:rsidR="00FF044D" w:rsidRPr="000C38F4" w:rsidRDefault="00FF044D" w:rsidP="00FF044D">
      <w:pPr>
        <w:pStyle w:val="Textnumbered"/>
        <w:tabs>
          <w:tab w:val="clear" w:pos="567"/>
        </w:tabs>
        <w:ind w:left="720" w:hanging="720"/>
      </w:pPr>
      <w:r w:rsidRPr="000C38F4">
        <w:t>The obligation to make conflicts known to the SSRO will continue throughout the Agreement.  Contractors will be required to raise conflicts of interest with the SSRO on an ongoing basis as they arise and the SSRO shall make the final decision in each case as to whether the conflict of interest can be mitigated and waived or prevents the firm from acting.</w:t>
      </w:r>
    </w:p>
    <w:p w14:paraId="4A37CEE1" w14:textId="77777777" w:rsidR="00930ED1" w:rsidRPr="000C38F4" w:rsidRDefault="00930ED1" w:rsidP="00930ED1">
      <w:pPr>
        <w:pStyle w:val="Textnumbered"/>
        <w:tabs>
          <w:tab w:val="clear" w:pos="567"/>
        </w:tabs>
        <w:ind w:left="720" w:hanging="720"/>
      </w:pPr>
      <w:r w:rsidRPr="000C38F4">
        <w:t xml:space="preserve">Any conflicts will be raised by the Contractor’s relationship partner with the Director of Investigations and Compliance.  Any requests to waive conflicts must be made in writing to the Director of Investigations and Compliance and must include all relevant facts, including: (a) the identity of the other client; (b) the nature of work; (c) whether the other client has consented to waiving the conflict; and (d) the identity of the individuals working for the other client and details of how they propose to mitigate the impact of the conflict. </w:t>
      </w:r>
    </w:p>
    <w:p w14:paraId="0B6D6488" w14:textId="5A08736B" w:rsidR="001771D5" w:rsidRPr="000C38F4" w:rsidRDefault="00930ED1" w:rsidP="00930ED1">
      <w:pPr>
        <w:pStyle w:val="Heading2"/>
      </w:pPr>
      <w:r w:rsidRPr="000C38F4">
        <w:t xml:space="preserve"> </w:t>
      </w:r>
      <w:r w:rsidR="001771D5" w:rsidRPr="000C38F4">
        <w:t>Information Security</w:t>
      </w:r>
    </w:p>
    <w:p w14:paraId="5529DD77" w14:textId="07D2119B" w:rsidR="001771D5" w:rsidRPr="000C38F4" w:rsidRDefault="001771D5" w:rsidP="002B72B0">
      <w:pPr>
        <w:pStyle w:val="Textnumbered"/>
        <w:tabs>
          <w:tab w:val="clear" w:pos="567"/>
        </w:tabs>
        <w:ind w:left="720" w:hanging="720"/>
      </w:pPr>
      <w:r w:rsidRPr="000C38F4">
        <w:t>In carrying out its statutory functions, the SSRO will process information of the following kinds –</w:t>
      </w:r>
    </w:p>
    <w:p w14:paraId="1230B84D" w14:textId="2AA19B3F" w:rsidR="001771D5" w:rsidRPr="000C38F4" w:rsidRDefault="001771D5" w:rsidP="001771D5">
      <w:pPr>
        <w:pStyle w:val="Textnumbered"/>
        <w:numPr>
          <w:ilvl w:val="4"/>
          <w:numId w:val="3"/>
        </w:numPr>
      </w:pPr>
      <w:r w:rsidRPr="000C38F4">
        <w:t xml:space="preserve">Information to which Schedule 5 of the Defence Reform Act 2014 applies, </w:t>
      </w:r>
      <w:r w:rsidR="00DE6626" w:rsidRPr="000C38F4">
        <w:t xml:space="preserve">which may make </w:t>
      </w:r>
      <w:r w:rsidRPr="000C38F4">
        <w:t>it a criminal offence to disclose the information.</w:t>
      </w:r>
    </w:p>
    <w:p w14:paraId="7E92E07A" w14:textId="6930ED9B" w:rsidR="001771D5" w:rsidRPr="000C38F4" w:rsidRDefault="00DE09E7" w:rsidP="001771D5">
      <w:pPr>
        <w:pStyle w:val="Textnumbered"/>
        <w:numPr>
          <w:ilvl w:val="4"/>
          <w:numId w:val="3"/>
        </w:numPr>
      </w:pPr>
      <w:r w:rsidRPr="000C38F4">
        <w:t>Official information, which may be marked OFFICIAL-SENSITIVE or higher in accordance with the Government Security Classifications.  The disclosure of such information may constitute an offence under the Official Secrets Act 1989.</w:t>
      </w:r>
    </w:p>
    <w:p w14:paraId="101255EF" w14:textId="4D1F6026" w:rsidR="00DE09E7" w:rsidRPr="000C38F4" w:rsidRDefault="00DE09E7" w:rsidP="001771D5">
      <w:pPr>
        <w:pStyle w:val="Textnumbered"/>
        <w:numPr>
          <w:ilvl w:val="4"/>
          <w:numId w:val="3"/>
        </w:numPr>
      </w:pPr>
      <w:r w:rsidRPr="000C38F4">
        <w:t>Confidential or commercially sensitive information, which the SSRO would not disclose under the Freedom of Information Act 2000 by reason of the application of one of the exemptions in that Act.</w:t>
      </w:r>
    </w:p>
    <w:p w14:paraId="214AC975" w14:textId="60CE70E1" w:rsidR="00DE09E7" w:rsidRPr="000C38F4" w:rsidRDefault="00DE09E7" w:rsidP="001771D5">
      <w:pPr>
        <w:pStyle w:val="Textnumbered"/>
        <w:numPr>
          <w:ilvl w:val="4"/>
          <w:numId w:val="3"/>
        </w:numPr>
      </w:pPr>
      <w:r w:rsidRPr="000C38F4">
        <w:t>Personal data or sensitive personal data within the meaning of the Data Protection Act 1998, which must be processed in accordance with the data protection principles.</w:t>
      </w:r>
    </w:p>
    <w:p w14:paraId="2AF0C3C0" w14:textId="69F5D55D" w:rsidR="001771D5" w:rsidRPr="000C38F4" w:rsidRDefault="00C90B51" w:rsidP="002B72B0">
      <w:pPr>
        <w:pStyle w:val="Textnumbered"/>
        <w:tabs>
          <w:tab w:val="clear" w:pos="567"/>
        </w:tabs>
        <w:ind w:left="720" w:hanging="720"/>
      </w:pPr>
      <w:r w:rsidRPr="000C38F4">
        <w:t>The SSRO takes the security of the information it holds seriously, as demonstrated in its statement on handling commercially sensitive information, which may be viewed here –</w:t>
      </w:r>
    </w:p>
    <w:p w14:paraId="35B0E8FC" w14:textId="1D5CC14D" w:rsidR="00C90B51" w:rsidRPr="000C38F4" w:rsidRDefault="00D82AE0" w:rsidP="00C90B51">
      <w:pPr>
        <w:pStyle w:val="Textnumbered"/>
        <w:numPr>
          <w:ilvl w:val="0"/>
          <w:numId w:val="0"/>
        </w:numPr>
        <w:ind w:left="720"/>
      </w:pPr>
      <w:hyperlink r:id="rId8" w:history="1">
        <w:r w:rsidR="00C90B51" w:rsidRPr="000C38F4">
          <w:rPr>
            <w:rStyle w:val="Hyperlink"/>
          </w:rPr>
          <w:t>https://www.gov.uk/government/news/handling-commercially-sensitive-information</w:t>
        </w:r>
      </w:hyperlink>
    </w:p>
    <w:p w14:paraId="4E049D40" w14:textId="750E0FFF" w:rsidR="00FB0245" w:rsidRPr="000C38F4" w:rsidRDefault="006A781D" w:rsidP="00CF2A39">
      <w:pPr>
        <w:pStyle w:val="Textnumbered"/>
        <w:tabs>
          <w:tab w:val="clear" w:pos="567"/>
        </w:tabs>
        <w:ind w:left="720" w:hanging="720"/>
      </w:pPr>
      <w:r w:rsidRPr="000C38F4">
        <w:t xml:space="preserve">Included in the terms and conditions provided with the ITT are </w:t>
      </w:r>
      <w:r w:rsidR="00DE6626" w:rsidRPr="000C38F4">
        <w:t xml:space="preserve">Security Measures </w:t>
      </w:r>
      <w:r w:rsidR="003D0B19" w:rsidRPr="000C38F4">
        <w:t xml:space="preserve">the Contractor would have to meet in the event of being presented with a Secret Matter (i.e. material classified SECRET or TOP SECRET) and </w:t>
      </w:r>
      <w:r w:rsidRPr="000C38F4">
        <w:t>Security Conditions which the SSRO requires the Contractor to meet in relation to Schedule 5 information and OFFICIAL-SENSITIVE information</w:t>
      </w:r>
      <w:r w:rsidR="00055F01" w:rsidRPr="000C38F4">
        <w:t xml:space="preserve"> (together referred to as “Sensitive Information”)</w:t>
      </w:r>
      <w:r w:rsidR="00C90B51" w:rsidRPr="000C38F4">
        <w:t>.</w:t>
      </w:r>
      <w:r w:rsidR="003D0B19" w:rsidRPr="000C38F4">
        <w:t xml:space="preserve">  The SSRO makes no warranty but expects that it will be rare that the Contractor would be required to deal with a Secret Matter, but common for it to be required to deal with Sensitive Information.</w:t>
      </w:r>
    </w:p>
    <w:p w14:paraId="3E7DFBDE" w14:textId="2C4456B5" w:rsidR="00CF2A39" w:rsidRPr="000C38F4" w:rsidRDefault="00CF2A39" w:rsidP="00CF2A39">
      <w:pPr>
        <w:pStyle w:val="Textnumbered"/>
        <w:tabs>
          <w:tab w:val="clear" w:pos="567"/>
        </w:tabs>
        <w:ind w:left="720" w:hanging="720"/>
      </w:pPr>
      <w:r w:rsidRPr="000C38F4">
        <w:t xml:space="preserve">If the Contractor received Secret Matter, it would need to be accredited for List X.  It is proposed, however, that </w:t>
      </w:r>
      <w:r w:rsidR="00674A49" w:rsidRPr="000C38F4">
        <w:t>should any access to Secret Matter be required, then that</w:t>
      </w:r>
      <w:r w:rsidRPr="000C38F4">
        <w:t xml:space="preserve"> access to Secret Matter </w:t>
      </w:r>
      <w:r w:rsidR="00674A49" w:rsidRPr="000C38F4">
        <w:t>w</w:t>
      </w:r>
      <w:r w:rsidRPr="000C38F4">
        <w:t>ould take place at the SSRO’s premises</w:t>
      </w:r>
      <w:r w:rsidR="00FB0245" w:rsidRPr="000C38F4">
        <w:t>, rather than any Secret Matter ever being held by the Contractor</w:t>
      </w:r>
      <w:r w:rsidR="009B7F6A" w:rsidRPr="000C38F4">
        <w:t>.</w:t>
      </w:r>
    </w:p>
    <w:p w14:paraId="0BFE2C04" w14:textId="07E165BC" w:rsidR="009B7F6A" w:rsidRPr="000C38F4" w:rsidRDefault="009B7F6A" w:rsidP="00CF2A39">
      <w:pPr>
        <w:pStyle w:val="Textnumbered"/>
        <w:tabs>
          <w:tab w:val="clear" w:pos="567"/>
        </w:tabs>
        <w:ind w:left="720" w:hanging="720"/>
      </w:pPr>
      <w:r w:rsidRPr="000C38F4">
        <w:t>The terms and conditions provided with the ITT refer to the Government’s Security Policy Framework, which may be viewed here –</w:t>
      </w:r>
    </w:p>
    <w:p w14:paraId="43C9C954" w14:textId="4C5B7CDF" w:rsidR="009B7F6A" w:rsidRPr="000C38F4" w:rsidRDefault="00D82AE0" w:rsidP="009B7F6A">
      <w:pPr>
        <w:pStyle w:val="Textnumbered"/>
        <w:numPr>
          <w:ilvl w:val="0"/>
          <w:numId w:val="0"/>
        </w:numPr>
        <w:ind w:left="720"/>
      </w:pPr>
      <w:hyperlink r:id="rId9" w:history="1">
        <w:r w:rsidR="009B7F6A" w:rsidRPr="000C38F4">
          <w:rPr>
            <w:rStyle w:val="Hyperlink"/>
          </w:rPr>
          <w:t>https://www.gov.uk/government/publications/security-policy-framework</w:t>
        </w:r>
      </w:hyperlink>
    </w:p>
    <w:p w14:paraId="3461B895" w14:textId="7CEED4E8" w:rsidR="001F3999" w:rsidRPr="000C38F4" w:rsidRDefault="001F3999" w:rsidP="001F3999">
      <w:pPr>
        <w:pStyle w:val="Textnumbered"/>
        <w:tabs>
          <w:tab w:val="clear" w:pos="567"/>
        </w:tabs>
        <w:ind w:left="720" w:hanging="720"/>
      </w:pPr>
      <w:r w:rsidRPr="000C38F4">
        <w:t>The National Security Vetting (NSV) scheme gives an assurance of an individual’s suitability for access to sensitive government information or other valuable assets.  Details of the scheme may be viewed here –</w:t>
      </w:r>
    </w:p>
    <w:p w14:paraId="19E84D35" w14:textId="79C561D3" w:rsidR="001F3999" w:rsidRPr="000C38F4" w:rsidRDefault="00D82AE0" w:rsidP="001F3999">
      <w:pPr>
        <w:pStyle w:val="Textnumbered"/>
        <w:numPr>
          <w:ilvl w:val="0"/>
          <w:numId w:val="0"/>
        </w:numPr>
        <w:ind w:left="720"/>
      </w:pPr>
      <w:hyperlink r:id="rId10" w:history="1">
        <w:r w:rsidR="001F3999" w:rsidRPr="000C38F4">
          <w:rPr>
            <w:rStyle w:val="Hyperlink"/>
          </w:rPr>
          <w:t>https://www.gov.uk/guidance/security-vetting-and-clearance</w:t>
        </w:r>
      </w:hyperlink>
    </w:p>
    <w:p w14:paraId="333F9971" w14:textId="649AADD4" w:rsidR="00674A49" w:rsidRPr="000C38F4" w:rsidRDefault="001F3999" w:rsidP="001F3999">
      <w:pPr>
        <w:pStyle w:val="Textnumbered"/>
        <w:tabs>
          <w:tab w:val="clear" w:pos="567"/>
        </w:tabs>
        <w:ind w:left="720" w:hanging="720"/>
      </w:pPr>
      <w:r w:rsidRPr="000C38F4">
        <w:t xml:space="preserve">The SSRO does not require that the Contractor’s staff have been subject to NSV, </w:t>
      </w:r>
      <w:r w:rsidR="00DE6626" w:rsidRPr="000C38F4">
        <w:t>although all staff dealing with Sensitive Information are expected to have undergone Baseline Personal Security Standard (BPSS) clearance</w:t>
      </w:r>
      <w:r w:rsidR="00674A49" w:rsidRPr="000C38F4">
        <w:t>, details of which may be viewed here –</w:t>
      </w:r>
    </w:p>
    <w:p w14:paraId="4E681658" w14:textId="6099D9AE" w:rsidR="00674A49" w:rsidRPr="000C38F4" w:rsidRDefault="00D82AE0" w:rsidP="00674A49">
      <w:pPr>
        <w:pStyle w:val="Textnumbered"/>
        <w:numPr>
          <w:ilvl w:val="0"/>
          <w:numId w:val="0"/>
        </w:numPr>
        <w:ind w:left="720"/>
      </w:pPr>
      <w:hyperlink r:id="rId11" w:history="1">
        <w:r w:rsidR="00674A49" w:rsidRPr="000C38F4">
          <w:rPr>
            <w:rStyle w:val="Hyperlink"/>
          </w:rPr>
          <w:t>https://www.gov.uk/government/uploads/system/uploads/attachment_data/file/365602/HMG_Baseline_Personnel_Security_Standard.pdf</w:t>
        </w:r>
      </w:hyperlink>
    </w:p>
    <w:p w14:paraId="57674D23" w14:textId="1AD15635" w:rsidR="003D0B19" w:rsidRPr="000C38F4" w:rsidRDefault="00674A49" w:rsidP="001F3999">
      <w:pPr>
        <w:pStyle w:val="Textnumbered"/>
        <w:tabs>
          <w:tab w:val="clear" w:pos="567"/>
        </w:tabs>
        <w:ind w:left="720" w:hanging="720"/>
      </w:pPr>
      <w:r w:rsidRPr="000C38F4">
        <w:t>T</w:t>
      </w:r>
      <w:r w:rsidR="001F3999" w:rsidRPr="000C38F4">
        <w:t>here may be circumstances in which it would be of assistance for one or more persons in the Contractor’s team to have</w:t>
      </w:r>
      <w:r w:rsidR="00DE6626" w:rsidRPr="000C38F4">
        <w:t xml:space="preserve"> been subject to NSV and have</w:t>
      </w:r>
      <w:r w:rsidR="001F3999" w:rsidRPr="000C38F4">
        <w:t xml:space="preserve"> SC clearance or higher.  For example, this may be the case if t</w:t>
      </w:r>
      <w:r w:rsidR="003D0B19" w:rsidRPr="000C38F4">
        <w:t>he SSRO visits</w:t>
      </w:r>
      <w:r w:rsidR="001F3999" w:rsidRPr="000C38F4">
        <w:t xml:space="preserve"> a defence site</w:t>
      </w:r>
      <w:r w:rsidR="003D0B19" w:rsidRPr="000C38F4">
        <w:t xml:space="preserve"> as part of its work, </w:t>
      </w:r>
      <w:r w:rsidR="001F3999" w:rsidRPr="000C38F4">
        <w:t>in respect of which</w:t>
      </w:r>
      <w:r w:rsidR="003D0B19" w:rsidRPr="000C38F4">
        <w:t xml:space="preserve"> </w:t>
      </w:r>
      <w:r w:rsidR="00C17B80" w:rsidRPr="000C38F4">
        <w:t>risk analysis</w:t>
      </w:r>
      <w:r w:rsidR="003D0B19" w:rsidRPr="000C38F4">
        <w:t xml:space="preserve"> </w:t>
      </w:r>
      <w:r w:rsidR="001F3999" w:rsidRPr="000C38F4">
        <w:t>services are needed</w:t>
      </w:r>
      <w:r w:rsidR="003D0B19" w:rsidRPr="000C38F4">
        <w:t>.</w:t>
      </w:r>
      <w:r w:rsidR="001F3999" w:rsidRPr="000C38F4">
        <w:t xml:space="preserve">  In those circumstances it may facilitate the provision of services if one of the Contractor’s staff could attend.</w:t>
      </w:r>
    </w:p>
    <w:p w14:paraId="2A85F176" w14:textId="1B9E7125" w:rsidR="001F3999" w:rsidRPr="000C38F4" w:rsidRDefault="00D069DD" w:rsidP="001F3999">
      <w:pPr>
        <w:pStyle w:val="Textnumbered"/>
        <w:tabs>
          <w:tab w:val="clear" w:pos="567"/>
        </w:tabs>
        <w:ind w:left="720" w:hanging="720"/>
      </w:pPr>
      <w:r w:rsidRPr="000C38F4">
        <w:t>T</w:t>
      </w:r>
      <w:r w:rsidR="001F3999" w:rsidRPr="000C38F4">
        <w:t xml:space="preserve">he SSRO uses </w:t>
      </w:r>
      <w:r w:rsidR="00666453" w:rsidRPr="000C38F4">
        <w:t>I</w:t>
      </w:r>
      <w:r w:rsidRPr="000C38F4">
        <w:t xml:space="preserve">nformation </w:t>
      </w:r>
      <w:r w:rsidR="00666453" w:rsidRPr="000C38F4">
        <w:t>R</w:t>
      </w:r>
      <w:r w:rsidR="001F3999" w:rsidRPr="000C38F4">
        <w:t xml:space="preserve">ights </w:t>
      </w:r>
      <w:r w:rsidR="00666453" w:rsidRPr="000C38F4">
        <w:t>M</w:t>
      </w:r>
      <w:r w:rsidR="001F3999" w:rsidRPr="000C38F4">
        <w:t xml:space="preserve">anagement </w:t>
      </w:r>
      <w:r w:rsidRPr="000C38F4">
        <w:t xml:space="preserve">to </w:t>
      </w:r>
      <w:r w:rsidR="001F3999" w:rsidRPr="000C38F4">
        <w:t xml:space="preserve">protect </w:t>
      </w:r>
      <w:r w:rsidR="00DE6626" w:rsidRPr="000C38F4">
        <w:t>electronic S</w:t>
      </w:r>
      <w:r w:rsidRPr="000C38F4">
        <w:t xml:space="preserve">ensitive </w:t>
      </w:r>
      <w:r w:rsidR="00DE6626" w:rsidRPr="000C38F4">
        <w:t>I</w:t>
      </w:r>
      <w:r w:rsidRPr="000C38F4">
        <w:t>nformation</w:t>
      </w:r>
      <w:r w:rsidR="00DE6626" w:rsidRPr="000C38F4">
        <w:t>, both</w:t>
      </w:r>
      <w:r w:rsidRPr="000C38F4">
        <w:t xml:space="preserve"> at rest and in transit</w:t>
      </w:r>
      <w:r w:rsidR="001F3999" w:rsidRPr="000C38F4">
        <w:t xml:space="preserve"> Contractors will need to demonstrate that they will be able to receive or return </w:t>
      </w:r>
      <w:r w:rsidR="00DE6626" w:rsidRPr="000C38F4">
        <w:t>electronic Sensitive Information</w:t>
      </w:r>
      <w:r w:rsidR="001F3999" w:rsidRPr="000C38F4">
        <w:t>,</w:t>
      </w:r>
      <w:r w:rsidR="00124499" w:rsidRPr="000C38F4">
        <w:t xml:space="preserve"> or suggest</w:t>
      </w:r>
      <w:r w:rsidR="00666453" w:rsidRPr="000C38F4">
        <w:t xml:space="preserve"> </w:t>
      </w:r>
      <w:r w:rsidR="00DE6626" w:rsidRPr="000C38F4">
        <w:t xml:space="preserve">equivalent </w:t>
      </w:r>
      <w:r w:rsidR="00666453" w:rsidRPr="000C38F4">
        <w:t>alternative</w:t>
      </w:r>
      <w:r w:rsidR="00DE6626" w:rsidRPr="000C38F4">
        <w:t xml:space="preserve"> methods</w:t>
      </w:r>
      <w:r w:rsidR="00666453" w:rsidRPr="000C38F4">
        <w:t>,</w:t>
      </w:r>
      <w:r w:rsidR="001F3999" w:rsidRPr="000C38F4">
        <w:t xml:space="preserve"> to avoid delays in delivery of the Services.</w:t>
      </w:r>
    </w:p>
    <w:sectPr w:rsidR="001F3999" w:rsidRPr="000C38F4" w:rsidSect="00D219B7">
      <w:headerReference w:type="even" r:id="rId12"/>
      <w:headerReference w:type="default" r:id="rId13"/>
      <w:footerReference w:type="even" r:id="rId14"/>
      <w:footerReference w:type="default" r:id="rId15"/>
      <w:headerReference w:type="firs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C3496" w14:textId="77777777" w:rsidR="000105B2" w:rsidRDefault="000105B2">
      <w:r>
        <w:separator/>
      </w:r>
    </w:p>
  </w:endnote>
  <w:endnote w:type="continuationSeparator" w:id="0">
    <w:p w14:paraId="7546AF9A" w14:textId="77777777" w:rsidR="000105B2" w:rsidRDefault="0001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2BE16"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D82AE0">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D554"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82AE0">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C94D"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82AE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BF743" w14:textId="77777777" w:rsidR="000105B2" w:rsidRDefault="000105B2">
      <w:r>
        <w:separator/>
      </w:r>
    </w:p>
  </w:footnote>
  <w:footnote w:type="continuationSeparator" w:id="0">
    <w:p w14:paraId="18240549" w14:textId="77777777" w:rsidR="000105B2" w:rsidRDefault="0001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4CD9" w14:textId="042F8B7E" w:rsidR="002C7620" w:rsidRPr="00980553" w:rsidRDefault="00FE49B7" w:rsidP="00980553">
    <w:pPr>
      <w:pStyle w:val="Header"/>
    </w:pPr>
    <w:r>
      <w:t xml:space="preserve">Economic </w:t>
    </w:r>
    <w:r w:rsidR="00C17B80">
      <w:t>Analysis</w:t>
    </w:r>
    <w:r w:rsidR="00EA6626">
      <w:t xml:space="preserve"> Services Framework: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DFAA" w14:textId="32985137" w:rsidR="002C7620" w:rsidRPr="00C17B80" w:rsidRDefault="00FE49B7" w:rsidP="00C17B80">
    <w:pPr>
      <w:pStyle w:val="Header"/>
      <w:jc w:val="right"/>
    </w:pPr>
    <w:r>
      <w:t xml:space="preserve">Economic </w:t>
    </w:r>
    <w:r w:rsidR="00C17B80">
      <w:t>Analysis</w:t>
    </w:r>
    <w:r w:rsidR="00EA6626">
      <w:t xml:space="preserve"> Services Framework: Brief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60D9" w14:textId="77777777" w:rsidR="00D82AE0" w:rsidRDefault="00D82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13406"/>
    <w:multiLevelType w:val="multilevel"/>
    <w:tmpl w:val="EB12A3C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9AD34C4"/>
    <w:multiLevelType w:val="multilevel"/>
    <w:tmpl w:val="F5C07908"/>
    <w:lvl w:ilvl="0">
      <w:start w:val="2"/>
      <w:numFmt w:val="decimal"/>
      <w:lvlText w:val="%1"/>
      <w:lvlJc w:val="left"/>
      <w:pPr>
        <w:ind w:left="480" w:hanging="480"/>
      </w:pPr>
      <w:rPr>
        <w:rFonts w:cs="Arial" w:hint="default"/>
        <w:sz w:val="21"/>
      </w:rPr>
    </w:lvl>
    <w:lvl w:ilvl="1">
      <w:start w:val="1"/>
      <w:numFmt w:val="decimal"/>
      <w:lvlText w:val="%1.%2"/>
      <w:lvlJc w:val="left"/>
      <w:pPr>
        <w:ind w:left="840" w:hanging="480"/>
      </w:pPr>
      <w:rPr>
        <w:rFonts w:cs="Arial" w:hint="default"/>
        <w:sz w:val="21"/>
      </w:rPr>
    </w:lvl>
    <w:lvl w:ilvl="2">
      <w:start w:val="1"/>
      <w:numFmt w:val="decimal"/>
      <w:lvlText w:val="%1.%2.%3"/>
      <w:lvlJc w:val="left"/>
      <w:pPr>
        <w:ind w:left="1440" w:hanging="720"/>
      </w:pPr>
      <w:rPr>
        <w:rFonts w:cs="Arial" w:hint="default"/>
        <w:sz w:val="21"/>
      </w:rPr>
    </w:lvl>
    <w:lvl w:ilvl="3">
      <w:start w:val="1"/>
      <w:numFmt w:val="decimal"/>
      <w:lvlText w:val="%1.%2.%3.%4"/>
      <w:lvlJc w:val="left"/>
      <w:pPr>
        <w:ind w:left="1800" w:hanging="720"/>
      </w:pPr>
      <w:rPr>
        <w:rFonts w:cs="Arial" w:hint="default"/>
        <w:sz w:val="21"/>
      </w:rPr>
    </w:lvl>
    <w:lvl w:ilvl="4">
      <w:start w:val="1"/>
      <w:numFmt w:val="decimal"/>
      <w:lvlText w:val="%1.%2.%3.%4.%5"/>
      <w:lvlJc w:val="left"/>
      <w:pPr>
        <w:ind w:left="2520" w:hanging="1080"/>
      </w:pPr>
      <w:rPr>
        <w:rFonts w:cs="Arial" w:hint="default"/>
        <w:sz w:val="21"/>
      </w:rPr>
    </w:lvl>
    <w:lvl w:ilvl="5">
      <w:start w:val="1"/>
      <w:numFmt w:val="decimal"/>
      <w:lvlText w:val="%1.%2.%3.%4.%5.%6"/>
      <w:lvlJc w:val="left"/>
      <w:pPr>
        <w:ind w:left="2880" w:hanging="1080"/>
      </w:pPr>
      <w:rPr>
        <w:rFonts w:cs="Arial" w:hint="default"/>
        <w:sz w:val="21"/>
      </w:rPr>
    </w:lvl>
    <w:lvl w:ilvl="6">
      <w:start w:val="1"/>
      <w:numFmt w:val="decimal"/>
      <w:lvlText w:val="%1.%2.%3.%4.%5.%6.%7"/>
      <w:lvlJc w:val="left"/>
      <w:pPr>
        <w:ind w:left="3600" w:hanging="1440"/>
      </w:pPr>
      <w:rPr>
        <w:rFonts w:cs="Arial" w:hint="default"/>
        <w:sz w:val="21"/>
      </w:rPr>
    </w:lvl>
    <w:lvl w:ilvl="7">
      <w:start w:val="1"/>
      <w:numFmt w:val="decimal"/>
      <w:lvlText w:val="%1.%2.%3.%4.%5.%6.%7.%8"/>
      <w:lvlJc w:val="left"/>
      <w:pPr>
        <w:ind w:left="3960" w:hanging="1440"/>
      </w:pPr>
      <w:rPr>
        <w:rFonts w:cs="Arial" w:hint="default"/>
        <w:sz w:val="21"/>
      </w:rPr>
    </w:lvl>
    <w:lvl w:ilvl="8">
      <w:start w:val="1"/>
      <w:numFmt w:val="decimal"/>
      <w:lvlText w:val="%1.%2.%3.%4.%5.%6.%7.%8.%9"/>
      <w:lvlJc w:val="left"/>
      <w:pPr>
        <w:ind w:left="4680" w:hanging="1800"/>
      </w:pPr>
      <w:rPr>
        <w:rFonts w:cs="Arial" w:hint="default"/>
        <w:sz w:val="21"/>
      </w:rPr>
    </w:lvl>
  </w:abstractNum>
  <w:abstractNum w:abstractNumId="2"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3" w15:restartNumberingAfterBreak="0">
    <w:nsid w:val="1EEE553B"/>
    <w:multiLevelType w:val="multilevel"/>
    <w:tmpl w:val="EB12A3C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3A1D3B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5ACA4337"/>
    <w:multiLevelType w:val="hybridMultilevel"/>
    <w:tmpl w:val="B6DCB9C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7DD64AEA"/>
    <w:multiLevelType w:val="hybridMultilevel"/>
    <w:tmpl w:val="78C8F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 w:numId="10">
    <w:abstractNumId w:val="8"/>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26625">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26"/>
    <w:rsid w:val="000105B2"/>
    <w:rsid w:val="0002073B"/>
    <w:rsid w:val="00031121"/>
    <w:rsid w:val="00031D33"/>
    <w:rsid w:val="00040082"/>
    <w:rsid w:val="00055F01"/>
    <w:rsid w:val="00070ABC"/>
    <w:rsid w:val="00087516"/>
    <w:rsid w:val="000A45DC"/>
    <w:rsid w:val="000A4A80"/>
    <w:rsid w:val="000C3769"/>
    <w:rsid w:val="000C38F4"/>
    <w:rsid w:val="000D7C5A"/>
    <w:rsid w:val="000F5B6F"/>
    <w:rsid w:val="00113B07"/>
    <w:rsid w:val="001171E8"/>
    <w:rsid w:val="00123309"/>
    <w:rsid w:val="00123E61"/>
    <w:rsid w:val="00124499"/>
    <w:rsid w:val="00144C5A"/>
    <w:rsid w:val="0015248C"/>
    <w:rsid w:val="00171E70"/>
    <w:rsid w:val="001771D5"/>
    <w:rsid w:val="001A0D09"/>
    <w:rsid w:val="001D3AC1"/>
    <w:rsid w:val="001D4F70"/>
    <w:rsid w:val="001E39B0"/>
    <w:rsid w:val="001E7650"/>
    <w:rsid w:val="001F3999"/>
    <w:rsid w:val="00230632"/>
    <w:rsid w:val="0023510E"/>
    <w:rsid w:val="00235F27"/>
    <w:rsid w:val="00237D67"/>
    <w:rsid w:val="00293914"/>
    <w:rsid w:val="00297634"/>
    <w:rsid w:val="002A7754"/>
    <w:rsid w:val="002B1483"/>
    <w:rsid w:val="002B2BFB"/>
    <w:rsid w:val="002B418A"/>
    <w:rsid w:val="002B72B0"/>
    <w:rsid w:val="002C0278"/>
    <w:rsid w:val="002C7620"/>
    <w:rsid w:val="002D0B89"/>
    <w:rsid w:val="002E7D0B"/>
    <w:rsid w:val="00304DBE"/>
    <w:rsid w:val="00335B10"/>
    <w:rsid w:val="00366D84"/>
    <w:rsid w:val="00381F92"/>
    <w:rsid w:val="00395957"/>
    <w:rsid w:val="003A647D"/>
    <w:rsid w:val="003C0B38"/>
    <w:rsid w:val="003C30CF"/>
    <w:rsid w:val="003D0B19"/>
    <w:rsid w:val="003D297C"/>
    <w:rsid w:val="003D3986"/>
    <w:rsid w:val="003F7818"/>
    <w:rsid w:val="004006A8"/>
    <w:rsid w:val="00412840"/>
    <w:rsid w:val="00425E78"/>
    <w:rsid w:val="00425EFD"/>
    <w:rsid w:val="00431A1F"/>
    <w:rsid w:val="004451B9"/>
    <w:rsid w:val="00460C7F"/>
    <w:rsid w:val="00490B3F"/>
    <w:rsid w:val="004A055D"/>
    <w:rsid w:val="004A1111"/>
    <w:rsid w:val="004D120A"/>
    <w:rsid w:val="004E0A76"/>
    <w:rsid w:val="004F331E"/>
    <w:rsid w:val="00514B84"/>
    <w:rsid w:val="00517DA8"/>
    <w:rsid w:val="005340BE"/>
    <w:rsid w:val="00543008"/>
    <w:rsid w:val="00560B39"/>
    <w:rsid w:val="005B59D6"/>
    <w:rsid w:val="005C7418"/>
    <w:rsid w:val="005D23D4"/>
    <w:rsid w:val="005E315E"/>
    <w:rsid w:val="005F0904"/>
    <w:rsid w:val="005F56FD"/>
    <w:rsid w:val="005F7A50"/>
    <w:rsid w:val="00627057"/>
    <w:rsid w:val="006349D9"/>
    <w:rsid w:val="0063604F"/>
    <w:rsid w:val="00636214"/>
    <w:rsid w:val="00650E47"/>
    <w:rsid w:val="00655039"/>
    <w:rsid w:val="00660C35"/>
    <w:rsid w:val="00666453"/>
    <w:rsid w:val="00674A49"/>
    <w:rsid w:val="006A781D"/>
    <w:rsid w:val="006B140A"/>
    <w:rsid w:val="006B78CE"/>
    <w:rsid w:val="006C0C71"/>
    <w:rsid w:val="00700789"/>
    <w:rsid w:val="007251C1"/>
    <w:rsid w:val="0073261E"/>
    <w:rsid w:val="00736A0B"/>
    <w:rsid w:val="007635ED"/>
    <w:rsid w:val="00765F0A"/>
    <w:rsid w:val="007713E2"/>
    <w:rsid w:val="007905D0"/>
    <w:rsid w:val="00791C83"/>
    <w:rsid w:val="00792E06"/>
    <w:rsid w:val="007C0AA4"/>
    <w:rsid w:val="007C3765"/>
    <w:rsid w:val="007C5A2B"/>
    <w:rsid w:val="007E1FBC"/>
    <w:rsid w:val="007E72C2"/>
    <w:rsid w:val="00814C97"/>
    <w:rsid w:val="00820144"/>
    <w:rsid w:val="0082793B"/>
    <w:rsid w:val="008317CF"/>
    <w:rsid w:val="00835A29"/>
    <w:rsid w:val="0084196E"/>
    <w:rsid w:val="00841AF7"/>
    <w:rsid w:val="008626DD"/>
    <w:rsid w:val="00867D85"/>
    <w:rsid w:val="008913A2"/>
    <w:rsid w:val="00892FA9"/>
    <w:rsid w:val="00893FA3"/>
    <w:rsid w:val="00894F71"/>
    <w:rsid w:val="008A161D"/>
    <w:rsid w:val="008B0153"/>
    <w:rsid w:val="008B0D13"/>
    <w:rsid w:val="008D0C37"/>
    <w:rsid w:val="008E75BD"/>
    <w:rsid w:val="008F1EA9"/>
    <w:rsid w:val="008F27F3"/>
    <w:rsid w:val="008F4140"/>
    <w:rsid w:val="00900498"/>
    <w:rsid w:val="00903A6D"/>
    <w:rsid w:val="00904EFA"/>
    <w:rsid w:val="0090515B"/>
    <w:rsid w:val="009062C2"/>
    <w:rsid w:val="0091686A"/>
    <w:rsid w:val="00926817"/>
    <w:rsid w:val="00930ED1"/>
    <w:rsid w:val="0094245A"/>
    <w:rsid w:val="009425D4"/>
    <w:rsid w:val="00963F9C"/>
    <w:rsid w:val="0097691E"/>
    <w:rsid w:val="00980553"/>
    <w:rsid w:val="00985B9A"/>
    <w:rsid w:val="00994672"/>
    <w:rsid w:val="009B2B18"/>
    <w:rsid w:val="009B7F6A"/>
    <w:rsid w:val="009C24E9"/>
    <w:rsid w:val="009C2F20"/>
    <w:rsid w:val="009C74B1"/>
    <w:rsid w:val="009E3D01"/>
    <w:rsid w:val="009F2F90"/>
    <w:rsid w:val="009F622A"/>
    <w:rsid w:val="009F63B0"/>
    <w:rsid w:val="00A04C37"/>
    <w:rsid w:val="00A22906"/>
    <w:rsid w:val="00A23E63"/>
    <w:rsid w:val="00A40EAD"/>
    <w:rsid w:val="00A54044"/>
    <w:rsid w:val="00A70F40"/>
    <w:rsid w:val="00A765B5"/>
    <w:rsid w:val="00A83F2E"/>
    <w:rsid w:val="00A95FDF"/>
    <w:rsid w:val="00A967EE"/>
    <w:rsid w:val="00AA322E"/>
    <w:rsid w:val="00AC0F50"/>
    <w:rsid w:val="00AC3C00"/>
    <w:rsid w:val="00AC7679"/>
    <w:rsid w:val="00AD35BB"/>
    <w:rsid w:val="00AD4EC6"/>
    <w:rsid w:val="00AF742E"/>
    <w:rsid w:val="00B201E6"/>
    <w:rsid w:val="00B239D5"/>
    <w:rsid w:val="00B24488"/>
    <w:rsid w:val="00B367D3"/>
    <w:rsid w:val="00B55F17"/>
    <w:rsid w:val="00B562AF"/>
    <w:rsid w:val="00B62BF8"/>
    <w:rsid w:val="00B865D6"/>
    <w:rsid w:val="00B87A69"/>
    <w:rsid w:val="00BA4F54"/>
    <w:rsid w:val="00BB0245"/>
    <w:rsid w:val="00BC3E02"/>
    <w:rsid w:val="00BE343E"/>
    <w:rsid w:val="00C153E5"/>
    <w:rsid w:val="00C17B80"/>
    <w:rsid w:val="00C23E0C"/>
    <w:rsid w:val="00C23EF9"/>
    <w:rsid w:val="00C31775"/>
    <w:rsid w:val="00C372E9"/>
    <w:rsid w:val="00C459BA"/>
    <w:rsid w:val="00C54633"/>
    <w:rsid w:val="00C74C01"/>
    <w:rsid w:val="00C75945"/>
    <w:rsid w:val="00C77218"/>
    <w:rsid w:val="00C83B0F"/>
    <w:rsid w:val="00C90B51"/>
    <w:rsid w:val="00CA4115"/>
    <w:rsid w:val="00CB0839"/>
    <w:rsid w:val="00CC5949"/>
    <w:rsid w:val="00CD2E85"/>
    <w:rsid w:val="00CD7023"/>
    <w:rsid w:val="00CF2591"/>
    <w:rsid w:val="00CF2A39"/>
    <w:rsid w:val="00CF4C1E"/>
    <w:rsid w:val="00CF575D"/>
    <w:rsid w:val="00D0217B"/>
    <w:rsid w:val="00D04ED7"/>
    <w:rsid w:val="00D069DD"/>
    <w:rsid w:val="00D219B7"/>
    <w:rsid w:val="00D3157A"/>
    <w:rsid w:val="00D31B34"/>
    <w:rsid w:val="00D5185C"/>
    <w:rsid w:val="00D65135"/>
    <w:rsid w:val="00D72A0A"/>
    <w:rsid w:val="00D82AE0"/>
    <w:rsid w:val="00D92730"/>
    <w:rsid w:val="00DA467A"/>
    <w:rsid w:val="00DA59AF"/>
    <w:rsid w:val="00DB7E15"/>
    <w:rsid w:val="00DC50CC"/>
    <w:rsid w:val="00DD0478"/>
    <w:rsid w:val="00DE09E7"/>
    <w:rsid w:val="00DE285A"/>
    <w:rsid w:val="00DE3D88"/>
    <w:rsid w:val="00DE6626"/>
    <w:rsid w:val="00DF5932"/>
    <w:rsid w:val="00E01B1D"/>
    <w:rsid w:val="00E52E26"/>
    <w:rsid w:val="00E60172"/>
    <w:rsid w:val="00E62342"/>
    <w:rsid w:val="00E6609E"/>
    <w:rsid w:val="00E728A1"/>
    <w:rsid w:val="00E749CB"/>
    <w:rsid w:val="00E879A1"/>
    <w:rsid w:val="00E944DA"/>
    <w:rsid w:val="00EA6626"/>
    <w:rsid w:val="00EB58B8"/>
    <w:rsid w:val="00ED5AFB"/>
    <w:rsid w:val="00EF06F8"/>
    <w:rsid w:val="00F17013"/>
    <w:rsid w:val="00F17EBF"/>
    <w:rsid w:val="00F2689E"/>
    <w:rsid w:val="00F406C6"/>
    <w:rsid w:val="00F43964"/>
    <w:rsid w:val="00F71A84"/>
    <w:rsid w:val="00F72A04"/>
    <w:rsid w:val="00F740CC"/>
    <w:rsid w:val="00F97267"/>
    <w:rsid w:val="00FB0245"/>
    <w:rsid w:val="00FB3806"/>
    <w:rsid w:val="00FC1D10"/>
    <w:rsid w:val="00FC74AD"/>
    <w:rsid w:val="00FD536C"/>
    <w:rsid w:val="00FE04EA"/>
    <w:rsid w:val="00FE16E6"/>
    <w:rsid w:val="00FE49B7"/>
    <w:rsid w:val="00FF044D"/>
    <w:rsid w:val="00FF04AE"/>
    <w:rsid w:val="00FF5CFA"/>
    <w:rsid w:val="43D8E40B"/>
    <w:rsid w:val="74DEC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E5"/>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handling-commercially-sensitive-inform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65602/HMG_Baseline_Personnel_Security_Standard.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uidance/security-vetting-and-clear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6FBF6EA8-69E8-4C45-A468-4D067337FAD8}"/>
</file>

<file path=customXml/itemProps2.xml><?xml version="1.0" encoding="utf-8"?>
<ds:datastoreItem xmlns:ds="http://schemas.openxmlformats.org/officeDocument/2006/customXml" ds:itemID="{4CC08816-8683-4F9E-B546-E9133F639D11}"/>
</file>

<file path=customXml/itemProps3.xml><?xml version="1.0" encoding="utf-8"?>
<ds:datastoreItem xmlns:ds="http://schemas.openxmlformats.org/officeDocument/2006/customXml" ds:itemID="{85E1BECF-6EA8-44E6-A205-13F053D74110}"/>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10625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2016-09-09T10:54:00Z</dcterms:created>
  <dcterms:modified xsi:type="dcterms:W3CDTF">2016-09-09T10:54:00Z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