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A2083B">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A2083B">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A2083B">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04959C0B"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BC2ADC">
        <w:rPr>
          <w:rFonts w:asciiTheme="majorHAnsi" w:eastAsiaTheme="majorEastAsia" w:hAnsiTheme="majorHAnsi" w:cstheme="majorBidi"/>
          <w:b/>
          <w:bCs/>
          <w:color w:val="272727" w:themeColor="text1" w:themeTint="D8"/>
        </w:rPr>
        <w:t xml:space="preserve">     : Light</w:t>
      </w:r>
      <w:r w:rsidR="00C06B68">
        <w:rPr>
          <w:rFonts w:asciiTheme="majorHAnsi" w:eastAsiaTheme="majorEastAsia" w:hAnsiTheme="majorHAnsi" w:cstheme="majorBidi"/>
          <w:b/>
          <w:bCs/>
          <w:color w:val="272727" w:themeColor="text1" w:themeTint="D8"/>
        </w:rPr>
        <w:t>ning and Surge Protection</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10D04A0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7F4EE5BC"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7A8FF249"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30/06/2024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4D130B9E"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27E3A6E7" w:rsidR="0097168A" w:rsidRPr="00DE4F98" w:rsidRDefault="0097168A" w:rsidP="0097168A">
      <w:r w:rsidRPr="00DE4F98">
        <w:t>The operating times on HMCTS are 0</w:t>
      </w:r>
      <w:r w:rsidR="00EB1531">
        <w:t>8</w:t>
      </w:r>
      <w:r w:rsidRPr="00DE4F98">
        <w:t xml:space="preserve">:00 to </w:t>
      </w:r>
      <w:r w:rsidR="00A2083B">
        <w:t>18</w:t>
      </w:r>
      <w:r w:rsidRPr="00DE4F98">
        <w:t xml:space="preserve">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083B"/>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C2ADC"/>
    <w:rsid w:val="00BE49BB"/>
    <w:rsid w:val="00C047E9"/>
    <w:rsid w:val="00C06B68"/>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1531"/>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Props1.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2.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4.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2330</TotalTime>
  <Pages>23</Pages>
  <Words>6506</Words>
  <Characters>37090</Characters>
  <Application>Microsoft Office Word</Application>
  <DocSecurity>2</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43509</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104</cp:revision>
  <dcterms:created xsi:type="dcterms:W3CDTF">2021-10-11T12:54:00Z</dcterms:created>
  <dcterms:modified xsi:type="dcterms:W3CDTF">2023-12-15T15:35:00Z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