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116" w:rsidRPr="00305C9C" w:rsidRDefault="002A220B" w:rsidP="00882116">
      <w:pPr>
        <w:jc w:val="left"/>
        <w:rPr>
          <w:b/>
          <w:color w:val="000000"/>
          <w:sz w:val="24"/>
          <w:szCs w:val="24"/>
        </w:rPr>
      </w:pPr>
      <w:r w:rsidRPr="00365678">
        <w:rPr>
          <w:b/>
          <w:color w:val="000000"/>
          <w:sz w:val="24"/>
          <w:szCs w:val="24"/>
        </w:rPr>
        <w:t xml:space="preserve">Contract </w:t>
      </w:r>
      <w:r w:rsidR="00882116" w:rsidRPr="00365678">
        <w:rPr>
          <w:b/>
          <w:color w:val="000000"/>
          <w:sz w:val="24"/>
          <w:szCs w:val="24"/>
        </w:rPr>
        <w:t>Technical Specification</w:t>
      </w:r>
    </w:p>
    <w:p w:rsidR="00882116" w:rsidRPr="00305C9C" w:rsidRDefault="00882116" w:rsidP="00882116">
      <w:pPr>
        <w:jc w:val="left"/>
        <w:rPr>
          <w:b/>
          <w:color w:val="000000"/>
          <w:sz w:val="24"/>
          <w:szCs w:val="24"/>
        </w:rPr>
      </w:pPr>
    </w:p>
    <w:p w:rsidR="00E02EC9" w:rsidRPr="00305C9C" w:rsidRDefault="00E02EC9" w:rsidP="00E02EC9">
      <w:pPr>
        <w:pStyle w:val="NoSpacing"/>
        <w:rPr>
          <w:b/>
          <w:sz w:val="24"/>
          <w:szCs w:val="24"/>
        </w:rPr>
      </w:pPr>
      <w:r w:rsidRPr="00305C9C">
        <w:rPr>
          <w:b/>
          <w:sz w:val="24"/>
          <w:szCs w:val="24"/>
        </w:rPr>
        <w:t xml:space="preserve">NHS Framework Agreement for the supply of Recombinant Factor </w:t>
      </w:r>
      <w:r w:rsidR="00C7056C" w:rsidRPr="00305C9C">
        <w:rPr>
          <w:b/>
          <w:sz w:val="24"/>
          <w:szCs w:val="24"/>
        </w:rPr>
        <w:t>VII</w:t>
      </w:r>
      <w:r w:rsidRPr="00305C9C">
        <w:rPr>
          <w:b/>
          <w:sz w:val="24"/>
          <w:szCs w:val="24"/>
        </w:rPr>
        <w:t>I</w:t>
      </w:r>
      <w:r w:rsidR="00E036EF" w:rsidRPr="00305C9C">
        <w:rPr>
          <w:b/>
          <w:sz w:val="24"/>
          <w:szCs w:val="24"/>
        </w:rPr>
        <w:t xml:space="preserve"> </w:t>
      </w:r>
      <w:r w:rsidR="00C7056C" w:rsidRPr="00305C9C">
        <w:rPr>
          <w:b/>
          <w:sz w:val="24"/>
          <w:szCs w:val="24"/>
        </w:rPr>
        <w:t>products for the treatment of bleeding disorders</w:t>
      </w:r>
    </w:p>
    <w:p w:rsidR="00E036EF" w:rsidRPr="00305C9C" w:rsidRDefault="00E036EF" w:rsidP="00E02EC9">
      <w:pPr>
        <w:pStyle w:val="NoSpacing"/>
        <w:rPr>
          <w:b/>
          <w:sz w:val="24"/>
          <w:szCs w:val="24"/>
        </w:rPr>
      </w:pPr>
    </w:p>
    <w:p w:rsidR="00E02EC9" w:rsidRPr="00305C9C" w:rsidRDefault="00E02EC9" w:rsidP="00E02EC9">
      <w:pPr>
        <w:pStyle w:val="NoSpacing"/>
        <w:rPr>
          <w:b/>
          <w:sz w:val="24"/>
          <w:szCs w:val="24"/>
        </w:rPr>
      </w:pPr>
      <w:r w:rsidRPr="00305C9C">
        <w:rPr>
          <w:b/>
          <w:sz w:val="24"/>
          <w:szCs w:val="24"/>
        </w:rPr>
        <w:t>Offer reference number: CM/PHS/1</w:t>
      </w:r>
      <w:r w:rsidR="00C7056C" w:rsidRPr="00305C9C">
        <w:rPr>
          <w:b/>
          <w:sz w:val="24"/>
          <w:szCs w:val="24"/>
        </w:rPr>
        <w:t>5</w:t>
      </w:r>
      <w:r w:rsidR="00C76D22" w:rsidRPr="00305C9C">
        <w:rPr>
          <w:b/>
          <w:sz w:val="24"/>
          <w:szCs w:val="24"/>
        </w:rPr>
        <w:t>/54</w:t>
      </w:r>
      <w:r w:rsidR="00C7056C" w:rsidRPr="00305C9C">
        <w:rPr>
          <w:b/>
          <w:sz w:val="24"/>
          <w:szCs w:val="24"/>
        </w:rPr>
        <w:t>98</w:t>
      </w:r>
    </w:p>
    <w:p w:rsidR="00E036EF" w:rsidRPr="00305C9C" w:rsidRDefault="00E036EF" w:rsidP="00E02EC9">
      <w:pPr>
        <w:pStyle w:val="NoSpacing"/>
        <w:rPr>
          <w:b/>
          <w:sz w:val="24"/>
          <w:szCs w:val="24"/>
        </w:rPr>
      </w:pPr>
    </w:p>
    <w:p w:rsidR="00E02EC9" w:rsidRPr="00305C9C" w:rsidRDefault="00E02EC9" w:rsidP="00E02EC9">
      <w:pPr>
        <w:pStyle w:val="NoSpacing"/>
        <w:rPr>
          <w:b/>
          <w:sz w:val="24"/>
          <w:szCs w:val="24"/>
        </w:rPr>
      </w:pPr>
      <w:r w:rsidRPr="00DC46F8">
        <w:rPr>
          <w:b/>
          <w:sz w:val="24"/>
          <w:szCs w:val="24"/>
        </w:rPr>
        <w:t>Period of contract: 1</w:t>
      </w:r>
      <w:r w:rsidRPr="00DC46F8">
        <w:rPr>
          <w:b/>
          <w:sz w:val="24"/>
          <w:szCs w:val="24"/>
          <w:vertAlign w:val="superscript"/>
        </w:rPr>
        <w:t>st</w:t>
      </w:r>
      <w:r w:rsidRPr="00DC46F8">
        <w:rPr>
          <w:b/>
          <w:sz w:val="24"/>
          <w:szCs w:val="24"/>
        </w:rPr>
        <w:t xml:space="preserve"> </w:t>
      </w:r>
      <w:r w:rsidR="003D6AAB" w:rsidRPr="00DC46F8">
        <w:rPr>
          <w:b/>
          <w:sz w:val="24"/>
          <w:szCs w:val="24"/>
        </w:rPr>
        <w:t>February</w:t>
      </w:r>
      <w:r w:rsidR="003B6EAA" w:rsidRPr="00DC46F8">
        <w:rPr>
          <w:b/>
          <w:sz w:val="24"/>
          <w:szCs w:val="24"/>
        </w:rPr>
        <w:t xml:space="preserve"> 201</w:t>
      </w:r>
      <w:r w:rsidR="003D6AAB" w:rsidRPr="00DC46F8">
        <w:rPr>
          <w:b/>
          <w:sz w:val="24"/>
          <w:szCs w:val="24"/>
        </w:rPr>
        <w:t>8</w:t>
      </w:r>
      <w:r w:rsidRPr="00DC46F8">
        <w:rPr>
          <w:b/>
          <w:sz w:val="24"/>
          <w:szCs w:val="24"/>
        </w:rPr>
        <w:t xml:space="preserve"> </w:t>
      </w:r>
      <w:r w:rsidRPr="00A1198B">
        <w:rPr>
          <w:b/>
          <w:sz w:val="24"/>
          <w:szCs w:val="24"/>
        </w:rPr>
        <w:t>to 3</w:t>
      </w:r>
      <w:r w:rsidR="003D6AAB" w:rsidRPr="00A1198B">
        <w:rPr>
          <w:b/>
          <w:sz w:val="24"/>
          <w:szCs w:val="24"/>
        </w:rPr>
        <w:t>1</w:t>
      </w:r>
      <w:r w:rsidR="003D6AAB" w:rsidRPr="00A1198B">
        <w:rPr>
          <w:b/>
          <w:sz w:val="24"/>
          <w:szCs w:val="24"/>
          <w:vertAlign w:val="superscript"/>
        </w:rPr>
        <w:t>st</w:t>
      </w:r>
      <w:r w:rsidR="003D6AAB" w:rsidRPr="00A1198B">
        <w:rPr>
          <w:b/>
          <w:sz w:val="24"/>
          <w:szCs w:val="24"/>
        </w:rPr>
        <w:t xml:space="preserve"> January</w:t>
      </w:r>
      <w:r w:rsidR="00C7056C" w:rsidRPr="00A1198B">
        <w:rPr>
          <w:b/>
          <w:sz w:val="24"/>
          <w:szCs w:val="24"/>
        </w:rPr>
        <w:t xml:space="preserve"> 20</w:t>
      </w:r>
      <w:r w:rsidR="00A1198B" w:rsidRPr="00A1198B">
        <w:rPr>
          <w:b/>
          <w:sz w:val="24"/>
          <w:szCs w:val="24"/>
        </w:rPr>
        <w:t>19</w:t>
      </w:r>
      <w:r w:rsidRPr="00A1198B">
        <w:rPr>
          <w:b/>
          <w:sz w:val="24"/>
          <w:szCs w:val="24"/>
        </w:rPr>
        <w:t xml:space="preserve"> with options to extend up to a further </w:t>
      </w:r>
      <w:r w:rsidR="004C2302">
        <w:rPr>
          <w:b/>
          <w:sz w:val="24"/>
          <w:szCs w:val="24"/>
        </w:rPr>
        <w:t>17</w:t>
      </w:r>
      <w:r w:rsidRPr="00A1198B">
        <w:rPr>
          <w:b/>
          <w:sz w:val="24"/>
          <w:szCs w:val="24"/>
        </w:rPr>
        <w:t xml:space="preserve"> months</w:t>
      </w:r>
      <w:r w:rsidR="00E036EF" w:rsidRPr="00A1198B">
        <w:rPr>
          <w:b/>
          <w:sz w:val="24"/>
          <w:szCs w:val="24"/>
        </w:rPr>
        <w:t>.</w:t>
      </w:r>
      <w:r w:rsidRPr="00A1198B">
        <w:rPr>
          <w:b/>
          <w:sz w:val="24"/>
          <w:szCs w:val="24"/>
        </w:rPr>
        <w:t xml:space="preserve"> Total m</w:t>
      </w:r>
      <w:r w:rsidRPr="00DC46F8">
        <w:rPr>
          <w:b/>
          <w:sz w:val="24"/>
          <w:szCs w:val="24"/>
        </w:rPr>
        <w:t>aximum framework agreement period including extension</w:t>
      </w:r>
      <w:r w:rsidR="00AD010E" w:rsidRPr="00DC46F8">
        <w:rPr>
          <w:b/>
          <w:sz w:val="24"/>
          <w:szCs w:val="24"/>
        </w:rPr>
        <w:t>s</w:t>
      </w:r>
      <w:r w:rsidRPr="00DC46F8">
        <w:rPr>
          <w:b/>
          <w:sz w:val="24"/>
          <w:szCs w:val="24"/>
        </w:rPr>
        <w:t xml:space="preserve"> will be no more than </w:t>
      </w:r>
      <w:r w:rsidR="004C2302" w:rsidRPr="004C2302">
        <w:rPr>
          <w:b/>
          <w:sz w:val="24"/>
          <w:szCs w:val="24"/>
        </w:rPr>
        <w:t>29</w:t>
      </w:r>
      <w:r w:rsidRPr="00DC46F8">
        <w:rPr>
          <w:b/>
          <w:sz w:val="24"/>
          <w:szCs w:val="24"/>
        </w:rPr>
        <w:t xml:space="preserve"> months</w:t>
      </w:r>
    </w:p>
    <w:p w:rsidR="00882116" w:rsidRPr="007013A1" w:rsidRDefault="00C54B86" w:rsidP="00C3260C">
      <w:pPr>
        <w:pStyle w:val="Heading1"/>
      </w:pPr>
      <w:r w:rsidRPr="007013A1">
        <w:t xml:space="preserve">Terms of the Framework and </w:t>
      </w:r>
      <w:r w:rsidR="00882116" w:rsidRPr="007013A1">
        <w:t xml:space="preserve">Product </w:t>
      </w:r>
      <w:bookmarkStart w:id="0" w:name="_GoBack"/>
      <w:bookmarkEnd w:id="0"/>
      <w:r w:rsidR="00882116" w:rsidRPr="007013A1">
        <w:t>Specification</w:t>
      </w:r>
    </w:p>
    <w:p w:rsidR="00401207" w:rsidRDefault="00C76D22" w:rsidP="00C54B86">
      <w:pPr>
        <w:pStyle w:val="Heading2"/>
      </w:pPr>
      <w:r w:rsidRPr="007013A1">
        <w:t xml:space="preserve">This framework agreement will cover the supply of Recombinant Factor </w:t>
      </w:r>
      <w:r w:rsidR="00C0786C" w:rsidRPr="007013A1">
        <w:t>VII</w:t>
      </w:r>
      <w:r w:rsidRPr="007013A1">
        <w:t>I products</w:t>
      </w:r>
      <w:r w:rsidR="00F043A0">
        <w:t xml:space="preserve"> in England, Northern Ireland, Scotland and Wales. </w:t>
      </w:r>
    </w:p>
    <w:p w:rsidR="00A55482" w:rsidRDefault="00F043A0" w:rsidP="00C54B86">
      <w:pPr>
        <w:pStyle w:val="Heading2"/>
      </w:pPr>
      <w:r>
        <w:t>T</w:t>
      </w:r>
      <w:r w:rsidR="00C76D22" w:rsidRPr="00173B63">
        <w:t xml:space="preserve">he </w:t>
      </w:r>
      <w:r w:rsidR="00C76D22" w:rsidRPr="003B6EAA">
        <w:t xml:space="preserve">anticipated approximate </w:t>
      </w:r>
      <w:r w:rsidR="00C0786C">
        <w:t xml:space="preserve">annual </w:t>
      </w:r>
      <w:r w:rsidR="00C76D22" w:rsidRPr="003B6EAA">
        <w:t>usage in International Units</w:t>
      </w:r>
      <w:r w:rsidR="00E8220D">
        <w:t xml:space="preserve"> (IU</w:t>
      </w:r>
      <w:r w:rsidR="00C76D22" w:rsidRPr="003B6EAA">
        <w:t xml:space="preserve">) </w:t>
      </w:r>
      <w:r w:rsidR="00C0786C">
        <w:t>of rFVIII</w:t>
      </w:r>
      <w:r w:rsidR="00C76D22" w:rsidRPr="003B6EAA">
        <w:t xml:space="preserve"> is </w:t>
      </w:r>
      <w:r w:rsidR="00C0786C">
        <w:t>5</w:t>
      </w:r>
      <w:r w:rsidR="00B2221C">
        <w:t>20</w:t>
      </w:r>
      <w:r w:rsidR="00E707CF" w:rsidRPr="003B6EAA">
        <w:t>,</w:t>
      </w:r>
      <w:r w:rsidR="003B6EAA" w:rsidRPr="003B6EAA">
        <w:t>000</w:t>
      </w:r>
      <w:r w:rsidR="00E707CF" w:rsidRPr="003B6EAA">
        <w:t>,</w:t>
      </w:r>
      <w:r w:rsidR="003B6EAA" w:rsidRPr="003B6EAA">
        <w:t>00</w:t>
      </w:r>
      <w:r w:rsidR="00E707CF" w:rsidRPr="003B6EAA">
        <w:t>0</w:t>
      </w:r>
      <w:r w:rsidR="00E8220D">
        <w:t xml:space="preserve"> </w:t>
      </w:r>
      <w:r w:rsidR="00B66099">
        <w:t>IUs</w:t>
      </w:r>
      <w:r w:rsidR="00B66099" w:rsidRPr="003B6EAA">
        <w:t>;</w:t>
      </w:r>
      <w:r w:rsidR="00C76D22" w:rsidRPr="003B6EAA">
        <w:t xml:space="preserve"> this figure is </w:t>
      </w:r>
      <w:r w:rsidR="00C0786C">
        <w:t>based on</w:t>
      </w:r>
      <w:r w:rsidR="00C76D22" w:rsidRPr="003B6EAA">
        <w:t xml:space="preserve"> 12 month sales data from </w:t>
      </w:r>
      <w:r w:rsidR="003B6EAA" w:rsidRPr="003B6EAA">
        <w:t>J</w:t>
      </w:r>
      <w:r w:rsidR="00B2221C">
        <w:t>anuary</w:t>
      </w:r>
      <w:r w:rsidR="003B6EAA" w:rsidRPr="003B6EAA">
        <w:t xml:space="preserve"> 201</w:t>
      </w:r>
      <w:r w:rsidR="00B2221C">
        <w:t>6</w:t>
      </w:r>
      <w:r w:rsidR="003B6EAA" w:rsidRPr="003B6EAA">
        <w:t xml:space="preserve"> to </w:t>
      </w:r>
      <w:r w:rsidR="00B2221C">
        <w:t>December 2016</w:t>
      </w:r>
      <w:r w:rsidR="003B6EAA" w:rsidRPr="003B6EAA">
        <w:t>.</w:t>
      </w:r>
      <w:r w:rsidR="00A55482">
        <w:t xml:space="preserve"> See table below for information on the volume split by vial size for April 2015 to March 2016.</w:t>
      </w:r>
    </w:p>
    <w:p w:rsidR="00C76D22" w:rsidRDefault="00A55482" w:rsidP="00A55482">
      <w:pPr>
        <w:pStyle w:val="Heading2"/>
        <w:numPr>
          <w:ilvl w:val="0"/>
          <w:numId w:val="0"/>
        </w:numPr>
        <w:ind w:left="576"/>
      </w:pPr>
      <w:r w:rsidRPr="00A55482">
        <w:rPr>
          <w:noProof/>
          <w:lang w:eastAsia="en-GB"/>
        </w:rPr>
        <w:drawing>
          <wp:inline distT="0" distB="0" distL="0" distR="0">
            <wp:extent cx="4442460" cy="822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2460" cy="822960"/>
                    </a:xfrm>
                    <a:prstGeom prst="rect">
                      <a:avLst/>
                    </a:prstGeom>
                    <a:noFill/>
                    <a:ln>
                      <a:noFill/>
                    </a:ln>
                  </pic:spPr>
                </pic:pic>
              </a:graphicData>
            </a:graphic>
          </wp:inline>
        </w:drawing>
      </w:r>
      <w:r w:rsidR="003B6EAA" w:rsidRPr="003B6EAA">
        <w:t xml:space="preserve"> </w:t>
      </w:r>
    </w:p>
    <w:p w:rsidR="00C54B86" w:rsidRPr="003B6EAA" w:rsidRDefault="00C54B86" w:rsidP="00C54B86">
      <w:pPr>
        <w:pStyle w:val="Heading2"/>
      </w:pPr>
      <w:r w:rsidRPr="003B6EAA">
        <w:t xml:space="preserve">The length of this framework is </w:t>
      </w:r>
      <w:r w:rsidR="00A1198B">
        <w:t>12</w:t>
      </w:r>
      <w:r w:rsidRPr="003B6EAA">
        <w:t xml:space="preserve"> months with options to extend up to a further </w:t>
      </w:r>
      <w:r w:rsidR="004C2302">
        <w:t>17</w:t>
      </w:r>
      <w:r w:rsidRPr="003B6EAA">
        <w:t xml:space="preserve"> months. The total maximum framework agreement period including extensions will be no more than </w:t>
      </w:r>
      <w:r w:rsidR="004C2302">
        <w:t>29</w:t>
      </w:r>
      <w:r w:rsidRPr="003B6EAA">
        <w:t xml:space="preserve"> months.</w:t>
      </w:r>
    </w:p>
    <w:p w:rsidR="006B4808" w:rsidRDefault="007A35BD" w:rsidP="006B4808">
      <w:pPr>
        <w:pStyle w:val="Heading2"/>
      </w:pPr>
      <w:r w:rsidRPr="007A35BD">
        <w:rPr>
          <w:rFonts w:cs="Arial"/>
          <w:szCs w:val="22"/>
        </w:rPr>
        <w:t>Any volume estimates provided to Offerors by Authority staff are statements of opinion, provided in good faith and based on past experience and market knowledge, but they should not be relied upon by Offerors in formulating their offers.</w:t>
      </w:r>
      <w:r>
        <w:rPr>
          <w:rFonts w:cs="Arial"/>
          <w:szCs w:val="22"/>
        </w:rPr>
        <w:t xml:space="preserve"> </w:t>
      </w:r>
      <w:r w:rsidR="006B4808">
        <w:t>No commitment is made by the Commercial Medicines Unit (CMU)</w:t>
      </w:r>
      <w:r w:rsidR="006B4808" w:rsidRPr="00173B63">
        <w:t xml:space="preserve"> on its own behalf or on behalf of Participating </w:t>
      </w:r>
      <w:r w:rsidR="006B4808">
        <w:t>Authorities</w:t>
      </w:r>
      <w:r w:rsidR="006B4808" w:rsidRPr="00173B63">
        <w:t xml:space="preserve"> as to the volume of g</w:t>
      </w:r>
      <w:r w:rsidR="006B4808">
        <w:t>oods which may be purchased by P</w:t>
      </w:r>
      <w:r w:rsidR="006B4808" w:rsidRPr="00173B63">
        <w:t>articipating Authorities pursuant to the Framework Agreement</w:t>
      </w:r>
      <w:r w:rsidR="006B4808">
        <w:t>.</w:t>
      </w:r>
    </w:p>
    <w:p w:rsidR="00882116" w:rsidRPr="00365678" w:rsidRDefault="00882116" w:rsidP="00E12AFB">
      <w:pPr>
        <w:pStyle w:val="Heading2"/>
      </w:pPr>
      <w:r w:rsidRPr="00D750FB">
        <w:t>These products may</w:t>
      </w:r>
      <w:r w:rsidR="00CE5488" w:rsidRPr="00D750FB">
        <w:t xml:space="preserve"> be required in </w:t>
      </w:r>
      <w:r w:rsidR="00CE5488" w:rsidRPr="003B6EAA">
        <w:t xml:space="preserve">vial sizes </w:t>
      </w:r>
      <w:proofErr w:type="gramStart"/>
      <w:r w:rsidR="00CE5488" w:rsidRPr="003B6EAA">
        <w:t>250iu</w:t>
      </w:r>
      <w:proofErr w:type="gramEnd"/>
      <w:r w:rsidR="00CE5488" w:rsidRPr="003B6EAA">
        <w:t>, 500i</w:t>
      </w:r>
      <w:r w:rsidRPr="003B6EAA">
        <w:t>u</w:t>
      </w:r>
      <w:r w:rsidR="00CE5488" w:rsidRPr="003B6EAA">
        <w:t xml:space="preserve">, </w:t>
      </w:r>
      <w:r w:rsidR="006B4808" w:rsidRPr="003B6EAA">
        <w:t>1000iu</w:t>
      </w:r>
      <w:r w:rsidR="00CE5488" w:rsidRPr="003B6EAA">
        <w:t>, 1500iu 2000i</w:t>
      </w:r>
      <w:r w:rsidRPr="003B6EAA">
        <w:t xml:space="preserve">u </w:t>
      </w:r>
      <w:r w:rsidR="00DC264E" w:rsidRPr="003B6EAA">
        <w:t xml:space="preserve">and 3000iu </w:t>
      </w:r>
      <w:r w:rsidRPr="003B6EAA">
        <w:t>as requested locally</w:t>
      </w:r>
      <w:r w:rsidR="00CE5488" w:rsidRPr="003B6EAA">
        <w:t xml:space="preserve"> and all preparations and sizes being tendered should be </w:t>
      </w:r>
      <w:r w:rsidR="00CE5488" w:rsidRPr="00365678">
        <w:t>listed in your offer</w:t>
      </w:r>
      <w:r w:rsidRPr="00365678">
        <w:t>.</w:t>
      </w:r>
      <w:r w:rsidR="00032A15" w:rsidRPr="00365678">
        <w:t xml:space="preserve"> </w:t>
      </w:r>
      <w:r w:rsidRPr="00365678">
        <w:t xml:space="preserve"> </w:t>
      </w:r>
    </w:p>
    <w:p w:rsidR="00882116" w:rsidRPr="00365678" w:rsidRDefault="00882116" w:rsidP="00E12AFB">
      <w:pPr>
        <w:pStyle w:val="Heading2"/>
      </w:pPr>
      <w:r w:rsidRPr="00365678">
        <w:t xml:space="preserve">All products will be required to be supplied complete with appropriate diluents and devices for administration. </w:t>
      </w:r>
    </w:p>
    <w:p w:rsidR="00CE3214" w:rsidRPr="00365678" w:rsidRDefault="00183D87" w:rsidP="00CE3214">
      <w:pPr>
        <w:pStyle w:val="Heading2"/>
      </w:pPr>
      <w:r w:rsidRPr="00365678">
        <w:t>Additional products to this framework will only be considered by CMU where additional products are new SKUs i.e. different presentation size or where one product replaces another</w:t>
      </w:r>
      <w:r w:rsidR="00037A97" w:rsidRPr="00365678">
        <w:t xml:space="preserve"> i.e. </w:t>
      </w:r>
      <w:r w:rsidR="00323A2E" w:rsidRPr="00365678">
        <w:t>new product holds the same Marketing Authorisation as the product it is replacing</w:t>
      </w:r>
      <w:r w:rsidR="005C0B48" w:rsidRPr="00365678">
        <w:t xml:space="preserve"> or it is a direct replacement</w:t>
      </w:r>
      <w:r w:rsidRPr="00365678">
        <w:t>. Any additional product must be pr</w:t>
      </w:r>
      <w:r w:rsidR="00037A97" w:rsidRPr="00365678">
        <w:t>i</w:t>
      </w:r>
      <w:r w:rsidRPr="00365678">
        <w:t>ce linked</w:t>
      </w:r>
      <w:r w:rsidR="00037A97" w:rsidRPr="00365678">
        <w:t xml:space="preserve"> to the awarded product i.e. the same pro-rata price for a different vial size or an identical price where one product replaces another. </w:t>
      </w:r>
      <w:r w:rsidR="000C5E0A" w:rsidRPr="00365678">
        <w:t xml:space="preserve">CMU will not consider any additional products offered </w:t>
      </w:r>
      <w:r w:rsidR="00037A97" w:rsidRPr="00365678">
        <w:t>at an unrelated price</w:t>
      </w:r>
      <w:r w:rsidR="000C5E0A" w:rsidRPr="00365678">
        <w:t xml:space="preserve"> to the offer price</w:t>
      </w:r>
      <w:r w:rsidR="00323A2E" w:rsidRPr="00365678">
        <w:t xml:space="preserve"> </w:t>
      </w:r>
      <w:proofErr w:type="gramStart"/>
      <w:r w:rsidR="00323A2E" w:rsidRPr="00365678">
        <w:t>nor</w:t>
      </w:r>
      <w:proofErr w:type="gramEnd"/>
      <w:r w:rsidR="00323A2E" w:rsidRPr="00365678">
        <w:t xml:space="preserve"> any </w:t>
      </w:r>
      <w:r w:rsidR="005C0B48" w:rsidRPr="00365678">
        <w:t>“</w:t>
      </w:r>
      <w:r w:rsidR="00323A2E" w:rsidRPr="00365678">
        <w:t>enhanc</w:t>
      </w:r>
      <w:r w:rsidR="005C0B48" w:rsidRPr="00365678">
        <w:t>ed” products</w:t>
      </w:r>
      <w:r w:rsidR="00037A97" w:rsidRPr="00365678">
        <w:t>.</w:t>
      </w:r>
      <w:r w:rsidR="000C5E0A" w:rsidRPr="00365678">
        <w:t xml:space="preserve"> For more detail on ADDITIONAL GOOD</w:t>
      </w:r>
      <w:r w:rsidR="00FB29D2" w:rsidRPr="00365678">
        <w:t>S</w:t>
      </w:r>
      <w:r w:rsidR="000C5E0A" w:rsidRPr="00365678">
        <w:t xml:space="preserve"> refer to Document</w:t>
      </w:r>
      <w:r w:rsidR="002A220B" w:rsidRPr="00365678">
        <w:t xml:space="preserve"> No.0</w:t>
      </w:r>
      <w:r w:rsidR="00365678" w:rsidRPr="00365678">
        <w:t>3</w:t>
      </w:r>
      <w:r w:rsidR="000C5E0A" w:rsidRPr="00365678">
        <w:t xml:space="preserve"> </w:t>
      </w:r>
      <w:r w:rsidR="00365678" w:rsidRPr="00365678">
        <w:t>–</w:t>
      </w:r>
      <w:r w:rsidR="000C5E0A" w:rsidRPr="00365678">
        <w:t xml:space="preserve"> </w:t>
      </w:r>
      <w:r w:rsidR="00365678" w:rsidRPr="00365678">
        <w:t>Framework Agreement for the Supply of Goods</w:t>
      </w:r>
      <w:r w:rsidR="000C5E0A" w:rsidRPr="00365678">
        <w:t xml:space="preserve">, </w:t>
      </w:r>
      <w:r w:rsidR="00365678" w:rsidRPr="00365678">
        <w:t xml:space="preserve">Schedule 1 </w:t>
      </w:r>
      <w:r w:rsidR="00365678">
        <w:t>(</w:t>
      </w:r>
      <w:r w:rsidR="000C5E0A" w:rsidRPr="00365678">
        <w:t xml:space="preserve">section </w:t>
      </w:r>
      <w:r w:rsidR="00365678" w:rsidRPr="00365678">
        <w:t>1</w:t>
      </w:r>
      <w:r w:rsidR="000C5E0A" w:rsidRPr="00365678">
        <w:t>2</w:t>
      </w:r>
      <w:r w:rsidR="00365678">
        <w:t>)</w:t>
      </w:r>
      <w:r w:rsidR="000C5E0A" w:rsidRPr="00365678">
        <w:t>.</w:t>
      </w:r>
    </w:p>
    <w:p w:rsidR="00D46CE1" w:rsidRDefault="00D46CE1" w:rsidP="00D46CE1">
      <w:pPr>
        <w:pStyle w:val="Heading2"/>
      </w:pPr>
      <w:r>
        <w:lastRenderedPageBreak/>
        <w:t>Offerors</w:t>
      </w:r>
      <w:r w:rsidRPr="00173B63">
        <w:t xml:space="preserve"> should note that any volumes indicated in this Invitation to </w:t>
      </w:r>
      <w:r>
        <w:t>Offer</w:t>
      </w:r>
      <w:r w:rsidRPr="00173B63">
        <w:t xml:space="preserve"> are based on historical </w:t>
      </w:r>
      <w:r>
        <w:t>data. No commitment is made by the CMU</w:t>
      </w:r>
      <w:r w:rsidRPr="00173B63">
        <w:t xml:space="preserve"> on its own behalf or on behalf of Participating </w:t>
      </w:r>
      <w:r>
        <w:t>Authorities</w:t>
      </w:r>
      <w:r w:rsidRPr="00173B63">
        <w:t xml:space="preserve"> as to the volume of g</w:t>
      </w:r>
      <w:r>
        <w:t>oods which may be purchased by P</w:t>
      </w:r>
      <w:r w:rsidRPr="00173B63">
        <w:t>articipating Authorities pursuant to the Framework Agreement</w:t>
      </w:r>
      <w:r>
        <w:t>.</w:t>
      </w:r>
    </w:p>
    <w:p w:rsidR="009B2351" w:rsidRDefault="009B2351" w:rsidP="00D46CE1">
      <w:pPr>
        <w:pStyle w:val="Heading2"/>
      </w:pPr>
      <w:r>
        <w:t>Tender submissions will be evaluated as follows:</w:t>
      </w:r>
    </w:p>
    <w:p w:rsidR="009B2351" w:rsidRDefault="0028717A" w:rsidP="00924837">
      <w:pPr>
        <w:pStyle w:val="Heading3"/>
      </w:pPr>
      <w:r>
        <w:t xml:space="preserve">All offers for Band 1 will be evaluated and the offer ranked one will be awarded to Band 1 and will then be removed from the evaluation for the remaining bands. </w:t>
      </w:r>
    </w:p>
    <w:p w:rsidR="009B2351" w:rsidRDefault="0028717A" w:rsidP="00924837">
      <w:pPr>
        <w:pStyle w:val="Heading3"/>
      </w:pPr>
      <w:r>
        <w:t>All offers received for Band 2a (less the offeror awarded Band 1) will then be evaluated and the offer ranked one will be awarded to Band 2a and will then be removed from the evaluation for Band 2b and Band 3.</w:t>
      </w:r>
      <w:r w:rsidRPr="0028717A">
        <w:t xml:space="preserve"> </w:t>
      </w:r>
    </w:p>
    <w:p w:rsidR="009B2351" w:rsidRDefault="0028717A" w:rsidP="00924837">
      <w:pPr>
        <w:pStyle w:val="Heading3"/>
      </w:pPr>
      <w:r>
        <w:t>All offers received for Band 2b (less the offer</w:t>
      </w:r>
      <w:r w:rsidR="006E63CF">
        <w:t>ors</w:t>
      </w:r>
      <w:r>
        <w:t xml:space="preserve"> awarded Band 1 and Band 2a) will then be evaluated and the offer ranked one will be awarded to Band 2b and will then be removed from the evaluation for Band 3. </w:t>
      </w:r>
    </w:p>
    <w:p w:rsidR="00D46CE1" w:rsidRDefault="0028717A" w:rsidP="00924837">
      <w:pPr>
        <w:pStyle w:val="Heading3"/>
      </w:pPr>
      <w:r>
        <w:t>Finally the evaluation will be carried out for Band 3 (less the offer</w:t>
      </w:r>
      <w:r w:rsidR="006E63CF">
        <w:t>ors</w:t>
      </w:r>
      <w:r>
        <w:t xml:space="preserve"> awarded Band 1</w:t>
      </w:r>
      <w:r w:rsidR="006E63CF">
        <w:t>,</w:t>
      </w:r>
      <w:r>
        <w:t xml:space="preserve"> Band 2a</w:t>
      </w:r>
      <w:r w:rsidR="006E63CF">
        <w:t xml:space="preserve"> and Band 2b</w:t>
      </w:r>
      <w:r>
        <w:t xml:space="preserve">) with the award of this band being </w:t>
      </w:r>
      <w:r w:rsidR="006E63CF">
        <w:t xml:space="preserve">awarded </w:t>
      </w:r>
      <w:r>
        <w:t xml:space="preserve">on a ranked basis i.e. the </w:t>
      </w:r>
      <w:r w:rsidR="006E63CF">
        <w:t>most economical advantageous tender will be ranked one, the second most economical advantageous tender will be ranked two and so on.</w:t>
      </w:r>
    </w:p>
    <w:p w:rsidR="009B2351" w:rsidRDefault="009B2351" w:rsidP="009B2351">
      <w:pPr>
        <w:pStyle w:val="Heading2"/>
        <w:rPr>
          <w:lang w:eastAsia="en-GB"/>
        </w:rPr>
      </w:pPr>
      <w:r w:rsidRPr="007013A1">
        <w:rPr>
          <w:lang w:eastAsia="en-GB"/>
        </w:rPr>
        <w:t xml:space="preserve">Award of the volume bands will be based on the </w:t>
      </w:r>
      <w:r w:rsidRPr="007013A1">
        <w:t>most economically advantageous tender</w:t>
      </w:r>
      <w:r>
        <w:t xml:space="preserve">. </w:t>
      </w:r>
    </w:p>
    <w:p w:rsidR="00D46CE1" w:rsidRPr="00DC297E" w:rsidRDefault="00D46CE1" w:rsidP="00D46CE1">
      <w:pPr>
        <w:pStyle w:val="Heading2"/>
        <w:rPr>
          <w:lang w:eastAsia="en-GB"/>
        </w:rPr>
      </w:pPr>
      <w:r w:rsidRPr="007013A1">
        <w:rPr>
          <w:lang w:eastAsia="en-GB"/>
        </w:rPr>
        <w:t>Volume bands are</w:t>
      </w:r>
      <w:r w:rsidR="00D41855">
        <w:rPr>
          <w:lang w:eastAsia="en-GB"/>
        </w:rPr>
        <w:t xml:space="preserve"> </w:t>
      </w:r>
      <w:r w:rsidR="00D41855" w:rsidRPr="009628ED">
        <w:rPr>
          <w:lang w:eastAsia="en-GB"/>
        </w:rPr>
        <w:t>based on an annual usage</w:t>
      </w:r>
      <w:r w:rsidRPr="007013A1">
        <w:rPr>
          <w:lang w:eastAsia="en-GB"/>
        </w:rPr>
        <w:t xml:space="preserve">. </w:t>
      </w:r>
      <w:r w:rsidRPr="007013A1">
        <w:t xml:space="preserve">The volume bands are indicative </w:t>
      </w:r>
      <w:r w:rsidR="00A8677C" w:rsidRPr="007013A1">
        <w:t>only</w:t>
      </w:r>
      <w:r w:rsidR="00A8677C">
        <w:t>;</w:t>
      </w:r>
      <w:r w:rsidR="00325C0B">
        <w:t xml:space="preserve"> </w:t>
      </w:r>
      <w:r w:rsidR="002B2807">
        <w:t>s</w:t>
      </w:r>
      <w:r w:rsidRPr="00D750FB">
        <w:t>takeholders have agreed to work towards achiev</w:t>
      </w:r>
      <w:r w:rsidR="002B2807">
        <w:t>ing the volume bands</w:t>
      </w:r>
      <w:r w:rsidRPr="00D750FB">
        <w:t xml:space="preserve"> by coordinating their orders accordingly. </w:t>
      </w:r>
      <w:r w:rsidRPr="00BB5BD2">
        <w:rPr>
          <w:lang w:eastAsia="en-GB"/>
        </w:rPr>
        <w:t>Sales</w:t>
      </w:r>
      <w:r>
        <w:rPr>
          <w:lang w:eastAsia="en-GB"/>
        </w:rPr>
        <w:t xml:space="preserve"> data</w:t>
      </w:r>
      <w:r w:rsidRPr="00BB5BD2">
        <w:rPr>
          <w:lang w:eastAsia="en-GB"/>
        </w:rPr>
        <w:t xml:space="preserve"> </w:t>
      </w:r>
      <w:r w:rsidRPr="00DC297E">
        <w:rPr>
          <w:lang w:eastAsia="en-GB"/>
        </w:rPr>
        <w:t>will be</w:t>
      </w:r>
      <w:r>
        <w:rPr>
          <w:lang w:eastAsia="en-GB"/>
        </w:rPr>
        <w:t xml:space="preserve"> monitored on a monthly basis and</w:t>
      </w:r>
      <w:r w:rsidRPr="00DC297E">
        <w:rPr>
          <w:lang w:eastAsia="en-GB"/>
        </w:rPr>
        <w:t xml:space="preserve"> reviewed after the first twelve (12) months of the framework.</w:t>
      </w:r>
      <w:r>
        <w:rPr>
          <w:lang w:eastAsia="en-GB"/>
        </w:rPr>
        <w:t xml:space="preserve"> </w:t>
      </w:r>
    </w:p>
    <w:p w:rsidR="00D46CE1" w:rsidRDefault="00D46CE1" w:rsidP="00D46CE1">
      <w:pPr>
        <w:ind w:firstLine="576"/>
        <w:rPr>
          <w:lang w:eastAsia="en-GB"/>
        </w:rPr>
      </w:pPr>
    </w:p>
    <w:p w:rsidR="00A91D16" w:rsidRPr="00173B63" w:rsidRDefault="003C2839" w:rsidP="00924837">
      <w:pPr>
        <w:pStyle w:val="Heading3"/>
        <w:rPr>
          <w:lang w:eastAsia="en-GB"/>
        </w:rPr>
      </w:pPr>
      <w:r>
        <w:rPr>
          <w:lang w:eastAsia="en-GB"/>
        </w:rPr>
        <w:t>V</w:t>
      </w:r>
      <w:r w:rsidR="00D46CE1" w:rsidRPr="00D750FB">
        <w:rPr>
          <w:lang w:eastAsia="en-GB"/>
        </w:rPr>
        <w:t xml:space="preserve">olume bandings </w:t>
      </w:r>
      <w:r>
        <w:rPr>
          <w:lang w:eastAsia="en-GB"/>
        </w:rPr>
        <w:t xml:space="preserve">for the award of this framework </w:t>
      </w:r>
      <w:r w:rsidR="00D46CE1" w:rsidRPr="00D750FB">
        <w:rPr>
          <w:lang w:eastAsia="en-GB"/>
        </w:rPr>
        <w:t>are as follows:</w:t>
      </w:r>
    </w:p>
    <w:p w:rsidR="00D46CE1" w:rsidRDefault="00D46CE1" w:rsidP="00D46CE1"/>
    <w:p w:rsidR="00D46CE1" w:rsidRDefault="00A91D16" w:rsidP="00D46CE1">
      <w:r w:rsidRPr="00A91D16">
        <w:rPr>
          <w:noProof/>
          <w:lang w:eastAsia="en-GB"/>
        </w:rPr>
        <w:drawing>
          <wp:inline distT="0" distB="0" distL="0" distR="0" wp14:anchorId="443B340F" wp14:editId="2E48FC2A">
            <wp:extent cx="5731510" cy="1339084"/>
            <wp:effectExtent l="76200" t="76200" r="135890" b="128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33908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47C7F" w:rsidRDefault="00A47C7F" w:rsidP="00A47C7F">
      <w:pPr>
        <w:pStyle w:val="Heading2"/>
      </w:pPr>
      <w:r w:rsidRPr="00A47C7F">
        <w:t xml:space="preserve">Call off of product is expected to be predominantly from Band 1, 2a and 2b, once volume commitments have been met for Bands 1, 2a &amp; 2b, usage of products from Band 3 will likely only arise where there is historical use and </w:t>
      </w:r>
      <w:r w:rsidR="006F5725">
        <w:t xml:space="preserve">where </w:t>
      </w:r>
      <w:r w:rsidRPr="00A47C7F">
        <w:t xml:space="preserve">there is a clinical reason </w:t>
      </w:r>
      <w:r w:rsidR="006F5725" w:rsidRPr="006F5725">
        <w:t>such as a minimally treated patient who is still at risk of inhibitor formation or ongoing or recent immune tolerance</w:t>
      </w:r>
      <w:r w:rsidRPr="00A47C7F">
        <w:t>, or where there is a cost advantage from use of a band 3 product relative to the band 1</w:t>
      </w:r>
      <w:r w:rsidR="00A93629">
        <w:t>, 2a or 2b</w:t>
      </w:r>
      <w:r w:rsidRPr="00A47C7F">
        <w:t xml:space="preserve"> product.</w:t>
      </w:r>
    </w:p>
    <w:p w:rsidR="0041215C" w:rsidRPr="0041215C" w:rsidRDefault="0041215C" w:rsidP="0041215C">
      <w:pPr>
        <w:pStyle w:val="Heading2"/>
      </w:pPr>
      <w:r>
        <w:t xml:space="preserve">Call off of product from Band 3 </w:t>
      </w:r>
      <w:r>
        <w:rPr>
          <w:rFonts w:cs="Arial"/>
          <w:szCs w:val="22"/>
        </w:rPr>
        <w:t>in the first instance will be called off product from the highest ranked Framework Provider in Band 3</w:t>
      </w:r>
      <w:r w:rsidRPr="003255F0">
        <w:rPr>
          <w:rFonts w:cs="Arial"/>
          <w:szCs w:val="22"/>
        </w:rPr>
        <w:t xml:space="preserve">, if this product is unsuitable to meet </w:t>
      </w:r>
      <w:r>
        <w:rPr>
          <w:rFonts w:cs="Arial"/>
          <w:szCs w:val="22"/>
        </w:rPr>
        <w:t xml:space="preserve">the </w:t>
      </w:r>
      <w:r w:rsidRPr="003255F0">
        <w:rPr>
          <w:rFonts w:cs="Arial"/>
          <w:szCs w:val="22"/>
        </w:rPr>
        <w:lastRenderedPageBreak/>
        <w:t>requirements of the patient then product</w:t>
      </w:r>
      <w:r>
        <w:rPr>
          <w:rFonts w:cs="Arial"/>
          <w:szCs w:val="22"/>
        </w:rPr>
        <w:t xml:space="preserve"> from the Framework Provider ranked second maybe called off, if this product is also unsuitable to meet the requirements of the patient then product from the Framework Provider ranked third maybe called off and so on.</w:t>
      </w:r>
      <w:r w:rsidR="00293E02">
        <w:rPr>
          <w:rFonts w:cs="Arial"/>
          <w:szCs w:val="22"/>
        </w:rPr>
        <w:t xml:space="preserve"> Call off of product from Band 3 may decrease if other products used to treat haemophilia are launched in the UK market during the life of this framework agreement.</w:t>
      </w:r>
    </w:p>
    <w:p w:rsidR="00BE7307" w:rsidRPr="00637EDF" w:rsidRDefault="00637EDF" w:rsidP="00BE7307">
      <w:pPr>
        <w:pStyle w:val="Heading2"/>
      </w:pPr>
      <w:r w:rsidRPr="00637EDF">
        <w:t>All products which fulfil the requirements of a valid tender application will be available for routine commissioning; however the level of support from commissioners will vary depending on whether the product has been awarded to Band 1, 2a or 2b. Commissioning support and strategy associated with products awarded to Band 3 (i.e. those with no guaranteed volume commitment) will be determined on historical use, clinical reason and the difference between expected treatment costs and the expected treatment cost of the band 1, 2a and 2b products. ENGLAND ONLY - for new products not previously commissioned the expectation from commissioners is that there will be little to nil use of these products if they do not secure a volume band</w:t>
      </w:r>
      <w:r w:rsidR="009B2351">
        <w:t xml:space="preserve"> with a minimum indicative volume</w:t>
      </w:r>
      <w:r w:rsidRPr="00637EDF">
        <w:t>.</w:t>
      </w:r>
    </w:p>
    <w:p w:rsidR="008D1067" w:rsidRDefault="008D1067" w:rsidP="008D1067">
      <w:pPr>
        <w:pStyle w:val="Heading1"/>
      </w:pPr>
      <w:r w:rsidRPr="00637EDF">
        <w:t>Outline</w:t>
      </w:r>
    </w:p>
    <w:p w:rsidR="008D1067" w:rsidRDefault="008D1067" w:rsidP="008D1067">
      <w:pPr>
        <w:pStyle w:val="Heading2"/>
      </w:pPr>
      <w:r>
        <w:t>As part of this IT</w:t>
      </w:r>
      <w:r w:rsidR="00260ED3">
        <w:t>T</w:t>
      </w:r>
      <w:r>
        <w:t xml:space="preserve"> Offerors</w:t>
      </w:r>
      <w:r w:rsidRPr="00380471">
        <w:t xml:space="preserve"> are requ</w:t>
      </w:r>
      <w:r>
        <w:t>ir</w:t>
      </w:r>
      <w:r w:rsidRPr="00380471">
        <w:t>e</w:t>
      </w:r>
      <w:r>
        <w:t>d</w:t>
      </w:r>
      <w:r w:rsidRPr="00380471">
        <w:t xml:space="preserve"> to </w:t>
      </w:r>
      <w:r>
        <w:t xml:space="preserve">complete </w:t>
      </w:r>
      <w:r w:rsidRPr="007013A1">
        <w:t>Document No. 0</w:t>
      </w:r>
      <w:r w:rsidR="007073AE">
        <w:t>5</w:t>
      </w:r>
      <w:r w:rsidR="00DB3440">
        <w:t>a</w:t>
      </w:r>
      <w:r w:rsidR="007013A1" w:rsidRPr="007013A1">
        <w:t xml:space="preserve"> -</w:t>
      </w:r>
      <w:r w:rsidR="00260ED3" w:rsidRPr="007013A1">
        <w:t xml:space="preserve"> rFVIII - </w:t>
      </w:r>
      <w:r w:rsidRPr="007013A1">
        <w:t>Offer Schedule.</w:t>
      </w:r>
    </w:p>
    <w:p w:rsidR="00E27C43" w:rsidRPr="00E27C43" w:rsidRDefault="00E27C43" w:rsidP="00E27C43">
      <w:pPr>
        <w:pStyle w:val="Heading2"/>
      </w:pPr>
      <w:r>
        <w:t xml:space="preserve">Offerors must provide </w:t>
      </w:r>
      <w:r w:rsidRPr="00E27C43">
        <w:t>20 product demonstration kits for reconstitution AND any other equipment needed to reconstitute or mix vials to give a 750IU dose</w:t>
      </w:r>
      <w:r>
        <w:t>. All samples must be delivered by the tender closing date using the address label provided at the end of this document.</w:t>
      </w:r>
    </w:p>
    <w:p w:rsidR="00FD76B6" w:rsidRPr="00767CEA" w:rsidRDefault="00FD76B6" w:rsidP="00FD76B6">
      <w:pPr>
        <w:pStyle w:val="Heading2"/>
      </w:pPr>
      <w:r>
        <w:t xml:space="preserve">A separate tab needs to be used in </w:t>
      </w:r>
      <w:r w:rsidRPr="007013A1">
        <w:t>Document No. 0</w:t>
      </w:r>
      <w:r w:rsidR="007073AE">
        <w:t>5</w:t>
      </w:r>
      <w:r w:rsidR="00DB3440">
        <w:t>a</w:t>
      </w:r>
      <w:r w:rsidRPr="007013A1">
        <w:t xml:space="preserve"> - rFVIII - Offer Schedule</w:t>
      </w:r>
      <w:r>
        <w:t xml:space="preserve"> for each </w:t>
      </w:r>
      <w:r w:rsidRPr="00767CEA">
        <w:t>product being offered.</w:t>
      </w:r>
    </w:p>
    <w:p w:rsidR="00FD76B6" w:rsidRPr="00767CEA" w:rsidRDefault="008D1067" w:rsidP="008D1067">
      <w:pPr>
        <w:pStyle w:val="Heading2"/>
      </w:pPr>
      <w:r w:rsidRPr="00767CEA">
        <w:t xml:space="preserve">Prices </w:t>
      </w:r>
      <w:r w:rsidR="00FD76B6" w:rsidRPr="00767CEA">
        <w:t xml:space="preserve">are to be </w:t>
      </w:r>
      <w:r w:rsidRPr="00767CEA">
        <w:t xml:space="preserve">submitted </w:t>
      </w:r>
      <w:r w:rsidR="00FD76B6" w:rsidRPr="00767CEA">
        <w:t>us</w:t>
      </w:r>
      <w:r w:rsidRPr="00767CEA">
        <w:t>in</w:t>
      </w:r>
      <w:r w:rsidR="00FD76B6" w:rsidRPr="00767CEA">
        <w:t>g</w:t>
      </w:r>
      <w:r w:rsidRPr="00767CEA">
        <w:t xml:space="preserve"> </w:t>
      </w:r>
      <w:r w:rsidR="00260ED3" w:rsidRPr="00767CEA">
        <w:t>Document No. 0</w:t>
      </w:r>
      <w:r w:rsidR="007073AE">
        <w:t>5</w:t>
      </w:r>
      <w:r w:rsidR="00DB3440">
        <w:t>a</w:t>
      </w:r>
      <w:r w:rsidR="007013A1" w:rsidRPr="00767CEA">
        <w:t xml:space="preserve"> -</w:t>
      </w:r>
      <w:r w:rsidR="00260ED3" w:rsidRPr="00767CEA">
        <w:t xml:space="preserve"> rFVIII - Offer Schedule</w:t>
      </w:r>
      <w:r w:rsidR="007013A1" w:rsidRPr="00767CEA">
        <w:t xml:space="preserve"> Doc</w:t>
      </w:r>
      <w:r w:rsidR="007073AE">
        <w:t>5</w:t>
      </w:r>
      <w:r w:rsidR="007013A1" w:rsidRPr="00767CEA">
        <w:t>C_Product Information</w:t>
      </w:r>
      <w:r w:rsidR="00FD76B6" w:rsidRPr="00767CEA">
        <w:t xml:space="preserve"> 1</w:t>
      </w:r>
      <w:r w:rsidR="007013A1" w:rsidRPr="00767CEA">
        <w:t xml:space="preserve"> [</w:t>
      </w:r>
      <w:r w:rsidR="007073AE">
        <w:t>5</w:t>
      </w:r>
      <w:r w:rsidR="00D757AB" w:rsidRPr="00767CEA">
        <w:t>C-1</w:t>
      </w:r>
      <w:r w:rsidR="00637F67" w:rsidRPr="00767CEA">
        <w:t>a</w:t>
      </w:r>
      <w:r w:rsidR="007013A1" w:rsidRPr="00767CEA">
        <w:t>]</w:t>
      </w:r>
      <w:r w:rsidR="007073AE">
        <w:t xml:space="preserve"> and Doc5</w:t>
      </w:r>
      <w:r w:rsidR="00FD76B6" w:rsidRPr="00767CEA">
        <w:t>C_Product Information 2 [</w:t>
      </w:r>
      <w:r w:rsidR="007073AE">
        <w:t>5</w:t>
      </w:r>
      <w:r w:rsidR="00FD76B6" w:rsidRPr="00767CEA">
        <w:t>C-1</w:t>
      </w:r>
      <w:r w:rsidR="00637F67" w:rsidRPr="00767CEA">
        <w:t>b</w:t>
      </w:r>
      <w:r w:rsidR="00FD76B6" w:rsidRPr="00767CEA">
        <w:t xml:space="preserve">] if </w:t>
      </w:r>
      <w:r w:rsidR="00637F67" w:rsidRPr="00767CEA">
        <w:t>a second</w:t>
      </w:r>
      <w:r w:rsidR="00FD76B6" w:rsidRPr="00767CEA">
        <w:t xml:space="preserve"> product is being offered</w:t>
      </w:r>
      <w:r w:rsidR="00637F67" w:rsidRPr="00767CEA">
        <w:t>.</w:t>
      </w:r>
      <w:r w:rsidR="00FD76B6" w:rsidRPr="00767CEA">
        <w:t xml:space="preserve"> </w:t>
      </w:r>
    </w:p>
    <w:p w:rsidR="008D1067" w:rsidRPr="00A550EB" w:rsidRDefault="00FD76B6" w:rsidP="008D1067">
      <w:pPr>
        <w:pStyle w:val="Heading2"/>
      </w:pPr>
      <w:r w:rsidRPr="00767CEA">
        <w:t xml:space="preserve">Prices </w:t>
      </w:r>
      <w:r w:rsidR="008D1067" w:rsidRPr="00767CEA">
        <w:t xml:space="preserve">will be fixed for the framework length of </w:t>
      </w:r>
      <w:r w:rsidR="00A1198B">
        <w:t>12</w:t>
      </w:r>
      <w:r w:rsidR="008D1067" w:rsidRPr="00767CEA">
        <w:t xml:space="preserve"> </w:t>
      </w:r>
      <w:r w:rsidR="00260ED3" w:rsidRPr="00767CEA">
        <w:t>months;</w:t>
      </w:r>
      <w:r w:rsidR="008D1067" w:rsidRPr="00767CEA">
        <w:t xml:space="preserve"> if the framework is extended</w:t>
      </w:r>
      <w:r w:rsidR="008D1067">
        <w:t xml:space="preserve"> then prices </w:t>
      </w:r>
      <w:r w:rsidR="00260ED3">
        <w:t>may be</w:t>
      </w:r>
      <w:r w:rsidR="008D1067">
        <w:t xml:space="preserve"> reviewed at this point.</w:t>
      </w:r>
    </w:p>
    <w:p w:rsidR="008D1067" w:rsidRPr="007013A1" w:rsidRDefault="008D1067" w:rsidP="008D1067">
      <w:pPr>
        <w:pStyle w:val="Heading2"/>
      </w:pPr>
      <w:r>
        <w:t>Offerors are required to pro</w:t>
      </w:r>
      <w:r w:rsidR="00260ED3">
        <w:t>vide their offer price(s) per IU</w:t>
      </w:r>
      <w:r>
        <w:t xml:space="preserve"> (excluding VAT) to </w:t>
      </w:r>
      <w:r w:rsidRPr="007013A1">
        <w:t>4 decimal places i.e. £0.1111.</w:t>
      </w:r>
    </w:p>
    <w:p w:rsidR="008D1067" w:rsidRPr="00260ED3" w:rsidRDefault="008D1067" w:rsidP="008D1067">
      <w:pPr>
        <w:pStyle w:val="Heading2"/>
      </w:pPr>
      <w:r>
        <w:t xml:space="preserve">Due to limitations with Participating Authorities accounting systems when calculating prices to relevant presentation size the total price per presentation will be rounded down to the nearest penny </w:t>
      </w:r>
      <w:r w:rsidRPr="00260ED3">
        <w:t>i.e. 0.1111 x 250iu = £27.775 price charged to Participating Authority £27.77 per 250iu vial.</w:t>
      </w:r>
    </w:p>
    <w:p w:rsidR="00A91D16" w:rsidRDefault="008D1067" w:rsidP="00A91D16">
      <w:pPr>
        <w:pStyle w:val="Heading2"/>
      </w:pPr>
      <w:r>
        <w:t xml:space="preserve">Offerors who </w:t>
      </w:r>
      <w:r w:rsidR="002B2807">
        <w:t>submit a price</w:t>
      </w:r>
      <w:r>
        <w:t xml:space="preserve"> in Band 1 must also </w:t>
      </w:r>
      <w:r w:rsidR="002B2807">
        <w:t>submit a price</w:t>
      </w:r>
      <w:r>
        <w:t xml:space="preserve"> for Band 2</w:t>
      </w:r>
      <w:r w:rsidR="00260ED3">
        <w:t>a, Band 2b</w:t>
      </w:r>
      <w:r>
        <w:t xml:space="preserve"> and Band 3. Offerors </w:t>
      </w:r>
      <w:r w:rsidR="002B2807">
        <w:t>submitting a price</w:t>
      </w:r>
      <w:r>
        <w:t xml:space="preserve"> for Band 2</w:t>
      </w:r>
      <w:r w:rsidR="00260ED3">
        <w:t xml:space="preserve">a and </w:t>
      </w:r>
      <w:r>
        <w:t>Band</w:t>
      </w:r>
      <w:r w:rsidR="00260ED3">
        <w:t xml:space="preserve"> 2b must </w:t>
      </w:r>
      <w:r w:rsidR="002B2807">
        <w:t>submit a price</w:t>
      </w:r>
      <w:r w:rsidR="00260ED3">
        <w:t xml:space="preserve"> for Band</w:t>
      </w:r>
      <w:r>
        <w:t xml:space="preserve"> 3</w:t>
      </w:r>
      <w:r w:rsidR="00260ED3">
        <w:t xml:space="preserve"> also</w:t>
      </w:r>
      <w:r>
        <w:t xml:space="preserve">. Offerors can </w:t>
      </w:r>
      <w:r w:rsidR="002B2807">
        <w:t>submit a price</w:t>
      </w:r>
      <w:r>
        <w:t xml:space="preserve"> for Band 3 only.</w:t>
      </w:r>
      <w:r w:rsidR="002B2807">
        <w:t xml:space="preserve"> See the example below for clarification.</w:t>
      </w:r>
    </w:p>
    <w:p w:rsidR="00C00C06" w:rsidRPr="00C00C06" w:rsidRDefault="00C00C06" w:rsidP="00C00C06"/>
    <w:p w:rsidR="00A91D16" w:rsidRPr="00A91D16" w:rsidRDefault="00A91D16" w:rsidP="00A91D16">
      <w:r w:rsidRPr="00A91D16">
        <w:rPr>
          <w:noProof/>
          <w:lang w:eastAsia="en-GB"/>
        </w:rPr>
        <w:lastRenderedPageBreak/>
        <w:drawing>
          <wp:inline distT="0" distB="0" distL="0" distR="0" wp14:anchorId="40FEB37F" wp14:editId="0638D99F">
            <wp:extent cx="5731510" cy="2233730"/>
            <wp:effectExtent l="76200" t="76200" r="135890" b="128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22337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D1067" w:rsidRPr="0050383D" w:rsidRDefault="008D1067" w:rsidP="008D1067">
      <w:pPr>
        <w:pStyle w:val="Heading2"/>
      </w:pPr>
      <w:r>
        <w:t xml:space="preserve">Offer prices must either </w:t>
      </w:r>
      <w:r w:rsidRPr="0050383D">
        <w:t>be identical or decrease from Band 3 to Band 1.</w:t>
      </w:r>
    </w:p>
    <w:p w:rsidR="00CF1A56" w:rsidRDefault="00CF1A56" w:rsidP="00CF1A56">
      <w:pPr>
        <w:pStyle w:val="Heading2"/>
      </w:pPr>
      <w:r>
        <w:t>Evaluation of prices will be as follows:</w:t>
      </w:r>
    </w:p>
    <w:p w:rsidR="00CF1A56" w:rsidRDefault="00CE35AD" w:rsidP="00924837">
      <w:pPr>
        <w:pStyle w:val="Heading3"/>
      </w:pPr>
      <w:r w:rsidRPr="00755184">
        <w:t>All prices for Band 1 will be evaluated with the lowest price receiving top marks; this price will then be the benchmark for the scoring of the other prices submitted for Band 1</w:t>
      </w:r>
      <w:r w:rsidR="00455854">
        <w:t>. T</w:t>
      </w:r>
      <w:r w:rsidRPr="00755184">
        <w:t xml:space="preserve">he product that scores </w:t>
      </w:r>
      <w:r w:rsidR="00454019">
        <w:t xml:space="preserve">the highest overall evaluation score </w:t>
      </w:r>
      <w:r w:rsidRPr="00755184">
        <w:t xml:space="preserve">will be </w:t>
      </w:r>
      <w:r w:rsidR="00455854">
        <w:t xml:space="preserve">awarded to Band 1 and </w:t>
      </w:r>
      <w:r w:rsidRPr="00755184">
        <w:t xml:space="preserve">removed from the evaluation for all the other bands. </w:t>
      </w:r>
    </w:p>
    <w:p w:rsidR="00CF1A56" w:rsidRDefault="00CE35AD" w:rsidP="00924837">
      <w:pPr>
        <w:pStyle w:val="Heading3"/>
      </w:pPr>
      <w:r w:rsidRPr="00755184">
        <w:t xml:space="preserve">All prices offered for Band 2a (less the product </w:t>
      </w:r>
      <w:r w:rsidR="00454019">
        <w:t>awarded to</w:t>
      </w:r>
      <w:r w:rsidRPr="00755184">
        <w:t xml:space="preserve"> Band 1) will </w:t>
      </w:r>
      <w:r w:rsidR="00871D32" w:rsidRPr="00755184">
        <w:t xml:space="preserve">then </w:t>
      </w:r>
      <w:r w:rsidRPr="00755184">
        <w:t xml:space="preserve">be evaluated </w:t>
      </w:r>
      <w:r w:rsidR="00C750F0" w:rsidRPr="00755184">
        <w:t>and the lowest price will receive top marks and will be used as the benchmark for scoring all the other prices submitted for Band 2a</w:t>
      </w:r>
      <w:r w:rsidR="00455854">
        <w:t>. T</w:t>
      </w:r>
      <w:r w:rsidR="00C750F0" w:rsidRPr="00755184">
        <w:t xml:space="preserve">he product that scores </w:t>
      </w:r>
      <w:r w:rsidR="00454019">
        <w:t xml:space="preserve">the highest overall evaluation score </w:t>
      </w:r>
      <w:r w:rsidR="00C750F0" w:rsidRPr="00755184">
        <w:t xml:space="preserve">will be </w:t>
      </w:r>
      <w:r w:rsidR="00455854">
        <w:t xml:space="preserve">awarded to Band 2a and </w:t>
      </w:r>
      <w:r w:rsidR="00C750F0" w:rsidRPr="00755184">
        <w:t xml:space="preserve">removed from the price evaluation for the remaining bands. </w:t>
      </w:r>
    </w:p>
    <w:p w:rsidR="00CF1A56" w:rsidRDefault="0004123A" w:rsidP="00924837">
      <w:pPr>
        <w:pStyle w:val="Heading3"/>
      </w:pPr>
      <w:r w:rsidRPr="00755184">
        <w:t>Next a</w:t>
      </w:r>
      <w:r w:rsidR="00C750F0" w:rsidRPr="00755184">
        <w:t>ll prices offered for Band 2b (less the</w:t>
      </w:r>
      <w:r w:rsidR="00B55008" w:rsidRPr="00755184">
        <w:t xml:space="preserve"> product</w:t>
      </w:r>
      <w:r w:rsidR="00B55008">
        <w:t>s</w:t>
      </w:r>
      <w:r w:rsidR="00B55008" w:rsidRPr="00755184">
        <w:t xml:space="preserve"> </w:t>
      </w:r>
      <w:r w:rsidR="00B55008">
        <w:t>awarded to</w:t>
      </w:r>
      <w:r w:rsidR="00B55008" w:rsidRPr="00755184">
        <w:t xml:space="preserve"> Band 1</w:t>
      </w:r>
      <w:r w:rsidR="00C750F0" w:rsidRPr="00755184">
        <w:t xml:space="preserve"> and 2a) will be evaluated and the lowest price offered for Band 2b will score top marks and will be the benchmark for scoring all the other prices submitted for Band 2</w:t>
      </w:r>
      <w:r w:rsidR="0024543E" w:rsidRPr="00755184">
        <w:t>b</w:t>
      </w:r>
      <w:r w:rsidR="00455854">
        <w:t>. T</w:t>
      </w:r>
      <w:r w:rsidR="0024543E" w:rsidRPr="00755184">
        <w:t xml:space="preserve">he product that scores </w:t>
      </w:r>
      <w:r w:rsidR="00B55008">
        <w:t xml:space="preserve">the highest overall evaluation score </w:t>
      </w:r>
      <w:r w:rsidR="0024543E" w:rsidRPr="00755184">
        <w:t xml:space="preserve">will be </w:t>
      </w:r>
      <w:r w:rsidR="00455854">
        <w:t xml:space="preserve">awarded to Band 2b and </w:t>
      </w:r>
      <w:r w:rsidR="0024543E" w:rsidRPr="00755184">
        <w:t xml:space="preserve">removed from the </w:t>
      </w:r>
      <w:r w:rsidR="00BD61A8" w:rsidRPr="00755184">
        <w:t xml:space="preserve">price </w:t>
      </w:r>
      <w:r w:rsidR="0024543E" w:rsidRPr="00755184">
        <w:t xml:space="preserve">evaluation for Band 3. </w:t>
      </w:r>
    </w:p>
    <w:p w:rsidR="00656098" w:rsidRPr="00755184" w:rsidRDefault="0004123A" w:rsidP="00924837">
      <w:pPr>
        <w:pStyle w:val="Heading3"/>
      </w:pPr>
      <w:r w:rsidRPr="00755184">
        <w:t>Finally a</w:t>
      </w:r>
      <w:r w:rsidR="0024543E" w:rsidRPr="00755184">
        <w:t xml:space="preserve">ll prices offered for Band 3 </w:t>
      </w:r>
      <w:r w:rsidR="00B55008">
        <w:t>(</w:t>
      </w:r>
      <w:r w:rsidR="00B55008" w:rsidRPr="00755184">
        <w:t>less the product</w:t>
      </w:r>
      <w:r w:rsidR="00B55008">
        <w:t>s</w:t>
      </w:r>
      <w:r w:rsidR="00B55008" w:rsidRPr="00755184">
        <w:t xml:space="preserve"> </w:t>
      </w:r>
      <w:r w:rsidR="00B55008">
        <w:t>awarded to</w:t>
      </w:r>
      <w:r w:rsidR="00B55008" w:rsidRPr="00755184">
        <w:t xml:space="preserve"> Band 1</w:t>
      </w:r>
      <w:r w:rsidR="00B55008">
        <w:t xml:space="preserve">, </w:t>
      </w:r>
      <w:r w:rsidR="00B55008" w:rsidRPr="00755184">
        <w:t>2a</w:t>
      </w:r>
      <w:r w:rsidR="0024543E" w:rsidRPr="00755184">
        <w:t xml:space="preserve"> and 2b)</w:t>
      </w:r>
      <w:r w:rsidR="00BD61A8" w:rsidRPr="00755184">
        <w:t xml:space="preserve"> will be evaluated and the lowest price offered for Band 3 will score top marks and will be the benchmark for scoring all the other prices submitted for Band 3</w:t>
      </w:r>
      <w:r w:rsidR="004018A1" w:rsidRPr="00755184">
        <w:t xml:space="preserve">. </w:t>
      </w:r>
    </w:p>
    <w:p w:rsidR="00620C5A" w:rsidRDefault="00230BAB" w:rsidP="00924837">
      <w:pPr>
        <w:pStyle w:val="Heading3"/>
      </w:pPr>
      <w:r w:rsidRPr="00620C5A">
        <w:t xml:space="preserve">For further information </w:t>
      </w:r>
      <w:r w:rsidR="00620C5A" w:rsidRPr="00620C5A">
        <w:t>see</w:t>
      </w:r>
      <w:r w:rsidR="00656098" w:rsidRPr="00620C5A">
        <w:t xml:space="preserve"> table</w:t>
      </w:r>
      <w:r w:rsidR="00620C5A" w:rsidRPr="00620C5A">
        <w:t xml:space="preserve"> 1 and 2 below. </w:t>
      </w:r>
    </w:p>
    <w:p w:rsidR="00CF1A56" w:rsidRDefault="00CF1A56">
      <w:pPr>
        <w:jc w:val="left"/>
        <w:sectPr w:rsidR="00CF1A56" w:rsidSect="00CF1A56">
          <w:headerReference w:type="default" r:id="rId12"/>
          <w:footerReference w:type="default" r:id="rId13"/>
          <w:pgSz w:w="11906" w:h="16838" w:code="9"/>
          <w:pgMar w:top="1440" w:right="1440" w:bottom="1440" w:left="1440" w:header="709" w:footer="709" w:gutter="0"/>
          <w:paperSrc w:first="261" w:other="261"/>
          <w:cols w:space="708"/>
          <w:docGrid w:linePitch="360"/>
        </w:sectPr>
      </w:pPr>
      <w:r>
        <w:br w:type="page"/>
      </w:r>
    </w:p>
    <w:p w:rsidR="00CF1A56" w:rsidRDefault="00CF1A56">
      <w:pPr>
        <w:jc w:val="left"/>
        <w:rPr>
          <w:bCs/>
          <w:szCs w:val="26"/>
        </w:rPr>
      </w:pPr>
    </w:p>
    <w:p w:rsidR="00230BAB" w:rsidRDefault="00230BAB" w:rsidP="00871D32">
      <w:pPr>
        <w:pStyle w:val="Heading2"/>
        <w:numPr>
          <w:ilvl w:val="0"/>
          <w:numId w:val="0"/>
        </w:numPr>
        <w:ind w:left="576"/>
      </w:pPr>
    </w:p>
    <w:p w:rsidR="00CF1A56" w:rsidRDefault="00CF1A56" w:rsidP="00CF1A56">
      <w:pPr>
        <w:pStyle w:val="Heading2"/>
        <w:numPr>
          <w:ilvl w:val="0"/>
          <w:numId w:val="0"/>
        </w:numPr>
        <w:ind w:left="576"/>
      </w:pPr>
      <w:r w:rsidRPr="00620C5A">
        <w:t>Table 1 illustrates the scoring of prices</w:t>
      </w:r>
      <w:r>
        <w:t xml:space="preserve"> </w:t>
      </w:r>
      <w:r w:rsidRPr="00620C5A">
        <w:t>where the lowest price</w:t>
      </w:r>
      <w:r>
        <w:t>d product</w:t>
      </w:r>
      <w:r w:rsidRPr="00620C5A">
        <w:t xml:space="preserve"> has achieved the highest overall evaluation score</w:t>
      </w:r>
      <w:r>
        <w:t xml:space="preserve"> and has therefore been awarded to the relevant band</w:t>
      </w:r>
      <w:r w:rsidRPr="00620C5A">
        <w:t xml:space="preserve">. </w:t>
      </w:r>
    </w:p>
    <w:p w:rsidR="00CF1A56" w:rsidRDefault="00CF1A56" w:rsidP="00CF1A56"/>
    <w:p w:rsidR="0083112A" w:rsidRDefault="0083112A" w:rsidP="00810502"/>
    <w:p w:rsidR="00810502" w:rsidRPr="00810502" w:rsidRDefault="00810502" w:rsidP="00810502"/>
    <w:p w:rsidR="004018A1" w:rsidRPr="004018A1" w:rsidRDefault="008975FF" w:rsidP="00C64FA9">
      <w:r w:rsidRPr="008975FF">
        <w:rPr>
          <w:noProof/>
          <w:lang w:eastAsia="en-GB"/>
        </w:rPr>
        <w:drawing>
          <wp:inline distT="0" distB="0" distL="0" distR="0" wp14:anchorId="54B20662" wp14:editId="4CABB066">
            <wp:extent cx="9450117" cy="1634836"/>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64913" cy="1637396"/>
                    </a:xfrm>
                    <a:prstGeom prst="rect">
                      <a:avLst/>
                    </a:prstGeom>
                    <a:noFill/>
                    <a:ln>
                      <a:noFill/>
                    </a:ln>
                  </pic:spPr>
                </pic:pic>
              </a:graphicData>
            </a:graphic>
          </wp:inline>
        </w:drawing>
      </w:r>
    </w:p>
    <w:p w:rsidR="004018A1" w:rsidRDefault="004018A1" w:rsidP="004018A1"/>
    <w:p w:rsidR="004018A1" w:rsidRDefault="004018A1" w:rsidP="004018A1"/>
    <w:p w:rsidR="00230BAB" w:rsidRDefault="00230BAB" w:rsidP="004018A1"/>
    <w:p w:rsidR="00230BAB" w:rsidRDefault="008975FF" w:rsidP="004018A1">
      <w:r>
        <w:rPr>
          <w:noProof/>
          <w:lang w:eastAsia="en-GB"/>
        </w:rPr>
        <w:drawing>
          <wp:inline distT="0" distB="0" distL="0" distR="0" wp14:anchorId="719B07E0" wp14:editId="638A1FDF">
            <wp:extent cx="9497291" cy="74866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98587" cy="748763"/>
                    </a:xfrm>
                    <a:prstGeom prst="rect">
                      <a:avLst/>
                    </a:prstGeom>
                    <a:noFill/>
                  </pic:spPr>
                </pic:pic>
              </a:graphicData>
            </a:graphic>
          </wp:inline>
        </w:drawing>
      </w:r>
    </w:p>
    <w:p w:rsidR="00CF1A56" w:rsidRDefault="00CF1A56" w:rsidP="00CF1A56">
      <w:pPr>
        <w:pStyle w:val="NoSpacing"/>
      </w:pPr>
    </w:p>
    <w:p w:rsidR="00CF1A56" w:rsidRPr="00CF1A56" w:rsidRDefault="00CF1A56" w:rsidP="00CF1A56">
      <w:pPr>
        <w:pStyle w:val="NoSpacing"/>
        <w:ind w:firstLine="576"/>
        <w:rPr>
          <w:b/>
        </w:rPr>
      </w:pPr>
      <w:r w:rsidRPr="00CF1A56">
        <w:rPr>
          <w:b/>
        </w:rPr>
        <w:t>Table 1</w:t>
      </w:r>
      <w:r>
        <w:rPr>
          <w:b/>
        </w:rPr>
        <w:t>:</w:t>
      </w:r>
      <w:r w:rsidRPr="00CF1A56">
        <w:rPr>
          <w:b/>
        </w:rPr>
        <w:t xml:space="preserve"> pricing evaluation where lowest price has the highest overall evaluation score and is awarded the relevant Band</w:t>
      </w:r>
    </w:p>
    <w:p w:rsidR="004018A1" w:rsidRDefault="004018A1" w:rsidP="004018A1"/>
    <w:p w:rsidR="00C64FA9" w:rsidRDefault="00C64FA9">
      <w:pPr>
        <w:jc w:val="left"/>
      </w:pPr>
      <w:r>
        <w:br w:type="page"/>
      </w:r>
    </w:p>
    <w:p w:rsidR="0083112A" w:rsidRDefault="0083112A">
      <w:pPr>
        <w:jc w:val="left"/>
      </w:pPr>
    </w:p>
    <w:p w:rsidR="0083112A" w:rsidRDefault="0083112A">
      <w:pPr>
        <w:jc w:val="left"/>
      </w:pPr>
    </w:p>
    <w:p w:rsidR="00CF1A56" w:rsidRDefault="00CF1A56" w:rsidP="00CF1A56">
      <w:pPr>
        <w:pStyle w:val="Heading2"/>
        <w:numPr>
          <w:ilvl w:val="0"/>
          <w:numId w:val="0"/>
        </w:numPr>
        <w:ind w:left="720"/>
      </w:pPr>
      <w:r w:rsidRPr="00620C5A">
        <w:t xml:space="preserve">Table 2 illustrates the scoring of prices where the highest overall evaluation score is awarded the relevant Band; however </w:t>
      </w:r>
      <w:r>
        <w:t xml:space="preserve">in the case of the award of Band 1 </w:t>
      </w:r>
      <w:r w:rsidRPr="00620C5A">
        <w:t xml:space="preserve">the </w:t>
      </w:r>
      <w:r>
        <w:t>awarded product was actually the second most competitively priced offered.</w:t>
      </w:r>
    </w:p>
    <w:p w:rsidR="0083112A" w:rsidRDefault="0083112A">
      <w:pPr>
        <w:jc w:val="left"/>
      </w:pPr>
    </w:p>
    <w:p w:rsidR="0083112A" w:rsidRDefault="0083112A">
      <w:pPr>
        <w:jc w:val="left"/>
      </w:pPr>
    </w:p>
    <w:p w:rsidR="0083112A" w:rsidRDefault="0083112A">
      <w:pPr>
        <w:jc w:val="left"/>
      </w:pPr>
    </w:p>
    <w:p w:rsidR="0083112A" w:rsidRDefault="008975FF">
      <w:pPr>
        <w:jc w:val="left"/>
      </w:pPr>
      <w:r w:rsidRPr="008975FF">
        <w:rPr>
          <w:noProof/>
          <w:lang w:eastAsia="en-GB"/>
        </w:rPr>
        <w:drawing>
          <wp:inline distT="0" distB="0" distL="0" distR="0" wp14:anchorId="44F5A5D2" wp14:editId="1EE75424">
            <wp:extent cx="9249904" cy="1600200"/>
            <wp:effectExtent l="0" t="0" r="889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64387" cy="1602705"/>
                    </a:xfrm>
                    <a:prstGeom prst="rect">
                      <a:avLst/>
                    </a:prstGeom>
                    <a:noFill/>
                    <a:ln>
                      <a:noFill/>
                    </a:ln>
                  </pic:spPr>
                </pic:pic>
              </a:graphicData>
            </a:graphic>
          </wp:inline>
        </w:drawing>
      </w:r>
    </w:p>
    <w:p w:rsidR="0083112A" w:rsidRDefault="0083112A">
      <w:pPr>
        <w:jc w:val="left"/>
      </w:pPr>
    </w:p>
    <w:p w:rsidR="00CF1A56" w:rsidRDefault="0083112A">
      <w:pPr>
        <w:jc w:val="left"/>
      </w:pPr>
      <w:r w:rsidRPr="0083112A">
        <w:t xml:space="preserve"> </w:t>
      </w:r>
      <w:r w:rsidR="008975FF">
        <w:rPr>
          <w:noProof/>
          <w:lang w:eastAsia="en-GB"/>
        </w:rPr>
        <w:drawing>
          <wp:inline distT="0" distB="0" distL="0" distR="0" wp14:anchorId="2B939D4E" wp14:editId="590683F7">
            <wp:extent cx="9296400" cy="73282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97669" cy="732924"/>
                    </a:xfrm>
                    <a:prstGeom prst="rect">
                      <a:avLst/>
                    </a:prstGeom>
                    <a:noFill/>
                  </pic:spPr>
                </pic:pic>
              </a:graphicData>
            </a:graphic>
          </wp:inline>
        </w:drawing>
      </w:r>
    </w:p>
    <w:p w:rsidR="00CF1A56" w:rsidRDefault="00CF1A56">
      <w:pPr>
        <w:jc w:val="left"/>
      </w:pPr>
    </w:p>
    <w:p w:rsidR="00CF1A56" w:rsidRPr="00CF1A56" w:rsidRDefault="00CF1A56" w:rsidP="00CF1A56">
      <w:pPr>
        <w:pStyle w:val="Heading2"/>
        <w:numPr>
          <w:ilvl w:val="0"/>
          <w:numId w:val="0"/>
        </w:numPr>
        <w:ind w:left="576"/>
        <w:rPr>
          <w:b/>
        </w:rPr>
      </w:pPr>
      <w:r w:rsidRPr="00CF1A56">
        <w:rPr>
          <w:b/>
        </w:rPr>
        <w:t xml:space="preserve">Table 2: pricing evaluation where the second most competitive price has the highest overall evaluation score and is awarded the relevant Band </w:t>
      </w:r>
    </w:p>
    <w:p w:rsidR="00CF1A56" w:rsidRDefault="00CF1A56">
      <w:pPr>
        <w:jc w:val="left"/>
        <w:sectPr w:rsidR="00CF1A56" w:rsidSect="00CF1A56">
          <w:pgSz w:w="16838" w:h="11906" w:orient="landscape" w:code="9"/>
          <w:pgMar w:top="1440" w:right="1440" w:bottom="1440" w:left="1440" w:header="709" w:footer="709" w:gutter="0"/>
          <w:cols w:space="708"/>
          <w:docGrid w:linePitch="360"/>
        </w:sectPr>
      </w:pPr>
    </w:p>
    <w:p w:rsidR="00403B16" w:rsidRPr="00755184" w:rsidRDefault="00403B16" w:rsidP="00403B16">
      <w:pPr>
        <w:pStyle w:val="Heading2"/>
      </w:pPr>
      <w:r w:rsidRPr="00755184">
        <w:lastRenderedPageBreak/>
        <w:t xml:space="preserve">Where two </w:t>
      </w:r>
      <w:r w:rsidR="00871D32" w:rsidRPr="00755184">
        <w:t xml:space="preserve">overall </w:t>
      </w:r>
      <w:r w:rsidRPr="00755184">
        <w:t>scores are equal highest the total usage from Band 1 and Band 2a will be shared equally between</w:t>
      </w:r>
      <w:r w:rsidR="00871D32" w:rsidRPr="00755184">
        <w:t xml:space="preserve"> both</w:t>
      </w:r>
      <w:r w:rsidRPr="00755184">
        <w:t xml:space="preserve"> the r</w:t>
      </w:r>
      <w:r w:rsidR="00871D32" w:rsidRPr="00755184">
        <w:t>anked one suppliers, i.e. 125m IU</w:t>
      </w:r>
      <w:r w:rsidRPr="00755184">
        <w:t xml:space="preserve"> minimum will be awarded to each. The third ranked supplier will then be awarded to Band 2b. Where two scores are equal for Band 1 and two for Band 2, the third and fourth ranked suppliers wi</w:t>
      </w:r>
      <w:r w:rsidR="00871D32" w:rsidRPr="00755184">
        <w:t>ll be awarded a minimum of 75m IU each.  This would leave 120m IU</w:t>
      </w:r>
      <w:r w:rsidRPr="00755184">
        <w:t xml:space="preserve"> unallocated.</w:t>
      </w:r>
    </w:p>
    <w:p w:rsidR="008D1067" w:rsidRPr="007013A1" w:rsidRDefault="008D1067" w:rsidP="008D1067">
      <w:pPr>
        <w:pStyle w:val="Heading2"/>
      </w:pPr>
      <w:r w:rsidRPr="00755184">
        <w:t xml:space="preserve">Offerors are required </w:t>
      </w:r>
      <w:r>
        <w:t>to provide the maximum volume that can be supplied for this framework per annum</w:t>
      </w:r>
      <w:r w:rsidR="00D757AB">
        <w:t xml:space="preserve"> in </w:t>
      </w:r>
      <w:r w:rsidR="00D757AB" w:rsidRPr="007013A1">
        <w:t>Document No. 0</w:t>
      </w:r>
      <w:r w:rsidR="007073AE">
        <w:t>5</w:t>
      </w:r>
      <w:r w:rsidR="00DB3440">
        <w:t>a</w:t>
      </w:r>
      <w:r w:rsidR="007013A1" w:rsidRPr="007013A1">
        <w:t xml:space="preserve"> -</w:t>
      </w:r>
      <w:r w:rsidR="00D757AB" w:rsidRPr="007013A1">
        <w:t xml:space="preserve"> rFVIII - </w:t>
      </w:r>
      <w:r w:rsidR="007013A1" w:rsidRPr="007013A1">
        <w:t>Offer Sch</w:t>
      </w:r>
      <w:r w:rsidR="00637F67">
        <w:t>edule Doc</w:t>
      </w:r>
      <w:r w:rsidR="007073AE">
        <w:t>5</w:t>
      </w:r>
      <w:r w:rsidR="00637F67">
        <w:t>C_Product Information.</w:t>
      </w:r>
    </w:p>
    <w:p w:rsidR="007A2634" w:rsidRDefault="008D1067" w:rsidP="008D1067">
      <w:pPr>
        <w:pStyle w:val="Heading2"/>
      </w:pPr>
      <w:r>
        <w:t xml:space="preserve">CMU will monitor total sales and review on a 12 month period from the framework start date. </w:t>
      </w:r>
    </w:p>
    <w:p w:rsidR="007A2634" w:rsidRDefault="008D1067" w:rsidP="00924837">
      <w:pPr>
        <w:pStyle w:val="Heading3"/>
      </w:pPr>
      <w:r>
        <w:t xml:space="preserve">In the instances where sales volumes are not </w:t>
      </w:r>
      <w:r w:rsidR="00D757AB">
        <w:t>in line</w:t>
      </w:r>
      <w:r>
        <w:t xml:space="preserve"> with the supplier’s awarded </w:t>
      </w:r>
      <w:r w:rsidR="002B2807">
        <w:t>volume</w:t>
      </w:r>
      <w:r>
        <w:t xml:space="preserve"> band the price for the following 12 months will match the supplier’s offer price for the quantity banding supplied for the previous 12 months, therefore prices can increase or decrease </w:t>
      </w:r>
    </w:p>
    <w:p w:rsidR="007A2634" w:rsidRDefault="007A2634" w:rsidP="00924837">
      <w:pPr>
        <w:pStyle w:val="Heading3"/>
      </w:pPr>
      <w:r>
        <w:t>I</w:t>
      </w:r>
      <w:r w:rsidR="008D1067" w:rsidRPr="00D757AB">
        <w:t>f a supplier's sales awarded to Band 2</w:t>
      </w:r>
      <w:r w:rsidR="00D757AB">
        <w:t>a</w:t>
      </w:r>
      <w:r w:rsidR="008D1067" w:rsidRPr="00D757AB">
        <w:t xml:space="preserve"> went over </w:t>
      </w:r>
      <w:r w:rsidR="00D757AB">
        <w:t>150</w:t>
      </w:r>
      <w:r w:rsidR="008D1067" w:rsidRPr="00D757AB">
        <w:t>m IU</w:t>
      </w:r>
      <w:r w:rsidR="00D757AB">
        <w:t>s</w:t>
      </w:r>
      <w:r w:rsidR="008D1067" w:rsidRPr="00D757AB">
        <w:t xml:space="preserve"> the price charged for the next 12 months would be the price offered for Band 1 in the supplier's bid. </w:t>
      </w:r>
    </w:p>
    <w:p w:rsidR="007A2634" w:rsidRDefault="008D1067" w:rsidP="00924837">
      <w:pPr>
        <w:pStyle w:val="Heading3"/>
      </w:pPr>
      <w:r w:rsidRPr="00D757AB">
        <w:t>If the supplier's sales</w:t>
      </w:r>
      <w:r w:rsidR="00D757AB">
        <w:t xml:space="preserve"> awarded to Band </w:t>
      </w:r>
      <w:r w:rsidRPr="00D757AB">
        <w:t>2</w:t>
      </w:r>
      <w:r w:rsidR="00D757AB">
        <w:t>a</w:t>
      </w:r>
      <w:r w:rsidRPr="00D757AB">
        <w:t xml:space="preserve"> did not meet 100m IU then the price charged for the next 12 months would be the price offered for Band 3 in the supplier's bid. </w:t>
      </w:r>
    </w:p>
    <w:p w:rsidR="007A2634" w:rsidRDefault="00D90276" w:rsidP="00924837">
      <w:pPr>
        <w:pStyle w:val="Heading3"/>
      </w:pPr>
      <w:r w:rsidRPr="009628ED">
        <w:t>To account for time lags of data reporting a</w:t>
      </w:r>
      <w:r w:rsidR="00D55ECF" w:rsidRPr="009628ED">
        <w:t xml:space="preserve">ny price adjustments would be implemented from the </w:t>
      </w:r>
      <w:r w:rsidRPr="009628ED">
        <w:t>1</w:t>
      </w:r>
      <w:r w:rsidRPr="009628ED">
        <w:rPr>
          <w:vertAlign w:val="superscript"/>
        </w:rPr>
        <w:t>st</w:t>
      </w:r>
      <w:r w:rsidRPr="009628ED">
        <w:t xml:space="preserve"> of </w:t>
      </w:r>
      <w:r w:rsidR="000377DF">
        <w:t>April</w:t>
      </w:r>
      <w:r w:rsidRPr="009628ED">
        <w:t xml:space="preserve"> and in place for a minimum of 12 months when the next review takes place. </w:t>
      </w:r>
    </w:p>
    <w:p w:rsidR="008D1067" w:rsidRPr="00AF026B" w:rsidRDefault="008D1067" w:rsidP="00924837">
      <w:pPr>
        <w:pStyle w:val="Heading3"/>
      </w:pPr>
      <w:r w:rsidRPr="00D757AB">
        <w:t xml:space="preserve">For the purpose of this exercise sales data provided to CMU will be used. </w:t>
      </w:r>
    </w:p>
    <w:p w:rsidR="008D1067" w:rsidRPr="009056EF" w:rsidRDefault="008D1067" w:rsidP="008D1067">
      <w:pPr>
        <w:pStyle w:val="Heading2"/>
      </w:pPr>
      <w:r w:rsidRPr="001C05EE">
        <w:t xml:space="preserve">Once the awards have been </w:t>
      </w:r>
      <w:r>
        <w:t>issued</w:t>
      </w:r>
      <w:r w:rsidRPr="001C05EE">
        <w:t xml:space="preserve">, stakeholders will be requested to indicate what product and volumes they intend to use, this information will be fed back to the successful suppliers. </w:t>
      </w:r>
      <w:r>
        <w:t>This information will be an indication only and not a guarantee of usage.</w:t>
      </w:r>
    </w:p>
    <w:p w:rsidR="00087586" w:rsidRDefault="00087586" w:rsidP="00087586">
      <w:pPr>
        <w:pStyle w:val="Heading1"/>
      </w:pPr>
      <w:r w:rsidRPr="00D750FB">
        <w:t xml:space="preserve">Award Criteria </w:t>
      </w:r>
    </w:p>
    <w:p w:rsidR="00406368" w:rsidRDefault="00087586" w:rsidP="00C958BA">
      <w:pPr>
        <w:pStyle w:val="Heading2"/>
      </w:pPr>
      <w:r>
        <w:t>The award of this framework will be based on the most economically advantageous tender (MEAT)</w:t>
      </w:r>
      <w:r w:rsidR="00C958BA">
        <w:t>.</w:t>
      </w:r>
      <w:r w:rsidR="009E67AC">
        <w:t xml:space="preserve"> </w:t>
      </w:r>
    </w:p>
    <w:p w:rsidR="00C958BA" w:rsidRDefault="00A91D16" w:rsidP="00C958BA">
      <w:pPr>
        <w:pStyle w:val="Heading2"/>
      </w:pPr>
      <w:r>
        <w:t>Award criteria for this framework are</w:t>
      </w:r>
      <w:r w:rsidR="00EA15BA">
        <w:t>:</w:t>
      </w:r>
    </w:p>
    <w:p w:rsidR="009628ED" w:rsidRPr="009628ED" w:rsidRDefault="009628ED" w:rsidP="009628ED"/>
    <w:p w:rsidR="00A91D16" w:rsidRPr="00A91D16" w:rsidRDefault="00A91D16" w:rsidP="00A91D16">
      <w:r w:rsidRPr="00A91D16">
        <w:rPr>
          <w:noProof/>
          <w:lang w:eastAsia="en-GB"/>
        </w:rPr>
        <w:lastRenderedPageBreak/>
        <w:drawing>
          <wp:inline distT="0" distB="0" distL="0" distR="0" wp14:anchorId="4FEA51C3" wp14:editId="6B4F7E54">
            <wp:extent cx="3360420" cy="19906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60420" cy="1990684"/>
                    </a:xfrm>
                    <a:prstGeom prst="rect">
                      <a:avLst/>
                    </a:prstGeom>
                    <a:noFill/>
                    <a:ln>
                      <a:noFill/>
                    </a:ln>
                  </pic:spPr>
                </pic:pic>
              </a:graphicData>
            </a:graphic>
          </wp:inline>
        </w:drawing>
      </w:r>
    </w:p>
    <w:p w:rsidR="00C958BA" w:rsidRDefault="00C958BA" w:rsidP="00C958BA"/>
    <w:p w:rsidR="00A91D16" w:rsidRPr="00210367" w:rsidRDefault="00A91D16" w:rsidP="00A91D16">
      <w:pPr>
        <w:pStyle w:val="Heading2"/>
      </w:pPr>
      <w:r>
        <w:t>For information of how each of the award criteria will be evaluated</w:t>
      </w:r>
      <w:r w:rsidR="00FB3022">
        <w:t xml:space="preserve"> and scored</w:t>
      </w:r>
      <w:r>
        <w:t xml:space="preserve"> please see the table below</w:t>
      </w:r>
      <w:r w:rsidR="00FB3022">
        <w:t xml:space="preserve"> </w:t>
      </w:r>
      <w:r w:rsidR="00210367">
        <w:t xml:space="preserve">and </w:t>
      </w:r>
      <w:r w:rsidR="00FB3022">
        <w:t xml:space="preserve">also see </w:t>
      </w:r>
      <w:r w:rsidR="007073AE">
        <w:t>Document No. 05</w:t>
      </w:r>
      <w:r w:rsidR="00637F67" w:rsidRPr="00210367">
        <w:t>b</w:t>
      </w:r>
      <w:r w:rsidR="00FB3022" w:rsidRPr="00210367">
        <w:t xml:space="preserve"> - rFVIII - Scoring Methodology</w:t>
      </w:r>
      <w:r w:rsidR="004D52DA">
        <w:t>.</w:t>
      </w:r>
    </w:p>
    <w:p w:rsidR="003411FB" w:rsidRDefault="003411FB" w:rsidP="00C958BA"/>
    <w:tbl>
      <w:tblPr>
        <w:tblStyle w:val="TableGrid"/>
        <w:tblW w:w="0" w:type="auto"/>
        <w:tblInd w:w="108" w:type="dxa"/>
        <w:tblLayout w:type="fixed"/>
        <w:tblLook w:val="04A0" w:firstRow="1" w:lastRow="0" w:firstColumn="1" w:lastColumn="0" w:noHBand="0" w:noVBand="1"/>
      </w:tblPr>
      <w:tblGrid>
        <w:gridCol w:w="2274"/>
        <w:gridCol w:w="5523"/>
        <w:gridCol w:w="1337"/>
      </w:tblGrid>
      <w:tr w:rsidR="006D6760" w:rsidRPr="006D6760" w:rsidTr="00452A14">
        <w:tc>
          <w:tcPr>
            <w:tcW w:w="2274" w:type="dxa"/>
            <w:shd w:val="clear" w:color="auto" w:fill="000000" w:themeFill="text1"/>
            <w:vAlign w:val="center"/>
          </w:tcPr>
          <w:p w:rsidR="003243CB" w:rsidRPr="006D6760" w:rsidRDefault="003243CB" w:rsidP="003243CB">
            <w:pPr>
              <w:jc w:val="center"/>
              <w:rPr>
                <w:b/>
                <w:color w:val="FFFFFF" w:themeColor="background1"/>
              </w:rPr>
            </w:pPr>
          </w:p>
          <w:p w:rsidR="003243CB" w:rsidRPr="006D6760" w:rsidRDefault="003243CB" w:rsidP="003243CB">
            <w:pPr>
              <w:jc w:val="center"/>
              <w:rPr>
                <w:b/>
                <w:color w:val="FFFFFF" w:themeColor="background1"/>
              </w:rPr>
            </w:pPr>
            <w:r w:rsidRPr="006D6760">
              <w:rPr>
                <w:b/>
                <w:color w:val="FFFFFF" w:themeColor="background1"/>
              </w:rPr>
              <w:t>Award Criteria</w:t>
            </w:r>
          </w:p>
          <w:p w:rsidR="003243CB" w:rsidRPr="006D6760" w:rsidRDefault="003243CB" w:rsidP="003243CB">
            <w:pPr>
              <w:jc w:val="center"/>
              <w:rPr>
                <w:b/>
                <w:color w:val="FFFFFF" w:themeColor="background1"/>
              </w:rPr>
            </w:pPr>
          </w:p>
        </w:tc>
        <w:tc>
          <w:tcPr>
            <w:tcW w:w="5523" w:type="dxa"/>
            <w:shd w:val="clear" w:color="auto" w:fill="000000" w:themeFill="text1"/>
            <w:vAlign w:val="center"/>
          </w:tcPr>
          <w:p w:rsidR="003243CB" w:rsidRPr="006D6760" w:rsidRDefault="003243CB" w:rsidP="003243CB">
            <w:pPr>
              <w:jc w:val="center"/>
              <w:rPr>
                <w:b/>
                <w:color w:val="FFFFFF" w:themeColor="background1"/>
              </w:rPr>
            </w:pPr>
            <w:r w:rsidRPr="006D6760">
              <w:rPr>
                <w:b/>
                <w:color w:val="FFFFFF" w:themeColor="background1"/>
              </w:rPr>
              <w:t>Description</w:t>
            </w:r>
          </w:p>
        </w:tc>
        <w:tc>
          <w:tcPr>
            <w:tcW w:w="1337" w:type="dxa"/>
            <w:shd w:val="clear" w:color="auto" w:fill="000000" w:themeFill="text1"/>
            <w:vAlign w:val="center"/>
          </w:tcPr>
          <w:p w:rsidR="003243CB" w:rsidRPr="006D6760" w:rsidRDefault="003243CB" w:rsidP="003243CB">
            <w:pPr>
              <w:jc w:val="center"/>
              <w:rPr>
                <w:b/>
                <w:color w:val="FFFFFF" w:themeColor="background1"/>
              </w:rPr>
            </w:pPr>
            <w:r w:rsidRPr="006D6760">
              <w:rPr>
                <w:b/>
                <w:color w:val="FFFFFF" w:themeColor="background1"/>
              </w:rPr>
              <w:t>Weighting</w:t>
            </w:r>
          </w:p>
        </w:tc>
      </w:tr>
      <w:tr w:rsidR="003243CB" w:rsidTr="00452A14">
        <w:trPr>
          <w:trHeight w:val="981"/>
        </w:trPr>
        <w:tc>
          <w:tcPr>
            <w:tcW w:w="2274" w:type="dxa"/>
            <w:vAlign w:val="center"/>
          </w:tcPr>
          <w:p w:rsidR="003243CB" w:rsidRPr="00F3055D" w:rsidRDefault="004E7876" w:rsidP="00F3055D">
            <w:pPr>
              <w:pStyle w:val="ListParagraph"/>
              <w:numPr>
                <w:ilvl w:val="0"/>
                <w:numId w:val="37"/>
              </w:numPr>
              <w:jc w:val="left"/>
              <w:rPr>
                <w:b/>
              </w:rPr>
            </w:pPr>
            <w:r w:rsidRPr="00F3055D">
              <w:rPr>
                <w:b/>
              </w:rPr>
              <w:t>Eligibility</w:t>
            </w:r>
          </w:p>
        </w:tc>
        <w:tc>
          <w:tcPr>
            <w:tcW w:w="5523" w:type="dxa"/>
            <w:vAlign w:val="center"/>
          </w:tcPr>
          <w:p w:rsidR="004E7876" w:rsidRDefault="004E7876" w:rsidP="003243CB">
            <w:pPr>
              <w:jc w:val="left"/>
            </w:pPr>
          </w:p>
          <w:p w:rsidR="004E7876" w:rsidRDefault="004E7876" w:rsidP="003243CB">
            <w:pPr>
              <w:jc w:val="left"/>
            </w:pPr>
            <w:r w:rsidRPr="004E7876">
              <w:t>Mandatory Requirements of Framework</w:t>
            </w:r>
            <w:r>
              <w:t>:</w:t>
            </w:r>
          </w:p>
          <w:p w:rsidR="004E7876" w:rsidRDefault="004E7876" w:rsidP="003243CB">
            <w:pPr>
              <w:jc w:val="left"/>
            </w:pPr>
          </w:p>
          <w:p w:rsidR="004E7876" w:rsidRDefault="004E7876" w:rsidP="004E7876">
            <w:pPr>
              <w:pStyle w:val="ListParagraph"/>
              <w:numPr>
                <w:ilvl w:val="0"/>
                <w:numId w:val="36"/>
              </w:numPr>
              <w:jc w:val="left"/>
            </w:pPr>
            <w:r>
              <w:t>Technical merit/safety</w:t>
            </w:r>
          </w:p>
          <w:p w:rsidR="004E7876" w:rsidRDefault="004E7876" w:rsidP="004E7876">
            <w:pPr>
              <w:pStyle w:val="ListParagraph"/>
              <w:numPr>
                <w:ilvl w:val="0"/>
                <w:numId w:val="36"/>
              </w:numPr>
              <w:jc w:val="left"/>
            </w:pPr>
            <w:r>
              <w:t>Terms and conditions</w:t>
            </w:r>
          </w:p>
          <w:p w:rsidR="003243CB" w:rsidRDefault="003243CB" w:rsidP="004E7876">
            <w:pPr>
              <w:pStyle w:val="ListParagraph"/>
              <w:numPr>
                <w:ilvl w:val="0"/>
                <w:numId w:val="36"/>
              </w:numPr>
              <w:jc w:val="left"/>
            </w:pPr>
            <w:r>
              <w:t>Service levels</w:t>
            </w:r>
          </w:p>
          <w:p w:rsidR="003243CB" w:rsidRPr="00273A25" w:rsidRDefault="003243CB" w:rsidP="00273A25">
            <w:pPr>
              <w:jc w:val="left"/>
            </w:pPr>
          </w:p>
        </w:tc>
        <w:tc>
          <w:tcPr>
            <w:tcW w:w="1337" w:type="dxa"/>
            <w:vAlign w:val="center"/>
          </w:tcPr>
          <w:p w:rsidR="00452A14" w:rsidRDefault="003243CB" w:rsidP="00BE416A">
            <w:pPr>
              <w:jc w:val="center"/>
              <w:rPr>
                <w:b/>
              </w:rPr>
            </w:pPr>
            <w:r w:rsidRPr="00BE416A">
              <w:rPr>
                <w:b/>
              </w:rPr>
              <w:t xml:space="preserve">Pass </w:t>
            </w:r>
          </w:p>
          <w:p w:rsidR="00452A14" w:rsidRDefault="003243CB" w:rsidP="00BE416A">
            <w:pPr>
              <w:jc w:val="center"/>
              <w:rPr>
                <w:b/>
              </w:rPr>
            </w:pPr>
            <w:r w:rsidRPr="00BE416A">
              <w:rPr>
                <w:b/>
              </w:rPr>
              <w:t xml:space="preserve">or </w:t>
            </w:r>
          </w:p>
          <w:p w:rsidR="003243CB" w:rsidRPr="00BE416A" w:rsidRDefault="003243CB" w:rsidP="00BE416A">
            <w:pPr>
              <w:jc w:val="center"/>
              <w:rPr>
                <w:b/>
              </w:rPr>
            </w:pPr>
            <w:r w:rsidRPr="00BE416A">
              <w:rPr>
                <w:b/>
              </w:rPr>
              <w:t>Fail</w:t>
            </w:r>
          </w:p>
        </w:tc>
      </w:tr>
      <w:tr w:rsidR="00D257F8" w:rsidTr="00452A14">
        <w:tc>
          <w:tcPr>
            <w:tcW w:w="2274" w:type="dxa"/>
            <w:vAlign w:val="center"/>
          </w:tcPr>
          <w:p w:rsidR="00D257F8" w:rsidRPr="00F3055D" w:rsidRDefault="00D257F8" w:rsidP="00F3055D">
            <w:pPr>
              <w:pStyle w:val="ListParagraph"/>
              <w:numPr>
                <w:ilvl w:val="0"/>
                <w:numId w:val="37"/>
              </w:numPr>
              <w:jc w:val="left"/>
              <w:rPr>
                <w:b/>
              </w:rPr>
            </w:pPr>
            <w:r w:rsidRPr="00F3055D">
              <w:rPr>
                <w:b/>
              </w:rPr>
              <w:t>Price</w:t>
            </w:r>
          </w:p>
        </w:tc>
        <w:tc>
          <w:tcPr>
            <w:tcW w:w="5523" w:type="dxa"/>
            <w:vAlign w:val="center"/>
          </w:tcPr>
          <w:p w:rsidR="005A751B" w:rsidRDefault="005A751B" w:rsidP="002C0578">
            <w:pPr>
              <w:jc w:val="left"/>
            </w:pPr>
          </w:p>
          <w:p w:rsidR="00D257F8" w:rsidRPr="008614B5" w:rsidRDefault="007465D7" w:rsidP="002C0578">
            <w:pPr>
              <w:jc w:val="left"/>
            </w:pPr>
            <w:r w:rsidRPr="008614B5">
              <w:t>The lowest p</w:t>
            </w:r>
            <w:r w:rsidR="007C2C16" w:rsidRPr="008614B5">
              <w:t>ric</w:t>
            </w:r>
            <w:r w:rsidR="006F51F3" w:rsidRPr="008614B5">
              <w:t xml:space="preserve">e will score a maximum of 10 </w:t>
            </w:r>
            <w:r w:rsidRPr="008614B5">
              <w:t xml:space="preserve">with the following price brackets being </w:t>
            </w:r>
            <w:r w:rsidR="00FB3022">
              <w:t>scored</w:t>
            </w:r>
            <w:r w:rsidRPr="008614B5">
              <w:t xml:space="preserve"> as follow</w:t>
            </w:r>
            <w:r w:rsidR="007C2C16" w:rsidRPr="008614B5">
              <w:t>s</w:t>
            </w:r>
            <w:r w:rsidRPr="008614B5">
              <w:t>:</w:t>
            </w:r>
          </w:p>
          <w:p w:rsidR="007465D7" w:rsidRPr="008614B5" w:rsidRDefault="007465D7" w:rsidP="002C0578">
            <w:pPr>
              <w:jc w:val="left"/>
            </w:pPr>
          </w:p>
          <w:tbl>
            <w:tblPr>
              <w:tblStyle w:val="TableGrid"/>
              <w:tblW w:w="0" w:type="auto"/>
              <w:tblLayout w:type="fixed"/>
              <w:tblLook w:val="04A0" w:firstRow="1" w:lastRow="0" w:firstColumn="1" w:lastColumn="0" w:noHBand="0" w:noVBand="1"/>
            </w:tblPr>
            <w:tblGrid>
              <w:gridCol w:w="4139"/>
              <w:gridCol w:w="828"/>
            </w:tblGrid>
            <w:tr w:rsidR="000205D4" w:rsidRPr="008614B5" w:rsidTr="00452A14">
              <w:tc>
                <w:tcPr>
                  <w:tcW w:w="4139" w:type="dxa"/>
                  <w:shd w:val="clear" w:color="auto" w:fill="000000" w:themeFill="text1"/>
                </w:tcPr>
                <w:p w:rsidR="000205D4" w:rsidRPr="000F0F3A" w:rsidRDefault="000205D4" w:rsidP="00273A25">
                  <w:pPr>
                    <w:jc w:val="left"/>
                    <w:rPr>
                      <w:color w:val="FFFFFF" w:themeColor="background1"/>
                    </w:rPr>
                  </w:pPr>
                </w:p>
              </w:tc>
              <w:tc>
                <w:tcPr>
                  <w:tcW w:w="828" w:type="dxa"/>
                  <w:shd w:val="clear" w:color="auto" w:fill="000000" w:themeFill="text1"/>
                </w:tcPr>
                <w:p w:rsidR="000205D4" w:rsidRPr="000F0F3A" w:rsidRDefault="000205D4" w:rsidP="002C0578">
                  <w:pPr>
                    <w:jc w:val="left"/>
                    <w:rPr>
                      <w:b/>
                      <w:color w:val="FFFFFF" w:themeColor="background1"/>
                    </w:rPr>
                  </w:pPr>
                  <w:r w:rsidRPr="000F0F3A">
                    <w:rPr>
                      <w:b/>
                      <w:color w:val="FFFFFF" w:themeColor="background1"/>
                    </w:rPr>
                    <w:t>Score</w:t>
                  </w:r>
                </w:p>
              </w:tc>
            </w:tr>
            <w:tr w:rsidR="007465D7" w:rsidRPr="008614B5" w:rsidTr="00452A14">
              <w:tc>
                <w:tcPr>
                  <w:tcW w:w="4139" w:type="dxa"/>
                </w:tcPr>
                <w:p w:rsidR="007465D7" w:rsidRPr="008614B5" w:rsidRDefault="007C2C16" w:rsidP="00273A25">
                  <w:pPr>
                    <w:jc w:val="left"/>
                  </w:pPr>
                  <w:r w:rsidRPr="008614B5">
                    <w:t>Offer price m</w:t>
                  </w:r>
                  <w:r w:rsidR="005A751B" w:rsidRPr="008614B5">
                    <w:t xml:space="preserve">ore than </w:t>
                  </w:r>
                  <w:r w:rsidR="00EB1A2C">
                    <w:t>0.</w:t>
                  </w:r>
                  <w:r w:rsidR="00452A14">
                    <w:t>000</w:t>
                  </w:r>
                  <w:r w:rsidR="005A751B" w:rsidRPr="008614B5">
                    <w:t>1%</w:t>
                  </w:r>
                  <w:r w:rsidRPr="008614B5">
                    <w:t xml:space="preserve"> higher</w:t>
                  </w:r>
                  <w:r w:rsidR="005A751B" w:rsidRPr="008614B5">
                    <w:t xml:space="preserve"> and equal to</w:t>
                  </w:r>
                  <w:r w:rsidR="00273A25" w:rsidRPr="008614B5">
                    <w:t xml:space="preserve">/less than </w:t>
                  </w:r>
                  <w:r w:rsidR="005A751B" w:rsidRPr="008614B5">
                    <w:t>5%</w:t>
                  </w:r>
                  <w:r w:rsidRPr="008614B5">
                    <w:t xml:space="preserve"> higher</w:t>
                  </w:r>
                </w:p>
              </w:tc>
              <w:tc>
                <w:tcPr>
                  <w:tcW w:w="828" w:type="dxa"/>
                </w:tcPr>
                <w:p w:rsidR="007465D7" w:rsidRPr="008614B5" w:rsidRDefault="008614B5" w:rsidP="002C0578">
                  <w:pPr>
                    <w:jc w:val="left"/>
                    <w:rPr>
                      <w:b/>
                    </w:rPr>
                  </w:pPr>
                  <w:r w:rsidRPr="008614B5">
                    <w:rPr>
                      <w:b/>
                    </w:rPr>
                    <w:t>9</w:t>
                  </w:r>
                </w:p>
              </w:tc>
            </w:tr>
            <w:tr w:rsidR="007465D7" w:rsidRPr="008614B5" w:rsidTr="00452A14">
              <w:tc>
                <w:tcPr>
                  <w:tcW w:w="4139" w:type="dxa"/>
                </w:tcPr>
                <w:p w:rsidR="007465D7" w:rsidRPr="008614B5" w:rsidRDefault="007C2C16" w:rsidP="008614B5">
                  <w:pPr>
                    <w:jc w:val="left"/>
                  </w:pPr>
                  <w:r w:rsidRPr="008614B5">
                    <w:t>Offer price m</w:t>
                  </w:r>
                  <w:r w:rsidR="005A751B" w:rsidRPr="008614B5">
                    <w:t>ore than 5</w:t>
                  </w:r>
                  <w:r w:rsidR="00452A14">
                    <w:t>.0001</w:t>
                  </w:r>
                  <w:r w:rsidR="007465D7" w:rsidRPr="008614B5">
                    <w:t>%</w:t>
                  </w:r>
                  <w:r w:rsidRPr="008614B5">
                    <w:t xml:space="preserve"> higher</w:t>
                  </w:r>
                  <w:r w:rsidR="007465D7" w:rsidRPr="008614B5">
                    <w:t xml:space="preserve"> </w:t>
                  </w:r>
                  <w:r w:rsidR="005A751B" w:rsidRPr="008614B5">
                    <w:t xml:space="preserve">and </w:t>
                  </w:r>
                  <w:r w:rsidR="00273A25" w:rsidRPr="008614B5">
                    <w:t xml:space="preserve">equal to/less than </w:t>
                  </w:r>
                  <w:r w:rsidR="002522E6">
                    <w:t>10</w:t>
                  </w:r>
                  <w:r w:rsidR="007465D7" w:rsidRPr="008614B5">
                    <w:t>%</w:t>
                  </w:r>
                  <w:r w:rsidRPr="008614B5">
                    <w:t xml:space="preserve"> higher</w:t>
                  </w:r>
                </w:p>
              </w:tc>
              <w:tc>
                <w:tcPr>
                  <w:tcW w:w="828" w:type="dxa"/>
                </w:tcPr>
                <w:p w:rsidR="007465D7" w:rsidRPr="008614B5" w:rsidRDefault="008614B5" w:rsidP="002C0578">
                  <w:pPr>
                    <w:jc w:val="left"/>
                    <w:rPr>
                      <w:b/>
                    </w:rPr>
                  </w:pPr>
                  <w:r w:rsidRPr="008614B5">
                    <w:rPr>
                      <w:b/>
                    </w:rPr>
                    <w:t>8</w:t>
                  </w:r>
                </w:p>
              </w:tc>
            </w:tr>
            <w:tr w:rsidR="007465D7" w:rsidRPr="008614B5" w:rsidTr="00452A14">
              <w:tc>
                <w:tcPr>
                  <w:tcW w:w="4139" w:type="dxa"/>
                </w:tcPr>
                <w:p w:rsidR="007465D7" w:rsidRPr="008614B5" w:rsidRDefault="007C2C16" w:rsidP="008614B5">
                  <w:pPr>
                    <w:jc w:val="left"/>
                  </w:pPr>
                  <w:r w:rsidRPr="008614B5">
                    <w:t>Offer price m</w:t>
                  </w:r>
                  <w:r w:rsidR="002522E6">
                    <w:t>ore than 10</w:t>
                  </w:r>
                  <w:r w:rsidR="00452A14">
                    <w:t>.0001</w:t>
                  </w:r>
                  <w:r w:rsidR="005A751B" w:rsidRPr="008614B5">
                    <w:t>%</w:t>
                  </w:r>
                  <w:r w:rsidRPr="008614B5">
                    <w:t xml:space="preserve"> higher</w:t>
                  </w:r>
                  <w:r w:rsidR="005A751B" w:rsidRPr="008614B5">
                    <w:t xml:space="preserve"> and </w:t>
                  </w:r>
                  <w:r w:rsidR="00273A25" w:rsidRPr="008614B5">
                    <w:t xml:space="preserve">equal to/less than </w:t>
                  </w:r>
                  <w:r w:rsidR="002522E6">
                    <w:t>1</w:t>
                  </w:r>
                  <w:r w:rsidR="007465D7" w:rsidRPr="008614B5">
                    <w:t>5%</w:t>
                  </w:r>
                  <w:r w:rsidRPr="008614B5">
                    <w:t xml:space="preserve"> higher</w:t>
                  </w:r>
                </w:p>
              </w:tc>
              <w:tc>
                <w:tcPr>
                  <w:tcW w:w="828" w:type="dxa"/>
                </w:tcPr>
                <w:p w:rsidR="007465D7" w:rsidRPr="008614B5" w:rsidRDefault="008614B5" w:rsidP="002C0578">
                  <w:pPr>
                    <w:jc w:val="left"/>
                    <w:rPr>
                      <w:b/>
                    </w:rPr>
                  </w:pPr>
                  <w:r w:rsidRPr="008614B5">
                    <w:rPr>
                      <w:b/>
                    </w:rPr>
                    <w:t>7</w:t>
                  </w:r>
                </w:p>
              </w:tc>
            </w:tr>
            <w:tr w:rsidR="008614B5" w:rsidRPr="008614B5" w:rsidTr="00452A14">
              <w:tc>
                <w:tcPr>
                  <w:tcW w:w="4139" w:type="dxa"/>
                </w:tcPr>
                <w:p w:rsidR="008614B5" w:rsidRPr="008614B5" w:rsidRDefault="002522E6" w:rsidP="002522E6">
                  <w:r>
                    <w:t>Offer price more than 1</w:t>
                  </w:r>
                  <w:r w:rsidR="008614B5" w:rsidRPr="008614B5">
                    <w:t>5</w:t>
                  </w:r>
                  <w:r w:rsidR="00452A14">
                    <w:t>.0001</w:t>
                  </w:r>
                  <w:r w:rsidR="008614B5" w:rsidRPr="008614B5">
                    <w:t xml:space="preserve">% higher and equal to/less than </w:t>
                  </w:r>
                  <w:r>
                    <w:t>2</w:t>
                  </w:r>
                  <w:r w:rsidR="008614B5" w:rsidRPr="008614B5">
                    <w:t>0% higher</w:t>
                  </w:r>
                </w:p>
              </w:tc>
              <w:tc>
                <w:tcPr>
                  <w:tcW w:w="828" w:type="dxa"/>
                </w:tcPr>
                <w:p w:rsidR="008614B5" w:rsidRPr="008614B5" w:rsidRDefault="008614B5" w:rsidP="002C0578">
                  <w:pPr>
                    <w:jc w:val="left"/>
                    <w:rPr>
                      <w:b/>
                    </w:rPr>
                  </w:pPr>
                  <w:r w:rsidRPr="008614B5">
                    <w:rPr>
                      <w:b/>
                    </w:rPr>
                    <w:t>6</w:t>
                  </w:r>
                </w:p>
              </w:tc>
            </w:tr>
            <w:tr w:rsidR="008614B5" w:rsidRPr="008614B5" w:rsidTr="00452A14">
              <w:tc>
                <w:tcPr>
                  <w:tcW w:w="4139" w:type="dxa"/>
                </w:tcPr>
                <w:p w:rsidR="008614B5" w:rsidRPr="008614B5" w:rsidRDefault="002522E6" w:rsidP="002522E6">
                  <w:r>
                    <w:t>Offer price more than 2</w:t>
                  </w:r>
                  <w:r w:rsidR="008614B5" w:rsidRPr="008614B5">
                    <w:t>0</w:t>
                  </w:r>
                  <w:r w:rsidR="00452A14">
                    <w:t>.0001</w:t>
                  </w:r>
                  <w:r w:rsidR="008614B5" w:rsidRPr="008614B5">
                    <w:t>%</w:t>
                  </w:r>
                  <w:r>
                    <w:t xml:space="preserve"> higher and equal to/less than </w:t>
                  </w:r>
                  <w:r w:rsidR="008614B5" w:rsidRPr="008614B5">
                    <w:t>25% higher</w:t>
                  </w:r>
                </w:p>
              </w:tc>
              <w:tc>
                <w:tcPr>
                  <w:tcW w:w="828" w:type="dxa"/>
                </w:tcPr>
                <w:p w:rsidR="008614B5" w:rsidRPr="008614B5" w:rsidRDefault="008614B5" w:rsidP="002C0578">
                  <w:pPr>
                    <w:jc w:val="left"/>
                    <w:rPr>
                      <w:b/>
                    </w:rPr>
                  </w:pPr>
                  <w:r w:rsidRPr="008614B5">
                    <w:rPr>
                      <w:b/>
                    </w:rPr>
                    <w:t>5</w:t>
                  </w:r>
                </w:p>
              </w:tc>
            </w:tr>
            <w:tr w:rsidR="008614B5" w:rsidRPr="008614B5" w:rsidTr="00452A14">
              <w:tc>
                <w:tcPr>
                  <w:tcW w:w="4139" w:type="dxa"/>
                </w:tcPr>
                <w:p w:rsidR="008614B5" w:rsidRPr="008614B5" w:rsidRDefault="002522E6" w:rsidP="002522E6">
                  <w:r>
                    <w:t xml:space="preserve">Offer price more than </w:t>
                  </w:r>
                  <w:r w:rsidR="008614B5" w:rsidRPr="008614B5">
                    <w:t>25</w:t>
                  </w:r>
                  <w:r w:rsidR="00452A14">
                    <w:t>.0001</w:t>
                  </w:r>
                  <w:r w:rsidR="008614B5" w:rsidRPr="008614B5">
                    <w:t>%</w:t>
                  </w:r>
                  <w:r>
                    <w:t xml:space="preserve"> higher and equal to/less than 30</w:t>
                  </w:r>
                  <w:r w:rsidR="008614B5" w:rsidRPr="008614B5">
                    <w:t>% higher</w:t>
                  </w:r>
                </w:p>
              </w:tc>
              <w:tc>
                <w:tcPr>
                  <w:tcW w:w="828" w:type="dxa"/>
                </w:tcPr>
                <w:p w:rsidR="008614B5" w:rsidRPr="008614B5" w:rsidRDefault="008614B5" w:rsidP="002C0578">
                  <w:pPr>
                    <w:jc w:val="left"/>
                    <w:rPr>
                      <w:b/>
                    </w:rPr>
                  </w:pPr>
                  <w:r w:rsidRPr="008614B5">
                    <w:rPr>
                      <w:b/>
                    </w:rPr>
                    <w:t>4</w:t>
                  </w:r>
                </w:p>
              </w:tc>
            </w:tr>
            <w:tr w:rsidR="008614B5" w:rsidRPr="008614B5" w:rsidTr="00452A14">
              <w:tc>
                <w:tcPr>
                  <w:tcW w:w="4139" w:type="dxa"/>
                </w:tcPr>
                <w:p w:rsidR="008614B5" w:rsidRPr="008614B5" w:rsidRDefault="008614B5">
                  <w:r w:rsidRPr="008614B5">
                    <w:t xml:space="preserve">Offer </w:t>
                  </w:r>
                  <w:r w:rsidR="002522E6">
                    <w:t>price more than 30</w:t>
                  </w:r>
                  <w:r w:rsidR="00452A14">
                    <w:t>.0001</w:t>
                  </w:r>
                  <w:r w:rsidRPr="008614B5">
                    <w:t>% h</w:t>
                  </w:r>
                  <w:r w:rsidR="002522E6">
                    <w:t>igher and equal to/less than 3</w:t>
                  </w:r>
                  <w:r w:rsidRPr="008614B5">
                    <w:t>5% higher</w:t>
                  </w:r>
                </w:p>
              </w:tc>
              <w:tc>
                <w:tcPr>
                  <w:tcW w:w="828" w:type="dxa"/>
                </w:tcPr>
                <w:p w:rsidR="008614B5" w:rsidRPr="008614B5" w:rsidRDefault="008614B5" w:rsidP="002C0578">
                  <w:pPr>
                    <w:jc w:val="left"/>
                    <w:rPr>
                      <w:b/>
                    </w:rPr>
                  </w:pPr>
                  <w:r w:rsidRPr="008614B5">
                    <w:rPr>
                      <w:b/>
                    </w:rPr>
                    <w:t>3</w:t>
                  </w:r>
                </w:p>
              </w:tc>
            </w:tr>
            <w:tr w:rsidR="008614B5" w:rsidRPr="008614B5" w:rsidTr="00452A14">
              <w:tc>
                <w:tcPr>
                  <w:tcW w:w="4139" w:type="dxa"/>
                </w:tcPr>
                <w:p w:rsidR="008614B5" w:rsidRPr="008614B5" w:rsidRDefault="008614B5" w:rsidP="002522E6">
                  <w:r w:rsidRPr="008614B5">
                    <w:t xml:space="preserve">Offer price more than </w:t>
                  </w:r>
                  <w:r w:rsidR="002522E6">
                    <w:t>3</w:t>
                  </w:r>
                  <w:r w:rsidRPr="008614B5">
                    <w:t>5</w:t>
                  </w:r>
                  <w:r w:rsidR="00452A14">
                    <w:t>.0001</w:t>
                  </w:r>
                  <w:r w:rsidRPr="008614B5">
                    <w:t>%</w:t>
                  </w:r>
                  <w:r w:rsidR="002522E6">
                    <w:t xml:space="preserve"> higher and equal to/less than 4</w:t>
                  </w:r>
                  <w:r w:rsidRPr="008614B5">
                    <w:t>0% higher</w:t>
                  </w:r>
                </w:p>
              </w:tc>
              <w:tc>
                <w:tcPr>
                  <w:tcW w:w="828" w:type="dxa"/>
                </w:tcPr>
                <w:p w:rsidR="008614B5" w:rsidRPr="008614B5" w:rsidRDefault="008614B5" w:rsidP="002C0578">
                  <w:pPr>
                    <w:jc w:val="left"/>
                    <w:rPr>
                      <w:b/>
                    </w:rPr>
                  </w:pPr>
                  <w:r w:rsidRPr="008614B5">
                    <w:rPr>
                      <w:b/>
                    </w:rPr>
                    <w:t>2</w:t>
                  </w:r>
                </w:p>
              </w:tc>
            </w:tr>
            <w:tr w:rsidR="008614B5" w:rsidRPr="008614B5" w:rsidTr="00452A14">
              <w:tc>
                <w:tcPr>
                  <w:tcW w:w="4139" w:type="dxa"/>
                </w:tcPr>
                <w:p w:rsidR="008614B5" w:rsidRPr="008614B5" w:rsidRDefault="002522E6" w:rsidP="002522E6">
                  <w:r>
                    <w:t>Offer price more than 4</w:t>
                  </w:r>
                  <w:r w:rsidR="008614B5" w:rsidRPr="008614B5">
                    <w:t>0</w:t>
                  </w:r>
                  <w:r w:rsidR="00452A14">
                    <w:t>.0001</w:t>
                  </w:r>
                  <w:r w:rsidR="008614B5" w:rsidRPr="008614B5">
                    <w:t xml:space="preserve">% </w:t>
                  </w:r>
                  <w:r>
                    <w:t xml:space="preserve">higher </w:t>
                  </w:r>
                  <w:r w:rsidR="00EE5803" w:rsidRPr="008614B5">
                    <w:t>than lowest offer</w:t>
                  </w:r>
                </w:p>
              </w:tc>
              <w:tc>
                <w:tcPr>
                  <w:tcW w:w="828" w:type="dxa"/>
                </w:tcPr>
                <w:p w:rsidR="008614B5" w:rsidRPr="008614B5" w:rsidRDefault="008614B5" w:rsidP="002C0578">
                  <w:pPr>
                    <w:jc w:val="left"/>
                    <w:rPr>
                      <w:b/>
                    </w:rPr>
                  </w:pPr>
                  <w:r w:rsidRPr="008614B5">
                    <w:rPr>
                      <w:b/>
                    </w:rPr>
                    <w:t>1</w:t>
                  </w:r>
                </w:p>
              </w:tc>
            </w:tr>
          </w:tbl>
          <w:p w:rsidR="007465D7" w:rsidRDefault="007465D7" w:rsidP="002C0578">
            <w:pPr>
              <w:jc w:val="left"/>
            </w:pPr>
          </w:p>
          <w:p w:rsidR="00452A14" w:rsidRDefault="00452A14" w:rsidP="002C0578">
            <w:pPr>
              <w:jc w:val="left"/>
            </w:pPr>
          </w:p>
          <w:p w:rsidR="004C4D4F" w:rsidRPr="008614B5" w:rsidRDefault="004C4D4F" w:rsidP="002C0578">
            <w:pPr>
              <w:jc w:val="left"/>
            </w:pPr>
          </w:p>
          <w:p w:rsidR="00003858" w:rsidRPr="002130CE" w:rsidRDefault="00003858" w:rsidP="00273A25">
            <w:pPr>
              <w:jc w:val="left"/>
              <w:rPr>
                <w:b/>
              </w:rPr>
            </w:pPr>
          </w:p>
        </w:tc>
        <w:tc>
          <w:tcPr>
            <w:tcW w:w="1337" w:type="dxa"/>
            <w:vAlign w:val="center"/>
          </w:tcPr>
          <w:p w:rsidR="00D257F8" w:rsidRPr="00BE416A" w:rsidRDefault="006D6760" w:rsidP="00BE416A">
            <w:pPr>
              <w:jc w:val="center"/>
              <w:rPr>
                <w:b/>
              </w:rPr>
            </w:pPr>
            <w:r>
              <w:rPr>
                <w:b/>
              </w:rPr>
              <w:t>85</w:t>
            </w:r>
            <w:r w:rsidR="00D257F8" w:rsidRPr="00BE416A">
              <w:rPr>
                <w:b/>
              </w:rPr>
              <w:t>%</w:t>
            </w:r>
          </w:p>
        </w:tc>
      </w:tr>
      <w:tr w:rsidR="006D6760" w:rsidTr="00452A14">
        <w:tc>
          <w:tcPr>
            <w:tcW w:w="2274" w:type="dxa"/>
            <w:vAlign w:val="center"/>
          </w:tcPr>
          <w:p w:rsidR="006D6760" w:rsidRPr="00F3055D" w:rsidRDefault="006D6760" w:rsidP="006D6760">
            <w:pPr>
              <w:pStyle w:val="ListParagraph"/>
              <w:numPr>
                <w:ilvl w:val="0"/>
                <w:numId w:val="37"/>
              </w:numPr>
              <w:jc w:val="left"/>
              <w:rPr>
                <w:b/>
              </w:rPr>
            </w:pPr>
            <w:r>
              <w:rPr>
                <w:b/>
              </w:rPr>
              <w:lastRenderedPageBreak/>
              <w:t>Security of Supply</w:t>
            </w:r>
          </w:p>
        </w:tc>
        <w:tc>
          <w:tcPr>
            <w:tcW w:w="5523" w:type="dxa"/>
            <w:vAlign w:val="center"/>
          </w:tcPr>
          <w:p w:rsidR="006D6760" w:rsidRDefault="006D6760" w:rsidP="002C0578">
            <w:pPr>
              <w:jc w:val="left"/>
              <w:rPr>
                <w:highlight w:val="yellow"/>
              </w:rPr>
            </w:pPr>
          </w:p>
          <w:p w:rsidR="006D6760" w:rsidRPr="00590FB7" w:rsidRDefault="006D6760" w:rsidP="002C0578">
            <w:pPr>
              <w:jc w:val="left"/>
            </w:pPr>
            <w:r w:rsidRPr="00590FB7">
              <w:t xml:space="preserve">Offerors will be evaluated on the </w:t>
            </w:r>
            <w:r w:rsidR="00413C55" w:rsidRPr="00590FB7">
              <w:t xml:space="preserve">security </w:t>
            </w:r>
            <w:r w:rsidRPr="00590FB7">
              <w:t xml:space="preserve">of </w:t>
            </w:r>
            <w:r w:rsidR="00413C55" w:rsidRPr="00590FB7">
              <w:t>supply f</w:t>
            </w:r>
            <w:r w:rsidR="00590FB7" w:rsidRPr="00590FB7">
              <w:t>or</w:t>
            </w:r>
            <w:r w:rsidR="00413C55" w:rsidRPr="00590FB7">
              <w:t xml:space="preserve"> the </w:t>
            </w:r>
            <w:r w:rsidRPr="00590FB7">
              <w:t>product</w:t>
            </w:r>
            <w:r w:rsidR="00413C55" w:rsidRPr="00590FB7">
              <w:t xml:space="preserve"> being offered</w:t>
            </w:r>
            <w:r w:rsidRPr="00590FB7">
              <w:t>:</w:t>
            </w:r>
          </w:p>
          <w:p w:rsidR="003A5859" w:rsidRDefault="003A5859" w:rsidP="003A5859">
            <w:pPr>
              <w:jc w:val="left"/>
              <w:rPr>
                <w:i/>
                <w:sz w:val="20"/>
              </w:rPr>
            </w:pPr>
          </w:p>
          <w:p w:rsidR="006D6760" w:rsidRDefault="00430FA0" w:rsidP="003A5859">
            <w:pPr>
              <w:jc w:val="left"/>
              <w:rPr>
                <w:i/>
                <w:sz w:val="20"/>
              </w:rPr>
            </w:pPr>
            <w:r>
              <w:rPr>
                <w:i/>
                <w:sz w:val="20"/>
              </w:rPr>
              <w:t xml:space="preserve">If </w:t>
            </w:r>
            <w:r w:rsidR="003A5859" w:rsidRPr="003A5859">
              <w:rPr>
                <w:i/>
                <w:sz w:val="20"/>
              </w:rPr>
              <w:t>request</w:t>
            </w:r>
            <w:r>
              <w:rPr>
                <w:i/>
                <w:sz w:val="20"/>
              </w:rPr>
              <w:t>ed</w:t>
            </w:r>
            <w:r w:rsidR="003A5859" w:rsidRPr="003A5859">
              <w:rPr>
                <w:i/>
                <w:sz w:val="20"/>
              </w:rPr>
              <w:t xml:space="preserve"> suppliers must provide evidence supporting their answer for this section</w:t>
            </w:r>
          </w:p>
          <w:p w:rsidR="003A5859" w:rsidRPr="003A5859" w:rsidRDefault="003A5859" w:rsidP="003A5859">
            <w:pPr>
              <w:jc w:val="left"/>
              <w:rPr>
                <w:i/>
                <w:sz w:val="20"/>
              </w:rPr>
            </w:pPr>
          </w:p>
          <w:tbl>
            <w:tblPr>
              <w:tblStyle w:val="TableGrid"/>
              <w:tblW w:w="0" w:type="auto"/>
              <w:tblLayout w:type="fixed"/>
              <w:tblLook w:val="04A0" w:firstRow="1" w:lastRow="0" w:firstColumn="1" w:lastColumn="0" w:noHBand="0" w:noVBand="1"/>
            </w:tblPr>
            <w:tblGrid>
              <w:gridCol w:w="4276"/>
              <w:gridCol w:w="850"/>
            </w:tblGrid>
            <w:tr w:rsidR="000205D4" w:rsidRPr="00A97D12" w:rsidTr="00EC4674">
              <w:tc>
                <w:tcPr>
                  <w:tcW w:w="4276" w:type="dxa"/>
                  <w:shd w:val="clear" w:color="auto" w:fill="000000" w:themeFill="text1"/>
                </w:tcPr>
                <w:p w:rsidR="000205D4" w:rsidRDefault="00413C55" w:rsidP="00DC46F8">
                  <w:pPr>
                    <w:jc w:val="left"/>
                    <w:rPr>
                      <w:b/>
                      <w:color w:val="FFFFFF" w:themeColor="background1"/>
                    </w:rPr>
                  </w:pPr>
                  <w:r w:rsidRPr="00E166C1">
                    <w:rPr>
                      <w:b/>
                      <w:color w:val="FFFFFF" w:themeColor="background1"/>
                    </w:rPr>
                    <w:t xml:space="preserve">Drug </w:t>
                  </w:r>
                  <w:r w:rsidR="00DC46F8">
                    <w:rPr>
                      <w:b/>
                      <w:color w:val="FFFFFF" w:themeColor="background1"/>
                    </w:rPr>
                    <w:t>s</w:t>
                  </w:r>
                  <w:r w:rsidRPr="00E166C1">
                    <w:rPr>
                      <w:b/>
                      <w:color w:val="FFFFFF" w:themeColor="background1"/>
                    </w:rPr>
                    <w:t>ubstance manufacture</w:t>
                  </w:r>
                </w:p>
                <w:p w:rsidR="00F97BF6" w:rsidRPr="00E166C1" w:rsidRDefault="00F97BF6" w:rsidP="00DC46F8">
                  <w:pPr>
                    <w:jc w:val="left"/>
                    <w:rPr>
                      <w:b/>
                      <w:color w:val="FFFFFF" w:themeColor="background1"/>
                      <w:highlight w:val="yellow"/>
                    </w:rPr>
                  </w:pPr>
                  <w:r w:rsidRPr="00F97BF6">
                    <w:rPr>
                      <w:i/>
                      <w:color w:val="FFFFFF" w:themeColor="background1"/>
                      <w:lang w:val="en-US"/>
                    </w:rPr>
                    <w:t>preparation of substances to be used in the manufacture of the final drug</w:t>
                  </w:r>
                </w:p>
              </w:tc>
              <w:tc>
                <w:tcPr>
                  <w:tcW w:w="850" w:type="dxa"/>
                  <w:shd w:val="clear" w:color="auto" w:fill="000000" w:themeFill="text1"/>
                </w:tcPr>
                <w:p w:rsidR="000205D4" w:rsidRPr="00A97D12" w:rsidRDefault="000205D4" w:rsidP="002C0578">
                  <w:pPr>
                    <w:jc w:val="left"/>
                    <w:rPr>
                      <w:b/>
                      <w:color w:val="FFFFFF" w:themeColor="background1"/>
                      <w:highlight w:val="yellow"/>
                    </w:rPr>
                  </w:pPr>
                  <w:r w:rsidRPr="00413C55">
                    <w:rPr>
                      <w:b/>
                      <w:color w:val="FFFFFF" w:themeColor="background1"/>
                    </w:rPr>
                    <w:t>Score</w:t>
                  </w:r>
                </w:p>
              </w:tc>
            </w:tr>
            <w:tr w:rsidR="00E166C1" w:rsidRPr="00A97D12" w:rsidTr="00EC4674">
              <w:tc>
                <w:tcPr>
                  <w:tcW w:w="4276" w:type="dxa"/>
                </w:tcPr>
                <w:p w:rsidR="00E166C1" w:rsidRDefault="00E166C1" w:rsidP="00E166C1">
                  <w:pPr>
                    <w:jc w:val="left"/>
                    <w:rPr>
                      <w:rFonts w:eastAsiaTheme="minorHAnsi" w:cs="Arial"/>
                      <w:szCs w:val="22"/>
                      <w:highlight w:val="yellow"/>
                    </w:rPr>
                  </w:pPr>
                  <w:r>
                    <w:t>Multiple geographic locations with facilities</w:t>
                  </w:r>
                </w:p>
              </w:tc>
              <w:tc>
                <w:tcPr>
                  <w:tcW w:w="850" w:type="dxa"/>
                </w:tcPr>
                <w:p w:rsidR="00E166C1" w:rsidRDefault="00E166C1" w:rsidP="00E166C1">
                  <w:pPr>
                    <w:jc w:val="left"/>
                    <w:rPr>
                      <w:rFonts w:eastAsiaTheme="minorHAnsi" w:cs="Arial"/>
                      <w:b/>
                      <w:bCs/>
                      <w:szCs w:val="22"/>
                    </w:rPr>
                  </w:pPr>
                  <w:r>
                    <w:rPr>
                      <w:b/>
                      <w:bCs/>
                    </w:rPr>
                    <w:t>5</w:t>
                  </w:r>
                </w:p>
              </w:tc>
            </w:tr>
            <w:tr w:rsidR="00E166C1" w:rsidRPr="00A97D12" w:rsidTr="00EC4674">
              <w:tc>
                <w:tcPr>
                  <w:tcW w:w="4276" w:type="dxa"/>
                </w:tcPr>
                <w:p w:rsidR="00E166C1" w:rsidRDefault="00E166C1" w:rsidP="00E166C1">
                  <w:pPr>
                    <w:jc w:val="left"/>
                    <w:rPr>
                      <w:rFonts w:eastAsiaTheme="minorHAnsi" w:cs="Arial"/>
                      <w:szCs w:val="22"/>
                      <w:highlight w:val="yellow"/>
                    </w:rPr>
                  </w:pPr>
                  <w:r>
                    <w:t>Two geographic locations with facilities</w:t>
                  </w:r>
                </w:p>
              </w:tc>
              <w:tc>
                <w:tcPr>
                  <w:tcW w:w="850" w:type="dxa"/>
                </w:tcPr>
                <w:p w:rsidR="00E166C1" w:rsidRDefault="00E166C1" w:rsidP="00E166C1">
                  <w:pPr>
                    <w:jc w:val="left"/>
                    <w:rPr>
                      <w:rFonts w:eastAsiaTheme="minorHAnsi" w:cs="Arial"/>
                      <w:b/>
                      <w:bCs/>
                      <w:szCs w:val="22"/>
                    </w:rPr>
                  </w:pPr>
                  <w:r>
                    <w:rPr>
                      <w:b/>
                      <w:bCs/>
                    </w:rPr>
                    <w:t>4</w:t>
                  </w:r>
                </w:p>
              </w:tc>
            </w:tr>
            <w:tr w:rsidR="00E166C1" w:rsidRPr="00A97D12" w:rsidTr="00EC4674">
              <w:tc>
                <w:tcPr>
                  <w:tcW w:w="4276" w:type="dxa"/>
                </w:tcPr>
                <w:p w:rsidR="00E166C1" w:rsidRDefault="00E166C1" w:rsidP="00E166C1">
                  <w:pPr>
                    <w:jc w:val="left"/>
                    <w:rPr>
                      <w:rFonts w:eastAsiaTheme="minorHAnsi" w:cs="Arial"/>
                      <w:szCs w:val="22"/>
                      <w:highlight w:val="yellow"/>
                    </w:rPr>
                  </w:pPr>
                  <w:r>
                    <w:t>One geographic location with two or more facilities</w:t>
                  </w:r>
                </w:p>
              </w:tc>
              <w:tc>
                <w:tcPr>
                  <w:tcW w:w="850" w:type="dxa"/>
                </w:tcPr>
                <w:p w:rsidR="00E166C1" w:rsidRDefault="00E166C1" w:rsidP="00E166C1">
                  <w:pPr>
                    <w:jc w:val="left"/>
                    <w:rPr>
                      <w:rFonts w:eastAsiaTheme="minorHAnsi" w:cs="Arial"/>
                      <w:b/>
                      <w:bCs/>
                      <w:szCs w:val="22"/>
                    </w:rPr>
                  </w:pPr>
                  <w:r>
                    <w:rPr>
                      <w:b/>
                      <w:bCs/>
                    </w:rPr>
                    <w:t>2</w:t>
                  </w:r>
                </w:p>
              </w:tc>
            </w:tr>
            <w:tr w:rsidR="00E166C1" w:rsidTr="00EC4674">
              <w:tc>
                <w:tcPr>
                  <w:tcW w:w="4276" w:type="dxa"/>
                </w:tcPr>
                <w:p w:rsidR="00E166C1" w:rsidRDefault="00E166C1" w:rsidP="00E166C1">
                  <w:pPr>
                    <w:jc w:val="left"/>
                    <w:rPr>
                      <w:rFonts w:eastAsiaTheme="minorHAnsi" w:cs="Arial"/>
                      <w:szCs w:val="22"/>
                      <w:highlight w:val="yellow"/>
                    </w:rPr>
                  </w:pPr>
                  <w:r>
                    <w:t>One facility at one geographic location</w:t>
                  </w:r>
                </w:p>
              </w:tc>
              <w:tc>
                <w:tcPr>
                  <w:tcW w:w="850" w:type="dxa"/>
                </w:tcPr>
                <w:p w:rsidR="00E166C1" w:rsidRDefault="00E166C1" w:rsidP="00E166C1">
                  <w:pPr>
                    <w:jc w:val="left"/>
                    <w:rPr>
                      <w:rFonts w:eastAsiaTheme="minorHAnsi" w:cs="Arial"/>
                      <w:b/>
                      <w:bCs/>
                      <w:szCs w:val="22"/>
                    </w:rPr>
                  </w:pPr>
                  <w:r>
                    <w:rPr>
                      <w:b/>
                      <w:bCs/>
                    </w:rPr>
                    <w:t>1</w:t>
                  </w:r>
                </w:p>
              </w:tc>
            </w:tr>
          </w:tbl>
          <w:p w:rsidR="006D6760" w:rsidRDefault="000F0F3A" w:rsidP="002C0578">
            <w:pPr>
              <w:jc w:val="left"/>
              <w:rPr>
                <w:b/>
              </w:rPr>
            </w:pPr>
            <w:r>
              <w:rPr>
                <w:b/>
                <w:highlight w:val="yellow"/>
              </w:rPr>
              <w:t xml:space="preserve"> </w:t>
            </w:r>
          </w:p>
          <w:p w:rsidR="00413C55" w:rsidRDefault="00413C55" w:rsidP="002C0578">
            <w:pPr>
              <w:jc w:val="left"/>
            </w:pPr>
          </w:p>
          <w:tbl>
            <w:tblPr>
              <w:tblStyle w:val="TableGrid"/>
              <w:tblW w:w="0" w:type="auto"/>
              <w:tblLayout w:type="fixed"/>
              <w:tblLook w:val="04A0" w:firstRow="1" w:lastRow="0" w:firstColumn="1" w:lastColumn="0" w:noHBand="0" w:noVBand="1"/>
            </w:tblPr>
            <w:tblGrid>
              <w:gridCol w:w="4276"/>
              <w:gridCol w:w="850"/>
            </w:tblGrid>
            <w:tr w:rsidR="00E166C1" w:rsidRPr="00A97D12" w:rsidTr="00EC4674">
              <w:tc>
                <w:tcPr>
                  <w:tcW w:w="4276" w:type="dxa"/>
                  <w:shd w:val="clear" w:color="auto" w:fill="000000" w:themeFill="text1"/>
                </w:tcPr>
                <w:p w:rsidR="00E166C1" w:rsidRDefault="00DC46F8" w:rsidP="006C7460">
                  <w:pPr>
                    <w:jc w:val="left"/>
                    <w:rPr>
                      <w:b/>
                      <w:color w:val="FFFFFF" w:themeColor="background1"/>
                    </w:rPr>
                  </w:pPr>
                  <w:r>
                    <w:rPr>
                      <w:b/>
                      <w:color w:val="FFFFFF" w:themeColor="background1"/>
                    </w:rPr>
                    <w:t>Production of drug</w:t>
                  </w:r>
                </w:p>
                <w:p w:rsidR="00F97BF6" w:rsidRPr="00E166C1" w:rsidRDefault="00F97BF6" w:rsidP="006C7460">
                  <w:pPr>
                    <w:jc w:val="left"/>
                    <w:rPr>
                      <w:b/>
                      <w:color w:val="FFFFFF" w:themeColor="background1"/>
                      <w:highlight w:val="yellow"/>
                    </w:rPr>
                  </w:pPr>
                  <w:r w:rsidRPr="00F97BF6">
                    <w:rPr>
                      <w:i/>
                      <w:color w:val="FFFFFF" w:themeColor="background1"/>
                      <w:lang w:val="en-US"/>
                    </w:rPr>
                    <w:t>th</w:t>
                  </w:r>
                  <w:r w:rsidR="00EC4674">
                    <w:rPr>
                      <w:i/>
                      <w:color w:val="FFFFFF" w:themeColor="background1"/>
                      <w:lang w:val="en-US"/>
                    </w:rPr>
                    <w:t>e manufacture of the final drug</w:t>
                  </w:r>
                </w:p>
              </w:tc>
              <w:tc>
                <w:tcPr>
                  <w:tcW w:w="850" w:type="dxa"/>
                  <w:shd w:val="clear" w:color="auto" w:fill="000000" w:themeFill="text1"/>
                </w:tcPr>
                <w:p w:rsidR="00E166C1" w:rsidRPr="00A97D12" w:rsidRDefault="00E166C1" w:rsidP="006C7460">
                  <w:pPr>
                    <w:jc w:val="left"/>
                    <w:rPr>
                      <w:b/>
                      <w:color w:val="FFFFFF" w:themeColor="background1"/>
                      <w:highlight w:val="yellow"/>
                    </w:rPr>
                  </w:pPr>
                  <w:r w:rsidRPr="00413C55">
                    <w:rPr>
                      <w:b/>
                      <w:color w:val="FFFFFF" w:themeColor="background1"/>
                    </w:rPr>
                    <w:t>Score</w:t>
                  </w:r>
                </w:p>
              </w:tc>
            </w:tr>
            <w:tr w:rsidR="00E166C1" w:rsidRPr="00590FB7" w:rsidTr="00EC4674">
              <w:tc>
                <w:tcPr>
                  <w:tcW w:w="4276" w:type="dxa"/>
                </w:tcPr>
                <w:p w:rsidR="00E166C1" w:rsidRDefault="00E166C1" w:rsidP="006C7460">
                  <w:pPr>
                    <w:jc w:val="left"/>
                    <w:rPr>
                      <w:rFonts w:eastAsiaTheme="minorHAnsi" w:cs="Arial"/>
                      <w:szCs w:val="22"/>
                      <w:highlight w:val="yellow"/>
                    </w:rPr>
                  </w:pPr>
                  <w:r>
                    <w:t>Multiple geographic locations with facilities</w:t>
                  </w:r>
                </w:p>
              </w:tc>
              <w:tc>
                <w:tcPr>
                  <w:tcW w:w="850" w:type="dxa"/>
                </w:tcPr>
                <w:p w:rsidR="00E166C1" w:rsidRDefault="00E166C1" w:rsidP="006C7460">
                  <w:pPr>
                    <w:jc w:val="left"/>
                    <w:rPr>
                      <w:rFonts w:eastAsiaTheme="minorHAnsi" w:cs="Arial"/>
                      <w:b/>
                      <w:bCs/>
                      <w:szCs w:val="22"/>
                    </w:rPr>
                  </w:pPr>
                  <w:r>
                    <w:rPr>
                      <w:b/>
                      <w:bCs/>
                    </w:rPr>
                    <w:t>5</w:t>
                  </w:r>
                </w:p>
              </w:tc>
            </w:tr>
            <w:tr w:rsidR="00E166C1" w:rsidRPr="00590FB7" w:rsidTr="00EC4674">
              <w:tc>
                <w:tcPr>
                  <w:tcW w:w="4276" w:type="dxa"/>
                </w:tcPr>
                <w:p w:rsidR="00E166C1" w:rsidRDefault="00E166C1" w:rsidP="006C7460">
                  <w:pPr>
                    <w:jc w:val="left"/>
                    <w:rPr>
                      <w:rFonts w:eastAsiaTheme="minorHAnsi" w:cs="Arial"/>
                      <w:szCs w:val="22"/>
                      <w:highlight w:val="yellow"/>
                    </w:rPr>
                  </w:pPr>
                  <w:r>
                    <w:t>Two geographic locations with facilities</w:t>
                  </w:r>
                </w:p>
              </w:tc>
              <w:tc>
                <w:tcPr>
                  <w:tcW w:w="850" w:type="dxa"/>
                </w:tcPr>
                <w:p w:rsidR="00E166C1" w:rsidRDefault="00E166C1" w:rsidP="006C7460">
                  <w:pPr>
                    <w:jc w:val="left"/>
                    <w:rPr>
                      <w:rFonts w:eastAsiaTheme="minorHAnsi" w:cs="Arial"/>
                      <w:b/>
                      <w:bCs/>
                      <w:szCs w:val="22"/>
                    </w:rPr>
                  </w:pPr>
                  <w:r>
                    <w:rPr>
                      <w:b/>
                      <w:bCs/>
                    </w:rPr>
                    <w:t>4</w:t>
                  </w:r>
                </w:p>
              </w:tc>
            </w:tr>
            <w:tr w:rsidR="00E166C1" w:rsidRPr="00590FB7" w:rsidTr="00EC4674">
              <w:tc>
                <w:tcPr>
                  <w:tcW w:w="4276" w:type="dxa"/>
                </w:tcPr>
                <w:p w:rsidR="00E166C1" w:rsidRDefault="00E166C1" w:rsidP="006C7460">
                  <w:pPr>
                    <w:jc w:val="left"/>
                    <w:rPr>
                      <w:rFonts w:eastAsiaTheme="minorHAnsi" w:cs="Arial"/>
                      <w:szCs w:val="22"/>
                      <w:highlight w:val="yellow"/>
                    </w:rPr>
                  </w:pPr>
                  <w:r>
                    <w:t>One geographic location with two or more facilities</w:t>
                  </w:r>
                </w:p>
              </w:tc>
              <w:tc>
                <w:tcPr>
                  <w:tcW w:w="850" w:type="dxa"/>
                </w:tcPr>
                <w:p w:rsidR="00E166C1" w:rsidRDefault="00E166C1" w:rsidP="006C7460">
                  <w:pPr>
                    <w:jc w:val="left"/>
                    <w:rPr>
                      <w:rFonts w:eastAsiaTheme="minorHAnsi" w:cs="Arial"/>
                      <w:b/>
                      <w:bCs/>
                      <w:szCs w:val="22"/>
                    </w:rPr>
                  </w:pPr>
                  <w:r>
                    <w:rPr>
                      <w:b/>
                      <w:bCs/>
                    </w:rPr>
                    <w:t>2</w:t>
                  </w:r>
                </w:p>
              </w:tc>
            </w:tr>
            <w:tr w:rsidR="00E166C1" w:rsidRPr="00590FB7" w:rsidTr="00EC4674">
              <w:tc>
                <w:tcPr>
                  <w:tcW w:w="4276" w:type="dxa"/>
                </w:tcPr>
                <w:p w:rsidR="00E166C1" w:rsidRDefault="00E166C1" w:rsidP="006C7460">
                  <w:pPr>
                    <w:jc w:val="left"/>
                    <w:rPr>
                      <w:rFonts w:eastAsiaTheme="minorHAnsi" w:cs="Arial"/>
                      <w:szCs w:val="22"/>
                      <w:highlight w:val="yellow"/>
                    </w:rPr>
                  </w:pPr>
                  <w:r>
                    <w:t>One facility at one geographic location</w:t>
                  </w:r>
                </w:p>
              </w:tc>
              <w:tc>
                <w:tcPr>
                  <w:tcW w:w="850" w:type="dxa"/>
                </w:tcPr>
                <w:p w:rsidR="00E166C1" w:rsidRDefault="00E166C1" w:rsidP="006C7460">
                  <w:pPr>
                    <w:jc w:val="left"/>
                    <w:rPr>
                      <w:rFonts w:eastAsiaTheme="minorHAnsi" w:cs="Arial"/>
                      <w:b/>
                      <w:bCs/>
                      <w:szCs w:val="22"/>
                    </w:rPr>
                  </w:pPr>
                  <w:r>
                    <w:rPr>
                      <w:b/>
                      <w:bCs/>
                    </w:rPr>
                    <w:t>1</w:t>
                  </w:r>
                </w:p>
              </w:tc>
            </w:tr>
          </w:tbl>
          <w:p w:rsidR="00590FB7" w:rsidRDefault="00590FB7" w:rsidP="002C0578">
            <w:pPr>
              <w:jc w:val="left"/>
            </w:pPr>
          </w:p>
          <w:p w:rsidR="00590FB7" w:rsidRDefault="00590FB7" w:rsidP="002C0578">
            <w:pPr>
              <w:jc w:val="left"/>
            </w:pPr>
          </w:p>
          <w:tbl>
            <w:tblPr>
              <w:tblStyle w:val="TableGrid"/>
              <w:tblW w:w="0" w:type="auto"/>
              <w:tblLayout w:type="fixed"/>
              <w:tblLook w:val="04A0" w:firstRow="1" w:lastRow="0" w:firstColumn="1" w:lastColumn="0" w:noHBand="0" w:noVBand="1"/>
            </w:tblPr>
            <w:tblGrid>
              <w:gridCol w:w="4276"/>
              <w:gridCol w:w="850"/>
            </w:tblGrid>
            <w:tr w:rsidR="00E166C1" w:rsidRPr="00A97D12" w:rsidTr="00EC4674">
              <w:tc>
                <w:tcPr>
                  <w:tcW w:w="4276" w:type="dxa"/>
                  <w:shd w:val="clear" w:color="auto" w:fill="000000" w:themeFill="text1"/>
                </w:tcPr>
                <w:p w:rsidR="00E166C1" w:rsidRDefault="00DC46F8" w:rsidP="006C7460">
                  <w:pPr>
                    <w:jc w:val="left"/>
                    <w:rPr>
                      <w:b/>
                      <w:color w:val="FFFFFF" w:themeColor="background1"/>
                    </w:rPr>
                  </w:pPr>
                  <w:r>
                    <w:rPr>
                      <w:b/>
                      <w:color w:val="FFFFFF" w:themeColor="background1"/>
                    </w:rPr>
                    <w:t>Packaging and labelling</w:t>
                  </w:r>
                </w:p>
                <w:p w:rsidR="00F97BF6" w:rsidRPr="00E166C1" w:rsidRDefault="00F97BF6" w:rsidP="006C7460">
                  <w:pPr>
                    <w:jc w:val="left"/>
                    <w:rPr>
                      <w:b/>
                      <w:color w:val="FFFFFF" w:themeColor="background1"/>
                      <w:highlight w:val="yellow"/>
                    </w:rPr>
                  </w:pPr>
                  <w:r w:rsidRPr="00F97BF6">
                    <w:rPr>
                      <w:i/>
                      <w:color w:val="FFFFFF" w:themeColor="background1"/>
                      <w:lang w:val="en-US"/>
                    </w:rPr>
                    <w:t>enclosing and labelling products for distribut</w:t>
                  </w:r>
                  <w:r w:rsidR="00EC4674">
                    <w:rPr>
                      <w:i/>
                      <w:color w:val="FFFFFF" w:themeColor="background1"/>
                      <w:lang w:val="en-US"/>
                    </w:rPr>
                    <w:t>ion, storage, sale and safe use</w:t>
                  </w:r>
                </w:p>
              </w:tc>
              <w:tc>
                <w:tcPr>
                  <w:tcW w:w="850" w:type="dxa"/>
                  <w:shd w:val="clear" w:color="auto" w:fill="000000" w:themeFill="text1"/>
                </w:tcPr>
                <w:p w:rsidR="00E166C1" w:rsidRPr="00A97D12" w:rsidRDefault="00E166C1" w:rsidP="006C7460">
                  <w:pPr>
                    <w:jc w:val="left"/>
                    <w:rPr>
                      <w:b/>
                      <w:color w:val="FFFFFF" w:themeColor="background1"/>
                      <w:highlight w:val="yellow"/>
                    </w:rPr>
                  </w:pPr>
                  <w:r w:rsidRPr="00413C55">
                    <w:rPr>
                      <w:b/>
                      <w:color w:val="FFFFFF" w:themeColor="background1"/>
                    </w:rPr>
                    <w:t>Score</w:t>
                  </w:r>
                </w:p>
              </w:tc>
            </w:tr>
            <w:tr w:rsidR="00E166C1" w:rsidRPr="00590FB7" w:rsidTr="00EC4674">
              <w:tc>
                <w:tcPr>
                  <w:tcW w:w="4276" w:type="dxa"/>
                </w:tcPr>
                <w:p w:rsidR="00E166C1" w:rsidRDefault="00E166C1" w:rsidP="006C7460">
                  <w:pPr>
                    <w:jc w:val="left"/>
                    <w:rPr>
                      <w:rFonts w:eastAsiaTheme="minorHAnsi" w:cs="Arial"/>
                      <w:szCs w:val="22"/>
                      <w:highlight w:val="yellow"/>
                    </w:rPr>
                  </w:pPr>
                  <w:r>
                    <w:t>Multiple geographic locations with facilities</w:t>
                  </w:r>
                </w:p>
              </w:tc>
              <w:tc>
                <w:tcPr>
                  <w:tcW w:w="850" w:type="dxa"/>
                </w:tcPr>
                <w:p w:rsidR="00E166C1" w:rsidRDefault="00E166C1" w:rsidP="006C7460">
                  <w:pPr>
                    <w:jc w:val="left"/>
                    <w:rPr>
                      <w:rFonts w:eastAsiaTheme="minorHAnsi" w:cs="Arial"/>
                      <w:b/>
                      <w:bCs/>
                      <w:szCs w:val="22"/>
                    </w:rPr>
                  </w:pPr>
                  <w:r>
                    <w:rPr>
                      <w:b/>
                      <w:bCs/>
                    </w:rPr>
                    <w:t>5</w:t>
                  </w:r>
                </w:p>
              </w:tc>
            </w:tr>
            <w:tr w:rsidR="00E166C1" w:rsidRPr="00590FB7" w:rsidTr="00EC4674">
              <w:tc>
                <w:tcPr>
                  <w:tcW w:w="4276" w:type="dxa"/>
                </w:tcPr>
                <w:p w:rsidR="00E166C1" w:rsidRDefault="00E166C1" w:rsidP="006C7460">
                  <w:pPr>
                    <w:jc w:val="left"/>
                    <w:rPr>
                      <w:rFonts w:eastAsiaTheme="minorHAnsi" w:cs="Arial"/>
                      <w:szCs w:val="22"/>
                      <w:highlight w:val="yellow"/>
                    </w:rPr>
                  </w:pPr>
                  <w:r>
                    <w:t>Two geographic locations with facilities</w:t>
                  </w:r>
                </w:p>
              </w:tc>
              <w:tc>
                <w:tcPr>
                  <w:tcW w:w="850" w:type="dxa"/>
                </w:tcPr>
                <w:p w:rsidR="00E166C1" w:rsidRDefault="00E166C1" w:rsidP="006C7460">
                  <w:pPr>
                    <w:jc w:val="left"/>
                    <w:rPr>
                      <w:rFonts w:eastAsiaTheme="minorHAnsi" w:cs="Arial"/>
                      <w:b/>
                      <w:bCs/>
                      <w:szCs w:val="22"/>
                    </w:rPr>
                  </w:pPr>
                  <w:r>
                    <w:rPr>
                      <w:b/>
                      <w:bCs/>
                    </w:rPr>
                    <w:t>4</w:t>
                  </w:r>
                </w:p>
              </w:tc>
            </w:tr>
            <w:tr w:rsidR="00E166C1" w:rsidRPr="00590FB7" w:rsidTr="00EC4674">
              <w:tc>
                <w:tcPr>
                  <w:tcW w:w="4276" w:type="dxa"/>
                </w:tcPr>
                <w:p w:rsidR="00E166C1" w:rsidRDefault="00E166C1" w:rsidP="006C7460">
                  <w:pPr>
                    <w:jc w:val="left"/>
                    <w:rPr>
                      <w:rFonts w:eastAsiaTheme="minorHAnsi" w:cs="Arial"/>
                      <w:szCs w:val="22"/>
                      <w:highlight w:val="yellow"/>
                    </w:rPr>
                  </w:pPr>
                  <w:r>
                    <w:t>One geographic location with two or more facilities</w:t>
                  </w:r>
                </w:p>
              </w:tc>
              <w:tc>
                <w:tcPr>
                  <w:tcW w:w="850" w:type="dxa"/>
                </w:tcPr>
                <w:p w:rsidR="00E166C1" w:rsidRDefault="00E166C1" w:rsidP="006C7460">
                  <w:pPr>
                    <w:jc w:val="left"/>
                    <w:rPr>
                      <w:rFonts w:eastAsiaTheme="minorHAnsi" w:cs="Arial"/>
                      <w:b/>
                      <w:bCs/>
                      <w:szCs w:val="22"/>
                    </w:rPr>
                  </w:pPr>
                  <w:r>
                    <w:rPr>
                      <w:b/>
                      <w:bCs/>
                    </w:rPr>
                    <w:t>2</w:t>
                  </w:r>
                </w:p>
              </w:tc>
            </w:tr>
            <w:tr w:rsidR="00E166C1" w:rsidRPr="00590FB7" w:rsidTr="00EC4674">
              <w:tc>
                <w:tcPr>
                  <w:tcW w:w="4276" w:type="dxa"/>
                </w:tcPr>
                <w:p w:rsidR="00E166C1" w:rsidRDefault="00E166C1" w:rsidP="006C7460">
                  <w:pPr>
                    <w:jc w:val="left"/>
                    <w:rPr>
                      <w:rFonts w:eastAsiaTheme="minorHAnsi" w:cs="Arial"/>
                      <w:szCs w:val="22"/>
                      <w:highlight w:val="yellow"/>
                    </w:rPr>
                  </w:pPr>
                  <w:r>
                    <w:t>One facility at one geographic location</w:t>
                  </w:r>
                </w:p>
              </w:tc>
              <w:tc>
                <w:tcPr>
                  <w:tcW w:w="850" w:type="dxa"/>
                </w:tcPr>
                <w:p w:rsidR="00E166C1" w:rsidRDefault="00E166C1" w:rsidP="006C7460">
                  <w:pPr>
                    <w:jc w:val="left"/>
                    <w:rPr>
                      <w:rFonts w:eastAsiaTheme="minorHAnsi" w:cs="Arial"/>
                      <w:b/>
                      <w:bCs/>
                      <w:szCs w:val="22"/>
                    </w:rPr>
                  </w:pPr>
                  <w:r>
                    <w:rPr>
                      <w:b/>
                      <w:bCs/>
                    </w:rPr>
                    <w:t>1</w:t>
                  </w:r>
                </w:p>
              </w:tc>
            </w:tr>
          </w:tbl>
          <w:p w:rsidR="00590FB7" w:rsidRDefault="00590FB7" w:rsidP="002C0578">
            <w:pPr>
              <w:jc w:val="left"/>
            </w:pPr>
          </w:p>
          <w:p w:rsidR="00590FB7" w:rsidRDefault="00590FB7" w:rsidP="002C0578">
            <w:pPr>
              <w:jc w:val="left"/>
            </w:pPr>
          </w:p>
          <w:tbl>
            <w:tblPr>
              <w:tblStyle w:val="TableGrid"/>
              <w:tblW w:w="0" w:type="auto"/>
              <w:tblLayout w:type="fixed"/>
              <w:tblLook w:val="04A0" w:firstRow="1" w:lastRow="0" w:firstColumn="1" w:lastColumn="0" w:noHBand="0" w:noVBand="1"/>
            </w:tblPr>
            <w:tblGrid>
              <w:gridCol w:w="4276"/>
              <w:gridCol w:w="850"/>
            </w:tblGrid>
            <w:tr w:rsidR="00E166C1" w:rsidRPr="00A97D12" w:rsidTr="00EC4674">
              <w:tc>
                <w:tcPr>
                  <w:tcW w:w="4276" w:type="dxa"/>
                  <w:shd w:val="clear" w:color="auto" w:fill="000000" w:themeFill="text1"/>
                </w:tcPr>
                <w:p w:rsidR="00E166C1" w:rsidRDefault="00DC46F8" w:rsidP="00DC46F8">
                  <w:pPr>
                    <w:jc w:val="left"/>
                    <w:rPr>
                      <w:b/>
                      <w:color w:val="FFFFFF" w:themeColor="background1"/>
                    </w:rPr>
                  </w:pPr>
                  <w:r>
                    <w:rPr>
                      <w:b/>
                      <w:color w:val="FFFFFF" w:themeColor="background1"/>
                    </w:rPr>
                    <w:t>Stock holding facility/warehouse</w:t>
                  </w:r>
                </w:p>
                <w:p w:rsidR="00F97BF6" w:rsidRPr="00E166C1" w:rsidRDefault="00F97BF6" w:rsidP="00DC46F8">
                  <w:pPr>
                    <w:jc w:val="left"/>
                    <w:rPr>
                      <w:b/>
                      <w:color w:val="FFFFFF" w:themeColor="background1"/>
                      <w:highlight w:val="yellow"/>
                    </w:rPr>
                  </w:pPr>
                  <w:r w:rsidRPr="00F97BF6">
                    <w:rPr>
                      <w:i/>
                      <w:color w:val="FFFFFF" w:themeColor="background1"/>
                      <w:lang w:val="en-US"/>
                    </w:rPr>
                    <w:t>facility for storing finished product which is rea</w:t>
                  </w:r>
                  <w:r w:rsidR="00EC4674">
                    <w:rPr>
                      <w:i/>
                      <w:color w:val="FFFFFF" w:themeColor="background1"/>
                      <w:lang w:val="en-US"/>
                    </w:rPr>
                    <w:t>dy for distribution to end user</w:t>
                  </w:r>
                </w:p>
              </w:tc>
              <w:tc>
                <w:tcPr>
                  <w:tcW w:w="850" w:type="dxa"/>
                  <w:shd w:val="clear" w:color="auto" w:fill="000000" w:themeFill="text1"/>
                </w:tcPr>
                <w:p w:rsidR="00E166C1" w:rsidRPr="00A97D12" w:rsidRDefault="00E166C1" w:rsidP="006C7460">
                  <w:pPr>
                    <w:jc w:val="left"/>
                    <w:rPr>
                      <w:b/>
                      <w:color w:val="FFFFFF" w:themeColor="background1"/>
                      <w:highlight w:val="yellow"/>
                    </w:rPr>
                  </w:pPr>
                  <w:r w:rsidRPr="00413C55">
                    <w:rPr>
                      <w:b/>
                      <w:color w:val="FFFFFF" w:themeColor="background1"/>
                    </w:rPr>
                    <w:t>Score</w:t>
                  </w:r>
                </w:p>
              </w:tc>
            </w:tr>
            <w:tr w:rsidR="00E166C1" w:rsidRPr="00590FB7" w:rsidTr="00EC4674">
              <w:tc>
                <w:tcPr>
                  <w:tcW w:w="4276" w:type="dxa"/>
                </w:tcPr>
                <w:p w:rsidR="00E166C1" w:rsidRDefault="00E166C1" w:rsidP="006C7460">
                  <w:pPr>
                    <w:jc w:val="left"/>
                    <w:rPr>
                      <w:rFonts w:eastAsiaTheme="minorHAnsi" w:cs="Arial"/>
                      <w:szCs w:val="22"/>
                      <w:highlight w:val="yellow"/>
                    </w:rPr>
                  </w:pPr>
                  <w:r>
                    <w:t>Multiple geographic locations with facilities</w:t>
                  </w:r>
                </w:p>
              </w:tc>
              <w:tc>
                <w:tcPr>
                  <w:tcW w:w="850" w:type="dxa"/>
                </w:tcPr>
                <w:p w:rsidR="00E166C1" w:rsidRDefault="00E166C1" w:rsidP="006C7460">
                  <w:pPr>
                    <w:jc w:val="left"/>
                    <w:rPr>
                      <w:rFonts w:eastAsiaTheme="minorHAnsi" w:cs="Arial"/>
                      <w:b/>
                      <w:bCs/>
                      <w:szCs w:val="22"/>
                    </w:rPr>
                  </w:pPr>
                  <w:r>
                    <w:rPr>
                      <w:b/>
                      <w:bCs/>
                    </w:rPr>
                    <w:t>5</w:t>
                  </w:r>
                </w:p>
              </w:tc>
            </w:tr>
            <w:tr w:rsidR="00E166C1" w:rsidRPr="00590FB7" w:rsidTr="00EC4674">
              <w:tc>
                <w:tcPr>
                  <w:tcW w:w="4276" w:type="dxa"/>
                </w:tcPr>
                <w:p w:rsidR="00E166C1" w:rsidRDefault="00E166C1" w:rsidP="006C7460">
                  <w:pPr>
                    <w:jc w:val="left"/>
                    <w:rPr>
                      <w:rFonts w:eastAsiaTheme="minorHAnsi" w:cs="Arial"/>
                      <w:szCs w:val="22"/>
                      <w:highlight w:val="yellow"/>
                    </w:rPr>
                  </w:pPr>
                  <w:r>
                    <w:t>Two geographic locations with facilities</w:t>
                  </w:r>
                </w:p>
              </w:tc>
              <w:tc>
                <w:tcPr>
                  <w:tcW w:w="850" w:type="dxa"/>
                </w:tcPr>
                <w:p w:rsidR="00E166C1" w:rsidRDefault="00E166C1" w:rsidP="006C7460">
                  <w:pPr>
                    <w:jc w:val="left"/>
                    <w:rPr>
                      <w:rFonts w:eastAsiaTheme="minorHAnsi" w:cs="Arial"/>
                      <w:b/>
                      <w:bCs/>
                      <w:szCs w:val="22"/>
                    </w:rPr>
                  </w:pPr>
                  <w:r>
                    <w:rPr>
                      <w:b/>
                      <w:bCs/>
                    </w:rPr>
                    <w:t>4</w:t>
                  </w:r>
                </w:p>
              </w:tc>
            </w:tr>
            <w:tr w:rsidR="00E166C1" w:rsidRPr="00590FB7" w:rsidTr="00EC4674">
              <w:tc>
                <w:tcPr>
                  <w:tcW w:w="4276" w:type="dxa"/>
                </w:tcPr>
                <w:p w:rsidR="00E166C1" w:rsidRDefault="00E166C1" w:rsidP="006C7460">
                  <w:pPr>
                    <w:jc w:val="left"/>
                    <w:rPr>
                      <w:rFonts w:eastAsiaTheme="minorHAnsi" w:cs="Arial"/>
                      <w:szCs w:val="22"/>
                      <w:highlight w:val="yellow"/>
                    </w:rPr>
                  </w:pPr>
                  <w:r>
                    <w:t>One geographic location with two or more facilities</w:t>
                  </w:r>
                </w:p>
              </w:tc>
              <w:tc>
                <w:tcPr>
                  <w:tcW w:w="850" w:type="dxa"/>
                </w:tcPr>
                <w:p w:rsidR="00E166C1" w:rsidRDefault="00E166C1" w:rsidP="006C7460">
                  <w:pPr>
                    <w:jc w:val="left"/>
                    <w:rPr>
                      <w:rFonts w:eastAsiaTheme="minorHAnsi" w:cs="Arial"/>
                      <w:b/>
                      <w:bCs/>
                      <w:szCs w:val="22"/>
                    </w:rPr>
                  </w:pPr>
                  <w:r>
                    <w:rPr>
                      <w:b/>
                      <w:bCs/>
                    </w:rPr>
                    <w:t>2</w:t>
                  </w:r>
                </w:p>
              </w:tc>
            </w:tr>
            <w:tr w:rsidR="00E166C1" w:rsidRPr="00590FB7" w:rsidTr="00EC4674">
              <w:tc>
                <w:tcPr>
                  <w:tcW w:w="4276" w:type="dxa"/>
                </w:tcPr>
                <w:p w:rsidR="00E166C1" w:rsidRDefault="00E166C1" w:rsidP="006C7460">
                  <w:pPr>
                    <w:jc w:val="left"/>
                    <w:rPr>
                      <w:rFonts w:eastAsiaTheme="minorHAnsi" w:cs="Arial"/>
                      <w:szCs w:val="22"/>
                      <w:highlight w:val="yellow"/>
                    </w:rPr>
                  </w:pPr>
                  <w:r>
                    <w:t>One facility at one geographic location</w:t>
                  </w:r>
                </w:p>
              </w:tc>
              <w:tc>
                <w:tcPr>
                  <w:tcW w:w="850" w:type="dxa"/>
                </w:tcPr>
                <w:p w:rsidR="00E166C1" w:rsidRDefault="00E166C1" w:rsidP="006C7460">
                  <w:pPr>
                    <w:jc w:val="left"/>
                    <w:rPr>
                      <w:rFonts w:eastAsiaTheme="minorHAnsi" w:cs="Arial"/>
                      <w:b/>
                      <w:bCs/>
                      <w:szCs w:val="22"/>
                    </w:rPr>
                  </w:pPr>
                  <w:r>
                    <w:rPr>
                      <w:b/>
                      <w:bCs/>
                    </w:rPr>
                    <w:t>1</w:t>
                  </w:r>
                </w:p>
              </w:tc>
            </w:tr>
          </w:tbl>
          <w:p w:rsidR="00590FB7" w:rsidRDefault="00590FB7" w:rsidP="002C0578">
            <w:pPr>
              <w:jc w:val="left"/>
            </w:pPr>
          </w:p>
          <w:p w:rsidR="00590FB7" w:rsidRDefault="00590FB7" w:rsidP="002C0578">
            <w:pPr>
              <w:jc w:val="left"/>
            </w:pPr>
          </w:p>
          <w:p w:rsidR="00590FB7" w:rsidRDefault="00590FB7" w:rsidP="002C0578">
            <w:pPr>
              <w:jc w:val="left"/>
            </w:pPr>
          </w:p>
        </w:tc>
        <w:tc>
          <w:tcPr>
            <w:tcW w:w="1337" w:type="dxa"/>
            <w:vAlign w:val="center"/>
          </w:tcPr>
          <w:p w:rsidR="006D6760" w:rsidRPr="00BE416A" w:rsidRDefault="006D6760" w:rsidP="002C0578">
            <w:pPr>
              <w:jc w:val="center"/>
              <w:rPr>
                <w:b/>
              </w:rPr>
            </w:pPr>
            <w:r>
              <w:rPr>
                <w:b/>
              </w:rPr>
              <w:t>5</w:t>
            </w:r>
            <w:r w:rsidRPr="00BE416A">
              <w:rPr>
                <w:b/>
              </w:rPr>
              <w:t>%</w:t>
            </w:r>
          </w:p>
        </w:tc>
      </w:tr>
      <w:tr w:rsidR="006D6760" w:rsidTr="00452A14">
        <w:tc>
          <w:tcPr>
            <w:tcW w:w="2274" w:type="dxa"/>
            <w:vAlign w:val="center"/>
          </w:tcPr>
          <w:p w:rsidR="006D6760" w:rsidRPr="00F3055D" w:rsidRDefault="006D6760" w:rsidP="00F3055D">
            <w:pPr>
              <w:pStyle w:val="ListParagraph"/>
              <w:numPr>
                <w:ilvl w:val="0"/>
                <w:numId w:val="37"/>
              </w:numPr>
              <w:jc w:val="left"/>
              <w:rPr>
                <w:b/>
              </w:rPr>
            </w:pPr>
            <w:r w:rsidRPr="00F3055D">
              <w:rPr>
                <w:b/>
              </w:rPr>
              <w:t>Vial Sizes</w:t>
            </w:r>
          </w:p>
        </w:tc>
        <w:tc>
          <w:tcPr>
            <w:tcW w:w="5523" w:type="dxa"/>
            <w:vAlign w:val="center"/>
          </w:tcPr>
          <w:p w:rsidR="006D6760" w:rsidRDefault="006D6760" w:rsidP="002C0578">
            <w:pPr>
              <w:jc w:val="left"/>
            </w:pPr>
          </w:p>
          <w:p w:rsidR="006D6760" w:rsidRDefault="006D6760" w:rsidP="002C0578">
            <w:pPr>
              <w:jc w:val="left"/>
            </w:pPr>
            <w:r>
              <w:t xml:space="preserve">Offerors will be evaluated on the size of the vial supplied and on the number of different vial sizes </w:t>
            </w:r>
            <w:r>
              <w:lastRenderedPageBreak/>
              <w:t>available:</w:t>
            </w:r>
          </w:p>
          <w:p w:rsidR="006D6760" w:rsidRDefault="006D6760" w:rsidP="002C0578">
            <w:pPr>
              <w:jc w:val="left"/>
            </w:pPr>
          </w:p>
          <w:p w:rsidR="00331EA9" w:rsidRDefault="00331EA9" w:rsidP="002C0578">
            <w:pPr>
              <w:jc w:val="left"/>
            </w:pPr>
          </w:p>
          <w:p w:rsidR="00331EA9" w:rsidRDefault="00331EA9" w:rsidP="002C0578">
            <w:pPr>
              <w:jc w:val="left"/>
            </w:pPr>
          </w:p>
          <w:tbl>
            <w:tblPr>
              <w:tblStyle w:val="TableGrid"/>
              <w:tblW w:w="0" w:type="auto"/>
              <w:tblLayout w:type="fixed"/>
              <w:tblLook w:val="04A0" w:firstRow="1" w:lastRow="0" w:firstColumn="1" w:lastColumn="0" w:noHBand="0" w:noVBand="1"/>
            </w:tblPr>
            <w:tblGrid>
              <w:gridCol w:w="1441"/>
              <w:gridCol w:w="992"/>
              <w:gridCol w:w="1559"/>
              <w:gridCol w:w="992"/>
            </w:tblGrid>
            <w:tr w:rsidR="000F0F3A" w:rsidRPr="000F0F3A" w:rsidTr="00331EA9">
              <w:tc>
                <w:tcPr>
                  <w:tcW w:w="1441" w:type="dxa"/>
                  <w:shd w:val="clear" w:color="auto" w:fill="000000" w:themeFill="text1"/>
                </w:tcPr>
                <w:p w:rsidR="006D6760" w:rsidRPr="000F0F3A" w:rsidRDefault="006D6760" w:rsidP="002130CE">
                  <w:pPr>
                    <w:jc w:val="center"/>
                    <w:rPr>
                      <w:b/>
                      <w:color w:val="FFFFFF" w:themeColor="background1"/>
                    </w:rPr>
                  </w:pPr>
                  <w:r w:rsidRPr="000F0F3A">
                    <w:rPr>
                      <w:b/>
                      <w:color w:val="FFFFFF" w:themeColor="background1"/>
                    </w:rPr>
                    <w:t>Vial size (IU)</w:t>
                  </w:r>
                </w:p>
              </w:tc>
              <w:tc>
                <w:tcPr>
                  <w:tcW w:w="992" w:type="dxa"/>
                  <w:shd w:val="clear" w:color="auto" w:fill="000000" w:themeFill="text1"/>
                </w:tcPr>
                <w:p w:rsidR="006D6760" w:rsidRPr="000F0F3A" w:rsidRDefault="006D6760" w:rsidP="002130CE">
                  <w:pPr>
                    <w:jc w:val="center"/>
                    <w:rPr>
                      <w:b/>
                      <w:color w:val="FFFFFF" w:themeColor="background1"/>
                    </w:rPr>
                  </w:pPr>
                  <w:r w:rsidRPr="000F0F3A">
                    <w:rPr>
                      <w:b/>
                      <w:color w:val="FFFFFF" w:themeColor="background1"/>
                    </w:rPr>
                    <w:t>Score</w:t>
                  </w:r>
                </w:p>
              </w:tc>
              <w:tc>
                <w:tcPr>
                  <w:tcW w:w="1559" w:type="dxa"/>
                  <w:shd w:val="clear" w:color="auto" w:fill="000000" w:themeFill="text1"/>
                </w:tcPr>
                <w:p w:rsidR="006D6760" w:rsidRPr="000F0F3A" w:rsidRDefault="006D6760" w:rsidP="002130CE">
                  <w:pPr>
                    <w:jc w:val="center"/>
                    <w:rPr>
                      <w:b/>
                      <w:color w:val="FFFFFF" w:themeColor="background1"/>
                    </w:rPr>
                  </w:pPr>
                  <w:r w:rsidRPr="000F0F3A">
                    <w:rPr>
                      <w:b/>
                      <w:color w:val="FFFFFF" w:themeColor="background1"/>
                    </w:rPr>
                    <w:t>Total no. of vials</w:t>
                  </w:r>
                </w:p>
              </w:tc>
              <w:tc>
                <w:tcPr>
                  <w:tcW w:w="992" w:type="dxa"/>
                  <w:shd w:val="clear" w:color="auto" w:fill="000000" w:themeFill="text1"/>
                </w:tcPr>
                <w:p w:rsidR="006D6760" w:rsidRPr="000F0F3A" w:rsidRDefault="006D6760" w:rsidP="002130CE">
                  <w:pPr>
                    <w:jc w:val="center"/>
                    <w:rPr>
                      <w:b/>
                      <w:color w:val="FFFFFF" w:themeColor="background1"/>
                    </w:rPr>
                  </w:pPr>
                  <w:r w:rsidRPr="000F0F3A">
                    <w:rPr>
                      <w:b/>
                      <w:color w:val="FFFFFF" w:themeColor="background1"/>
                    </w:rPr>
                    <w:t>Score</w:t>
                  </w:r>
                </w:p>
              </w:tc>
            </w:tr>
            <w:tr w:rsidR="006D6760" w:rsidTr="00331EA9">
              <w:tc>
                <w:tcPr>
                  <w:tcW w:w="1441" w:type="dxa"/>
                </w:tcPr>
                <w:p w:rsidR="006D6760" w:rsidRDefault="006D6760" w:rsidP="002130CE">
                  <w:pPr>
                    <w:jc w:val="center"/>
                  </w:pPr>
                  <w:r>
                    <w:t>250</w:t>
                  </w:r>
                </w:p>
              </w:tc>
              <w:tc>
                <w:tcPr>
                  <w:tcW w:w="992" w:type="dxa"/>
                </w:tcPr>
                <w:p w:rsidR="006D6760" w:rsidRPr="002130CE" w:rsidRDefault="006D6760" w:rsidP="002130CE">
                  <w:pPr>
                    <w:jc w:val="center"/>
                    <w:rPr>
                      <w:b/>
                    </w:rPr>
                  </w:pPr>
                  <w:r w:rsidRPr="002130CE">
                    <w:rPr>
                      <w:b/>
                    </w:rPr>
                    <w:t>2</w:t>
                  </w:r>
                </w:p>
              </w:tc>
              <w:tc>
                <w:tcPr>
                  <w:tcW w:w="1559" w:type="dxa"/>
                </w:tcPr>
                <w:p w:rsidR="006D6760" w:rsidRDefault="006D6760" w:rsidP="002130CE">
                  <w:pPr>
                    <w:jc w:val="center"/>
                  </w:pPr>
                  <w:r>
                    <w:t>6</w:t>
                  </w:r>
                </w:p>
              </w:tc>
              <w:tc>
                <w:tcPr>
                  <w:tcW w:w="992" w:type="dxa"/>
                </w:tcPr>
                <w:p w:rsidR="006D6760" w:rsidRPr="002130CE" w:rsidRDefault="006D6760" w:rsidP="002130CE">
                  <w:pPr>
                    <w:jc w:val="center"/>
                    <w:rPr>
                      <w:b/>
                    </w:rPr>
                  </w:pPr>
                  <w:r>
                    <w:rPr>
                      <w:b/>
                    </w:rPr>
                    <w:t>2</w:t>
                  </w:r>
                </w:p>
              </w:tc>
            </w:tr>
            <w:tr w:rsidR="006D6760" w:rsidTr="00331EA9">
              <w:tc>
                <w:tcPr>
                  <w:tcW w:w="1441" w:type="dxa"/>
                </w:tcPr>
                <w:p w:rsidR="006D6760" w:rsidRDefault="006D6760" w:rsidP="002130CE">
                  <w:pPr>
                    <w:jc w:val="center"/>
                  </w:pPr>
                  <w:r>
                    <w:t>500</w:t>
                  </w:r>
                </w:p>
              </w:tc>
              <w:tc>
                <w:tcPr>
                  <w:tcW w:w="992" w:type="dxa"/>
                </w:tcPr>
                <w:p w:rsidR="006D6760" w:rsidRPr="002130CE" w:rsidRDefault="006D6760" w:rsidP="002130CE">
                  <w:pPr>
                    <w:jc w:val="center"/>
                    <w:rPr>
                      <w:b/>
                    </w:rPr>
                  </w:pPr>
                  <w:r w:rsidRPr="002130CE">
                    <w:rPr>
                      <w:b/>
                    </w:rPr>
                    <w:t>2</w:t>
                  </w:r>
                </w:p>
              </w:tc>
              <w:tc>
                <w:tcPr>
                  <w:tcW w:w="1559" w:type="dxa"/>
                </w:tcPr>
                <w:p w:rsidR="006D6760" w:rsidRDefault="006D6760" w:rsidP="002130CE">
                  <w:pPr>
                    <w:jc w:val="center"/>
                  </w:pPr>
                  <w:r>
                    <w:t>5</w:t>
                  </w:r>
                </w:p>
              </w:tc>
              <w:tc>
                <w:tcPr>
                  <w:tcW w:w="992" w:type="dxa"/>
                </w:tcPr>
                <w:p w:rsidR="006D6760" w:rsidRPr="002130CE" w:rsidRDefault="006D6760" w:rsidP="002130CE">
                  <w:pPr>
                    <w:jc w:val="center"/>
                    <w:rPr>
                      <w:b/>
                    </w:rPr>
                  </w:pPr>
                  <w:r>
                    <w:rPr>
                      <w:b/>
                    </w:rPr>
                    <w:t>2</w:t>
                  </w:r>
                </w:p>
              </w:tc>
            </w:tr>
            <w:tr w:rsidR="006D6760" w:rsidTr="00331EA9">
              <w:tc>
                <w:tcPr>
                  <w:tcW w:w="1441" w:type="dxa"/>
                </w:tcPr>
                <w:p w:rsidR="006D6760" w:rsidRDefault="006D6760" w:rsidP="002130CE">
                  <w:pPr>
                    <w:jc w:val="center"/>
                  </w:pPr>
                  <w:r>
                    <w:t>1000</w:t>
                  </w:r>
                </w:p>
              </w:tc>
              <w:tc>
                <w:tcPr>
                  <w:tcW w:w="992" w:type="dxa"/>
                </w:tcPr>
                <w:p w:rsidR="006D6760" w:rsidRPr="002130CE" w:rsidRDefault="006D6760" w:rsidP="002130CE">
                  <w:pPr>
                    <w:jc w:val="center"/>
                    <w:rPr>
                      <w:b/>
                    </w:rPr>
                  </w:pPr>
                  <w:r w:rsidRPr="002130CE">
                    <w:rPr>
                      <w:b/>
                    </w:rPr>
                    <w:t>1</w:t>
                  </w:r>
                </w:p>
              </w:tc>
              <w:tc>
                <w:tcPr>
                  <w:tcW w:w="1559" w:type="dxa"/>
                </w:tcPr>
                <w:p w:rsidR="006D6760" w:rsidRDefault="006D6760" w:rsidP="002130CE">
                  <w:pPr>
                    <w:jc w:val="center"/>
                  </w:pPr>
                  <w:r>
                    <w:t>4</w:t>
                  </w:r>
                </w:p>
              </w:tc>
              <w:tc>
                <w:tcPr>
                  <w:tcW w:w="992" w:type="dxa"/>
                </w:tcPr>
                <w:p w:rsidR="006D6760" w:rsidRPr="002130CE" w:rsidRDefault="006D6760" w:rsidP="002130CE">
                  <w:pPr>
                    <w:jc w:val="center"/>
                    <w:rPr>
                      <w:b/>
                    </w:rPr>
                  </w:pPr>
                  <w:r w:rsidRPr="002130CE">
                    <w:rPr>
                      <w:b/>
                    </w:rPr>
                    <w:t>1</w:t>
                  </w:r>
                </w:p>
              </w:tc>
            </w:tr>
            <w:tr w:rsidR="006D6760" w:rsidTr="00331EA9">
              <w:tc>
                <w:tcPr>
                  <w:tcW w:w="1441" w:type="dxa"/>
                </w:tcPr>
                <w:p w:rsidR="006D6760" w:rsidRDefault="006D6760" w:rsidP="002130CE">
                  <w:pPr>
                    <w:jc w:val="center"/>
                  </w:pPr>
                  <w:r>
                    <w:t>1500</w:t>
                  </w:r>
                </w:p>
              </w:tc>
              <w:tc>
                <w:tcPr>
                  <w:tcW w:w="992" w:type="dxa"/>
                </w:tcPr>
                <w:p w:rsidR="006D6760" w:rsidRPr="002130CE" w:rsidRDefault="006D6760" w:rsidP="002130CE">
                  <w:pPr>
                    <w:jc w:val="center"/>
                    <w:rPr>
                      <w:b/>
                    </w:rPr>
                  </w:pPr>
                  <w:r w:rsidRPr="002130CE">
                    <w:rPr>
                      <w:b/>
                    </w:rPr>
                    <w:t>1</w:t>
                  </w:r>
                </w:p>
              </w:tc>
              <w:tc>
                <w:tcPr>
                  <w:tcW w:w="1559" w:type="dxa"/>
                </w:tcPr>
                <w:p w:rsidR="006D6760" w:rsidRDefault="006D6760" w:rsidP="002130CE">
                  <w:pPr>
                    <w:jc w:val="center"/>
                  </w:pPr>
                  <w:r>
                    <w:t>3</w:t>
                  </w:r>
                </w:p>
              </w:tc>
              <w:tc>
                <w:tcPr>
                  <w:tcW w:w="992" w:type="dxa"/>
                </w:tcPr>
                <w:p w:rsidR="006D6760" w:rsidRPr="002130CE" w:rsidRDefault="006D6760" w:rsidP="002130CE">
                  <w:pPr>
                    <w:jc w:val="center"/>
                    <w:rPr>
                      <w:b/>
                    </w:rPr>
                  </w:pPr>
                  <w:r w:rsidRPr="002130CE">
                    <w:rPr>
                      <w:b/>
                    </w:rPr>
                    <w:t>1</w:t>
                  </w:r>
                </w:p>
              </w:tc>
            </w:tr>
            <w:tr w:rsidR="006D6760" w:rsidTr="00331EA9">
              <w:tc>
                <w:tcPr>
                  <w:tcW w:w="1441" w:type="dxa"/>
                </w:tcPr>
                <w:p w:rsidR="006D6760" w:rsidRDefault="006D6760" w:rsidP="002130CE">
                  <w:pPr>
                    <w:jc w:val="center"/>
                  </w:pPr>
                  <w:r>
                    <w:t>2000</w:t>
                  </w:r>
                </w:p>
              </w:tc>
              <w:tc>
                <w:tcPr>
                  <w:tcW w:w="992" w:type="dxa"/>
                </w:tcPr>
                <w:p w:rsidR="006D6760" w:rsidRPr="002130CE" w:rsidRDefault="006D6760" w:rsidP="002130CE">
                  <w:pPr>
                    <w:jc w:val="center"/>
                    <w:rPr>
                      <w:b/>
                    </w:rPr>
                  </w:pPr>
                  <w:r w:rsidRPr="002130CE">
                    <w:rPr>
                      <w:b/>
                    </w:rPr>
                    <w:t>1</w:t>
                  </w:r>
                </w:p>
              </w:tc>
              <w:tc>
                <w:tcPr>
                  <w:tcW w:w="1559" w:type="dxa"/>
                </w:tcPr>
                <w:p w:rsidR="006D6760" w:rsidRDefault="006D6760" w:rsidP="002130CE">
                  <w:pPr>
                    <w:jc w:val="center"/>
                  </w:pPr>
                  <w:r>
                    <w:t>2</w:t>
                  </w:r>
                </w:p>
              </w:tc>
              <w:tc>
                <w:tcPr>
                  <w:tcW w:w="992" w:type="dxa"/>
                </w:tcPr>
                <w:p w:rsidR="006D6760" w:rsidRPr="002130CE" w:rsidRDefault="006D6760" w:rsidP="002130CE">
                  <w:pPr>
                    <w:jc w:val="center"/>
                    <w:rPr>
                      <w:b/>
                    </w:rPr>
                  </w:pPr>
                  <w:r>
                    <w:rPr>
                      <w:b/>
                    </w:rPr>
                    <w:t>1</w:t>
                  </w:r>
                </w:p>
              </w:tc>
            </w:tr>
            <w:tr w:rsidR="006D6760" w:rsidTr="00331EA9">
              <w:tc>
                <w:tcPr>
                  <w:tcW w:w="1441" w:type="dxa"/>
                </w:tcPr>
                <w:p w:rsidR="006D6760" w:rsidRDefault="006D6760" w:rsidP="002130CE">
                  <w:pPr>
                    <w:jc w:val="center"/>
                  </w:pPr>
                  <w:r>
                    <w:t>3000</w:t>
                  </w:r>
                </w:p>
              </w:tc>
              <w:tc>
                <w:tcPr>
                  <w:tcW w:w="992" w:type="dxa"/>
                </w:tcPr>
                <w:p w:rsidR="006D6760" w:rsidRPr="002130CE" w:rsidRDefault="006D6760" w:rsidP="002130CE">
                  <w:pPr>
                    <w:jc w:val="center"/>
                    <w:rPr>
                      <w:b/>
                    </w:rPr>
                  </w:pPr>
                  <w:r w:rsidRPr="002130CE">
                    <w:rPr>
                      <w:b/>
                    </w:rPr>
                    <w:t>1</w:t>
                  </w:r>
                </w:p>
              </w:tc>
              <w:tc>
                <w:tcPr>
                  <w:tcW w:w="1559" w:type="dxa"/>
                </w:tcPr>
                <w:p w:rsidR="006D6760" w:rsidRDefault="006D6760" w:rsidP="002130CE">
                  <w:pPr>
                    <w:jc w:val="center"/>
                  </w:pPr>
                  <w:r>
                    <w:t>1</w:t>
                  </w:r>
                </w:p>
              </w:tc>
              <w:tc>
                <w:tcPr>
                  <w:tcW w:w="992" w:type="dxa"/>
                </w:tcPr>
                <w:p w:rsidR="006D6760" w:rsidRPr="002130CE" w:rsidRDefault="006D6760" w:rsidP="002130CE">
                  <w:pPr>
                    <w:jc w:val="center"/>
                    <w:rPr>
                      <w:b/>
                    </w:rPr>
                  </w:pPr>
                  <w:r>
                    <w:rPr>
                      <w:b/>
                    </w:rPr>
                    <w:t>1</w:t>
                  </w:r>
                </w:p>
              </w:tc>
            </w:tr>
          </w:tbl>
          <w:p w:rsidR="006D6760" w:rsidRDefault="006D6760" w:rsidP="002130CE">
            <w:pPr>
              <w:jc w:val="left"/>
              <w:rPr>
                <w:b/>
              </w:rPr>
            </w:pPr>
            <w:r w:rsidRPr="000F0F3A">
              <w:rPr>
                <w:b/>
                <w:highlight w:val="yellow"/>
              </w:rPr>
              <w:t xml:space="preserve"> </w:t>
            </w:r>
          </w:p>
          <w:p w:rsidR="004C4D4F" w:rsidRDefault="004C4D4F" w:rsidP="002130CE">
            <w:pPr>
              <w:jc w:val="left"/>
            </w:pPr>
          </w:p>
        </w:tc>
        <w:tc>
          <w:tcPr>
            <w:tcW w:w="1337" w:type="dxa"/>
            <w:vAlign w:val="center"/>
          </w:tcPr>
          <w:p w:rsidR="006D6760" w:rsidRPr="00BE416A" w:rsidRDefault="006D6760" w:rsidP="00BE416A">
            <w:pPr>
              <w:jc w:val="center"/>
              <w:rPr>
                <w:b/>
              </w:rPr>
            </w:pPr>
            <w:r>
              <w:rPr>
                <w:b/>
              </w:rPr>
              <w:lastRenderedPageBreak/>
              <w:t>5</w:t>
            </w:r>
            <w:r w:rsidRPr="00BE416A">
              <w:rPr>
                <w:b/>
              </w:rPr>
              <w:t>%</w:t>
            </w:r>
          </w:p>
        </w:tc>
      </w:tr>
      <w:tr w:rsidR="00625810" w:rsidTr="00452A14">
        <w:tc>
          <w:tcPr>
            <w:tcW w:w="2274" w:type="dxa"/>
            <w:vMerge w:val="restart"/>
            <w:vAlign w:val="center"/>
          </w:tcPr>
          <w:p w:rsidR="00625810" w:rsidRDefault="00625810" w:rsidP="00625810">
            <w:pPr>
              <w:pStyle w:val="ListParagraph"/>
              <w:numPr>
                <w:ilvl w:val="0"/>
                <w:numId w:val="37"/>
              </w:numPr>
              <w:jc w:val="center"/>
              <w:rPr>
                <w:b/>
              </w:rPr>
            </w:pPr>
            <w:r>
              <w:rPr>
                <w:b/>
              </w:rPr>
              <w:lastRenderedPageBreak/>
              <w:t>Ease of Use</w:t>
            </w:r>
          </w:p>
          <w:p w:rsidR="00625810" w:rsidRPr="00F3055D" w:rsidRDefault="00625810" w:rsidP="00625810">
            <w:pPr>
              <w:pStyle w:val="ListParagraph"/>
              <w:jc w:val="center"/>
              <w:rPr>
                <w:b/>
              </w:rPr>
            </w:pPr>
          </w:p>
        </w:tc>
        <w:tc>
          <w:tcPr>
            <w:tcW w:w="5523" w:type="dxa"/>
            <w:vAlign w:val="center"/>
          </w:tcPr>
          <w:p w:rsidR="00625810" w:rsidRDefault="00625810" w:rsidP="00D257F8">
            <w:pPr>
              <w:jc w:val="left"/>
              <w:rPr>
                <w:highlight w:val="yellow"/>
              </w:rPr>
            </w:pPr>
          </w:p>
          <w:p w:rsidR="005D2A76" w:rsidRPr="00844626" w:rsidRDefault="002C0578" w:rsidP="00D257F8">
            <w:pPr>
              <w:jc w:val="left"/>
              <w:rPr>
                <w:rFonts w:cs="Arial"/>
                <w:b/>
                <w:color w:val="000000"/>
                <w:lang w:eastAsia="en-GB"/>
              </w:rPr>
            </w:pPr>
            <w:r w:rsidRPr="00844626">
              <w:rPr>
                <w:b/>
              </w:rPr>
              <w:t xml:space="preserve">Offerors are required to provide 20 </w:t>
            </w:r>
            <w:r w:rsidRPr="00844626">
              <w:rPr>
                <w:rFonts w:cs="Arial"/>
                <w:b/>
                <w:color w:val="000000"/>
                <w:lang w:eastAsia="en-GB"/>
              </w:rPr>
              <w:t>product demonstration kits for reconstitution AND any other equipment needed to reconstitute or mix vials to give a 750</w:t>
            </w:r>
            <w:r w:rsidR="005F4346" w:rsidRPr="00844626">
              <w:rPr>
                <w:rFonts w:cs="Arial"/>
                <w:b/>
                <w:color w:val="000000"/>
                <w:lang w:eastAsia="en-GB"/>
              </w:rPr>
              <w:t>IU</w:t>
            </w:r>
            <w:r w:rsidRPr="00844626">
              <w:rPr>
                <w:rFonts w:cs="Arial"/>
                <w:b/>
                <w:color w:val="000000"/>
                <w:lang w:eastAsia="en-GB"/>
              </w:rPr>
              <w:t xml:space="preserve"> dose. </w:t>
            </w:r>
          </w:p>
          <w:p w:rsidR="002C0578" w:rsidRPr="00844626" w:rsidRDefault="002C0578" w:rsidP="00D257F8">
            <w:pPr>
              <w:jc w:val="left"/>
              <w:rPr>
                <w:b/>
              </w:rPr>
            </w:pPr>
          </w:p>
          <w:p w:rsidR="005D2A76" w:rsidRPr="00844626" w:rsidRDefault="005D2A76" w:rsidP="00D257F8">
            <w:pPr>
              <w:jc w:val="left"/>
              <w:rPr>
                <w:b/>
              </w:rPr>
            </w:pPr>
            <w:r w:rsidRPr="00844626">
              <w:rPr>
                <w:b/>
              </w:rPr>
              <w:t>The address label provided at the end of this document must be used on</w:t>
            </w:r>
            <w:r w:rsidR="0098724D" w:rsidRPr="00844626">
              <w:rPr>
                <w:b/>
              </w:rPr>
              <w:t xml:space="preserve"> the</w:t>
            </w:r>
            <w:r w:rsidRPr="00844626">
              <w:rPr>
                <w:b/>
              </w:rPr>
              <w:t xml:space="preserve"> package</w:t>
            </w:r>
            <w:r w:rsidR="0098724D" w:rsidRPr="00844626">
              <w:rPr>
                <w:b/>
              </w:rPr>
              <w:t xml:space="preserve"> containing the demonstration kits</w:t>
            </w:r>
            <w:r w:rsidRPr="00844626">
              <w:rPr>
                <w:b/>
              </w:rPr>
              <w:t>.</w:t>
            </w:r>
          </w:p>
          <w:p w:rsidR="005D2A76" w:rsidRDefault="005D2A76" w:rsidP="00D257F8">
            <w:pPr>
              <w:jc w:val="left"/>
            </w:pPr>
          </w:p>
          <w:p w:rsidR="00625810" w:rsidRPr="00C70040" w:rsidRDefault="00FB3022" w:rsidP="00D257F8">
            <w:pPr>
              <w:jc w:val="left"/>
            </w:pPr>
            <w:r>
              <w:t xml:space="preserve">Offerors will be evaluated on </w:t>
            </w:r>
            <w:r w:rsidR="00625810">
              <w:t xml:space="preserve">ease </w:t>
            </w:r>
            <w:r w:rsidR="00625810" w:rsidRPr="00C70040">
              <w:t>of</w:t>
            </w:r>
            <w:r w:rsidR="00625810">
              <w:t xml:space="preserve"> use</w:t>
            </w:r>
            <w:r w:rsidR="00625810" w:rsidRPr="00C70040">
              <w:t xml:space="preserve"> </w:t>
            </w:r>
            <w:r w:rsidR="00A51656">
              <w:t xml:space="preserve">of </w:t>
            </w:r>
            <w:r w:rsidR="00625810" w:rsidRPr="00C70040">
              <w:t>th</w:t>
            </w:r>
            <w:r w:rsidR="00625810">
              <w:t>e</w:t>
            </w:r>
            <w:r w:rsidR="00625810" w:rsidRPr="00C70040">
              <w:t xml:space="preserve"> product</w:t>
            </w:r>
            <w:r>
              <w:t xml:space="preserve"> being offered</w:t>
            </w:r>
            <w:r w:rsidR="003B19D5">
              <w:t>.</w:t>
            </w:r>
          </w:p>
          <w:p w:rsidR="001C56BC" w:rsidRDefault="001C56BC" w:rsidP="003B19D5">
            <w:pPr>
              <w:jc w:val="left"/>
            </w:pPr>
          </w:p>
        </w:tc>
        <w:tc>
          <w:tcPr>
            <w:tcW w:w="1337" w:type="dxa"/>
            <w:vMerge w:val="restart"/>
            <w:vAlign w:val="center"/>
          </w:tcPr>
          <w:p w:rsidR="00625810" w:rsidRPr="00BE416A" w:rsidRDefault="00625810" w:rsidP="00625810">
            <w:pPr>
              <w:jc w:val="center"/>
              <w:rPr>
                <w:b/>
              </w:rPr>
            </w:pPr>
            <w:r>
              <w:rPr>
                <w:b/>
              </w:rPr>
              <w:t>5</w:t>
            </w:r>
            <w:r w:rsidRPr="00BE416A">
              <w:rPr>
                <w:b/>
              </w:rPr>
              <w:t>%</w:t>
            </w:r>
          </w:p>
        </w:tc>
      </w:tr>
      <w:tr w:rsidR="00625810" w:rsidTr="00452A14">
        <w:tc>
          <w:tcPr>
            <w:tcW w:w="2274" w:type="dxa"/>
            <w:vMerge/>
            <w:vAlign w:val="center"/>
          </w:tcPr>
          <w:p w:rsidR="00625810" w:rsidRDefault="00625810" w:rsidP="00161EFF">
            <w:pPr>
              <w:pStyle w:val="ListParagraph"/>
              <w:jc w:val="left"/>
              <w:rPr>
                <w:b/>
              </w:rPr>
            </w:pPr>
          </w:p>
        </w:tc>
        <w:tc>
          <w:tcPr>
            <w:tcW w:w="5523" w:type="dxa"/>
            <w:vAlign w:val="center"/>
          </w:tcPr>
          <w:p w:rsidR="00625810" w:rsidRDefault="00625810" w:rsidP="00D257F8">
            <w:pPr>
              <w:jc w:val="left"/>
              <w:rPr>
                <w:highlight w:val="yellow"/>
              </w:rPr>
            </w:pPr>
          </w:p>
          <w:p w:rsidR="00D133CD" w:rsidRDefault="00D133CD" w:rsidP="00905F3F">
            <w:pPr>
              <w:pStyle w:val="NoSpacing"/>
              <w:rPr>
                <w:highlight w:val="yellow"/>
              </w:rPr>
            </w:pPr>
            <w:r w:rsidRPr="00D133CD">
              <w:t xml:space="preserve">Sterile </w:t>
            </w:r>
            <w:r>
              <w:t xml:space="preserve">will be deemed as having the ability to place the syringe on a sterile field for use with a </w:t>
            </w:r>
            <w:proofErr w:type="spellStart"/>
            <w:r>
              <w:t>portacath</w:t>
            </w:r>
            <w:proofErr w:type="spellEnd"/>
          </w:p>
          <w:p w:rsidR="002B0732" w:rsidRDefault="002B0732" w:rsidP="00D257F8">
            <w:pPr>
              <w:jc w:val="left"/>
              <w:rPr>
                <w:highlight w:val="yellow"/>
              </w:rPr>
            </w:pPr>
          </w:p>
          <w:tbl>
            <w:tblPr>
              <w:tblStyle w:val="TableGrid"/>
              <w:tblW w:w="0" w:type="auto"/>
              <w:tblLayout w:type="fixed"/>
              <w:tblLook w:val="04A0" w:firstRow="1" w:lastRow="0" w:firstColumn="1" w:lastColumn="0" w:noHBand="0" w:noVBand="1"/>
            </w:tblPr>
            <w:tblGrid>
              <w:gridCol w:w="3992"/>
              <w:gridCol w:w="992"/>
            </w:tblGrid>
            <w:tr w:rsidR="00625810" w:rsidRPr="000F0F3A" w:rsidTr="00844626">
              <w:tc>
                <w:tcPr>
                  <w:tcW w:w="3992" w:type="dxa"/>
                  <w:shd w:val="clear" w:color="auto" w:fill="000000" w:themeFill="text1"/>
                </w:tcPr>
                <w:p w:rsidR="00625810" w:rsidRPr="000F0F3A" w:rsidRDefault="00625810" w:rsidP="002C0578">
                  <w:pPr>
                    <w:jc w:val="left"/>
                    <w:rPr>
                      <w:b/>
                      <w:color w:val="FFFFFF" w:themeColor="background1"/>
                    </w:rPr>
                  </w:pPr>
                  <w:r w:rsidRPr="000F0F3A">
                    <w:rPr>
                      <w:b/>
                      <w:color w:val="FFFFFF" w:themeColor="background1"/>
                    </w:rPr>
                    <w:t xml:space="preserve">Does ancillary pack allow for sterile administrations via </w:t>
                  </w:r>
                  <w:proofErr w:type="spellStart"/>
                  <w:r w:rsidRPr="000F0F3A">
                    <w:rPr>
                      <w:b/>
                      <w:color w:val="FFFFFF" w:themeColor="background1"/>
                    </w:rPr>
                    <w:t>portacath</w:t>
                  </w:r>
                  <w:proofErr w:type="spellEnd"/>
                  <w:r w:rsidR="00D80736">
                    <w:rPr>
                      <w:b/>
                      <w:color w:val="FFFFFF" w:themeColor="background1"/>
                    </w:rPr>
                    <w:t xml:space="preserve"> with a syringe which is 10ml</w:t>
                  </w:r>
                  <w:r w:rsidRPr="000F0F3A">
                    <w:rPr>
                      <w:b/>
                      <w:color w:val="FFFFFF" w:themeColor="background1"/>
                    </w:rPr>
                    <w:t xml:space="preserve"> or greater?</w:t>
                  </w:r>
                </w:p>
              </w:tc>
              <w:tc>
                <w:tcPr>
                  <w:tcW w:w="992" w:type="dxa"/>
                  <w:shd w:val="clear" w:color="auto" w:fill="000000" w:themeFill="text1"/>
                  <w:vAlign w:val="center"/>
                </w:tcPr>
                <w:p w:rsidR="00625810" w:rsidRPr="000F0F3A" w:rsidRDefault="00625810" w:rsidP="002C0578">
                  <w:pPr>
                    <w:jc w:val="center"/>
                    <w:rPr>
                      <w:b/>
                      <w:color w:val="FFFFFF" w:themeColor="background1"/>
                    </w:rPr>
                  </w:pPr>
                  <w:r w:rsidRPr="000F0F3A">
                    <w:rPr>
                      <w:b/>
                      <w:color w:val="FFFFFF" w:themeColor="background1"/>
                    </w:rPr>
                    <w:t>Score</w:t>
                  </w:r>
                </w:p>
              </w:tc>
            </w:tr>
            <w:tr w:rsidR="00625810" w:rsidRPr="00E6514C" w:rsidTr="00844626">
              <w:tc>
                <w:tcPr>
                  <w:tcW w:w="3992" w:type="dxa"/>
                </w:tcPr>
                <w:p w:rsidR="00625810" w:rsidRPr="000F0F3A" w:rsidRDefault="00BD70A8" w:rsidP="00C641C8">
                  <w:pPr>
                    <w:jc w:val="left"/>
                  </w:pPr>
                  <w:r>
                    <w:t>Yes</w:t>
                  </w:r>
                </w:p>
              </w:tc>
              <w:tc>
                <w:tcPr>
                  <w:tcW w:w="992" w:type="dxa"/>
                </w:tcPr>
                <w:p w:rsidR="00625810" w:rsidRPr="00E6514C" w:rsidRDefault="00625810" w:rsidP="002C0578">
                  <w:pPr>
                    <w:jc w:val="center"/>
                  </w:pPr>
                  <w:r>
                    <w:t>4</w:t>
                  </w:r>
                </w:p>
              </w:tc>
            </w:tr>
            <w:tr w:rsidR="00625810" w:rsidRPr="00E6514C" w:rsidTr="00844626">
              <w:tc>
                <w:tcPr>
                  <w:tcW w:w="3992" w:type="dxa"/>
                </w:tcPr>
                <w:p w:rsidR="00625810" w:rsidRPr="000F0F3A" w:rsidRDefault="00625810" w:rsidP="002C0578">
                  <w:pPr>
                    <w:jc w:val="left"/>
                  </w:pPr>
                  <w:r w:rsidRPr="000F0F3A">
                    <w:t>No</w:t>
                  </w:r>
                </w:p>
              </w:tc>
              <w:tc>
                <w:tcPr>
                  <w:tcW w:w="992" w:type="dxa"/>
                </w:tcPr>
                <w:p w:rsidR="00625810" w:rsidRPr="00E6514C" w:rsidRDefault="00625810" w:rsidP="002C0578">
                  <w:pPr>
                    <w:jc w:val="center"/>
                  </w:pPr>
                  <w:r>
                    <w:t>0</w:t>
                  </w:r>
                </w:p>
              </w:tc>
            </w:tr>
          </w:tbl>
          <w:p w:rsidR="00625810" w:rsidRDefault="00625810" w:rsidP="00D257F8">
            <w:pPr>
              <w:jc w:val="left"/>
              <w:rPr>
                <w:highlight w:val="yellow"/>
              </w:rPr>
            </w:pPr>
          </w:p>
          <w:p w:rsidR="00625810" w:rsidRDefault="00625810" w:rsidP="000F0F3A">
            <w:pPr>
              <w:jc w:val="left"/>
              <w:rPr>
                <w:highlight w:val="yellow"/>
              </w:rPr>
            </w:pPr>
          </w:p>
        </w:tc>
        <w:tc>
          <w:tcPr>
            <w:tcW w:w="1337" w:type="dxa"/>
            <w:vMerge/>
            <w:vAlign w:val="center"/>
          </w:tcPr>
          <w:p w:rsidR="00625810" w:rsidRDefault="00625810" w:rsidP="00BE416A">
            <w:pPr>
              <w:jc w:val="center"/>
              <w:rPr>
                <w:b/>
              </w:rPr>
            </w:pPr>
          </w:p>
        </w:tc>
      </w:tr>
      <w:tr w:rsidR="00625810" w:rsidTr="00452A14">
        <w:tc>
          <w:tcPr>
            <w:tcW w:w="2274" w:type="dxa"/>
            <w:vMerge/>
            <w:vAlign w:val="center"/>
          </w:tcPr>
          <w:p w:rsidR="00625810" w:rsidRDefault="00625810" w:rsidP="00161EFF">
            <w:pPr>
              <w:pStyle w:val="ListParagraph"/>
              <w:jc w:val="left"/>
              <w:rPr>
                <w:b/>
              </w:rPr>
            </w:pPr>
          </w:p>
        </w:tc>
        <w:tc>
          <w:tcPr>
            <w:tcW w:w="5523" w:type="dxa"/>
            <w:vAlign w:val="center"/>
          </w:tcPr>
          <w:tbl>
            <w:tblPr>
              <w:tblW w:w="0" w:type="auto"/>
              <w:tblLayout w:type="fixed"/>
              <w:tblCellMar>
                <w:left w:w="0" w:type="dxa"/>
                <w:right w:w="0" w:type="dxa"/>
              </w:tblCellMar>
              <w:tblLook w:val="04A0" w:firstRow="1" w:lastRow="0" w:firstColumn="1" w:lastColumn="0" w:noHBand="0" w:noVBand="1"/>
            </w:tblPr>
            <w:tblGrid>
              <w:gridCol w:w="3987"/>
              <w:gridCol w:w="992"/>
            </w:tblGrid>
            <w:tr w:rsidR="008D5DA4" w:rsidTr="00844626">
              <w:tc>
                <w:tcPr>
                  <w:tcW w:w="3987"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rsidR="008D5DA4" w:rsidRPr="00E143D8" w:rsidRDefault="008D5DA4" w:rsidP="008D5DA4">
                  <w:pPr>
                    <w:jc w:val="left"/>
                    <w:rPr>
                      <w:rFonts w:ascii="Calibri" w:eastAsiaTheme="minorHAnsi" w:hAnsi="Calibri" w:cs="Calibri"/>
                      <w:szCs w:val="22"/>
                    </w:rPr>
                  </w:pPr>
                  <w:r w:rsidRPr="00E143D8">
                    <w:rPr>
                      <w:b/>
                      <w:bCs/>
                      <w:color w:val="FFFFFF"/>
                      <w:szCs w:val="22"/>
                      <w:lang w:eastAsia="en-GB"/>
                    </w:rPr>
                    <w:t>Does ancillary pack allow for administration of multiple vials with one syringe?</w:t>
                  </w:r>
                </w:p>
              </w:tc>
              <w:tc>
                <w:tcPr>
                  <w:tcW w:w="992"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rsidR="008D5DA4" w:rsidRPr="00E143D8" w:rsidRDefault="008D5DA4">
                  <w:pPr>
                    <w:jc w:val="center"/>
                    <w:rPr>
                      <w:rFonts w:ascii="Calibri" w:eastAsiaTheme="minorHAnsi" w:hAnsi="Calibri" w:cs="Calibri"/>
                      <w:szCs w:val="22"/>
                    </w:rPr>
                  </w:pPr>
                  <w:r w:rsidRPr="00E143D8">
                    <w:rPr>
                      <w:b/>
                      <w:bCs/>
                      <w:color w:val="FFFFFF"/>
                      <w:szCs w:val="22"/>
                      <w:lang w:eastAsia="en-GB"/>
                    </w:rPr>
                    <w:t>Score</w:t>
                  </w:r>
                </w:p>
              </w:tc>
            </w:tr>
            <w:tr w:rsidR="008D5DA4" w:rsidTr="00844626">
              <w:tc>
                <w:tcPr>
                  <w:tcW w:w="39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5DA4" w:rsidRPr="00E143D8" w:rsidRDefault="008D5DA4" w:rsidP="008D5DA4">
                  <w:pPr>
                    <w:jc w:val="left"/>
                    <w:rPr>
                      <w:rFonts w:ascii="Calibri" w:eastAsiaTheme="minorHAnsi" w:hAnsi="Calibri" w:cs="Calibri"/>
                      <w:szCs w:val="22"/>
                    </w:rPr>
                  </w:pPr>
                  <w:r w:rsidRPr="00E143D8">
                    <w:rPr>
                      <w:szCs w:val="22"/>
                      <w:lang w:eastAsia="en-GB"/>
                    </w:rPr>
                    <w:t>Yes</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8D5DA4" w:rsidRPr="00E143D8" w:rsidRDefault="008D5DA4">
                  <w:pPr>
                    <w:jc w:val="center"/>
                    <w:rPr>
                      <w:rFonts w:ascii="Calibri" w:eastAsiaTheme="minorHAnsi" w:hAnsi="Calibri" w:cs="Calibri"/>
                      <w:szCs w:val="22"/>
                    </w:rPr>
                  </w:pPr>
                  <w:r w:rsidRPr="00E143D8">
                    <w:rPr>
                      <w:szCs w:val="22"/>
                      <w:lang w:eastAsia="en-GB"/>
                    </w:rPr>
                    <w:t>2</w:t>
                  </w:r>
                </w:p>
              </w:tc>
            </w:tr>
            <w:tr w:rsidR="008D5DA4" w:rsidTr="00844626">
              <w:tc>
                <w:tcPr>
                  <w:tcW w:w="39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5DA4" w:rsidRPr="00E143D8" w:rsidRDefault="008D5DA4" w:rsidP="008D5DA4">
                  <w:pPr>
                    <w:jc w:val="left"/>
                    <w:rPr>
                      <w:rFonts w:ascii="Calibri" w:eastAsiaTheme="minorHAnsi" w:hAnsi="Calibri" w:cs="Calibri"/>
                      <w:szCs w:val="22"/>
                    </w:rPr>
                  </w:pPr>
                  <w:r w:rsidRPr="00E143D8">
                    <w:rPr>
                      <w:szCs w:val="22"/>
                      <w:lang w:eastAsia="en-GB"/>
                    </w:rPr>
                    <w:t>No but extra syringe can be provided</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DA4" w:rsidRPr="00E143D8" w:rsidRDefault="008D5DA4" w:rsidP="008D5DA4">
                  <w:pPr>
                    <w:jc w:val="center"/>
                    <w:rPr>
                      <w:rFonts w:ascii="Calibri" w:eastAsiaTheme="minorHAnsi" w:hAnsi="Calibri" w:cs="Calibri"/>
                      <w:szCs w:val="22"/>
                    </w:rPr>
                  </w:pPr>
                  <w:r w:rsidRPr="00E143D8">
                    <w:rPr>
                      <w:szCs w:val="22"/>
                      <w:lang w:eastAsia="en-GB"/>
                    </w:rPr>
                    <w:t>1</w:t>
                  </w:r>
                </w:p>
              </w:tc>
            </w:tr>
            <w:tr w:rsidR="008D5DA4" w:rsidTr="00844626">
              <w:tc>
                <w:tcPr>
                  <w:tcW w:w="39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5DA4" w:rsidRPr="00E143D8" w:rsidRDefault="008D5DA4" w:rsidP="008D5DA4">
                  <w:pPr>
                    <w:jc w:val="left"/>
                    <w:rPr>
                      <w:rFonts w:ascii="Calibri" w:eastAsiaTheme="minorHAnsi" w:hAnsi="Calibri" w:cs="Calibri"/>
                      <w:szCs w:val="22"/>
                    </w:rPr>
                  </w:pPr>
                  <w:r w:rsidRPr="00E143D8">
                    <w:rPr>
                      <w:szCs w:val="22"/>
                      <w:lang w:eastAsia="en-GB"/>
                    </w:rPr>
                    <w:t>No</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8D5DA4" w:rsidRPr="00E143D8" w:rsidRDefault="008D5DA4">
                  <w:pPr>
                    <w:jc w:val="center"/>
                    <w:rPr>
                      <w:rFonts w:ascii="Calibri" w:eastAsiaTheme="minorHAnsi" w:hAnsi="Calibri" w:cs="Calibri"/>
                      <w:szCs w:val="22"/>
                    </w:rPr>
                  </w:pPr>
                  <w:r w:rsidRPr="00E143D8">
                    <w:rPr>
                      <w:szCs w:val="22"/>
                      <w:lang w:eastAsia="en-GB"/>
                    </w:rPr>
                    <w:t>0</w:t>
                  </w:r>
                </w:p>
              </w:tc>
            </w:tr>
          </w:tbl>
          <w:p w:rsidR="008D5DA4" w:rsidRDefault="008D5DA4" w:rsidP="008D5DA4">
            <w:pPr>
              <w:jc w:val="left"/>
              <w:rPr>
                <w:highlight w:val="yellow"/>
              </w:rPr>
            </w:pPr>
          </w:p>
          <w:p w:rsidR="008D5DA4" w:rsidRDefault="008D5DA4" w:rsidP="008D5DA4">
            <w:pPr>
              <w:jc w:val="left"/>
              <w:rPr>
                <w:highlight w:val="yellow"/>
              </w:rPr>
            </w:pPr>
          </w:p>
        </w:tc>
        <w:tc>
          <w:tcPr>
            <w:tcW w:w="1337" w:type="dxa"/>
            <w:vMerge/>
            <w:vAlign w:val="center"/>
          </w:tcPr>
          <w:p w:rsidR="00625810" w:rsidRDefault="00625810" w:rsidP="00BE416A">
            <w:pPr>
              <w:jc w:val="center"/>
              <w:rPr>
                <w:b/>
              </w:rPr>
            </w:pPr>
          </w:p>
        </w:tc>
      </w:tr>
      <w:tr w:rsidR="00625810" w:rsidTr="00452A14">
        <w:tc>
          <w:tcPr>
            <w:tcW w:w="2274" w:type="dxa"/>
            <w:vMerge/>
            <w:vAlign w:val="center"/>
          </w:tcPr>
          <w:p w:rsidR="00625810" w:rsidRDefault="00625810" w:rsidP="00161EFF">
            <w:pPr>
              <w:pStyle w:val="ListParagraph"/>
              <w:jc w:val="left"/>
              <w:rPr>
                <w:b/>
              </w:rPr>
            </w:pPr>
          </w:p>
        </w:tc>
        <w:tc>
          <w:tcPr>
            <w:tcW w:w="5523" w:type="dxa"/>
            <w:vAlign w:val="center"/>
          </w:tcPr>
          <w:tbl>
            <w:tblPr>
              <w:tblStyle w:val="TableGrid"/>
              <w:tblW w:w="0" w:type="auto"/>
              <w:tblLayout w:type="fixed"/>
              <w:tblLook w:val="04A0" w:firstRow="1" w:lastRow="0" w:firstColumn="1" w:lastColumn="0" w:noHBand="0" w:noVBand="1"/>
            </w:tblPr>
            <w:tblGrid>
              <w:gridCol w:w="3992"/>
              <w:gridCol w:w="992"/>
            </w:tblGrid>
            <w:tr w:rsidR="00625810" w:rsidRPr="000F0F3A" w:rsidTr="00844626">
              <w:tc>
                <w:tcPr>
                  <w:tcW w:w="3992" w:type="dxa"/>
                  <w:shd w:val="clear" w:color="auto" w:fill="000000" w:themeFill="text1"/>
                </w:tcPr>
                <w:p w:rsidR="00625810" w:rsidRPr="000F0F3A" w:rsidRDefault="00625810" w:rsidP="002C0578">
                  <w:pPr>
                    <w:jc w:val="left"/>
                    <w:rPr>
                      <w:b/>
                      <w:color w:val="FFFFFF" w:themeColor="background1"/>
                    </w:rPr>
                  </w:pPr>
                  <w:r w:rsidRPr="00CA688D">
                    <w:rPr>
                      <w:b/>
                      <w:color w:val="FFFFFF" w:themeColor="background1"/>
                    </w:rPr>
                    <w:t>Is there an option to add an ancillary pack to the purchase order without packs automatically being supplied?</w:t>
                  </w:r>
                </w:p>
              </w:tc>
              <w:tc>
                <w:tcPr>
                  <w:tcW w:w="992" w:type="dxa"/>
                  <w:shd w:val="clear" w:color="auto" w:fill="000000" w:themeFill="text1"/>
                  <w:vAlign w:val="center"/>
                </w:tcPr>
                <w:p w:rsidR="00625810" w:rsidRPr="000F0F3A" w:rsidRDefault="00625810" w:rsidP="002C0578">
                  <w:pPr>
                    <w:jc w:val="center"/>
                    <w:rPr>
                      <w:b/>
                      <w:color w:val="FFFFFF" w:themeColor="background1"/>
                    </w:rPr>
                  </w:pPr>
                  <w:r w:rsidRPr="000F0F3A">
                    <w:rPr>
                      <w:b/>
                      <w:color w:val="FFFFFF" w:themeColor="background1"/>
                    </w:rPr>
                    <w:t>Score</w:t>
                  </w:r>
                </w:p>
              </w:tc>
            </w:tr>
            <w:tr w:rsidR="00625810" w:rsidRPr="00E6514C" w:rsidTr="00844626">
              <w:tc>
                <w:tcPr>
                  <w:tcW w:w="3992" w:type="dxa"/>
                </w:tcPr>
                <w:p w:rsidR="00625810" w:rsidRPr="000F0F3A" w:rsidRDefault="00625810" w:rsidP="002C0578">
                  <w:pPr>
                    <w:jc w:val="left"/>
                  </w:pPr>
                  <w:r w:rsidRPr="000F0F3A">
                    <w:t>Yes</w:t>
                  </w:r>
                </w:p>
              </w:tc>
              <w:tc>
                <w:tcPr>
                  <w:tcW w:w="992" w:type="dxa"/>
                </w:tcPr>
                <w:p w:rsidR="00625810" w:rsidRPr="00E6514C" w:rsidRDefault="00625810" w:rsidP="002C0578">
                  <w:pPr>
                    <w:jc w:val="center"/>
                  </w:pPr>
                  <w:r>
                    <w:t>1</w:t>
                  </w:r>
                </w:p>
              </w:tc>
            </w:tr>
            <w:tr w:rsidR="00625810" w:rsidRPr="00E6514C" w:rsidTr="00844626">
              <w:tc>
                <w:tcPr>
                  <w:tcW w:w="3992" w:type="dxa"/>
                </w:tcPr>
                <w:p w:rsidR="00625810" w:rsidRPr="000F0F3A" w:rsidRDefault="00625810" w:rsidP="002C0578">
                  <w:pPr>
                    <w:jc w:val="left"/>
                  </w:pPr>
                  <w:r w:rsidRPr="000F0F3A">
                    <w:t>No</w:t>
                  </w:r>
                </w:p>
              </w:tc>
              <w:tc>
                <w:tcPr>
                  <w:tcW w:w="992" w:type="dxa"/>
                </w:tcPr>
                <w:p w:rsidR="00625810" w:rsidRPr="00E6514C" w:rsidRDefault="00625810" w:rsidP="002C0578">
                  <w:pPr>
                    <w:jc w:val="center"/>
                  </w:pPr>
                  <w:r>
                    <w:t>0</w:t>
                  </w:r>
                </w:p>
              </w:tc>
            </w:tr>
          </w:tbl>
          <w:p w:rsidR="00625810" w:rsidRDefault="00625810" w:rsidP="00CA688D">
            <w:pPr>
              <w:jc w:val="left"/>
              <w:rPr>
                <w:highlight w:val="yellow"/>
              </w:rPr>
            </w:pPr>
          </w:p>
          <w:p w:rsidR="00625810" w:rsidRDefault="00625810" w:rsidP="00CA688D">
            <w:pPr>
              <w:jc w:val="left"/>
              <w:rPr>
                <w:highlight w:val="yellow"/>
              </w:rPr>
            </w:pPr>
          </w:p>
        </w:tc>
        <w:tc>
          <w:tcPr>
            <w:tcW w:w="1337" w:type="dxa"/>
            <w:vMerge/>
            <w:vAlign w:val="center"/>
          </w:tcPr>
          <w:p w:rsidR="00625810" w:rsidRDefault="00625810" w:rsidP="00BE416A">
            <w:pPr>
              <w:jc w:val="center"/>
              <w:rPr>
                <w:b/>
              </w:rPr>
            </w:pPr>
          </w:p>
        </w:tc>
      </w:tr>
      <w:tr w:rsidR="00625810" w:rsidTr="00452A14">
        <w:tc>
          <w:tcPr>
            <w:tcW w:w="2274" w:type="dxa"/>
            <w:vMerge/>
            <w:vAlign w:val="center"/>
          </w:tcPr>
          <w:p w:rsidR="00625810" w:rsidRDefault="00625810" w:rsidP="00161EFF">
            <w:pPr>
              <w:pStyle w:val="ListParagraph"/>
              <w:jc w:val="left"/>
              <w:rPr>
                <w:b/>
              </w:rPr>
            </w:pPr>
          </w:p>
        </w:tc>
        <w:tc>
          <w:tcPr>
            <w:tcW w:w="5523" w:type="dxa"/>
            <w:vAlign w:val="center"/>
          </w:tcPr>
          <w:p w:rsidR="00AC6681" w:rsidRDefault="00790548" w:rsidP="00D257F8">
            <w:pPr>
              <w:jc w:val="left"/>
            </w:pPr>
            <w:r w:rsidRPr="00790548">
              <w:t>P</w:t>
            </w:r>
            <w:r w:rsidR="00AC6681" w:rsidRPr="00790548">
              <w:t xml:space="preserve">ackaging </w:t>
            </w:r>
            <w:r w:rsidR="00F10B50" w:rsidRPr="00790548">
              <w:t>will be deemed as</w:t>
            </w:r>
            <w:r w:rsidR="00AC6681" w:rsidRPr="00790548">
              <w:t xml:space="preserve"> the materials used to contain and protect the product during transport</w:t>
            </w:r>
          </w:p>
          <w:p w:rsidR="009D125E" w:rsidRDefault="009D125E" w:rsidP="00D257F8">
            <w:pPr>
              <w:jc w:val="left"/>
            </w:pPr>
          </w:p>
          <w:tbl>
            <w:tblPr>
              <w:tblStyle w:val="TableGrid"/>
              <w:tblW w:w="0" w:type="auto"/>
              <w:tblLayout w:type="fixed"/>
              <w:tblLook w:val="04A0" w:firstRow="1" w:lastRow="0" w:firstColumn="1" w:lastColumn="0" w:noHBand="0" w:noVBand="1"/>
            </w:tblPr>
            <w:tblGrid>
              <w:gridCol w:w="4276"/>
              <w:gridCol w:w="850"/>
            </w:tblGrid>
            <w:tr w:rsidR="00625810" w:rsidRPr="000F0F3A" w:rsidTr="00844626">
              <w:tc>
                <w:tcPr>
                  <w:tcW w:w="4276" w:type="dxa"/>
                  <w:shd w:val="clear" w:color="auto" w:fill="000000" w:themeFill="text1"/>
                </w:tcPr>
                <w:p w:rsidR="00625810" w:rsidRPr="000F0F3A" w:rsidRDefault="00970F66" w:rsidP="0026662E">
                  <w:pPr>
                    <w:jc w:val="left"/>
                    <w:rPr>
                      <w:b/>
                      <w:color w:val="FFFFFF" w:themeColor="background1"/>
                    </w:rPr>
                  </w:pPr>
                  <w:r w:rsidRPr="00970F66">
                    <w:rPr>
                      <w:b/>
                      <w:color w:val="FFFFFF" w:themeColor="background1"/>
                    </w:rPr>
                    <w:t>How environmentally friendly</w:t>
                  </w:r>
                  <w:r w:rsidR="0026662E">
                    <w:rPr>
                      <w:b/>
                      <w:color w:val="FFFFFF" w:themeColor="background1"/>
                    </w:rPr>
                    <w:t xml:space="preserve"> is packaging i.e. amount of packaging,</w:t>
                  </w:r>
                  <w:r w:rsidRPr="00970F66">
                    <w:rPr>
                      <w:b/>
                      <w:color w:val="FFFFFF" w:themeColor="background1"/>
                    </w:rPr>
                    <w:t xml:space="preserve"> plastic v cardboard, bulkiness of packaging</w:t>
                  </w:r>
                  <w:r w:rsidR="00362FE6">
                    <w:rPr>
                      <w:b/>
                      <w:color w:val="FFFFFF" w:themeColor="background1"/>
                    </w:rPr>
                    <w:t>?</w:t>
                  </w:r>
                </w:p>
              </w:tc>
              <w:tc>
                <w:tcPr>
                  <w:tcW w:w="850" w:type="dxa"/>
                  <w:shd w:val="clear" w:color="auto" w:fill="000000" w:themeFill="text1"/>
                  <w:vAlign w:val="center"/>
                </w:tcPr>
                <w:p w:rsidR="00625810" w:rsidRPr="000F0F3A" w:rsidRDefault="00625810" w:rsidP="002C0578">
                  <w:pPr>
                    <w:jc w:val="center"/>
                    <w:rPr>
                      <w:b/>
                      <w:color w:val="FFFFFF" w:themeColor="background1"/>
                    </w:rPr>
                  </w:pPr>
                  <w:r w:rsidRPr="000F0F3A">
                    <w:rPr>
                      <w:b/>
                      <w:color w:val="FFFFFF" w:themeColor="background1"/>
                    </w:rPr>
                    <w:t>Score</w:t>
                  </w:r>
                </w:p>
              </w:tc>
            </w:tr>
            <w:tr w:rsidR="00625810" w:rsidRPr="00E6514C" w:rsidTr="00844626">
              <w:tc>
                <w:tcPr>
                  <w:tcW w:w="4276" w:type="dxa"/>
                </w:tcPr>
                <w:p w:rsidR="00625810" w:rsidRDefault="00625810" w:rsidP="002C0578">
                  <w:pPr>
                    <w:jc w:val="left"/>
                    <w:rPr>
                      <w:highlight w:val="yellow"/>
                    </w:rPr>
                  </w:pPr>
                  <w:r w:rsidRPr="00CA688D">
                    <w:t>Least amount of waste all of which is recyclable</w:t>
                  </w:r>
                </w:p>
              </w:tc>
              <w:tc>
                <w:tcPr>
                  <w:tcW w:w="850" w:type="dxa"/>
                </w:tcPr>
                <w:p w:rsidR="00625810" w:rsidRPr="00E6514C" w:rsidRDefault="00625810" w:rsidP="002C0578">
                  <w:pPr>
                    <w:jc w:val="center"/>
                  </w:pPr>
                  <w:r>
                    <w:t>8</w:t>
                  </w:r>
                </w:p>
              </w:tc>
            </w:tr>
            <w:tr w:rsidR="00625810" w:rsidRPr="00E6514C" w:rsidTr="00844626">
              <w:tc>
                <w:tcPr>
                  <w:tcW w:w="4276" w:type="dxa"/>
                </w:tcPr>
                <w:p w:rsidR="00625810" w:rsidRDefault="00625810" w:rsidP="002C0578">
                  <w:pPr>
                    <w:jc w:val="left"/>
                    <w:rPr>
                      <w:highlight w:val="yellow"/>
                    </w:rPr>
                  </w:pPr>
                  <w:r w:rsidRPr="00CA688D">
                    <w:t>Bulky waste which includes all recyclable material</w:t>
                  </w:r>
                </w:p>
              </w:tc>
              <w:tc>
                <w:tcPr>
                  <w:tcW w:w="850" w:type="dxa"/>
                </w:tcPr>
                <w:p w:rsidR="00625810" w:rsidRPr="00E6514C" w:rsidRDefault="00625810" w:rsidP="002C0578">
                  <w:pPr>
                    <w:jc w:val="center"/>
                  </w:pPr>
                  <w:r>
                    <w:t>5</w:t>
                  </w:r>
                </w:p>
              </w:tc>
            </w:tr>
            <w:tr w:rsidR="00625810" w:rsidTr="00844626">
              <w:tc>
                <w:tcPr>
                  <w:tcW w:w="4276" w:type="dxa"/>
                </w:tcPr>
                <w:p w:rsidR="00625810" w:rsidRDefault="00625810" w:rsidP="002C0578">
                  <w:pPr>
                    <w:jc w:val="left"/>
                    <w:rPr>
                      <w:highlight w:val="yellow"/>
                    </w:rPr>
                  </w:pPr>
                  <w:r w:rsidRPr="00CA688D">
                    <w:t>Bulky waste which includes some non-recycling material</w:t>
                  </w:r>
                </w:p>
              </w:tc>
              <w:tc>
                <w:tcPr>
                  <w:tcW w:w="850" w:type="dxa"/>
                </w:tcPr>
                <w:p w:rsidR="00625810" w:rsidRDefault="00625810" w:rsidP="002C0578">
                  <w:pPr>
                    <w:jc w:val="center"/>
                    <w:rPr>
                      <w:highlight w:val="yellow"/>
                    </w:rPr>
                  </w:pPr>
                  <w:r>
                    <w:t>2</w:t>
                  </w:r>
                </w:p>
              </w:tc>
            </w:tr>
            <w:tr w:rsidR="00625810" w:rsidTr="00844626">
              <w:tc>
                <w:tcPr>
                  <w:tcW w:w="4276" w:type="dxa"/>
                </w:tcPr>
                <w:p w:rsidR="00625810" w:rsidRDefault="00625810" w:rsidP="002C0578">
                  <w:pPr>
                    <w:jc w:val="left"/>
                    <w:rPr>
                      <w:highlight w:val="yellow"/>
                    </w:rPr>
                  </w:pPr>
                  <w:r w:rsidRPr="00CA688D">
                    <w:t>Bulky waste which includes all non-recycling material</w:t>
                  </w:r>
                </w:p>
              </w:tc>
              <w:tc>
                <w:tcPr>
                  <w:tcW w:w="850" w:type="dxa"/>
                </w:tcPr>
                <w:p w:rsidR="00625810" w:rsidRDefault="00625810" w:rsidP="002C0578">
                  <w:pPr>
                    <w:jc w:val="center"/>
                    <w:rPr>
                      <w:highlight w:val="yellow"/>
                    </w:rPr>
                  </w:pPr>
                  <w:r>
                    <w:t>0</w:t>
                  </w:r>
                </w:p>
              </w:tc>
            </w:tr>
          </w:tbl>
          <w:p w:rsidR="00625810" w:rsidRDefault="00625810" w:rsidP="00D257F8">
            <w:pPr>
              <w:jc w:val="left"/>
              <w:rPr>
                <w:highlight w:val="yellow"/>
              </w:rPr>
            </w:pPr>
          </w:p>
          <w:p w:rsidR="00625810" w:rsidRDefault="00625810" w:rsidP="00D257F8">
            <w:pPr>
              <w:jc w:val="left"/>
              <w:rPr>
                <w:highlight w:val="yellow"/>
              </w:rPr>
            </w:pPr>
          </w:p>
        </w:tc>
        <w:tc>
          <w:tcPr>
            <w:tcW w:w="1337" w:type="dxa"/>
            <w:vMerge/>
            <w:vAlign w:val="center"/>
          </w:tcPr>
          <w:p w:rsidR="00625810" w:rsidRDefault="00625810" w:rsidP="00BE416A">
            <w:pPr>
              <w:jc w:val="center"/>
              <w:rPr>
                <w:b/>
              </w:rPr>
            </w:pPr>
          </w:p>
        </w:tc>
      </w:tr>
      <w:tr w:rsidR="00625810" w:rsidTr="00452A14">
        <w:tc>
          <w:tcPr>
            <w:tcW w:w="2274" w:type="dxa"/>
            <w:vMerge/>
            <w:vAlign w:val="center"/>
          </w:tcPr>
          <w:p w:rsidR="00625810" w:rsidRDefault="00625810" w:rsidP="00161EFF">
            <w:pPr>
              <w:pStyle w:val="ListParagraph"/>
              <w:jc w:val="left"/>
              <w:rPr>
                <w:b/>
              </w:rPr>
            </w:pPr>
          </w:p>
        </w:tc>
        <w:tc>
          <w:tcPr>
            <w:tcW w:w="5523" w:type="dxa"/>
            <w:vAlign w:val="center"/>
          </w:tcPr>
          <w:p w:rsidR="00993A4A" w:rsidRPr="00993A4A" w:rsidRDefault="00993A4A" w:rsidP="00D257F8">
            <w:pPr>
              <w:jc w:val="left"/>
            </w:pPr>
            <w:r w:rsidRPr="00993A4A">
              <w:t>Steps are defined as:</w:t>
            </w:r>
          </w:p>
          <w:p w:rsidR="00993A4A" w:rsidRPr="00993A4A" w:rsidRDefault="00993A4A" w:rsidP="00D257F8">
            <w:pPr>
              <w:jc w:val="left"/>
            </w:pPr>
          </w:p>
          <w:p w:rsidR="00993A4A" w:rsidRPr="00993A4A" w:rsidRDefault="00993A4A" w:rsidP="00D257F8">
            <w:pPr>
              <w:jc w:val="left"/>
            </w:pPr>
            <w:r w:rsidRPr="00993A4A">
              <w:rPr>
                <w:b/>
              </w:rPr>
              <w:t>1</w:t>
            </w:r>
            <w:r w:rsidRPr="00993A4A">
              <w:t xml:space="preserve">-open box / </w:t>
            </w:r>
            <w:r w:rsidRPr="00993A4A">
              <w:rPr>
                <w:b/>
              </w:rPr>
              <w:t>2</w:t>
            </w:r>
            <w:r w:rsidRPr="00993A4A">
              <w:t xml:space="preserve">-take individual components out of box / </w:t>
            </w:r>
            <w:r w:rsidRPr="00993A4A">
              <w:rPr>
                <w:b/>
              </w:rPr>
              <w:t>3</w:t>
            </w:r>
            <w:r w:rsidRPr="00993A4A">
              <w:t xml:space="preserve">-taking bottle tops off / </w:t>
            </w:r>
            <w:r w:rsidRPr="00993A4A">
              <w:rPr>
                <w:b/>
              </w:rPr>
              <w:t>4</w:t>
            </w:r>
            <w:r w:rsidRPr="00993A4A">
              <w:t xml:space="preserve">-open the swabs / </w:t>
            </w:r>
            <w:r w:rsidRPr="00993A4A">
              <w:rPr>
                <w:b/>
              </w:rPr>
              <w:t>5</w:t>
            </w:r>
            <w:r w:rsidRPr="00993A4A">
              <w:t xml:space="preserve">-clean the top(s) / </w:t>
            </w:r>
            <w:r w:rsidRPr="00993A4A">
              <w:rPr>
                <w:b/>
              </w:rPr>
              <w:t>6</w:t>
            </w:r>
            <w:r w:rsidRPr="00993A4A">
              <w:t xml:space="preserve">-taking off the syringe lid / </w:t>
            </w:r>
            <w:r w:rsidRPr="00993A4A">
              <w:rPr>
                <w:b/>
              </w:rPr>
              <w:t>7</w:t>
            </w:r>
            <w:r w:rsidRPr="00993A4A">
              <w:t xml:space="preserve">-screw the pre-filled syringe plunger into barrel of syringe device (if applicable) OR connect water and factor devices / </w:t>
            </w:r>
            <w:r w:rsidRPr="00993A4A">
              <w:rPr>
                <w:b/>
              </w:rPr>
              <w:t>8</w:t>
            </w:r>
            <w:r w:rsidRPr="00993A4A">
              <w:t xml:space="preserve">-fit syringe into transfer device / </w:t>
            </w:r>
            <w:r w:rsidRPr="00993A4A">
              <w:rPr>
                <w:b/>
              </w:rPr>
              <w:t>9</w:t>
            </w:r>
            <w:r w:rsidRPr="00993A4A">
              <w:t xml:space="preserve">-draw factor into syringe / </w:t>
            </w:r>
            <w:r w:rsidRPr="00993A4A">
              <w:rPr>
                <w:b/>
              </w:rPr>
              <w:t>10</w:t>
            </w:r>
            <w:r w:rsidRPr="00993A4A">
              <w:t xml:space="preserve">-remove factor vial / </w:t>
            </w:r>
            <w:r w:rsidRPr="00993A4A">
              <w:rPr>
                <w:b/>
              </w:rPr>
              <w:t>11</w:t>
            </w:r>
            <w:r w:rsidRPr="00993A4A">
              <w:t xml:space="preserve">-open butterfly needle / </w:t>
            </w:r>
            <w:r w:rsidRPr="00993A4A">
              <w:rPr>
                <w:b/>
              </w:rPr>
              <w:t>12</w:t>
            </w:r>
            <w:r w:rsidRPr="00993A4A">
              <w:t xml:space="preserve">-remove needle cap / </w:t>
            </w:r>
            <w:r w:rsidRPr="00993A4A">
              <w:rPr>
                <w:b/>
              </w:rPr>
              <w:t>13</w:t>
            </w:r>
            <w:r w:rsidRPr="00993A4A">
              <w:t xml:space="preserve">-put needle on syringe / </w:t>
            </w:r>
            <w:r w:rsidRPr="00993A4A">
              <w:rPr>
                <w:b/>
              </w:rPr>
              <w:t>14</w:t>
            </w:r>
            <w:r w:rsidRPr="00993A4A">
              <w:t>-remove needle sheath</w:t>
            </w:r>
          </w:p>
          <w:p w:rsidR="00993A4A" w:rsidRDefault="00993A4A" w:rsidP="00D257F8">
            <w:pPr>
              <w:jc w:val="left"/>
              <w:rPr>
                <w:highlight w:val="yellow"/>
              </w:rPr>
            </w:pPr>
          </w:p>
          <w:tbl>
            <w:tblPr>
              <w:tblStyle w:val="TableGrid"/>
              <w:tblW w:w="0" w:type="auto"/>
              <w:tblLayout w:type="fixed"/>
              <w:tblLook w:val="04A0" w:firstRow="1" w:lastRow="0" w:firstColumn="1" w:lastColumn="0" w:noHBand="0" w:noVBand="1"/>
            </w:tblPr>
            <w:tblGrid>
              <w:gridCol w:w="4276"/>
              <w:gridCol w:w="850"/>
            </w:tblGrid>
            <w:tr w:rsidR="00625810" w:rsidRPr="000F0F3A" w:rsidTr="00844626">
              <w:tc>
                <w:tcPr>
                  <w:tcW w:w="4276" w:type="dxa"/>
                  <w:shd w:val="clear" w:color="auto" w:fill="000000" w:themeFill="text1"/>
                </w:tcPr>
                <w:p w:rsidR="00625810" w:rsidRPr="000F0F3A" w:rsidRDefault="00625810" w:rsidP="00362FE6">
                  <w:pPr>
                    <w:jc w:val="left"/>
                    <w:rPr>
                      <w:b/>
                      <w:color w:val="FFFFFF" w:themeColor="background1"/>
                    </w:rPr>
                  </w:pPr>
                  <w:r w:rsidRPr="00CA688D">
                    <w:rPr>
                      <w:b/>
                      <w:color w:val="FFFFFF" w:themeColor="background1"/>
                    </w:rPr>
                    <w:t xml:space="preserve">How </w:t>
                  </w:r>
                  <w:r w:rsidR="00362FE6">
                    <w:rPr>
                      <w:b/>
                      <w:color w:val="FFFFFF" w:themeColor="background1"/>
                    </w:rPr>
                    <w:t xml:space="preserve">many steps are required to prepare </w:t>
                  </w:r>
                  <w:r w:rsidRPr="00CA688D">
                    <w:rPr>
                      <w:b/>
                      <w:color w:val="FFFFFF" w:themeColor="background1"/>
                    </w:rPr>
                    <w:t>product for administration?</w:t>
                  </w:r>
                </w:p>
              </w:tc>
              <w:tc>
                <w:tcPr>
                  <w:tcW w:w="850" w:type="dxa"/>
                  <w:shd w:val="clear" w:color="auto" w:fill="000000" w:themeFill="text1"/>
                  <w:vAlign w:val="center"/>
                </w:tcPr>
                <w:p w:rsidR="00625810" w:rsidRPr="000F0F3A" w:rsidRDefault="00625810" w:rsidP="002C0578">
                  <w:pPr>
                    <w:jc w:val="center"/>
                    <w:rPr>
                      <w:b/>
                      <w:color w:val="FFFFFF" w:themeColor="background1"/>
                    </w:rPr>
                  </w:pPr>
                  <w:r w:rsidRPr="000F0F3A">
                    <w:rPr>
                      <w:b/>
                      <w:color w:val="FFFFFF" w:themeColor="background1"/>
                    </w:rPr>
                    <w:t>Score</w:t>
                  </w:r>
                </w:p>
              </w:tc>
            </w:tr>
            <w:tr w:rsidR="00625810" w:rsidTr="00844626">
              <w:tc>
                <w:tcPr>
                  <w:tcW w:w="4276" w:type="dxa"/>
                </w:tcPr>
                <w:p w:rsidR="00625810" w:rsidRDefault="009A5982" w:rsidP="002C0578">
                  <w:pPr>
                    <w:jc w:val="left"/>
                    <w:rPr>
                      <w:highlight w:val="yellow"/>
                    </w:rPr>
                  </w:pPr>
                  <w:r>
                    <w:t>Least steps</w:t>
                  </w:r>
                </w:p>
              </w:tc>
              <w:tc>
                <w:tcPr>
                  <w:tcW w:w="850" w:type="dxa"/>
                </w:tcPr>
                <w:p w:rsidR="00625810" w:rsidRPr="00E6514C" w:rsidRDefault="00625810" w:rsidP="002C0578">
                  <w:pPr>
                    <w:jc w:val="center"/>
                  </w:pPr>
                  <w:r>
                    <w:t>8</w:t>
                  </w:r>
                </w:p>
              </w:tc>
            </w:tr>
            <w:tr w:rsidR="00625810" w:rsidTr="00844626">
              <w:tc>
                <w:tcPr>
                  <w:tcW w:w="4276" w:type="dxa"/>
                </w:tcPr>
                <w:p w:rsidR="00625810" w:rsidRDefault="00625810" w:rsidP="009A5982">
                  <w:pPr>
                    <w:jc w:val="left"/>
                    <w:rPr>
                      <w:highlight w:val="yellow"/>
                    </w:rPr>
                  </w:pPr>
                  <w:r w:rsidRPr="00CA688D">
                    <w:t xml:space="preserve">Second </w:t>
                  </w:r>
                  <w:r w:rsidR="009A5982">
                    <w:t>least number of steps</w:t>
                  </w:r>
                  <w:r w:rsidR="009A5982" w:rsidRPr="00CA688D">
                    <w:t xml:space="preserve"> </w:t>
                  </w:r>
                </w:p>
              </w:tc>
              <w:tc>
                <w:tcPr>
                  <w:tcW w:w="850" w:type="dxa"/>
                </w:tcPr>
                <w:p w:rsidR="00625810" w:rsidRPr="00E6514C" w:rsidRDefault="00625810" w:rsidP="002C0578">
                  <w:pPr>
                    <w:jc w:val="center"/>
                  </w:pPr>
                  <w:r>
                    <w:t>7</w:t>
                  </w:r>
                </w:p>
              </w:tc>
            </w:tr>
            <w:tr w:rsidR="00625810" w:rsidTr="00844626">
              <w:tc>
                <w:tcPr>
                  <w:tcW w:w="4276" w:type="dxa"/>
                </w:tcPr>
                <w:p w:rsidR="00625810" w:rsidRDefault="00625810" w:rsidP="002C0578">
                  <w:pPr>
                    <w:jc w:val="left"/>
                    <w:rPr>
                      <w:highlight w:val="yellow"/>
                    </w:rPr>
                  </w:pPr>
                  <w:r w:rsidRPr="00CA688D">
                    <w:t xml:space="preserve">Third </w:t>
                  </w:r>
                  <w:r w:rsidR="009A5982">
                    <w:t>least number of steps</w:t>
                  </w:r>
                </w:p>
              </w:tc>
              <w:tc>
                <w:tcPr>
                  <w:tcW w:w="850" w:type="dxa"/>
                </w:tcPr>
                <w:p w:rsidR="00625810" w:rsidRDefault="00625810" w:rsidP="002C0578">
                  <w:pPr>
                    <w:jc w:val="center"/>
                    <w:rPr>
                      <w:highlight w:val="yellow"/>
                    </w:rPr>
                  </w:pPr>
                  <w:r>
                    <w:t>6</w:t>
                  </w:r>
                </w:p>
              </w:tc>
            </w:tr>
            <w:tr w:rsidR="00625810" w:rsidTr="00844626">
              <w:tc>
                <w:tcPr>
                  <w:tcW w:w="4276" w:type="dxa"/>
                </w:tcPr>
                <w:p w:rsidR="00625810" w:rsidRDefault="00625810" w:rsidP="002C0578">
                  <w:pPr>
                    <w:jc w:val="left"/>
                    <w:rPr>
                      <w:highlight w:val="yellow"/>
                    </w:rPr>
                  </w:pPr>
                  <w:r w:rsidRPr="00CA688D">
                    <w:t xml:space="preserve">Fourth </w:t>
                  </w:r>
                  <w:r w:rsidR="009A5982">
                    <w:t>least number of steps</w:t>
                  </w:r>
                </w:p>
              </w:tc>
              <w:tc>
                <w:tcPr>
                  <w:tcW w:w="850" w:type="dxa"/>
                </w:tcPr>
                <w:p w:rsidR="00625810" w:rsidRDefault="00625810" w:rsidP="002C0578">
                  <w:pPr>
                    <w:jc w:val="center"/>
                    <w:rPr>
                      <w:highlight w:val="yellow"/>
                    </w:rPr>
                  </w:pPr>
                  <w:r>
                    <w:t>5</w:t>
                  </w:r>
                </w:p>
              </w:tc>
            </w:tr>
            <w:tr w:rsidR="00625810" w:rsidTr="00844626">
              <w:tc>
                <w:tcPr>
                  <w:tcW w:w="4276" w:type="dxa"/>
                </w:tcPr>
                <w:p w:rsidR="00625810" w:rsidRDefault="00625810" w:rsidP="002C0578">
                  <w:pPr>
                    <w:jc w:val="left"/>
                  </w:pPr>
                  <w:r w:rsidRPr="00CA688D">
                    <w:t xml:space="preserve">Fifth </w:t>
                  </w:r>
                  <w:r w:rsidR="009A5982">
                    <w:t>least number of steps</w:t>
                  </w:r>
                </w:p>
              </w:tc>
              <w:tc>
                <w:tcPr>
                  <w:tcW w:w="850" w:type="dxa"/>
                </w:tcPr>
                <w:p w:rsidR="00625810" w:rsidRPr="00E6514C" w:rsidRDefault="00625810" w:rsidP="002C0578">
                  <w:pPr>
                    <w:jc w:val="center"/>
                  </w:pPr>
                  <w:r>
                    <w:t>4</w:t>
                  </w:r>
                </w:p>
              </w:tc>
            </w:tr>
            <w:tr w:rsidR="00625810" w:rsidTr="00844626">
              <w:tc>
                <w:tcPr>
                  <w:tcW w:w="4276" w:type="dxa"/>
                </w:tcPr>
                <w:p w:rsidR="00625810" w:rsidRDefault="00625810" w:rsidP="002C0578">
                  <w:pPr>
                    <w:jc w:val="left"/>
                  </w:pPr>
                  <w:r w:rsidRPr="00CA688D">
                    <w:t xml:space="preserve">Sixth </w:t>
                  </w:r>
                  <w:r w:rsidR="009A5982">
                    <w:t>least number of steps</w:t>
                  </w:r>
                </w:p>
              </w:tc>
              <w:tc>
                <w:tcPr>
                  <w:tcW w:w="850" w:type="dxa"/>
                </w:tcPr>
                <w:p w:rsidR="00625810" w:rsidRPr="00E6514C" w:rsidRDefault="00625810" w:rsidP="002C0578">
                  <w:pPr>
                    <w:jc w:val="center"/>
                  </w:pPr>
                  <w:r>
                    <w:t>3</w:t>
                  </w:r>
                </w:p>
              </w:tc>
            </w:tr>
            <w:tr w:rsidR="00625810" w:rsidTr="00844626">
              <w:tc>
                <w:tcPr>
                  <w:tcW w:w="4276" w:type="dxa"/>
                </w:tcPr>
                <w:p w:rsidR="00625810" w:rsidRPr="00CA688D" w:rsidRDefault="00625810" w:rsidP="00CA688D">
                  <w:pPr>
                    <w:jc w:val="left"/>
                  </w:pPr>
                  <w:r>
                    <w:t>Seventh</w:t>
                  </w:r>
                  <w:r w:rsidRPr="00CA688D">
                    <w:t xml:space="preserve"> </w:t>
                  </w:r>
                  <w:r w:rsidR="009A5982">
                    <w:t>least number of steps</w:t>
                  </w:r>
                </w:p>
              </w:tc>
              <w:tc>
                <w:tcPr>
                  <w:tcW w:w="850" w:type="dxa"/>
                </w:tcPr>
                <w:p w:rsidR="00625810" w:rsidRDefault="00625810" w:rsidP="002C0578">
                  <w:pPr>
                    <w:jc w:val="center"/>
                  </w:pPr>
                  <w:r>
                    <w:t>2</w:t>
                  </w:r>
                </w:p>
              </w:tc>
            </w:tr>
            <w:tr w:rsidR="00625810" w:rsidTr="00844626">
              <w:tc>
                <w:tcPr>
                  <w:tcW w:w="4276" w:type="dxa"/>
                </w:tcPr>
                <w:p w:rsidR="00625810" w:rsidRDefault="009A5982" w:rsidP="00CA688D">
                  <w:pPr>
                    <w:jc w:val="left"/>
                  </w:pPr>
                  <w:r>
                    <w:t>Most number of steps</w:t>
                  </w:r>
                </w:p>
              </w:tc>
              <w:tc>
                <w:tcPr>
                  <w:tcW w:w="850" w:type="dxa"/>
                </w:tcPr>
                <w:p w:rsidR="00625810" w:rsidRDefault="00625810" w:rsidP="002C0578">
                  <w:pPr>
                    <w:jc w:val="center"/>
                  </w:pPr>
                  <w:r>
                    <w:t>1</w:t>
                  </w:r>
                </w:p>
              </w:tc>
            </w:tr>
          </w:tbl>
          <w:p w:rsidR="00625810" w:rsidRDefault="00625810" w:rsidP="00CA688D">
            <w:pPr>
              <w:jc w:val="left"/>
              <w:rPr>
                <w:highlight w:val="yellow"/>
              </w:rPr>
            </w:pPr>
          </w:p>
          <w:p w:rsidR="00625810" w:rsidRPr="009F0D38" w:rsidRDefault="00993A4A" w:rsidP="00CA688D">
            <w:pPr>
              <w:jc w:val="left"/>
            </w:pPr>
            <w:r w:rsidRPr="009F0D38">
              <w:t>Pooling of vials</w:t>
            </w:r>
            <w:r w:rsidR="004A1E86" w:rsidRPr="009F0D38">
              <w:t>:</w:t>
            </w:r>
          </w:p>
          <w:p w:rsidR="00993A4A" w:rsidRDefault="00993A4A" w:rsidP="00CA688D">
            <w:pPr>
              <w:jc w:val="left"/>
              <w:rPr>
                <w:highlight w:val="yellow"/>
              </w:rPr>
            </w:pPr>
          </w:p>
          <w:tbl>
            <w:tblPr>
              <w:tblW w:w="0" w:type="auto"/>
              <w:tblLayout w:type="fixed"/>
              <w:tblCellMar>
                <w:left w:w="0" w:type="dxa"/>
                <w:right w:w="0" w:type="dxa"/>
              </w:tblCellMar>
              <w:tblLook w:val="04A0" w:firstRow="1" w:lastRow="0" w:firstColumn="1" w:lastColumn="0" w:noHBand="0" w:noVBand="1"/>
            </w:tblPr>
            <w:tblGrid>
              <w:gridCol w:w="4271"/>
              <w:gridCol w:w="850"/>
            </w:tblGrid>
            <w:tr w:rsidR="00993A4A" w:rsidTr="0019082A">
              <w:tc>
                <w:tcPr>
                  <w:tcW w:w="4271"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rsidR="00993A4A" w:rsidRPr="00993A4A" w:rsidRDefault="00993A4A">
                  <w:pPr>
                    <w:rPr>
                      <w:rFonts w:eastAsiaTheme="minorHAnsi" w:cs="Arial"/>
                      <w:b/>
                      <w:bCs/>
                      <w:color w:val="FFFFFF"/>
                      <w:szCs w:val="22"/>
                    </w:rPr>
                  </w:pPr>
                  <w:r w:rsidRPr="00993A4A">
                    <w:rPr>
                      <w:b/>
                      <w:bCs/>
                      <w:color w:val="FFFFFF"/>
                      <w:szCs w:val="22"/>
                      <w:lang w:eastAsia="en-GB"/>
                    </w:rPr>
                    <w:t>How easily can a 750 IU dose be prepared and infused</w:t>
                  </w:r>
                </w:p>
              </w:tc>
              <w:tc>
                <w:tcPr>
                  <w:tcW w:w="850"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rsidR="00993A4A" w:rsidRPr="00993A4A" w:rsidRDefault="00993A4A">
                  <w:pPr>
                    <w:jc w:val="center"/>
                    <w:rPr>
                      <w:rFonts w:eastAsiaTheme="minorHAnsi" w:cs="Arial"/>
                      <w:b/>
                      <w:bCs/>
                      <w:color w:val="FFFFFF"/>
                      <w:szCs w:val="22"/>
                    </w:rPr>
                  </w:pPr>
                  <w:r w:rsidRPr="00993A4A">
                    <w:rPr>
                      <w:b/>
                      <w:bCs/>
                      <w:color w:val="FFFFFF"/>
                      <w:szCs w:val="22"/>
                      <w:lang w:eastAsia="en-GB"/>
                    </w:rPr>
                    <w:t>Score</w:t>
                  </w:r>
                </w:p>
              </w:tc>
            </w:tr>
            <w:tr w:rsidR="00993A4A" w:rsidTr="0019082A">
              <w:tc>
                <w:tcPr>
                  <w:tcW w:w="4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3A4A" w:rsidRPr="00993A4A" w:rsidRDefault="00993A4A">
                  <w:pPr>
                    <w:rPr>
                      <w:rFonts w:eastAsiaTheme="minorHAnsi" w:cs="Arial"/>
                      <w:szCs w:val="22"/>
                      <w:highlight w:val="yellow"/>
                    </w:rPr>
                  </w:pPr>
                  <w:r w:rsidRPr="00993A4A">
                    <w:rPr>
                      <w:szCs w:val="22"/>
                      <w:lang w:eastAsia="en-GB"/>
                    </w:rPr>
                    <w:t>Very easy</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993A4A" w:rsidRPr="00993A4A" w:rsidRDefault="00993A4A">
                  <w:pPr>
                    <w:jc w:val="center"/>
                    <w:rPr>
                      <w:rFonts w:eastAsiaTheme="minorHAnsi" w:cs="Arial"/>
                      <w:szCs w:val="22"/>
                    </w:rPr>
                  </w:pPr>
                  <w:r w:rsidRPr="00993A4A">
                    <w:rPr>
                      <w:szCs w:val="22"/>
                      <w:lang w:eastAsia="en-GB"/>
                    </w:rPr>
                    <w:t>4</w:t>
                  </w:r>
                </w:p>
              </w:tc>
            </w:tr>
            <w:tr w:rsidR="00993A4A" w:rsidTr="0019082A">
              <w:tc>
                <w:tcPr>
                  <w:tcW w:w="4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3A4A" w:rsidRPr="00993A4A" w:rsidRDefault="00993A4A">
                  <w:pPr>
                    <w:rPr>
                      <w:rFonts w:eastAsiaTheme="minorHAnsi" w:cs="Arial"/>
                      <w:szCs w:val="22"/>
                      <w:highlight w:val="yellow"/>
                    </w:rPr>
                  </w:pPr>
                  <w:r w:rsidRPr="00993A4A">
                    <w:rPr>
                      <w:szCs w:val="22"/>
                      <w:lang w:eastAsia="en-GB"/>
                    </w:rPr>
                    <w:t xml:space="preserve">Easy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993A4A" w:rsidRPr="00993A4A" w:rsidRDefault="00993A4A">
                  <w:pPr>
                    <w:jc w:val="center"/>
                    <w:rPr>
                      <w:rFonts w:eastAsiaTheme="minorHAnsi" w:cs="Arial"/>
                      <w:szCs w:val="22"/>
                    </w:rPr>
                  </w:pPr>
                  <w:r w:rsidRPr="00993A4A">
                    <w:rPr>
                      <w:szCs w:val="22"/>
                      <w:lang w:eastAsia="en-GB"/>
                    </w:rPr>
                    <w:t>3</w:t>
                  </w:r>
                </w:p>
              </w:tc>
            </w:tr>
            <w:tr w:rsidR="00993A4A" w:rsidTr="0019082A">
              <w:tc>
                <w:tcPr>
                  <w:tcW w:w="4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3A4A" w:rsidRPr="00993A4A" w:rsidRDefault="00993A4A">
                  <w:pPr>
                    <w:rPr>
                      <w:rFonts w:eastAsiaTheme="minorHAnsi" w:cs="Arial"/>
                      <w:szCs w:val="22"/>
                      <w:highlight w:val="yellow"/>
                    </w:rPr>
                  </w:pPr>
                  <w:r w:rsidRPr="00993A4A">
                    <w:rPr>
                      <w:szCs w:val="22"/>
                      <w:lang w:eastAsia="en-GB"/>
                    </w:rPr>
                    <w:t>Difficult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993A4A" w:rsidRPr="00993A4A" w:rsidRDefault="00993A4A">
                  <w:pPr>
                    <w:jc w:val="center"/>
                    <w:rPr>
                      <w:rFonts w:eastAsiaTheme="minorHAnsi" w:cs="Arial"/>
                      <w:szCs w:val="22"/>
                      <w:highlight w:val="yellow"/>
                    </w:rPr>
                  </w:pPr>
                  <w:r w:rsidRPr="00993A4A">
                    <w:rPr>
                      <w:szCs w:val="22"/>
                      <w:lang w:eastAsia="en-GB"/>
                    </w:rPr>
                    <w:t>1</w:t>
                  </w:r>
                </w:p>
              </w:tc>
            </w:tr>
            <w:tr w:rsidR="00993A4A" w:rsidTr="0019082A">
              <w:tc>
                <w:tcPr>
                  <w:tcW w:w="4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3A4A" w:rsidRPr="00993A4A" w:rsidRDefault="00993A4A">
                  <w:pPr>
                    <w:rPr>
                      <w:rFonts w:eastAsiaTheme="minorHAnsi" w:cs="Arial"/>
                      <w:szCs w:val="22"/>
                      <w:highlight w:val="yellow"/>
                    </w:rPr>
                  </w:pPr>
                  <w:r w:rsidRPr="00993A4A">
                    <w:rPr>
                      <w:szCs w:val="22"/>
                      <w:lang w:eastAsia="en-GB"/>
                    </w:rPr>
                    <w:t>Very Difficult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993A4A" w:rsidRPr="00993A4A" w:rsidRDefault="00993A4A">
                  <w:pPr>
                    <w:jc w:val="center"/>
                    <w:rPr>
                      <w:rFonts w:eastAsiaTheme="minorHAnsi" w:cs="Arial"/>
                      <w:szCs w:val="22"/>
                      <w:highlight w:val="yellow"/>
                    </w:rPr>
                  </w:pPr>
                  <w:r w:rsidRPr="00993A4A">
                    <w:rPr>
                      <w:szCs w:val="22"/>
                      <w:lang w:eastAsia="en-GB"/>
                    </w:rPr>
                    <w:t>0</w:t>
                  </w:r>
                </w:p>
              </w:tc>
            </w:tr>
          </w:tbl>
          <w:p w:rsidR="00993A4A" w:rsidRDefault="00993A4A" w:rsidP="00CA688D">
            <w:pPr>
              <w:jc w:val="left"/>
              <w:rPr>
                <w:highlight w:val="yellow"/>
              </w:rPr>
            </w:pPr>
          </w:p>
          <w:p w:rsidR="003B19D5" w:rsidRPr="004A1E86" w:rsidRDefault="003B19D5" w:rsidP="003B19D5">
            <w:pPr>
              <w:jc w:val="left"/>
            </w:pPr>
            <w:r w:rsidRPr="004A1E86">
              <w:rPr>
                <w:b/>
              </w:rPr>
              <w:t>Very easy</w:t>
            </w:r>
            <w:r w:rsidRPr="004A1E86">
              <w:t xml:space="preserve"> - Patient/carer can mix 2 vials into the one syringe - provided with the factor</w:t>
            </w:r>
          </w:p>
          <w:p w:rsidR="003B19D5" w:rsidRPr="004A1E86" w:rsidRDefault="003B19D5" w:rsidP="003B19D5">
            <w:pPr>
              <w:jc w:val="left"/>
            </w:pPr>
            <w:r w:rsidRPr="004A1E86">
              <w:rPr>
                <w:b/>
              </w:rPr>
              <w:t xml:space="preserve">Easy </w:t>
            </w:r>
            <w:r w:rsidRPr="004A1E86">
              <w:t xml:space="preserve">- Patient/carer can mix 2 vials into another </w:t>
            </w:r>
            <w:r w:rsidRPr="004A1E86">
              <w:lastRenderedPageBreak/>
              <w:t>syringe using the device for mixing one vial and syringe again</w:t>
            </w:r>
          </w:p>
          <w:p w:rsidR="003B19D5" w:rsidRPr="004A1E86" w:rsidRDefault="003B19D5" w:rsidP="003B19D5">
            <w:pPr>
              <w:jc w:val="left"/>
            </w:pPr>
            <w:r w:rsidRPr="004A1E86">
              <w:rPr>
                <w:b/>
              </w:rPr>
              <w:t xml:space="preserve">Difficult </w:t>
            </w:r>
            <w:r>
              <w:t>- Patient/carer can mix 2 vials into another syringe using another method</w:t>
            </w:r>
            <w:r w:rsidRPr="004A1E86">
              <w:t xml:space="preserve"> than the device used for mixing</w:t>
            </w:r>
          </w:p>
          <w:p w:rsidR="003B19D5" w:rsidRPr="004A1E86" w:rsidRDefault="003B19D5" w:rsidP="003B19D5">
            <w:pPr>
              <w:jc w:val="left"/>
              <w:rPr>
                <w:highlight w:val="yellow"/>
              </w:rPr>
            </w:pPr>
            <w:r w:rsidRPr="004A1E86">
              <w:rPr>
                <w:b/>
              </w:rPr>
              <w:t>Very difficult</w:t>
            </w:r>
            <w:r w:rsidRPr="004A1E86">
              <w:t xml:space="preserve"> - Patient/carer is unable to mix the 2 vials together</w:t>
            </w:r>
          </w:p>
          <w:p w:rsidR="00993A4A" w:rsidRDefault="00993A4A" w:rsidP="00CA688D">
            <w:pPr>
              <w:jc w:val="left"/>
              <w:rPr>
                <w:highlight w:val="yellow"/>
              </w:rPr>
            </w:pPr>
          </w:p>
        </w:tc>
        <w:tc>
          <w:tcPr>
            <w:tcW w:w="1337" w:type="dxa"/>
            <w:vMerge/>
            <w:vAlign w:val="center"/>
          </w:tcPr>
          <w:p w:rsidR="00625810" w:rsidRDefault="00625810" w:rsidP="00BE416A">
            <w:pPr>
              <w:jc w:val="center"/>
              <w:rPr>
                <w:b/>
              </w:rPr>
            </w:pPr>
          </w:p>
        </w:tc>
      </w:tr>
    </w:tbl>
    <w:p w:rsidR="00922C19" w:rsidRDefault="004E7876" w:rsidP="00922C19">
      <w:pPr>
        <w:pStyle w:val="Heading1"/>
        <w:keepNext/>
        <w:keepLines/>
        <w:spacing w:after="120"/>
        <w:contextualSpacing w:val="0"/>
      </w:pPr>
      <w:r>
        <w:lastRenderedPageBreak/>
        <w:t>Eligibility</w:t>
      </w:r>
    </w:p>
    <w:p w:rsidR="009A35C2" w:rsidRDefault="003243CB" w:rsidP="009A35C2">
      <w:r>
        <w:t xml:space="preserve">All the following are mandatory requirements of the framework and for a supplier to be awarded onto the framework the supplier MUST </w:t>
      </w:r>
      <w:r w:rsidR="004E7876">
        <w:t>meet</w:t>
      </w:r>
      <w:r>
        <w:t xml:space="preserve"> all the points listed within this mandatory requirements section.</w:t>
      </w:r>
    </w:p>
    <w:p w:rsidR="003243CB" w:rsidRPr="009A35C2" w:rsidRDefault="003243CB" w:rsidP="009A35C2"/>
    <w:p w:rsidR="00847381" w:rsidRPr="009A35C2" w:rsidRDefault="00847381" w:rsidP="00847381">
      <w:pPr>
        <w:pStyle w:val="Heading2"/>
        <w:rPr>
          <w:b/>
        </w:rPr>
      </w:pPr>
      <w:r w:rsidRPr="009A35C2">
        <w:rPr>
          <w:b/>
        </w:rPr>
        <w:t>Technical Merit/Safety</w:t>
      </w:r>
    </w:p>
    <w:p w:rsidR="00C7198F" w:rsidRDefault="00847381" w:rsidP="00924837">
      <w:pPr>
        <w:pStyle w:val="Heading3"/>
      </w:pPr>
      <w:r>
        <w:t xml:space="preserve">All products must have a valid UK Marketing Authorisation awarded by the MHRA or EMA applicable to all categories of products offered at the </w:t>
      </w:r>
      <w:r w:rsidR="00C7198F">
        <w:t xml:space="preserve">award date of the framework which is </w:t>
      </w:r>
      <w:r w:rsidR="00121E21">
        <w:t xml:space="preserve">anticipated to be </w:t>
      </w:r>
      <w:r w:rsidR="00003858">
        <w:t>1</w:t>
      </w:r>
      <w:r w:rsidR="00003858" w:rsidRPr="00003858">
        <w:rPr>
          <w:vertAlign w:val="superscript"/>
        </w:rPr>
        <w:t>st</w:t>
      </w:r>
      <w:r w:rsidR="00003858">
        <w:t xml:space="preserve"> </w:t>
      </w:r>
      <w:r w:rsidR="00DC46F8">
        <w:t>November</w:t>
      </w:r>
      <w:r w:rsidR="00003858">
        <w:t xml:space="preserve"> 201</w:t>
      </w:r>
      <w:r w:rsidR="009D3574">
        <w:t>7</w:t>
      </w:r>
      <w:r w:rsidR="00003858">
        <w:t>.</w:t>
      </w:r>
      <w:r>
        <w:t xml:space="preserve"> </w:t>
      </w:r>
    </w:p>
    <w:p w:rsidR="00847381" w:rsidRDefault="00C7198F" w:rsidP="00924837">
      <w:pPr>
        <w:pStyle w:val="Heading3"/>
      </w:pPr>
      <w:r>
        <w:t xml:space="preserve">Offerors must have </w:t>
      </w:r>
      <w:r w:rsidR="00847381">
        <w:t xml:space="preserve">product </w:t>
      </w:r>
      <w:r>
        <w:t xml:space="preserve">available </w:t>
      </w:r>
      <w:r w:rsidR="00847381">
        <w:t>for delivery</w:t>
      </w:r>
      <w:r>
        <w:t xml:space="preserve"> to customers</w:t>
      </w:r>
      <w:r w:rsidR="00847381">
        <w:t xml:space="preserve"> </w:t>
      </w:r>
      <w:r>
        <w:t>at the framework go-live date which is the</w:t>
      </w:r>
      <w:r w:rsidR="00847381">
        <w:t xml:space="preserve"> 1</w:t>
      </w:r>
      <w:r w:rsidR="00847381" w:rsidRPr="00847381">
        <w:rPr>
          <w:vertAlign w:val="superscript"/>
        </w:rPr>
        <w:t>st</w:t>
      </w:r>
      <w:r w:rsidR="00847381">
        <w:t xml:space="preserve"> </w:t>
      </w:r>
      <w:r w:rsidR="00DC46F8">
        <w:t>February 2018</w:t>
      </w:r>
      <w:r w:rsidR="00847381">
        <w:t>.</w:t>
      </w:r>
    </w:p>
    <w:p w:rsidR="009A35C2" w:rsidRPr="009A35C2" w:rsidRDefault="009A35C2" w:rsidP="009A35C2"/>
    <w:p w:rsidR="00847381" w:rsidRPr="009A35C2" w:rsidRDefault="009A35C2" w:rsidP="009A35C2">
      <w:pPr>
        <w:pStyle w:val="Heading2"/>
        <w:rPr>
          <w:b/>
        </w:rPr>
      </w:pPr>
      <w:r w:rsidRPr="009A35C2">
        <w:rPr>
          <w:b/>
        </w:rPr>
        <w:t>Terms and Conditions</w:t>
      </w:r>
    </w:p>
    <w:p w:rsidR="009A35C2" w:rsidRDefault="009A35C2" w:rsidP="00924837">
      <w:pPr>
        <w:pStyle w:val="Heading3"/>
      </w:pPr>
      <w:proofErr w:type="gramStart"/>
      <w:r>
        <w:t>Full acceptance of the CMU terms and conditions.</w:t>
      </w:r>
      <w:proofErr w:type="gramEnd"/>
      <w:r>
        <w:t xml:space="preserve"> No legal or commercial alterations or substitutions can be proposed.</w:t>
      </w:r>
    </w:p>
    <w:p w:rsidR="009A35C2" w:rsidRPr="009A35C2" w:rsidRDefault="009A35C2" w:rsidP="009A35C2"/>
    <w:p w:rsidR="00847381" w:rsidRPr="009A35C2" w:rsidRDefault="009A35C2" w:rsidP="009A35C2">
      <w:pPr>
        <w:pStyle w:val="Heading2"/>
        <w:rPr>
          <w:b/>
        </w:rPr>
      </w:pPr>
      <w:r w:rsidRPr="009A35C2">
        <w:rPr>
          <w:b/>
        </w:rPr>
        <w:t>Service Levels</w:t>
      </w:r>
    </w:p>
    <w:p w:rsidR="00847381" w:rsidRPr="000A0B01" w:rsidRDefault="00922C19" w:rsidP="00924837">
      <w:pPr>
        <w:pStyle w:val="Heading3"/>
      </w:pPr>
      <w:r w:rsidRPr="00847381">
        <w:t>With effect from the comm</w:t>
      </w:r>
      <w:r w:rsidR="00C204F0">
        <w:t>encement of the framework, the s</w:t>
      </w:r>
      <w:r w:rsidRPr="00847381">
        <w:t>upplier</w:t>
      </w:r>
      <w:r w:rsidR="00B94F80" w:rsidRPr="00847381">
        <w:t xml:space="preserve"> must</w:t>
      </w:r>
      <w:r w:rsidRPr="00847381">
        <w:t xml:space="preserve"> maintain a level of</w:t>
      </w:r>
      <w:r w:rsidRPr="007C29F5">
        <w:t xml:space="preserve"> stock holding sufficient to </w:t>
      </w:r>
      <w:r w:rsidRPr="000A0B01">
        <w:t xml:space="preserve">meet </w:t>
      </w:r>
      <w:r w:rsidR="00D542B7" w:rsidRPr="000A0B01">
        <w:t>12 weeks</w:t>
      </w:r>
      <w:r w:rsidR="00A060DE" w:rsidRPr="000A0B01">
        <w:t>’</w:t>
      </w:r>
      <w:r w:rsidRPr="000A0B01">
        <w:t xml:space="preserve"> anticipated demand.</w:t>
      </w:r>
      <w:r w:rsidR="000E15AB">
        <w:t xml:space="preserve"> The stock holding figure will be calculated using volumes obtained from the product allocation exercise which the CMU will conduct prior to the framework commencing.</w:t>
      </w:r>
      <w:r w:rsidRPr="000A0B01">
        <w:t xml:space="preserve">  </w:t>
      </w:r>
    </w:p>
    <w:p w:rsidR="00202582" w:rsidRPr="00271D34" w:rsidRDefault="00922C19" w:rsidP="00924837">
      <w:pPr>
        <w:pStyle w:val="Heading3"/>
      </w:pPr>
      <w:r w:rsidRPr="00D750FB">
        <w:t xml:space="preserve">Where any </w:t>
      </w:r>
      <w:r>
        <w:t>product</w:t>
      </w:r>
      <w:r w:rsidRPr="00D750FB">
        <w:t>s are supplied under th</w:t>
      </w:r>
      <w:r>
        <w:t>is framework</w:t>
      </w:r>
      <w:r w:rsidRPr="00D750FB">
        <w:t xml:space="preserve"> the period of time between the date of supply of these goods to </w:t>
      </w:r>
      <w:r>
        <w:t>the Participating Authority</w:t>
      </w:r>
      <w:r w:rsidRPr="00D750FB">
        <w:t xml:space="preserve"> and the expiry date shown on </w:t>
      </w:r>
      <w:r w:rsidRPr="00C30EBA">
        <w:t xml:space="preserve">the </w:t>
      </w:r>
      <w:r w:rsidRPr="000A0B01">
        <w:t>goods ("the shelf life") shall be not less than 12 months.</w:t>
      </w:r>
      <w:r w:rsidRPr="00C30EBA">
        <w:t xml:space="preserve"> </w:t>
      </w:r>
      <w:r w:rsidR="00202582">
        <w:t xml:space="preserve">Supply of any product with a shelf life less than 12 months must be agreed </w:t>
      </w:r>
      <w:r w:rsidR="00202582" w:rsidRPr="00271D34">
        <w:t>with the Participating Authority prior to delivery.</w:t>
      </w:r>
      <w:r w:rsidR="00202582" w:rsidRPr="00202582">
        <w:t xml:space="preserve"> </w:t>
      </w:r>
      <w:r w:rsidR="00C204F0">
        <w:t>In the event that the s</w:t>
      </w:r>
      <w:r w:rsidR="00202582" w:rsidRPr="00271D34">
        <w:t>upplier supplies product with a shelf life of less than 12 months (or such other period as the Participating Authority must have agreed), the Supplier shall, upon request by the Participating Authority and at no cost to the Participating Authority, replace any product the Participating Authority is unable to use within the product</w:t>
      </w:r>
      <w:r w:rsidR="00202582">
        <w:t>’</w:t>
      </w:r>
      <w:r w:rsidR="00202582" w:rsidRPr="00271D34">
        <w:t>s remaining shelf life period, any replacement product must have a shelf life greater than 12 months</w:t>
      </w:r>
      <w:r w:rsidR="00C2079D">
        <w:t xml:space="preserve"> unless otherwise agreed with the Participating Authority prior to delivery</w:t>
      </w:r>
      <w:r w:rsidR="00202582" w:rsidRPr="00271D34">
        <w:t>. Alternatively, CMU shall be entitled to terminate this framework agreement with immediate effect o</w:t>
      </w:r>
      <w:r w:rsidR="00C204F0">
        <w:t>n giving written notice to the s</w:t>
      </w:r>
      <w:r w:rsidR="00202582" w:rsidRPr="00271D34">
        <w:t>upplier.</w:t>
      </w:r>
    </w:p>
    <w:p w:rsidR="00202582" w:rsidRDefault="00202582" w:rsidP="00924837">
      <w:pPr>
        <w:pStyle w:val="Heading3"/>
      </w:pPr>
      <w:r w:rsidRPr="00D750FB">
        <w:lastRenderedPageBreak/>
        <w:t xml:space="preserve">The </w:t>
      </w:r>
      <w:r w:rsidR="00C204F0">
        <w:t>s</w:t>
      </w:r>
      <w:r w:rsidRPr="00D750FB">
        <w:t xml:space="preserve">upplier </w:t>
      </w:r>
      <w:r>
        <w:t>must</w:t>
      </w:r>
      <w:r w:rsidRPr="00D750FB">
        <w:t xml:space="preserve"> be responsible for en</w:t>
      </w:r>
      <w:r w:rsidRPr="0044047C">
        <w:t>suring security of delivery</w:t>
      </w:r>
      <w:r w:rsidRPr="00D750FB">
        <w:t xml:space="preserve"> to the appropriate delivery point.</w:t>
      </w:r>
    </w:p>
    <w:p w:rsidR="00202582" w:rsidRDefault="00202582" w:rsidP="00924837">
      <w:pPr>
        <w:pStyle w:val="Heading3"/>
      </w:pPr>
      <w:r w:rsidRPr="00D750FB">
        <w:t xml:space="preserve">No delivery charges for standard deliveries will be accepted within this </w:t>
      </w:r>
      <w:r>
        <w:t xml:space="preserve">framework </w:t>
      </w:r>
      <w:r w:rsidRPr="00D750FB">
        <w:t>agreement</w:t>
      </w:r>
      <w:r>
        <w:t>.</w:t>
      </w:r>
    </w:p>
    <w:p w:rsidR="00922C19" w:rsidRPr="00C30EBA" w:rsidRDefault="00C204F0" w:rsidP="00924837">
      <w:pPr>
        <w:pStyle w:val="Heading3"/>
      </w:pPr>
      <w:r>
        <w:t>The s</w:t>
      </w:r>
      <w:r w:rsidR="00202582">
        <w:t>upplier must notify CMU</w:t>
      </w:r>
      <w:r w:rsidR="00202582" w:rsidRPr="00D750FB">
        <w:t xml:space="preserve"> of any di</w:t>
      </w:r>
      <w:r w:rsidR="00202582">
        <w:t xml:space="preserve">sruptions to supply and of the </w:t>
      </w:r>
      <w:r w:rsidR="00202582" w:rsidRPr="00D750FB">
        <w:t>contingency arrangements being employed to mitigate and resolve the supply restriction</w:t>
      </w:r>
      <w:r w:rsidR="00202582">
        <w:t xml:space="preserve">. Notification must be given by </w:t>
      </w:r>
      <w:r w:rsidR="00202582" w:rsidRPr="00D750FB">
        <w:t>contacting the Specialised Pharmaceuticals team by email</w:t>
      </w:r>
      <w:r w:rsidR="00202582">
        <w:t xml:space="preserve"> – </w:t>
      </w:r>
      <w:hyperlink r:id="rId18" w:history="1">
        <w:r w:rsidR="00C67571" w:rsidRPr="002F23ED">
          <w:rPr>
            <w:rStyle w:val="Hyperlink"/>
          </w:rPr>
          <w:t>specialisedpharma@dh.gsi.gov.uk</w:t>
        </w:r>
      </w:hyperlink>
    </w:p>
    <w:p w:rsidR="00922C19" w:rsidRPr="009A35C2" w:rsidRDefault="00C204F0" w:rsidP="00924837">
      <w:pPr>
        <w:pStyle w:val="Heading3"/>
      </w:pPr>
      <w:r>
        <w:t>The s</w:t>
      </w:r>
      <w:r w:rsidR="00922C19" w:rsidRPr="009A35C2">
        <w:t>upplier</w:t>
      </w:r>
      <w:r w:rsidR="00F137A3" w:rsidRPr="009A35C2">
        <w:t xml:space="preserve"> must</w:t>
      </w:r>
      <w:r w:rsidR="00922C19" w:rsidRPr="009A35C2">
        <w:t xml:space="preserve"> deliver to third party homecare suppliers on current and any future national framework agreements for the home delivery of products</w:t>
      </w:r>
      <w:r w:rsidR="000D4DF8" w:rsidRPr="009A35C2">
        <w:t xml:space="preserve"> covered in this framework</w:t>
      </w:r>
      <w:r w:rsidR="00922C19" w:rsidRPr="009A35C2">
        <w:t>.</w:t>
      </w:r>
      <w:r w:rsidR="00BD4900" w:rsidRPr="009A35C2">
        <w:t xml:space="preserve"> Any orders placed by third party homecare suppliers as of the 1</w:t>
      </w:r>
      <w:r w:rsidR="00BD4900" w:rsidRPr="009A35C2">
        <w:rPr>
          <w:vertAlign w:val="superscript"/>
        </w:rPr>
        <w:t>st</w:t>
      </w:r>
      <w:r w:rsidR="00BD4900" w:rsidRPr="009A35C2">
        <w:t xml:space="preserve"> </w:t>
      </w:r>
      <w:r w:rsidR="00DC46F8">
        <w:t xml:space="preserve">February 2018 </w:t>
      </w:r>
      <w:r w:rsidR="00BD4900" w:rsidRPr="009A35C2">
        <w:t xml:space="preserve">will be subject to the </w:t>
      </w:r>
      <w:r w:rsidR="00521E43">
        <w:t xml:space="preserve">framework awarded </w:t>
      </w:r>
      <w:r w:rsidR="00BD4900" w:rsidRPr="009A35C2">
        <w:t>prices.</w:t>
      </w:r>
    </w:p>
    <w:p w:rsidR="00847381" w:rsidRDefault="00847381" w:rsidP="00847381">
      <w:pPr>
        <w:pStyle w:val="Heading1"/>
      </w:pPr>
      <w:r w:rsidRPr="00D750FB">
        <w:t>Contract Pricing</w:t>
      </w:r>
    </w:p>
    <w:p w:rsidR="00847381" w:rsidRPr="006B56CB" w:rsidRDefault="00847381" w:rsidP="00847381">
      <w:pPr>
        <w:pStyle w:val="Heading2"/>
      </w:pPr>
      <w:r w:rsidRPr="00007524">
        <w:t xml:space="preserve">Offerors are required to submit prices in </w:t>
      </w:r>
      <w:r w:rsidR="007073AE">
        <w:t>Document No. 05</w:t>
      </w:r>
      <w:r w:rsidR="00DB3440">
        <w:t>a</w:t>
      </w:r>
      <w:r w:rsidR="007D144D">
        <w:t xml:space="preserve"> -</w:t>
      </w:r>
      <w:r w:rsidR="005E76D3" w:rsidRPr="00401207">
        <w:t xml:space="preserve"> rF</w:t>
      </w:r>
      <w:r w:rsidR="007D144D">
        <w:t>VII</w:t>
      </w:r>
      <w:r w:rsidR="005E76D3" w:rsidRPr="00401207">
        <w:t>I</w:t>
      </w:r>
      <w:r w:rsidRPr="00401207">
        <w:t xml:space="preserve"> </w:t>
      </w:r>
      <w:r w:rsidR="000A0B01" w:rsidRPr="00401207">
        <w:t xml:space="preserve">- </w:t>
      </w:r>
      <w:r w:rsidR="00F14F54" w:rsidRPr="00401207">
        <w:t xml:space="preserve">Offer Schedule </w:t>
      </w:r>
      <w:r w:rsidR="007073AE">
        <w:t>Doc5</w:t>
      </w:r>
      <w:r w:rsidR="007D144D">
        <w:t>C</w:t>
      </w:r>
      <w:r w:rsidR="00A66312" w:rsidRPr="00401207">
        <w:t>_</w:t>
      </w:r>
      <w:r w:rsidR="007D144D">
        <w:t>Product Information</w:t>
      </w:r>
      <w:r w:rsidRPr="00401207">
        <w:t>; these prices will be fixe</w:t>
      </w:r>
      <w:r w:rsidRPr="005E2C24">
        <w:t xml:space="preserve">d for the framework length of </w:t>
      </w:r>
      <w:r w:rsidR="00A1198B">
        <w:t>12</w:t>
      </w:r>
      <w:r w:rsidRPr="005E2C24">
        <w:t xml:space="preserve"> months, if the</w:t>
      </w:r>
      <w:r w:rsidRPr="00007524">
        <w:t xml:space="preserve"> framework is extended then </w:t>
      </w:r>
      <w:r w:rsidRPr="00767CEA">
        <w:t xml:space="preserve">prices </w:t>
      </w:r>
      <w:r w:rsidR="005E2C24" w:rsidRPr="00767CEA">
        <w:t>may be</w:t>
      </w:r>
      <w:r w:rsidRPr="00767CEA">
        <w:t xml:space="preserve"> reviewed at this point. Any price reviews will be made in-line with the Framework Agreement Price Variation Clause which can be found in </w:t>
      </w:r>
      <w:r w:rsidRPr="006B56CB">
        <w:t xml:space="preserve">Document </w:t>
      </w:r>
      <w:r w:rsidR="002A220B" w:rsidRPr="006B56CB">
        <w:t>No. 0</w:t>
      </w:r>
      <w:r w:rsidR="006B56CB" w:rsidRPr="006B56CB">
        <w:t>3</w:t>
      </w:r>
      <w:r w:rsidRPr="006B56CB">
        <w:t xml:space="preserve"> – </w:t>
      </w:r>
      <w:r w:rsidR="006B56CB" w:rsidRPr="006B56CB">
        <w:t>Framework Agreement for the Supply of Goods, Schedule 1 (section 11)</w:t>
      </w:r>
      <w:r w:rsidRPr="006B56CB">
        <w:t>.</w:t>
      </w:r>
      <w:r w:rsidR="005E2C24" w:rsidRPr="006B56CB">
        <w:t xml:space="preserve">  </w:t>
      </w:r>
    </w:p>
    <w:p w:rsidR="00847381" w:rsidRPr="00767CEA" w:rsidRDefault="00847381" w:rsidP="00847381">
      <w:pPr>
        <w:pStyle w:val="Heading2"/>
      </w:pPr>
      <w:r w:rsidRPr="00767CEA">
        <w:t>Prices submitted must be exclusive of VAT.</w:t>
      </w:r>
    </w:p>
    <w:p w:rsidR="00847381" w:rsidRDefault="00847381" w:rsidP="00847381">
      <w:pPr>
        <w:pStyle w:val="Heading2"/>
      </w:pPr>
      <w:r w:rsidRPr="00A5488A">
        <w:t>Offerors are requested to take into consideration the saving</w:t>
      </w:r>
      <w:r w:rsidR="009A714E" w:rsidRPr="00A5488A">
        <w:t>s</w:t>
      </w:r>
      <w:r w:rsidR="00A5488A" w:rsidRPr="00A5488A">
        <w:t xml:space="preserve"> the</w:t>
      </w:r>
      <w:r w:rsidRPr="00A5488A">
        <w:t xml:space="preserve"> CMU have been tasked with delivering for this procurement </w:t>
      </w:r>
      <w:r w:rsidR="00A5488A" w:rsidRPr="00A5488A">
        <w:t xml:space="preserve">exercise </w:t>
      </w:r>
      <w:r w:rsidRPr="00A5488A">
        <w:t>when submitting their offer prices.</w:t>
      </w:r>
    </w:p>
    <w:p w:rsidR="00804C0B" w:rsidRDefault="00804C0B" w:rsidP="00804C0B">
      <w:pPr>
        <w:pStyle w:val="Heading1"/>
        <w:keepNext/>
        <w:keepLines/>
        <w:spacing w:after="120"/>
        <w:contextualSpacing w:val="0"/>
      </w:pPr>
      <w:r>
        <w:t>General Requirements – Products, Packaging and Stock Holding</w:t>
      </w:r>
    </w:p>
    <w:p w:rsidR="00804C0B" w:rsidRPr="00A5488A" w:rsidRDefault="00804C0B" w:rsidP="00804C0B">
      <w:pPr>
        <w:pStyle w:val="Heading2"/>
        <w:keepNext/>
        <w:keepLines/>
        <w:spacing w:before="320" w:after="120"/>
      </w:pPr>
      <w:r w:rsidRPr="0003643E">
        <w:t xml:space="preserve">Offerors are required to provide details of their contingency arrangements with their offer i.e. details of any business continuity accreditation or procedure e.g. ISO 22301 </w:t>
      </w:r>
      <w:r w:rsidRPr="00A5488A">
        <w:t>in Document No. 0</w:t>
      </w:r>
      <w:r>
        <w:t>5a</w:t>
      </w:r>
      <w:r w:rsidRPr="00A5488A">
        <w:t xml:space="preserve"> - rFVIII - Offer Schedule</w:t>
      </w:r>
      <w:r>
        <w:t xml:space="preserve"> Doc5</w:t>
      </w:r>
      <w:r w:rsidRPr="00A5488A">
        <w:t xml:space="preserve">D_Additional Information. </w:t>
      </w:r>
    </w:p>
    <w:p w:rsidR="00804C0B" w:rsidRPr="00A5488A" w:rsidRDefault="00804C0B" w:rsidP="00804C0B">
      <w:pPr>
        <w:pStyle w:val="Heading2"/>
        <w:keepNext/>
        <w:keepLines/>
        <w:spacing w:before="320" w:after="120"/>
      </w:pPr>
      <w:r w:rsidRPr="00A5488A">
        <w:t>“Stock holding” will include product held in the UK and available for despatch</w:t>
      </w:r>
      <w:r w:rsidRPr="0003643E">
        <w:t xml:space="preserve"> within 24 hours, to meet fluctuation in demand stocks held elsewhere may be used providing delivery is made in line with the stated delivery lead-time given in </w:t>
      </w:r>
      <w:r>
        <w:t>Doc No. 5a</w:t>
      </w:r>
      <w:r w:rsidRPr="00A5488A">
        <w:t xml:space="preserve"> - rFVIII </w:t>
      </w:r>
      <w:r>
        <w:t>- Offer Schedule Doc5</w:t>
      </w:r>
      <w:r w:rsidRPr="00A5488A">
        <w:t>D_Additional Information.</w:t>
      </w:r>
    </w:p>
    <w:p w:rsidR="00804C0B" w:rsidRPr="0003643E" w:rsidRDefault="00804C0B" w:rsidP="00804C0B">
      <w:pPr>
        <w:pStyle w:val="Heading2"/>
        <w:keepNext/>
        <w:keepLines/>
        <w:spacing w:before="320" w:after="120"/>
      </w:pPr>
      <w:r>
        <w:t>The s</w:t>
      </w:r>
      <w:r w:rsidRPr="00D750FB">
        <w:t>upplier</w:t>
      </w:r>
      <w:r>
        <w:t xml:space="preserve"> must notify CMU within 24 hours if the stock </w:t>
      </w:r>
      <w:r w:rsidRPr="00D750FB">
        <w:t xml:space="preserve">holding drops below </w:t>
      </w:r>
      <w:r w:rsidRPr="0003643E">
        <w:t>12 weeks’ average sales.</w:t>
      </w:r>
    </w:p>
    <w:p w:rsidR="00804C0B" w:rsidRPr="0057315D" w:rsidRDefault="00804C0B" w:rsidP="00804C0B">
      <w:pPr>
        <w:pStyle w:val="Heading2"/>
        <w:keepNext/>
        <w:keepLines/>
        <w:spacing w:before="320" w:after="120"/>
      </w:pPr>
      <w:r>
        <w:t>The s</w:t>
      </w:r>
      <w:r w:rsidRPr="00D750FB">
        <w:t xml:space="preserve">upplier </w:t>
      </w:r>
      <w:r>
        <w:t>must</w:t>
      </w:r>
      <w:r w:rsidRPr="00D750FB">
        <w:t xml:space="preserve"> notify </w:t>
      </w:r>
      <w:r>
        <w:t>CMU</w:t>
      </w:r>
      <w:r w:rsidRPr="00D750FB">
        <w:t xml:space="preserve"> </w:t>
      </w:r>
      <w:r>
        <w:t xml:space="preserve">within </w:t>
      </w:r>
      <w:r w:rsidRPr="0057315D">
        <w:t xml:space="preserve">4 hours if the stock holding drops below eight weeks average sales.  </w:t>
      </w:r>
    </w:p>
    <w:p w:rsidR="00804C0B" w:rsidRPr="0003643E" w:rsidRDefault="00804C0B" w:rsidP="00804C0B">
      <w:pPr>
        <w:pStyle w:val="Heading2"/>
        <w:keepNext/>
        <w:keepLines/>
        <w:spacing w:before="320" w:after="120"/>
        <w:rPr>
          <w:rStyle w:val="Hyperlink"/>
          <w:color w:val="auto"/>
        </w:rPr>
      </w:pPr>
      <w:r>
        <w:t>The s</w:t>
      </w:r>
      <w:r w:rsidRPr="0057315D">
        <w:t xml:space="preserve">upplier must notify CMU of any stock holding issues by contacting the </w:t>
      </w:r>
      <w:r>
        <w:t xml:space="preserve">CMU Contract Manager responsible for this framework and the </w:t>
      </w:r>
      <w:r w:rsidRPr="0003643E">
        <w:t>Specialise</w:t>
      </w:r>
      <w:r>
        <w:t>d Pharmaceuticals team by emailing</w:t>
      </w:r>
      <w:r w:rsidRPr="0003643E">
        <w:t xml:space="preserve"> </w:t>
      </w:r>
      <w:hyperlink r:id="rId19" w:history="1">
        <w:r w:rsidRPr="0003643E">
          <w:rPr>
            <w:rStyle w:val="Hyperlink"/>
            <w:color w:val="0070C0"/>
          </w:rPr>
          <w:t>specialisedpharma@dh.gsi.gov.uk</w:t>
        </w:r>
      </w:hyperlink>
    </w:p>
    <w:p w:rsidR="00804C0B" w:rsidRPr="00804C0B" w:rsidRDefault="00804C0B" w:rsidP="00804C0B"/>
    <w:p w:rsidR="0057315D" w:rsidRPr="0003643E" w:rsidRDefault="0057315D" w:rsidP="0057315D">
      <w:pPr>
        <w:pStyle w:val="Heading2"/>
      </w:pPr>
      <w:r w:rsidRPr="0003643E">
        <w:lastRenderedPageBreak/>
        <w:t>If stock levels fall below the required minimum level</w:t>
      </w:r>
      <w:r w:rsidR="00351A9A">
        <w:t>,</w:t>
      </w:r>
      <w:r w:rsidRPr="0003643E">
        <w:t xml:space="preserve"> suppliers are expected to </w:t>
      </w:r>
      <w:r w:rsidR="00406368" w:rsidRPr="0003643E">
        <w:t>take action to rectify t</w:t>
      </w:r>
      <w:r w:rsidRPr="0003643E">
        <w:t xml:space="preserve">he </w:t>
      </w:r>
      <w:r w:rsidR="00C02DF2" w:rsidRPr="0003643E">
        <w:t>issue;</w:t>
      </w:r>
      <w:r w:rsidR="00406368" w:rsidRPr="0003643E">
        <w:t xml:space="preserve"> failure to do so </w:t>
      </w:r>
      <w:r w:rsidR="0003643E" w:rsidRPr="0003643E">
        <w:t>may</w:t>
      </w:r>
      <w:r w:rsidR="00406368" w:rsidRPr="0003643E">
        <w:t xml:space="preserve"> lead to termination of the framework</w:t>
      </w:r>
      <w:r w:rsidR="00491258">
        <w:t xml:space="preserve"> agreement with the supplier</w:t>
      </w:r>
      <w:r w:rsidRPr="0003643E">
        <w:t>.</w:t>
      </w:r>
    </w:p>
    <w:p w:rsidR="00922C19" w:rsidRPr="00822FC3" w:rsidRDefault="00C204F0" w:rsidP="00922C19">
      <w:pPr>
        <w:pStyle w:val="Heading2"/>
        <w:keepNext/>
        <w:keepLines/>
        <w:spacing w:before="320" w:after="120"/>
      </w:pPr>
      <w:r>
        <w:t>Where a s</w:t>
      </w:r>
      <w:r w:rsidR="00922C19" w:rsidRPr="00D750FB">
        <w:t xml:space="preserve">upplier is unable to meet the delivery requirements of locally agreed contractual arrangements, the supplier shall be liable for any incurred or additional costs incurred by the customer resulting from the requirement to source </w:t>
      </w:r>
      <w:r w:rsidR="007C1ED0">
        <w:t xml:space="preserve">a </w:t>
      </w:r>
      <w:r w:rsidR="00922C19" w:rsidRPr="00D750FB">
        <w:t>suitable product from an alternative supplier.</w:t>
      </w:r>
    </w:p>
    <w:p w:rsidR="00922C19" w:rsidRPr="0057315D" w:rsidRDefault="00C204F0" w:rsidP="00922C19">
      <w:pPr>
        <w:pStyle w:val="Heading2"/>
        <w:keepNext/>
        <w:keepLines/>
        <w:spacing w:before="320" w:after="120"/>
      </w:pPr>
      <w:r>
        <w:t>The s</w:t>
      </w:r>
      <w:r w:rsidR="00922C19" w:rsidRPr="0057315D">
        <w:t>upplier shall on request by CMU provide without delay certificates of analysis (including, without limitation, certificates confirming B.P, E.P. or B.P.C. conformity) (in such form as CMU may reasonably require) for such products as CMU may specify.</w:t>
      </w:r>
    </w:p>
    <w:p w:rsidR="00922C19" w:rsidRPr="0057315D" w:rsidRDefault="00922C19" w:rsidP="00922C19">
      <w:pPr>
        <w:pStyle w:val="Heading2"/>
        <w:keepNext/>
        <w:keepLines/>
        <w:spacing w:before="320" w:after="120"/>
      </w:pPr>
      <w:r w:rsidRPr="0057315D">
        <w:t>Each party’s rights and obligations arising in connection with this order shall be suspended unless and until the contractor can demonstrate to CMU satisfaction that:</w:t>
      </w:r>
    </w:p>
    <w:p w:rsidR="00922C19" w:rsidRPr="0057315D" w:rsidRDefault="00922C19" w:rsidP="00924837">
      <w:pPr>
        <w:pStyle w:val="Heading3"/>
      </w:pPr>
      <w:r w:rsidRPr="0057315D">
        <w:t xml:space="preserve">the products have a valid UK </w:t>
      </w:r>
      <w:r w:rsidR="00202582" w:rsidRPr="0057315D">
        <w:t>Marketing Authorisation</w:t>
      </w:r>
      <w:r w:rsidRPr="0057315D">
        <w:t xml:space="preserve"> awarded by the MHRA or EMEA applicable to all categories of the products at the</w:t>
      </w:r>
      <w:r w:rsidR="00B101DE">
        <w:t xml:space="preserve"> award date of the framework which is</w:t>
      </w:r>
      <w:r w:rsidR="00121E21">
        <w:t xml:space="preserve"> anticipated to be 1</w:t>
      </w:r>
      <w:r w:rsidR="00121E21" w:rsidRPr="00121E21">
        <w:rPr>
          <w:vertAlign w:val="superscript"/>
        </w:rPr>
        <w:t>st</w:t>
      </w:r>
      <w:r w:rsidR="00121E21">
        <w:t xml:space="preserve"> </w:t>
      </w:r>
      <w:r w:rsidR="00DC46F8">
        <w:t>November</w:t>
      </w:r>
      <w:r w:rsidR="00121E21">
        <w:t xml:space="preserve"> 201</w:t>
      </w:r>
      <w:r w:rsidR="00491258">
        <w:t>7</w:t>
      </w:r>
      <w:r w:rsidRPr="0057315D">
        <w:t xml:space="preserve"> and </w:t>
      </w:r>
      <w:r w:rsidR="00B101DE">
        <w:t>have product available for delivery to customers at the framework go-live date which is the 1</w:t>
      </w:r>
      <w:r w:rsidR="00B101DE" w:rsidRPr="00847381">
        <w:rPr>
          <w:vertAlign w:val="superscript"/>
        </w:rPr>
        <w:t>st</w:t>
      </w:r>
      <w:r w:rsidR="00491258">
        <w:t xml:space="preserve"> </w:t>
      </w:r>
      <w:r w:rsidR="00DC46F8">
        <w:t>February 2018</w:t>
      </w:r>
      <w:r w:rsidRPr="0057315D">
        <w:t xml:space="preserve">; and </w:t>
      </w:r>
    </w:p>
    <w:p w:rsidR="00922C19" w:rsidRPr="0057315D" w:rsidRDefault="00922C19" w:rsidP="00924837">
      <w:pPr>
        <w:pStyle w:val="Heading3"/>
      </w:pPr>
      <w:proofErr w:type="gramStart"/>
      <w:r w:rsidRPr="0057315D">
        <w:t>the</w:t>
      </w:r>
      <w:proofErr w:type="gramEnd"/>
      <w:r w:rsidRPr="0057315D">
        <w:t xml:space="preserve"> goods have been supplied in accordance with current legislation and if such goods are medical devices that they are CE marked; and</w:t>
      </w:r>
    </w:p>
    <w:p w:rsidR="00922C19" w:rsidRPr="0057315D" w:rsidRDefault="00922C19" w:rsidP="00924837">
      <w:pPr>
        <w:pStyle w:val="Heading3"/>
      </w:pPr>
      <w:proofErr w:type="gramStart"/>
      <w:r w:rsidRPr="0057315D">
        <w:t>should</w:t>
      </w:r>
      <w:proofErr w:type="gramEnd"/>
      <w:r w:rsidRPr="0057315D">
        <w:t xml:space="preserve"> the appropriate </w:t>
      </w:r>
      <w:r w:rsidR="00202582" w:rsidRPr="0057315D">
        <w:t xml:space="preserve">Marketing Authorisation </w:t>
      </w:r>
      <w:r w:rsidRPr="0057315D">
        <w:t xml:space="preserve">not have been obtained by the </w:t>
      </w:r>
      <w:r w:rsidR="00B101DE">
        <w:t>award date of the framework which is</w:t>
      </w:r>
      <w:r w:rsidR="00121E21">
        <w:t xml:space="preserve"> anticipated to be 1</w:t>
      </w:r>
      <w:r w:rsidR="00121E21" w:rsidRPr="00121E21">
        <w:rPr>
          <w:vertAlign w:val="superscript"/>
        </w:rPr>
        <w:t>st</w:t>
      </w:r>
      <w:r w:rsidR="00121E21">
        <w:t xml:space="preserve"> </w:t>
      </w:r>
      <w:r w:rsidR="00DC46F8">
        <w:t>November</w:t>
      </w:r>
      <w:r w:rsidR="00121E21">
        <w:t xml:space="preserve"> 201</w:t>
      </w:r>
      <w:r w:rsidR="00491258">
        <w:t>7</w:t>
      </w:r>
      <w:r w:rsidRPr="0057315D">
        <w:t xml:space="preserve"> or product be unavailable for delivery </w:t>
      </w:r>
      <w:r w:rsidR="00B101DE">
        <w:t xml:space="preserve">to customers </w:t>
      </w:r>
      <w:r w:rsidRPr="0057315D">
        <w:t>on 1</w:t>
      </w:r>
      <w:r w:rsidRPr="0057315D">
        <w:rPr>
          <w:vertAlign w:val="superscript"/>
        </w:rPr>
        <w:t>st</w:t>
      </w:r>
      <w:r w:rsidRPr="0057315D">
        <w:t xml:space="preserve"> </w:t>
      </w:r>
      <w:r w:rsidR="00DC46F8">
        <w:t>February 2018</w:t>
      </w:r>
      <w:r w:rsidR="00816D68">
        <w:t>,</w:t>
      </w:r>
      <w:r w:rsidRPr="0057315D">
        <w:t xml:space="preserve"> CMU will disregard any offer or terminate any subsequent awarded framework and re-distribute the award</w:t>
      </w:r>
      <w:r w:rsidR="0003643E">
        <w:t xml:space="preserve"> accordingly</w:t>
      </w:r>
      <w:r w:rsidRPr="0057315D">
        <w:t>.</w:t>
      </w:r>
    </w:p>
    <w:p w:rsidR="00922C19" w:rsidRPr="00454FFD" w:rsidRDefault="00922C19" w:rsidP="00922C19">
      <w:pPr>
        <w:pStyle w:val="Heading2"/>
        <w:keepNext/>
        <w:keepLines/>
        <w:spacing w:before="320" w:after="120"/>
      </w:pPr>
      <w:r w:rsidRPr="00D750FB">
        <w:t xml:space="preserve">In the event of the goods being recalled, initiated by the manufacturer of the goods, the Secretary of State for Health or </w:t>
      </w:r>
      <w:r w:rsidR="007C1ED0">
        <w:t xml:space="preserve">the </w:t>
      </w:r>
      <w:r w:rsidRPr="00D750FB">
        <w:t>MHRA (or any such</w:t>
      </w:r>
      <w:r w:rsidR="00C204F0">
        <w:t xml:space="preserve"> similar regulatory body), the s</w:t>
      </w:r>
      <w:r w:rsidRPr="00D750FB">
        <w:t xml:space="preserve">upplier shall, without delay and at its own expense, arrange for the collection of such goods and credit </w:t>
      </w:r>
      <w:r>
        <w:t>the Participating Authority</w:t>
      </w:r>
      <w:r w:rsidRPr="00D750FB">
        <w:t xml:space="preserve"> for any goods delivered but unused by </w:t>
      </w:r>
      <w:r>
        <w:t xml:space="preserve">the </w:t>
      </w:r>
      <w:r w:rsidRPr="00454FFD">
        <w:t>Participating Authority including part used packs.</w:t>
      </w:r>
    </w:p>
    <w:p w:rsidR="009D3574" w:rsidRDefault="00F62608" w:rsidP="009D3574">
      <w:pPr>
        <w:pStyle w:val="Heading2"/>
      </w:pPr>
      <w:r w:rsidRPr="00454FFD">
        <w:t xml:space="preserve">Offerors are required to upload information onto </w:t>
      </w:r>
      <w:proofErr w:type="spellStart"/>
      <w:r w:rsidRPr="00454FFD">
        <w:t>PharmaQC</w:t>
      </w:r>
      <w:proofErr w:type="spellEnd"/>
      <w:r w:rsidRPr="00454FFD">
        <w:t xml:space="preserve"> </w:t>
      </w:r>
      <w:r>
        <w:t xml:space="preserve">no later than the go live date of </w:t>
      </w:r>
      <w:r w:rsidR="00AC1751">
        <w:t>1</w:t>
      </w:r>
      <w:r w:rsidR="00AC1751" w:rsidRPr="00491258">
        <w:rPr>
          <w:vertAlign w:val="superscript"/>
        </w:rPr>
        <w:t>st</w:t>
      </w:r>
      <w:r w:rsidR="00AC1751">
        <w:t xml:space="preserve"> </w:t>
      </w:r>
      <w:r w:rsidR="00DC46F8">
        <w:t>February 2018</w:t>
      </w:r>
      <w:r w:rsidR="00DC46F8" w:rsidRPr="00401207">
        <w:t xml:space="preserve"> </w:t>
      </w:r>
      <w:r w:rsidR="007073AE">
        <w:t>(see Document No. 05</w:t>
      </w:r>
      <w:r w:rsidR="00DB3440">
        <w:t>a</w:t>
      </w:r>
      <w:r w:rsidR="00491258">
        <w:t xml:space="preserve"> -</w:t>
      </w:r>
      <w:r w:rsidR="005E76D3" w:rsidRPr="00401207">
        <w:t xml:space="preserve"> rF</w:t>
      </w:r>
      <w:r w:rsidR="00491258">
        <w:t>VIII</w:t>
      </w:r>
      <w:r w:rsidR="005E76D3" w:rsidRPr="00401207">
        <w:t xml:space="preserve"> -</w:t>
      </w:r>
      <w:r w:rsidR="00491258">
        <w:t xml:space="preserve"> </w:t>
      </w:r>
      <w:r w:rsidR="00491258" w:rsidRPr="00D54042">
        <w:t>Offer Schedule Doc</w:t>
      </w:r>
      <w:r w:rsidR="007073AE">
        <w:t>5</w:t>
      </w:r>
      <w:r w:rsidR="00491258" w:rsidRPr="00D54042">
        <w:t>D_Additional Informa</w:t>
      </w:r>
      <w:r w:rsidR="00381D4E">
        <w:t>tion</w:t>
      </w:r>
      <w:r w:rsidRPr="00767CEA">
        <w:t>, Document No. 0</w:t>
      </w:r>
      <w:r w:rsidR="007073AE">
        <w:t>7</w:t>
      </w:r>
      <w:r w:rsidRPr="00767CEA">
        <w:t>a - Quality control technical sheet and Document No. 0</w:t>
      </w:r>
      <w:r w:rsidR="007073AE">
        <w:t>7</w:t>
      </w:r>
      <w:r w:rsidRPr="00767CEA">
        <w:t xml:space="preserve">b - Guidance for performing a risk assessment of licensed medicines for the NHS for further information). If Offerors have already supplied product information on </w:t>
      </w:r>
      <w:proofErr w:type="spellStart"/>
      <w:r w:rsidRPr="00767CEA">
        <w:t>PharmaQC</w:t>
      </w:r>
      <w:proofErr w:type="spellEnd"/>
      <w:r w:rsidRPr="00767CEA">
        <w:t xml:space="preserve"> it is essential the Offeror ensures the information contained on </w:t>
      </w:r>
      <w:proofErr w:type="spellStart"/>
      <w:r w:rsidRPr="00767CEA">
        <w:t>PharmaQC</w:t>
      </w:r>
      <w:proofErr w:type="spellEnd"/>
      <w:r w:rsidRPr="00767CEA">
        <w:t xml:space="preserve"> for their product(s) is up to date. </w:t>
      </w:r>
    </w:p>
    <w:p w:rsidR="00804C0B" w:rsidRPr="00F30037" w:rsidRDefault="00804C0B" w:rsidP="00804C0B">
      <w:pPr>
        <w:pStyle w:val="Heading1"/>
        <w:keepNext/>
        <w:keepLines/>
        <w:spacing w:after="120"/>
        <w:contextualSpacing w:val="0"/>
      </w:pPr>
      <w:r w:rsidRPr="00F30037">
        <w:lastRenderedPageBreak/>
        <w:t>Local Issues</w:t>
      </w:r>
    </w:p>
    <w:p w:rsidR="00804C0B" w:rsidRPr="00D750FB" w:rsidRDefault="00804C0B" w:rsidP="00804C0B">
      <w:pPr>
        <w:pStyle w:val="Heading2"/>
        <w:keepNext/>
        <w:keepLines/>
        <w:spacing w:before="320" w:after="120"/>
      </w:pPr>
      <w:r w:rsidRPr="00D750FB">
        <w:t>Certain issues will need to be considered at a local level and have therefore been excluded from this f</w:t>
      </w:r>
      <w:r>
        <w:t>ramework agreement. Successful Offerors</w:t>
      </w:r>
      <w:r w:rsidRPr="00D750FB">
        <w:t xml:space="preserve"> will be required to discuss and agree with individual </w:t>
      </w:r>
      <w:r>
        <w:t>Participating Authorities</w:t>
      </w:r>
      <w:r w:rsidRPr="00D750FB">
        <w:t xml:space="preserve"> protocols on </w:t>
      </w:r>
      <w:r>
        <w:t>areas</w:t>
      </w:r>
      <w:r w:rsidRPr="00D750FB">
        <w:t xml:space="preserve"> such as the following:</w:t>
      </w:r>
      <w:r w:rsidRPr="009C0667">
        <w:rPr>
          <w:noProof/>
        </w:rPr>
        <w:t xml:space="preserve"> </w:t>
      </w:r>
    </w:p>
    <w:p w:rsidR="00804C0B" w:rsidRPr="00804C0B" w:rsidRDefault="00804C0B" w:rsidP="00804C0B">
      <w:pPr>
        <w:pStyle w:val="Heading2"/>
        <w:numPr>
          <w:ilvl w:val="0"/>
          <w:numId w:val="0"/>
        </w:numPr>
        <w:ind w:left="576"/>
      </w:pPr>
    </w:p>
    <w:p w:rsidR="00F30037" w:rsidRDefault="00F30037" w:rsidP="00F30037">
      <w:pPr>
        <w:pStyle w:val="BodyTextIndent"/>
        <w:numPr>
          <w:ilvl w:val="0"/>
          <w:numId w:val="5"/>
        </w:numPr>
        <w:spacing w:after="0"/>
        <w:rPr>
          <w:color w:val="000000"/>
        </w:rPr>
      </w:pPr>
      <w:r w:rsidRPr="00D750FB">
        <w:rPr>
          <w:color w:val="000000"/>
        </w:rPr>
        <w:t>Training associated with the supply and use of the product by patients or healthcare professionals</w:t>
      </w:r>
    </w:p>
    <w:p w:rsidR="00F30037" w:rsidRDefault="00F30037" w:rsidP="00F30037">
      <w:pPr>
        <w:numPr>
          <w:ilvl w:val="0"/>
          <w:numId w:val="5"/>
        </w:numPr>
        <w:rPr>
          <w:color w:val="000000"/>
        </w:rPr>
      </w:pPr>
      <w:r w:rsidRPr="00D750FB">
        <w:rPr>
          <w:color w:val="000000"/>
        </w:rPr>
        <w:t xml:space="preserve">Delivery requirements, delivery notes, times, </w:t>
      </w:r>
      <w:proofErr w:type="spellStart"/>
      <w:r w:rsidRPr="00D750FB">
        <w:rPr>
          <w:color w:val="000000"/>
        </w:rPr>
        <w:t>etc</w:t>
      </w:r>
      <w:proofErr w:type="spellEnd"/>
    </w:p>
    <w:p w:rsidR="00F30037" w:rsidRDefault="00F30037" w:rsidP="00F30037">
      <w:pPr>
        <w:numPr>
          <w:ilvl w:val="0"/>
          <w:numId w:val="5"/>
        </w:numPr>
        <w:rPr>
          <w:color w:val="000000"/>
        </w:rPr>
      </w:pPr>
      <w:r w:rsidRPr="00D750FB">
        <w:rPr>
          <w:color w:val="000000"/>
        </w:rPr>
        <w:t xml:space="preserve">Research and clinical trials </w:t>
      </w:r>
    </w:p>
    <w:p w:rsidR="00F30037" w:rsidRPr="00C374B7" w:rsidRDefault="00F30037" w:rsidP="00F30037">
      <w:pPr>
        <w:pStyle w:val="BodyText2"/>
        <w:numPr>
          <w:ilvl w:val="0"/>
          <w:numId w:val="5"/>
        </w:numPr>
        <w:jc w:val="both"/>
        <w:rPr>
          <w:color w:val="000000"/>
        </w:rPr>
      </w:pPr>
      <w:r w:rsidRPr="00C374B7">
        <w:rPr>
          <w:color w:val="000000"/>
        </w:rPr>
        <w:t xml:space="preserve">The provision of Quality Assurance / Quality Control procedures, certificates, analyses, </w:t>
      </w:r>
      <w:proofErr w:type="spellStart"/>
      <w:r w:rsidRPr="00C374B7">
        <w:rPr>
          <w:color w:val="000000"/>
        </w:rPr>
        <w:t>etc</w:t>
      </w:r>
      <w:proofErr w:type="spellEnd"/>
    </w:p>
    <w:p w:rsidR="00840DFA" w:rsidRPr="00C374B7" w:rsidRDefault="00840DFA" w:rsidP="00F30037">
      <w:pPr>
        <w:pStyle w:val="BodyText2"/>
        <w:numPr>
          <w:ilvl w:val="0"/>
          <w:numId w:val="5"/>
        </w:numPr>
        <w:jc w:val="both"/>
        <w:rPr>
          <w:color w:val="000000"/>
        </w:rPr>
      </w:pPr>
      <w:r w:rsidRPr="00C374B7">
        <w:rPr>
          <w:color w:val="000000"/>
        </w:rPr>
        <w:t xml:space="preserve">KPIs </w:t>
      </w:r>
    </w:p>
    <w:p w:rsidR="00F30037" w:rsidRPr="00C374B7" w:rsidRDefault="00F30037" w:rsidP="00F30037">
      <w:pPr>
        <w:numPr>
          <w:ilvl w:val="0"/>
          <w:numId w:val="5"/>
        </w:numPr>
      </w:pPr>
      <w:r w:rsidRPr="00C374B7">
        <w:rPr>
          <w:color w:val="000000"/>
        </w:rPr>
        <w:t>Compliance with the appropriate Authority policies</w:t>
      </w:r>
    </w:p>
    <w:p w:rsidR="00F30037" w:rsidRPr="009D3574" w:rsidRDefault="00F30037" w:rsidP="00F30037">
      <w:pPr>
        <w:numPr>
          <w:ilvl w:val="0"/>
          <w:numId w:val="5"/>
        </w:numPr>
      </w:pPr>
      <w:r w:rsidRPr="00DF1B13">
        <w:rPr>
          <w:color w:val="000000"/>
        </w:rPr>
        <w:t xml:space="preserve">Home delivery of product in accordance with </w:t>
      </w:r>
      <w:r>
        <w:rPr>
          <w:color w:val="000000"/>
        </w:rPr>
        <w:t>Participating Authority’s</w:t>
      </w:r>
      <w:r w:rsidRPr="00DF1B13">
        <w:rPr>
          <w:color w:val="000000"/>
        </w:rPr>
        <w:t xml:space="preserve"> home delivery </w:t>
      </w:r>
      <w:r w:rsidRPr="00007524">
        <w:rPr>
          <w:color w:val="000000"/>
        </w:rPr>
        <w:t xml:space="preserve">arrangements. </w:t>
      </w:r>
      <w:r w:rsidR="00E545F3" w:rsidRPr="00007524">
        <w:rPr>
          <w:color w:val="000000"/>
        </w:rPr>
        <w:t>From the go-live date of the framework agreement – 1</w:t>
      </w:r>
      <w:r w:rsidR="00E545F3" w:rsidRPr="00007524">
        <w:rPr>
          <w:color w:val="000000"/>
          <w:vertAlign w:val="superscript"/>
        </w:rPr>
        <w:t>st</w:t>
      </w:r>
      <w:r w:rsidR="00E545F3" w:rsidRPr="00007524">
        <w:rPr>
          <w:color w:val="000000"/>
        </w:rPr>
        <w:t xml:space="preserve"> </w:t>
      </w:r>
      <w:r w:rsidR="00DC46F8">
        <w:t>February 2018</w:t>
      </w:r>
      <w:r w:rsidR="00E545F3" w:rsidRPr="00007524">
        <w:rPr>
          <w:color w:val="000000"/>
        </w:rPr>
        <w:t>,</w:t>
      </w:r>
      <w:r w:rsidR="00E545F3">
        <w:rPr>
          <w:color w:val="000000"/>
        </w:rPr>
        <w:t xml:space="preserve"> t</w:t>
      </w:r>
      <w:r w:rsidRPr="00DF1B13">
        <w:rPr>
          <w:color w:val="000000"/>
        </w:rPr>
        <w:t xml:space="preserve">he </w:t>
      </w:r>
      <w:r w:rsidR="007E50A2">
        <w:rPr>
          <w:color w:val="000000"/>
        </w:rPr>
        <w:t xml:space="preserve">awarded framework </w:t>
      </w:r>
      <w:r w:rsidRPr="00DF1B13">
        <w:rPr>
          <w:color w:val="000000"/>
        </w:rPr>
        <w:t xml:space="preserve">prices will be the prices that apply to the product element of any </w:t>
      </w:r>
      <w:r>
        <w:rPr>
          <w:color w:val="000000"/>
        </w:rPr>
        <w:t>Participating Authority’s</w:t>
      </w:r>
      <w:r w:rsidRPr="00DF1B13">
        <w:rPr>
          <w:color w:val="000000"/>
        </w:rPr>
        <w:t xml:space="preserve"> home delivery arrangement</w:t>
      </w:r>
      <w:r w:rsidR="00BD4900">
        <w:rPr>
          <w:color w:val="000000"/>
        </w:rPr>
        <w:t>.</w:t>
      </w:r>
    </w:p>
    <w:p w:rsidR="00F30037" w:rsidRDefault="00F30037" w:rsidP="00F30037">
      <w:pPr>
        <w:pStyle w:val="Heading1"/>
        <w:keepNext/>
        <w:keepLines/>
        <w:spacing w:after="120"/>
        <w:contextualSpacing w:val="0"/>
      </w:pPr>
      <w:r>
        <w:t>Homecare and Extension of NHS Terms and Conditions and Pricing to Defined Beneficiaries</w:t>
      </w:r>
    </w:p>
    <w:p w:rsidR="00013A14" w:rsidRDefault="00F30037" w:rsidP="00013A14">
      <w:pPr>
        <w:pStyle w:val="Heading2"/>
        <w:keepNext/>
        <w:keepLines/>
        <w:spacing w:before="320" w:after="120"/>
      </w:pPr>
      <w:r w:rsidRPr="00F47256">
        <w:t>Where the NHS has delegated to defined beneficiaries certain responsibilities, such as delivery of products</w:t>
      </w:r>
      <w:r w:rsidRPr="00D750FB">
        <w:t xml:space="preserve"> to patients’ homes, the </w:t>
      </w:r>
      <w:r>
        <w:t>CMU</w:t>
      </w:r>
      <w:r w:rsidRPr="00D750FB">
        <w:t xml:space="preserve"> framework agreement terms and pricing are to be extended to the defined beneficiaries.</w:t>
      </w:r>
    </w:p>
    <w:p w:rsidR="00676D67" w:rsidRDefault="00B430FB" w:rsidP="00B430FB">
      <w:pPr>
        <w:pStyle w:val="Heading2"/>
      </w:pPr>
      <w:r>
        <w:t>T</w:t>
      </w:r>
      <w:r w:rsidRPr="00C374B7">
        <w:t xml:space="preserve">he Medicines suppliers/manufacturers </w:t>
      </w:r>
      <w:r w:rsidR="007E50A2">
        <w:t xml:space="preserve">awarded onto this framework agreement </w:t>
      </w:r>
      <w:r w:rsidR="00A71105">
        <w:t>are expected to work with the Home Delivery Contractors awarded onto the CMU Homecare Delivery Service for Blood Clotting Factors (CM/MSR/10/5222)</w:t>
      </w:r>
      <w:r w:rsidR="005655B9">
        <w:t xml:space="preserve"> – Baxalta, </w:t>
      </w:r>
      <w:r w:rsidR="00D16F12">
        <w:t>Lloyds Pharmacy Clinical Homecare (previously Bupa Home Healthcare)</w:t>
      </w:r>
      <w:r w:rsidR="005655B9">
        <w:t xml:space="preserve"> and Healthcare</w:t>
      </w:r>
      <w:r w:rsidR="00D16F12">
        <w:t xml:space="preserve"> at </w:t>
      </w:r>
      <w:r w:rsidR="005655B9">
        <w:t>Home</w:t>
      </w:r>
      <w:r w:rsidR="00D16F12">
        <w:t xml:space="preserve"> Ltd</w:t>
      </w:r>
      <w:r w:rsidR="007350FA">
        <w:t xml:space="preserve"> and </w:t>
      </w:r>
      <w:r w:rsidR="00D16F12">
        <w:t>with suppliers awarded o</w:t>
      </w:r>
      <w:r w:rsidR="00676D67">
        <w:t xml:space="preserve">nto </w:t>
      </w:r>
      <w:r w:rsidR="007350FA">
        <w:t>any future CMU Home Delivery Service framework agreement</w:t>
      </w:r>
      <w:r w:rsidR="00D16F12">
        <w:t>s</w:t>
      </w:r>
      <w:r w:rsidR="007350FA">
        <w:t xml:space="preserve"> for blood clotting factors. </w:t>
      </w:r>
    </w:p>
    <w:p w:rsidR="00B430FB" w:rsidRDefault="007350FA" w:rsidP="00B430FB">
      <w:pPr>
        <w:pStyle w:val="Heading2"/>
      </w:pPr>
      <w:r>
        <w:t>I</w:t>
      </w:r>
      <w:r w:rsidR="00A71105">
        <w:t>n preparation for the transition</w:t>
      </w:r>
      <w:r w:rsidR="00A71105" w:rsidRPr="00C374B7">
        <w:t xml:space="preserve"> </w:t>
      </w:r>
      <w:r w:rsidR="00A71105">
        <w:t xml:space="preserve">of the new framework </w:t>
      </w:r>
      <w:r>
        <w:t>t</w:t>
      </w:r>
      <w:r w:rsidRPr="00C374B7">
        <w:t xml:space="preserve">he Medicines suppliers/manufacturers </w:t>
      </w:r>
      <w:r>
        <w:t xml:space="preserve">are </w:t>
      </w:r>
      <w:r w:rsidR="00B430FB" w:rsidRPr="00C374B7">
        <w:t>responsible for ensuring that the Home Delivery Contractor</w:t>
      </w:r>
      <w:r w:rsidR="00A71105">
        <w:t>s</w:t>
      </w:r>
      <w:r w:rsidR="00B430FB">
        <w:t xml:space="preserve"> are aware of the new framework prices well in advance of the framework go-live date of the</w:t>
      </w:r>
      <w:r w:rsidR="008E50A0">
        <w:t xml:space="preserve"> 1</w:t>
      </w:r>
      <w:r w:rsidR="008E50A0" w:rsidRPr="008E50A0">
        <w:rPr>
          <w:vertAlign w:val="superscript"/>
        </w:rPr>
        <w:t>st</w:t>
      </w:r>
      <w:r w:rsidR="008E50A0">
        <w:t xml:space="preserve"> </w:t>
      </w:r>
      <w:r w:rsidR="00DC46F8">
        <w:t>February 2018</w:t>
      </w:r>
      <w:r w:rsidR="00B430FB" w:rsidRPr="00C374B7">
        <w:t xml:space="preserve">. </w:t>
      </w:r>
    </w:p>
    <w:p w:rsidR="00B430FB" w:rsidRDefault="00B430FB" w:rsidP="00B430FB">
      <w:pPr>
        <w:pStyle w:val="Heading2"/>
      </w:pPr>
      <w:r w:rsidRPr="00C374B7">
        <w:t>Where relevant the Medicines suppliers/manufacturers are responsible for ensuring that the Home Delivery Contractor has updated framework prices throughout the duration of the framework period</w:t>
      </w:r>
      <w:r>
        <w:t>.</w:t>
      </w:r>
    </w:p>
    <w:p w:rsidR="00013A14" w:rsidRPr="00C374B7" w:rsidRDefault="00013A14" w:rsidP="00013A14">
      <w:pPr>
        <w:pStyle w:val="Heading2"/>
      </w:pPr>
      <w:r w:rsidRPr="00C374B7">
        <w:t>Home Delivery Contractors are responsible for updating their pricing information accordingly. The Home Delivery Contractor will invoice the Purchasing Authority at the agreed framework prices for products and medicines</w:t>
      </w:r>
      <w:r w:rsidR="00C374B7">
        <w:t xml:space="preserve"> from the</w:t>
      </w:r>
      <w:r w:rsidR="008E50A0">
        <w:t xml:space="preserve"> 1</w:t>
      </w:r>
      <w:r w:rsidR="008E50A0" w:rsidRPr="008E50A0">
        <w:rPr>
          <w:vertAlign w:val="superscript"/>
        </w:rPr>
        <w:t>st</w:t>
      </w:r>
      <w:r w:rsidR="008E50A0">
        <w:t xml:space="preserve"> </w:t>
      </w:r>
      <w:r w:rsidR="00DC46F8">
        <w:t>February 2018</w:t>
      </w:r>
      <w:r w:rsidRPr="00C374B7">
        <w:t>.</w:t>
      </w:r>
    </w:p>
    <w:p w:rsidR="00013A14" w:rsidRDefault="00013A14" w:rsidP="009D3574">
      <w:pPr>
        <w:pStyle w:val="Heading2"/>
      </w:pPr>
      <w:r w:rsidRPr="00C374B7">
        <w:t xml:space="preserve">Where relevant, the Medicines suppliers/manufacturers will inform the Home Delivery Contractor </w:t>
      </w:r>
      <w:r w:rsidR="00B430FB">
        <w:t xml:space="preserve">well in advance </w:t>
      </w:r>
      <w:r w:rsidRPr="00C374B7">
        <w:t xml:space="preserve">of any and all start dates of new prices if frameworks are re-negotiated with Medicines suppliers/manufacturers. </w:t>
      </w:r>
    </w:p>
    <w:p w:rsidR="00804C0B" w:rsidRDefault="00804C0B" w:rsidP="00804C0B">
      <w:pPr>
        <w:pStyle w:val="Heading1"/>
        <w:keepNext/>
        <w:keepLines/>
        <w:spacing w:after="120"/>
        <w:contextualSpacing w:val="0"/>
      </w:pPr>
      <w:r>
        <w:lastRenderedPageBreak/>
        <w:t xml:space="preserve">Improving Patient Care and Lifestyle </w:t>
      </w:r>
    </w:p>
    <w:p w:rsidR="00804C0B" w:rsidRDefault="00804C0B" w:rsidP="00804C0B">
      <w:pPr>
        <w:pStyle w:val="Heading2"/>
        <w:keepNext/>
        <w:keepLines/>
        <w:spacing w:before="320" w:after="120"/>
      </w:pPr>
      <w:r w:rsidRPr="00682734">
        <w:t xml:space="preserve">Successful Offerors will be required to attend regular meetings to discuss and review proposals for innovative delivery of products covered by this framework. Parties present at such meetings may include representatives from CMU, the UKHCDO, Haemophilia CRG and NHS England. The purpose of such meetings will be to provide an opportunity for discussion about such things as new prescribing regimes and improving patient care and lifestyle in a cost effective way. Frequency and dates for meetings will be agreed with the successful Offerors </w:t>
      </w:r>
      <w:r>
        <w:t>following</w:t>
      </w:r>
      <w:r w:rsidRPr="00682734">
        <w:t xml:space="preserve"> the framework go-live date</w:t>
      </w:r>
      <w:r>
        <w:t xml:space="preserve"> and annually thereafter</w:t>
      </w:r>
      <w:r w:rsidRPr="00682734">
        <w:t>.</w:t>
      </w:r>
    </w:p>
    <w:p w:rsidR="00F30037" w:rsidRDefault="00F30037" w:rsidP="00F30037">
      <w:pPr>
        <w:pStyle w:val="Heading1"/>
        <w:keepNext/>
        <w:keepLines/>
        <w:spacing w:after="120"/>
        <w:contextualSpacing w:val="0"/>
      </w:pPr>
      <w:r>
        <w:t>Framework Monitoring including Management Information</w:t>
      </w:r>
    </w:p>
    <w:p w:rsidR="00F30037" w:rsidRDefault="00C204F0" w:rsidP="00F30037">
      <w:pPr>
        <w:pStyle w:val="Heading2"/>
        <w:keepNext/>
        <w:keepLines/>
        <w:spacing w:before="320" w:after="120"/>
      </w:pPr>
      <w:r>
        <w:t>The s</w:t>
      </w:r>
      <w:r w:rsidR="00F30037" w:rsidRPr="00D750FB">
        <w:t xml:space="preserve">upplier will comply with all </w:t>
      </w:r>
      <w:r w:rsidR="00C35AC5">
        <w:t xml:space="preserve">ad-hoc </w:t>
      </w:r>
      <w:r w:rsidR="00F30037" w:rsidRPr="00D750FB">
        <w:t>requests by the Depar</w:t>
      </w:r>
      <w:r w:rsidR="00F30037">
        <w:t>tment of Health,</w:t>
      </w:r>
      <w:r w:rsidR="00E4334D">
        <w:t xml:space="preserve"> NHS England, the</w:t>
      </w:r>
      <w:r w:rsidR="00F30037">
        <w:t xml:space="preserve"> UKHCDO and CMU</w:t>
      </w:r>
      <w:r w:rsidR="00F30037" w:rsidRPr="00D750FB">
        <w:t xml:space="preserve"> for management data to be provided in respect of the products supplied under this framework agreement. This information is to be provided within 10 working days for </w:t>
      </w:r>
      <w:proofErr w:type="spellStart"/>
      <w:r w:rsidR="00F30037" w:rsidRPr="00D750FB">
        <w:t>adhoc</w:t>
      </w:r>
      <w:proofErr w:type="spellEnd"/>
      <w:r w:rsidR="00F30037" w:rsidRPr="00D750FB">
        <w:t xml:space="preserve"> requests.</w:t>
      </w:r>
    </w:p>
    <w:p w:rsidR="00E4334D" w:rsidRDefault="00F30037" w:rsidP="00F30037">
      <w:pPr>
        <w:pStyle w:val="Heading2"/>
        <w:keepNext/>
        <w:keepLines/>
        <w:spacing w:before="320" w:after="120"/>
      </w:pPr>
      <w:r>
        <w:t>Offerors</w:t>
      </w:r>
      <w:r w:rsidRPr="00D750FB">
        <w:t xml:space="preserve"> are required to provide a named </w:t>
      </w:r>
      <w:r w:rsidRPr="00E668F6">
        <w:t xml:space="preserve">contact in </w:t>
      </w:r>
      <w:r w:rsidR="007073AE">
        <w:t>Document No. 05</w:t>
      </w:r>
      <w:r w:rsidR="00DB3440">
        <w:t>a</w:t>
      </w:r>
      <w:r w:rsidR="002B1715" w:rsidRPr="00694C6F">
        <w:t xml:space="preserve"> -</w:t>
      </w:r>
      <w:r w:rsidRPr="00694C6F">
        <w:t xml:space="preserve"> </w:t>
      </w:r>
      <w:r w:rsidR="005E76D3" w:rsidRPr="00694C6F">
        <w:t>rF</w:t>
      </w:r>
      <w:r w:rsidR="002B1715" w:rsidRPr="00694C6F">
        <w:t>VII</w:t>
      </w:r>
      <w:r w:rsidR="005E76D3" w:rsidRPr="00694C6F">
        <w:t xml:space="preserve">I </w:t>
      </w:r>
      <w:r w:rsidR="00F14F54" w:rsidRPr="00694C6F">
        <w:t xml:space="preserve">- </w:t>
      </w:r>
      <w:r w:rsidRPr="00694C6F">
        <w:t>Offer Schedule</w:t>
      </w:r>
      <w:r w:rsidR="007073AE">
        <w:t xml:space="preserve"> Doc5</w:t>
      </w:r>
      <w:r w:rsidR="002B1715" w:rsidRPr="00694C6F">
        <w:t>E</w:t>
      </w:r>
      <w:r w:rsidR="00F14F54" w:rsidRPr="00694C6F">
        <w:t>_Supplier</w:t>
      </w:r>
      <w:r w:rsidR="002B1715" w:rsidRPr="00694C6F">
        <w:t xml:space="preserve"> </w:t>
      </w:r>
      <w:r w:rsidR="00F14F54" w:rsidRPr="00694C6F">
        <w:t>Info</w:t>
      </w:r>
      <w:r w:rsidR="002B1715" w:rsidRPr="00694C6F">
        <w:t>rmation</w:t>
      </w:r>
      <w:r w:rsidR="00381D4E">
        <w:t xml:space="preserve"> who will be </w:t>
      </w:r>
      <w:r w:rsidRPr="00694C6F">
        <w:t>responsible for the provision of management information</w:t>
      </w:r>
      <w:r w:rsidRPr="00E668F6">
        <w:t xml:space="preserve">. </w:t>
      </w:r>
    </w:p>
    <w:p w:rsidR="00F30037" w:rsidRPr="00C02DF2" w:rsidRDefault="00E4334D" w:rsidP="00E4334D">
      <w:pPr>
        <w:pStyle w:val="Heading2"/>
      </w:pPr>
      <w:r>
        <w:t xml:space="preserve">Management </w:t>
      </w:r>
      <w:r w:rsidRPr="00E4334D">
        <w:t>information</w:t>
      </w:r>
      <w:r w:rsidR="00F30037" w:rsidRPr="00E668F6">
        <w:t xml:space="preserve"> shall be submitted electronically</w:t>
      </w:r>
      <w:r w:rsidR="00F30037">
        <w:t xml:space="preserve"> on a monthly basis to CMU</w:t>
      </w:r>
      <w:r>
        <w:t>, t</w:t>
      </w:r>
      <w:r w:rsidR="00F30037" w:rsidRPr="00D750FB">
        <w:t xml:space="preserve">he </w:t>
      </w:r>
      <w:r w:rsidR="00F30037" w:rsidRPr="00C02DF2">
        <w:t>information must:</w:t>
      </w:r>
    </w:p>
    <w:p w:rsidR="00F30037" w:rsidRPr="00694C6F" w:rsidRDefault="00F30037" w:rsidP="00924837">
      <w:pPr>
        <w:pStyle w:val="Heading3"/>
      </w:pPr>
      <w:proofErr w:type="gramStart"/>
      <w:r w:rsidRPr="00694C6F">
        <w:t>be</w:t>
      </w:r>
      <w:proofErr w:type="gramEnd"/>
      <w:r w:rsidRPr="00694C6F">
        <w:t xml:space="preserve"> in the spreadsheet format pres</w:t>
      </w:r>
      <w:r w:rsidR="007073AE">
        <w:t>cribed by CMU in Document No. 04</w:t>
      </w:r>
      <w:r w:rsidRPr="00694C6F">
        <w:t xml:space="preserve">b </w:t>
      </w:r>
      <w:r w:rsidR="002B1715" w:rsidRPr="00694C6F">
        <w:t xml:space="preserve">- </w:t>
      </w:r>
      <w:r w:rsidR="005E76D3" w:rsidRPr="00694C6F">
        <w:t>rF</w:t>
      </w:r>
      <w:r w:rsidR="002B1715" w:rsidRPr="00694C6F">
        <w:t>VII</w:t>
      </w:r>
      <w:r w:rsidR="005E76D3" w:rsidRPr="00694C6F">
        <w:t xml:space="preserve">I </w:t>
      </w:r>
      <w:r w:rsidRPr="00694C6F">
        <w:t>- Management Information Schedule</w:t>
      </w:r>
      <w:r w:rsidRPr="00694C6F">
        <w:rPr>
          <w:szCs w:val="22"/>
        </w:rPr>
        <w:t xml:space="preserve"> </w:t>
      </w:r>
      <w:r w:rsidR="007073AE">
        <w:rPr>
          <w:rFonts w:cs="Arial"/>
          <w:szCs w:val="22"/>
        </w:rPr>
        <w:t>and Document No. 04</w:t>
      </w:r>
      <w:r w:rsidR="002B1715" w:rsidRPr="00694C6F">
        <w:rPr>
          <w:rFonts w:cs="Arial"/>
          <w:szCs w:val="22"/>
        </w:rPr>
        <w:t xml:space="preserve">c - </w:t>
      </w:r>
      <w:r w:rsidR="005E76D3" w:rsidRPr="00694C6F">
        <w:rPr>
          <w:rFonts w:cs="Arial"/>
          <w:szCs w:val="22"/>
        </w:rPr>
        <w:t>rF</w:t>
      </w:r>
      <w:r w:rsidR="002B1715" w:rsidRPr="00694C6F">
        <w:rPr>
          <w:rFonts w:cs="Arial"/>
          <w:szCs w:val="22"/>
        </w:rPr>
        <w:t>VII</w:t>
      </w:r>
      <w:r w:rsidR="005E76D3" w:rsidRPr="00694C6F">
        <w:rPr>
          <w:rFonts w:cs="Arial"/>
          <w:szCs w:val="22"/>
        </w:rPr>
        <w:t xml:space="preserve">I </w:t>
      </w:r>
      <w:r w:rsidRPr="00694C6F">
        <w:rPr>
          <w:rFonts w:cs="Arial"/>
          <w:szCs w:val="22"/>
        </w:rPr>
        <w:t>- Supplier M</w:t>
      </w:r>
      <w:r w:rsidR="005E76D3" w:rsidRPr="00694C6F">
        <w:rPr>
          <w:rFonts w:cs="Arial"/>
          <w:szCs w:val="22"/>
        </w:rPr>
        <w:t xml:space="preserve">anagement </w:t>
      </w:r>
      <w:r w:rsidRPr="00694C6F">
        <w:rPr>
          <w:rFonts w:cs="Arial"/>
          <w:szCs w:val="22"/>
        </w:rPr>
        <w:t>I</w:t>
      </w:r>
      <w:r w:rsidR="005E76D3" w:rsidRPr="00694C6F">
        <w:rPr>
          <w:rFonts w:cs="Arial"/>
          <w:szCs w:val="22"/>
        </w:rPr>
        <w:t xml:space="preserve">nformation Schedule </w:t>
      </w:r>
      <w:r w:rsidR="00A26619" w:rsidRPr="00694C6F">
        <w:rPr>
          <w:rFonts w:cs="Arial"/>
          <w:szCs w:val="22"/>
        </w:rPr>
        <w:t>–</w:t>
      </w:r>
      <w:r w:rsidRPr="00694C6F">
        <w:rPr>
          <w:rFonts w:cs="Arial"/>
          <w:szCs w:val="22"/>
        </w:rPr>
        <w:t xml:space="preserve"> Template</w:t>
      </w:r>
    </w:p>
    <w:p w:rsidR="00A26619" w:rsidRDefault="00E4334D" w:rsidP="00924837">
      <w:pPr>
        <w:pStyle w:val="Heading3"/>
      </w:pPr>
      <w:proofErr w:type="gramStart"/>
      <w:r>
        <w:t>d</w:t>
      </w:r>
      <w:r w:rsidR="00A26619" w:rsidRPr="00694C6F">
        <w:t>ata</w:t>
      </w:r>
      <w:proofErr w:type="gramEnd"/>
      <w:r w:rsidR="00A26619" w:rsidRPr="00694C6F">
        <w:t xml:space="preserve"> is to cove</w:t>
      </w:r>
      <w:r w:rsidR="00A26619">
        <w:t xml:space="preserve">r orders delivered by the manufacture only and is </w:t>
      </w:r>
      <w:r w:rsidR="00A26619" w:rsidRPr="00A26619">
        <w:rPr>
          <w:b/>
          <w:u w:val="single"/>
        </w:rPr>
        <w:t>NOT</w:t>
      </w:r>
      <w:r w:rsidR="00A26619">
        <w:t xml:space="preserve"> to include deliveries made </w:t>
      </w:r>
      <w:r w:rsidR="00A26619" w:rsidRPr="00A26619">
        <w:rPr>
          <w:b/>
          <w:u w:val="single"/>
        </w:rPr>
        <w:t>BY</w:t>
      </w:r>
      <w:r w:rsidR="00A26619">
        <w:t xml:space="preserve"> third parties i.e. home delivery companies</w:t>
      </w:r>
    </w:p>
    <w:p w:rsidR="00F30037" w:rsidRPr="00C02DF2" w:rsidRDefault="00F30037" w:rsidP="00924837">
      <w:pPr>
        <w:pStyle w:val="Heading3"/>
      </w:pPr>
      <w:proofErr w:type="gramStart"/>
      <w:r w:rsidRPr="00C02DF2">
        <w:t>be</w:t>
      </w:r>
      <w:proofErr w:type="gramEnd"/>
      <w:r w:rsidRPr="00C02DF2">
        <w:t xml:space="preserve"> provided to CMU within seven working days of the end of the appropriate sales month</w:t>
      </w:r>
    </w:p>
    <w:p w:rsidR="00F30037" w:rsidRDefault="00F30037" w:rsidP="00F30037">
      <w:pPr>
        <w:pStyle w:val="Heading1"/>
        <w:keepNext/>
        <w:keepLines/>
        <w:spacing w:after="120"/>
        <w:contextualSpacing w:val="0"/>
      </w:pPr>
      <w:r>
        <w:t>Supplier Performance</w:t>
      </w:r>
    </w:p>
    <w:p w:rsidR="00F30037" w:rsidRDefault="00F30037" w:rsidP="00F30037">
      <w:pPr>
        <w:pStyle w:val="Heading2"/>
        <w:keepNext/>
        <w:keepLines/>
        <w:spacing w:before="320" w:after="120"/>
      </w:pPr>
      <w:r>
        <w:t>CMU will continually monitor the successful suppliers’ performance for this framework during the</w:t>
      </w:r>
      <w:r w:rsidR="00324B4E">
        <w:t xml:space="preserve"> course of the contract period</w:t>
      </w:r>
      <w:r w:rsidR="00AF4175">
        <w:t>, as a minimum CMU will use</w:t>
      </w:r>
      <w:r w:rsidR="00324B4E">
        <w:t xml:space="preserve"> a supplier scorecard </w:t>
      </w:r>
      <w:r w:rsidR="00AF4175">
        <w:t xml:space="preserve">process which </w:t>
      </w:r>
      <w:r w:rsidR="00324B4E">
        <w:t xml:space="preserve">will monitor: </w:t>
      </w:r>
    </w:p>
    <w:p w:rsidR="00324B4E" w:rsidRDefault="00324B4E" w:rsidP="00324B4E">
      <w:pPr>
        <w:pStyle w:val="ListParagraph"/>
        <w:numPr>
          <w:ilvl w:val="0"/>
          <w:numId w:val="31"/>
        </w:numPr>
      </w:pPr>
      <w:r>
        <w:t>Volume of product supplied</w:t>
      </w:r>
    </w:p>
    <w:p w:rsidR="00324B4E" w:rsidRDefault="00324B4E" w:rsidP="00324B4E">
      <w:pPr>
        <w:pStyle w:val="ListParagraph"/>
        <w:numPr>
          <w:ilvl w:val="0"/>
          <w:numId w:val="31"/>
        </w:numPr>
      </w:pPr>
      <w:r>
        <w:t xml:space="preserve">Quantity of stock </w:t>
      </w:r>
      <w:r w:rsidR="00AF4175">
        <w:t>held</w:t>
      </w:r>
    </w:p>
    <w:p w:rsidR="00324B4E" w:rsidRDefault="00324B4E" w:rsidP="00324B4E">
      <w:pPr>
        <w:pStyle w:val="ListParagraph"/>
        <w:numPr>
          <w:ilvl w:val="0"/>
          <w:numId w:val="31"/>
        </w:numPr>
      </w:pPr>
      <w:r>
        <w:t>Number of complaints received</w:t>
      </w:r>
      <w:r w:rsidR="00AF4175">
        <w:t xml:space="preserve"> in relation to number of orders received</w:t>
      </w:r>
    </w:p>
    <w:p w:rsidR="00324B4E" w:rsidRDefault="00324B4E" w:rsidP="00324B4E">
      <w:pPr>
        <w:pStyle w:val="ListParagraph"/>
        <w:numPr>
          <w:ilvl w:val="0"/>
          <w:numId w:val="31"/>
        </w:numPr>
      </w:pPr>
      <w:r>
        <w:t>Receipt of monthly MI by the required date and in the required format</w:t>
      </w:r>
    </w:p>
    <w:p w:rsidR="00324B4E" w:rsidRDefault="00324B4E" w:rsidP="00324B4E"/>
    <w:p w:rsidR="004D52DA" w:rsidRDefault="004D52DA" w:rsidP="00924837">
      <w:pPr>
        <w:pStyle w:val="Heading3"/>
      </w:pPr>
      <w:r>
        <w:t>Each of th</w:t>
      </w:r>
      <w:r w:rsidR="00324B4E">
        <w:t>ese areas</w:t>
      </w:r>
      <w:r>
        <w:t xml:space="preserve"> will be</w:t>
      </w:r>
      <w:r w:rsidR="00324B4E">
        <w:t xml:space="preserve"> given a score on a monthly </w:t>
      </w:r>
      <w:r w:rsidR="00AF4175">
        <w:t>basis and these scores</w:t>
      </w:r>
      <w:r w:rsidR="00324B4E">
        <w:t xml:space="preserve"> are used to get a quarterly score</w:t>
      </w:r>
      <w:r w:rsidR="00AF4175">
        <w:t xml:space="preserve"> for the supplier. </w:t>
      </w:r>
    </w:p>
    <w:p w:rsidR="004D52DA" w:rsidRDefault="00AF4175" w:rsidP="00924837">
      <w:pPr>
        <w:pStyle w:val="Heading3"/>
      </w:pPr>
      <w:r>
        <w:lastRenderedPageBreak/>
        <w:t xml:space="preserve">Suppliers are required to score above a minimum score of 80% for each area. Supplier’s scores will be discussed in supplier review meetings which will be held on a regular basis throughout the </w:t>
      </w:r>
      <w:r w:rsidR="00B101DE">
        <w:t>term</w:t>
      </w:r>
      <w:r>
        <w:t xml:space="preserve"> of the framework. </w:t>
      </w:r>
    </w:p>
    <w:p w:rsidR="00324B4E" w:rsidRDefault="00AF4175" w:rsidP="00924837">
      <w:pPr>
        <w:pStyle w:val="Heading3"/>
      </w:pPr>
      <w:r>
        <w:t>Further details on the supplier scorecard can be viewed in the Excel spreadsheet attached below.</w:t>
      </w:r>
    </w:p>
    <w:p w:rsidR="002B1715" w:rsidRDefault="002B1715" w:rsidP="00324B4E">
      <w:pPr>
        <w:ind w:left="360"/>
      </w:pPr>
    </w:p>
    <w:p w:rsidR="00AF4175" w:rsidRDefault="00AF4175" w:rsidP="00324B4E">
      <w:pPr>
        <w:ind w:left="360"/>
      </w:pPr>
    </w:p>
    <w:p w:rsidR="00AF4175" w:rsidRDefault="002B1715" w:rsidP="00324B4E">
      <w:pPr>
        <w:ind w:left="360"/>
      </w:pPr>
      <w: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8pt" o:ole="">
            <v:imagedata r:id="rId20" o:title=""/>
          </v:shape>
          <o:OLEObject Type="Embed" ProgID="Excel.Sheet.12" ShapeID="_x0000_i1025" DrawAspect="Icon" ObjectID="_1564469061" r:id="rId21"/>
        </w:object>
      </w:r>
    </w:p>
    <w:p w:rsidR="004D52DA" w:rsidRDefault="004D52DA" w:rsidP="004D52DA">
      <w:pPr>
        <w:pStyle w:val="Heading2"/>
        <w:keepNext/>
        <w:keepLines/>
        <w:spacing w:before="320" w:after="120"/>
      </w:pPr>
      <w:r>
        <w:t>CMU will operate a Customer Complaints procedure and all customer complaints will be recorded. This procedure will assist CMU in monitoring supplier performance, any such complaints will be taken up with the supplier and a resolution to the issue sought.</w:t>
      </w:r>
    </w:p>
    <w:p w:rsidR="004D52DA" w:rsidRDefault="004D52DA" w:rsidP="004D52DA">
      <w:pPr>
        <w:pStyle w:val="Heading2"/>
        <w:keepNext/>
        <w:keepLines/>
        <w:spacing w:before="320" w:after="120"/>
      </w:pPr>
      <w:r>
        <w:t>CMU will conduct regular review meetings with suppliers and expect successful Offerors to attend such meetings.</w:t>
      </w:r>
    </w:p>
    <w:p w:rsidR="004D52DA" w:rsidRDefault="004D52DA" w:rsidP="004D52DA">
      <w:pPr>
        <w:pStyle w:val="Heading2"/>
        <w:keepNext/>
        <w:keepLines/>
        <w:spacing w:before="320" w:after="120"/>
      </w:pPr>
      <w:r>
        <w:t>Individual Participating Authorities may set individual SLAs with successful Offerors to monitor supplier performance.</w:t>
      </w:r>
    </w:p>
    <w:p w:rsidR="004D52DA" w:rsidRDefault="004D52DA" w:rsidP="004D52DA">
      <w:pPr>
        <w:pStyle w:val="Heading2"/>
        <w:keepNext/>
        <w:keepLines/>
        <w:spacing w:before="320" w:after="120"/>
      </w:pPr>
      <w:r>
        <w:t>Successful Offerors are required to operate a customer complaints procedure and have an escalation process in place to deal with customer issues. Both the customer complaints procedure and escalation process must be provided upon request.</w:t>
      </w:r>
    </w:p>
    <w:p w:rsidR="004D52DA" w:rsidRDefault="004D52DA" w:rsidP="004D52DA">
      <w:pPr>
        <w:pStyle w:val="Heading2"/>
        <w:keepNext/>
        <w:keepLines/>
        <w:spacing w:before="320" w:after="120"/>
      </w:pPr>
      <w:r>
        <w:t>Successful Offerors are required to have a product recall procedure in place. The recall procedure must be provided upon request.</w:t>
      </w:r>
    </w:p>
    <w:p w:rsidR="004D52DA" w:rsidRPr="00F97BF6" w:rsidRDefault="004D52DA" w:rsidP="004D52DA">
      <w:pPr>
        <w:pStyle w:val="Heading1"/>
        <w:keepNext/>
        <w:keepLines/>
        <w:spacing w:after="120"/>
        <w:contextualSpacing w:val="0"/>
      </w:pPr>
      <w:r w:rsidRPr="00F97BF6">
        <w:t xml:space="preserve">Participating Authorities </w:t>
      </w:r>
    </w:p>
    <w:p w:rsidR="004D52DA" w:rsidRPr="00F97BF6" w:rsidRDefault="004D52DA" w:rsidP="004D52DA">
      <w:pPr>
        <w:pStyle w:val="Heading2"/>
        <w:keepNext/>
        <w:keepLines/>
        <w:spacing w:before="320" w:after="120"/>
      </w:pPr>
      <w:r w:rsidRPr="00F97BF6">
        <w:t>A list of the Participating Authorities in this framework agreement</w:t>
      </w:r>
      <w:r>
        <w:t xml:space="preserve"> can be found in Document No. 04</w:t>
      </w:r>
      <w:r w:rsidRPr="00F97BF6">
        <w:t xml:space="preserve">d - rFVIII - Participating Authorities. </w:t>
      </w:r>
    </w:p>
    <w:p w:rsidR="00F30037" w:rsidRDefault="00F30037" w:rsidP="00F30037">
      <w:pPr>
        <w:pStyle w:val="Heading1"/>
        <w:keepNext/>
        <w:keepLines/>
        <w:spacing w:after="120"/>
        <w:contextualSpacing w:val="0"/>
      </w:pPr>
      <w:r>
        <w:t xml:space="preserve">Supplementary Information </w:t>
      </w:r>
    </w:p>
    <w:p w:rsidR="00ED15F5" w:rsidRDefault="00F30037" w:rsidP="00F30037">
      <w:pPr>
        <w:pStyle w:val="Heading2"/>
        <w:keepNext/>
        <w:keepLines/>
        <w:spacing w:before="320" w:after="120"/>
      </w:pPr>
      <w:r>
        <w:t xml:space="preserve">Offerors are given the opportunity to provide additional information </w:t>
      </w:r>
      <w:r w:rsidR="00F929CE" w:rsidRPr="00694C6F">
        <w:t xml:space="preserve">in Document No. </w:t>
      </w:r>
      <w:r w:rsidR="007073AE">
        <w:t>05</w:t>
      </w:r>
      <w:r w:rsidR="006556F8" w:rsidRPr="00694C6F">
        <w:t xml:space="preserve"> - </w:t>
      </w:r>
      <w:r w:rsidR="005E76D3" w:rsidRPr="00694C6F">
        <w:t>rF</w:t>
      </w:r>
      <w:r w:rsidR="006556F8" w:rsidRPr="00694C6F">
        <w:t>VII</w:t>
      </w:r>
      <w:r w:rsidR="005E76D3" w:rsidRPr="00694C6F">
        <w:t>I</w:t>
      </w:r>
      <w:r w:rsidR="006556F8" w:rsidRPr="00694C6F">
        <w:t xml:space="preserve"> -</w:t>
      </w:r>
      <w:r w:rsidR="00F929CE" w:rsidRPr="00694C6F">
        <w:t xml:space="preserve"> Offer Schedule Doc</w:t>
      </w:r>
      <w:r w:rsidR="007073AE">
        <w:t>5</w:t>
      </w:r>
      <w:r w:rsidR="006556F8" w:rsidRPr="00694C6F">
        <w:t>D</w:t>
      </w:r>
      <w:r w:rsidR="00F929CE" w:rsidRPr="00694C6F">
        <w:t>_Add</w:t>
      </w:r>
      <w:r w:rsidR="006556F8" w:rsidRPr="00694C6F">
        <w:t xml:space="preserve">itional </w:t>
      </w:r>
      <w:r w:rsidR="00F929CE" w:rsidRPr="00694C6F">
        <w:t>Info</w:t>
      </w:r>
      <w:r w:rsidR="006556F8" w:rsidRPr="00694C6F">
        <w:t xml:space="preserve">rmation </w:t>
      </w:r>
      <w:r w:rsidRPr="00694C6F">
        <w:t xml:space="preserve">to supplement their offer. </w:t>
      </w:r>
    </w:p>
    <w:p w:rsidR="00ED15F5" w:rsidRDefault="00F30037" w:rsidP="00924837">
      <w:pPr>
        <w:pStyle w:val="Heading3"/>
      </w:pPr>
      <w:r w:rsidRPr="00694C6F">
        <w:t xml:space="preserve">Such information maybe included by </w:t>
      </w:r>
      <w:r w:rsidR="00ED15F5">
        <w:t xml:space="preserve">the </w:t>
      </w:r>
      <w:r w:rsidRPr="00694C6F">
        <w:t>CMU in the final Stakeholder</w:t>
      </w:r>
      <w:r w:rsidRPr="00C02DF2">
        <w:t xml:space="preserve"> Briefing</w:t>
      </w:r>
      <w:r>
        <w:t xml:space="preserve"> Document but will NOT be scored. </w:t>
      </w:r>
    </w:p>
    <w:p w:rsidR="00F30037" w:rsidRDefault="00F30037" w:rsidP="00924837">
      <w:pPr>
        <w:pStyle w:val="Heading3"/>
      </w:pPr>
      <w:r>
        <w:t xml:space="preserve">Please ensure any supplementary information is </w:t>
      </w:r>
      <w:r w:rsidRPr="00414AD8">
        <w:t>labelled clearly and is included with your offer submission. Please note due to system restrictions each attachment can be no larger than 2MB.</w:t>
      </w:r>
    </w:p>
    <w:p w:rsidR="00804C0B" w:rsidRDefault="00804C0B" w:rsidP="00804C0B"/>
    <w:p w:rsidR="00804C0B" w:rsidRPr="00804C0B" w:rsidRDefault="00804C0B" w:rsidP="00804C0B"/>
    <w:p w:rsidR="009970F6" w:rsidRDefault="00EA17AA" w:rsidP="00EA17AA">
      <w:pPr>
        <w:pStyle w:val="Heading1"/>
      </w:pPr>
      <w:r>
        <w:lastRenderedPageBreak/>
        <w:t>Accurate Measurement of rFVIII</w:t>
      </w:r>
    </w:p>
    <w:p w:rsidR="00ED15F5" w:rsidRDefault="00EA17AA" w:rsidP="00EA17AA">
      <w:pPr>
        <w:pStyle w:val="Heading2"/>
      </w:pPr>
      <w:r>
        <w:t>Offerors are required to provide details of which assays and reagents have been validated for the accurate measurement of the product being offered. Evidence of the validation must be included with your response.</w:t>
      </w:r>
      <w:r w:rsidR="00F97BF6">
        <w:t xml:space="preserve"> </w:t>
      </w:r>
    </w:p>
    <w:p w:rsidR="00ED15F5" w:rsidRDefault="00F97BF6" w:rsidP="00924837">
      <w:pPr>
        <w:pStyle w:val="Heading3"/>
      </w:pPr>
      <w:r w:rsidRPr="00694C6F">
        <w:t>Such information maybe included by CMU in the final Stakeholder</w:t>
      </w:r>
      <w:r w:rsidRPr="00C02DF2">
        <w:t xml:space="preserve"> Briefing</w:t>
      </w:r>
      <w:r>
        <w:t xml:space="preserve"> Document but will NOT be scored. </w:t>
      </w:r>
    </w:p>
    <w:p w:rsidR="00EA17AA" w:rsidRPr="00EA17AA" w:rsidRDefault="00F97BF6" w:rsidP="00924837">
      <w:pPr>
        <w:pStyle w:val="Heading3"/>
      </w:pPr>
      <w:r>
        <w:t xml:space="preserve">Please ensure any supplementary information is </w:t>
      </w:r>
      <w:r w:rsidRPr="00414AD8">
        <w:t>labelled clearly and is included with your offer submission. Please note due to system restrictions each attachment can be no larger than 2MB.</w:t>
      </w:r>
    </w:p>
    <w:p w:rsidR="00EA17AA" w:rsidRPr="00EA17AA" w:rsidRDefault="00EA17AA" w:rsidP="00EA17AA"/>
    <w:p w:rsidR="004D52DA" w:rsidRDefault="004D52DA" w:rsidP="00EA17AA">
      <w:pPr>
        <w:pStyle w:val="Heading2"/>
        <w:sectPr w:rsidR="004D52DA" w:rsidSect="00CF1A56">
          <w:pgSz w:w="11906" w:h="16838" w:code="9"/>
          <w:pgMar w:top="1440" w:right="1440" w:bottom="1440" w:left="1440" w:header="709" w:footer="709" w:gutter="0"/>
          <w:cols w:space="708"/>
          <w:docGrid w:linePitch="360"/>
        </w:sectPr>
      </w:pPr>
    </w:p>
    <w:p w:rsidR="008B1463" w:rsidRPr="003A1AAB" w:rsidRDefault="008B1463" w:rsidP="008B1463">
      <w:pPr>
        <w:rPr>
          <w:rFonts w:cs="Arial"/>
          <w:sz w:val="96"/>
          <w:szCs w:val="96"/>
          <w:lang w:eastAsia="en-GB"/>
        </w:rPr>
      </w:pPr>
      <w:r w:rsidRPr="003A1AAB">
        <w:rPr>
          <w:rFonts w:cs="Arial"/>
          <w:sz w:val="96"/>
          <w:szCs w:val="96"/>
          <w:lang w:eastAsia="en-GB"/>
        </w:rPr>
        <w:lastRenderedPageBreak/>
        <w:t xml:space="preserve">Dr Kate </w:t>
      </w:r>
      <w:proofErr w:type="spellStart"/>
      <w:r w:rsidRPr="003A1AAB">
        <w:rPr>
          <w:rFonts w:cs="Arial"/>
          <w:sz w:val="96"/>
          <w:szCs w:val="96"/>
          <w:lang w:eastAsia="en-GB"/>
        </w:rPr>
        <w:t>Khair</w:t>
      </w:r>
      <w:proofErr w:type="spellEnd"/>
    </w:p>
    <w:p w:rsidR="008B1463" w:rsidRPr="003A1AAB" w:rsidRDefault="008B1463" w:rsidP="008B1463">
      <w:pPr>
        <w:rPr>
          <w:rFonts w:cs="Arial"/>
          <w:sz w:val="72"/>
          <w:szCs w:val="72"/>
          <w:lang w:eastAsia="en-GB"/>
        </w:rPr>
      </w:pPr>
      <w:r w:rsidRPr="003A1AAB">
        <w:rPr>
          <w:rFonts w:cs="Arial"/>
          <w:sz w:val="72"/>
          <w:szCs w:val="72"/>
          <w:lang w:eastAsia="en-GB"/>
        </w:rPr>
        <w:t>Consultant Nurse Haemophilia</w:t>
      </w:r>
    </w:p>
    <w:p w:rsidR="008B1463" w:rsidRPr="003A1AAB" w:rsidRDefault="008B1463" w:rsidP="008B1463">
      <w:pPr>
        <w:rPr>
          <w:rFonts w:cs="Arial"/>
          <w:sz w:val="72"/>
          <w:szCs w:val="72"/>
        </w:rPr>
      </w:pPr>
      <w:r w:rsidRPr="003A1AAB">
        <w:rPr>
          <w:rFonts w:cs="Arial"/>
          <w:sz w:val="72"/>
          <w:szCs w:val="72"/>
        </w:rPr>
        <w:t>Haemophilia Centre</w:t>
      </w:r>
    </w:p>
    <w:p w:rsidR="008B1463" w:rsidRPr="003A1AAB" w:rsidRDefault="008B1463" w:rsidP="008B1463">
      <w:pPr>
        <w:rPr>
          <w:rFonts w:cs="Arial"/>
          <w:sz w:val="72"/>
          <w:szCs w:val="72"/>
        </w:rPr>
      </w:pPr>
      <w:r w:rsidRPr="003A1AAB">
        <w:rPr>
          <w:rFonts w:cs="Arial"/>
          <w:sz w:val="72"/>
          <w:szCs w:val="72"/>
        </w:rPr>
        <w:t>Great Ormond Street Hospital</w:t>
      </w:r>
    </w:p>
    <w:p w:rsidR="008B1463" w:rsidRPr="003A1AAB" w:rsidRDefault="008B1463" w:rsidP="008B1463">
      <w:pPr>
        <w:rPr>
          <w:rFonts w:cs="Arial"/>
          <w:sz w:val="72"/>
          <w:szCs w:val="72"/>
        </w:rPr>
      </w:pPr>
      <w:r w:rsidRPr="003A1AAB">
        <w:rPr>
          <w:rFonts w:cs="Arial"/>
          <w:sz w:val="72"/>
          <w:szCs w:val="72"/>
        </w:rPr>
        <w:t>London</w:t>
      </w:r>
    </w:p>
    <w:p w:rsidR="008B1463" w:rsidRPr="003A1AAB" w:rsidRDefault="008B1463" w:rsidP="008B1463">
      <w:pPr>
        <w:rPr>
          <w:rFonts w:cs="Arial"/>
          <w:sz w:val="72"/>
          <w:szCs w:val="72"/>
        </w:rPr>
      </w:pPr>
      <w:r w:rsidRPr="003A1AAB">
        <w:rPr>
          <w:rFonts w:cs="Arial"/>
          <w:sz w:val="72"/>
          <w:szCs w:val="72"/>
        </w:rPr>
        <w:t>WC1N 3JH</w:t>
      </w:r>
    </w:p>
    <w:p w:rsidR="008B1463" w:rsidRDefault="008B1463" w:rsidP="008B1463">
      <w:pPr>
        <w:rPr>
          <w:rFonts w:cs="Arial"/>
          <w:sz w:val="56"/>
          <w:szCs w:val="56"/>
        </w:rPr>
      </w:pPr>
    </w:p>
    <w:p w:rsidR="008B1463" w:rsidRDefault="008B1463" w:rsidP="008B1463">
      <w:pPr>
        <w:rPr>
          <w:rFonts w:cs="Arial"/>
          <w:sz w:val="56"/>
          <w:szCs w:val="56"/>
        </w:rPr>
      </w:pPr>
    </w:p>
    <w:p w:rsidR="008B1463" w:rsidRDefault="008B1463" w:rsidP="008B1463">
      <w:pPr>
        <w:rPr>
          <w:rFonts w:cs="Arial"/>
          <w:sz w:val="56"/>
          <w:szCs w:val="56"/>
        </w:rPr>
      </w:pPr>
    </w:p>
    <w:p w:rsidR="008B1463" w:rsidRDefault="008B1463" w:rsidP="008B1463">
      <w:pPr>
        <w:rPr>
          <w:rFonts w:cs="Arial"/>
          <w:sz w:val="36"/>
          <w:szCs w:val="36"/>
        </w:rPr>
      </w:pPr>
      <w:r w:rsidRPr="003A1AAB">
        <w:rPr>
          <w:rFonts w:cs="Arial"/>
          <w:sz w:val="36"/>
          <w:szCs w:val="36"/>
        </w:rPr>
        <w:t>Supplier Name</w:t>
      </w:r>
      <w:proofErr w:type="gramStart"/>
      <w:r w:rsidRPr="003A1AAB">
        <w:rPr>
          <w:rFonts w:cs="Arial"/>
          <w:sz w:val="36"/>
          <w:szCs w:val="36"/>
        </w:rPr>
        <w:t>:</w:t>
      </w:r>
      <w:r>
        <w:rPr>
          <w:rFonts w:cs="Arial"/>
          <w:sz w:val="36"/>
          <w:szCs w:val="36"/>
        </w:rPr>
        <w:t xml:space="preserve">   </w:t>
      </w:r>
      <w:r w:rsidRPr="003A1AAB">
        <w:rPr>
          <w:rFonts w:cs="Arial"/>
          <w:sz w:val="36"/>
          <w:szCs w:val="36"/>
        </w:rPr>
        <w:t>………………………………………………………………………….</w:t>
      </w:r>
      <w:proofErr w:type="gramEnd"/>
    </w:p>
    <w:p w:rsidR="008B1463" w:rsidRDefault="008B1463" w:rsidP="008B1463">
      <w:pPr>
        <w:rPr>
          <w:rFonts w:cs="Arial"/>
          <w:sz w:val="36"/>
          <w:szCs w:val="36"/>
        </w:rPr>
      </w:pPr>
    </w:p>
    <w:p w:rsidR="008B1463" w:rsidRDefault="008B1463" w:rsidP="008B1463">
      <w:pPr>
        <w:rPr>
          <w:rFonts w:cs="Arial"/>
          <w:sz w:val="36"/>
          <w:szCs w:val="36"/>
        </w:rPr>
      </w:pPr>
    </w:p>
    <w:p w:rsidR="008B1463" w:rsidRPr="008B1463" w:rsidRDefault="008B1463" w:rsidP="008B1463">
      <w:r w:rsidRPr="003A1AAB">
        <w:rPr>
          <w:rFonts w:cs="Arial"/>
          <w:b/>
          <w:sz w:val="36"/>
          <w:szCs w:val="36"/>
        </w:rPr>
        <w:t>Reference:</w:t>
      </w:r>
      <w:r>
        <w:rPr>
          <w:rFonts w:cs="Arial"/>
          <w:b/>
          <w:sz w:val="36"/>
          <w:szCs w:val="36"/>
        </w:rPr>
        <w:t xml:space="preserve">  CM/PHS/15/5498</w:t>
      </w:r>
    </w:p>
    <w:sectPr w:rsidR="008B1463" w:rsidRPr="008B1463" w:rsidSect="004D52DA">
      <w:headerReference w:type="default" r:id="rId22"/>
      <w:footerReference w:type="default" r:id="rId23"/>
      <w:pgSz w:w="16838" w:h="11906" w:orient="landscape" w:code="9"/>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6BE" w:rsidRDefault="003C66BE">
      <w:r>
        <w:separator/>
      </w:r>
    </w:p>
  </w:endnote>
  <w:endnote w:type="continuationSeparator" w:id="0">
    <w:p w:rsidR="003C66BE" w:rsidRDefault="003C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56" w:rsidRDefault="00CF1A56" w:rsidP="002A220B">
    <w:r>
      <w:rPr>
        <w:iCs/>
      </w:rPr>
      <w:t>© NHS England 2017</w:t>
    </w:r>
    <w:r>
      <w:rPr>
        <w:iCs/>
      </w:rPr>
      <w:tab/>
    </w:r>
    <w:r>
      <w:rPr>
        <w:iCs/>
      </w:rPr>
      <w:tab/>
    </w:r>
    <w:r>
      <w:rPr>
        <w:iCs/>
      </w:rPr>
      <w:tab/>
    </w:r>
    <w:r w:rsidR="00924837">
      <w:rPr>
        <w:iCs/>
      </w:rPr>
      <w:t xml:space="preserve">OFFICIAL                                                 </w:t>
    </w:r>
    <w:r>
      <w:t xml:space="preserve">Page </w:t>
    </w:r>
    <w:r>
      <w:rPr>
        <w:rStyle w:val="PageNumber"/>
      </w:rPr>
      <w:fldChar w:fldCharType="begin"/>
    </w:r>
    <w:r>
      <w:rPr>
        <w:rStyle w:val="PageNumber"/>
      </w:rPr>
      <w:instrText xml:space="preserve"> PAGE </w:instrText>
    </w:r>
    <w:r>
      <w:rPr>
        <w:rStyle w:val="PageNumber"/>
      </w:rPr>
      <w:fldChar w:fldCharType="separate"/>
    </w:r>
    <w:r w:rsidR="0019082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9082A">
      <w:rPr>
        <w:rStyle w:val="PageNumber"/>
        <w:noProof/>
      </w:rPr>
      <w:t>19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578" w:rsidRPr="008B1463" w:rsidRDefault="002C0578" w:rsidP="008B14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6BE" w:rsidRDefault="003C66BE">
      <w:r>
        <w:separator/>
      </w:r>
    </w:p>
  </w:footnote>
  <w:footnote w:type="continuationSeparator" w:id="0">
    <w:p w:rsidR="003C66BE" w:rsidRDefault="003C6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56" w:rsidRDefault="00CF1A56" w:rsidP="002A220B">
    <w:pPr>
      <w:pStyle w:val="Header"/>
      <w:jc w:val="left"/>
    </w:pPr>
    <w:r>
      <w:rPr>
        <w:b/>
        <w:szCs w:val="22"/>
      </w:rPr>
      <w:t>Document No. 04a</w:t>
    </w:r>
    <w:r>
      <w:rPr>
        <w:b/>
        <w:szCs w:val="22"/>
      </w:rPr>
      <w:tab/>
    </w:r>
    <w:r w:rsidRPr="002A220B">
      <w:rPr>
        <w:b/>
        <w:sz w:val="20"/>
      </w:rP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578" w:rsidRDefault="002C0578" w:rsidP="002A220B">
    <w:pPr>
      <w:pStyle w:val="Header"/>
      <w:jc w:val="left"/>
    </w:pPr>
    <w:r>
      <w:rPr>
        <w:b/>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790898E"/>
    <w:lvl w:ilvl="0">
      <w:numFmt w:val="bullet"/>
      <w:lvlText w:val="*"/>
      <w:lvlJc w:val="left"/>
    </w:lvl>
  </w:abstractNum>
  <w:abstractNum w:abstractNumId="1">
    <w:nsid w:val="024B24D7"/>
    <w:multiLevelType w:val="multilevel"/>
    <w:tmpl w:val="FD80CA60"/>
    <w:lvl w:ilvl="0">
      <w:start w:val="1"/>
      <w:numFmt w:val="decimal"/>
      <w:lvlText w:val="%1."/>
      <w:lvlJc w:val="left"/>
      <w:pPr>
        <w:tabs>
          <w:tab w:val="num" w:pos="1211"/>
        </w:tabs>
        <w:ind w:left="1211" w:hanging="851"/>
      </w:pPr>
      <w:rPr>
        <w:rFonts w:ascii="Arial" w:hAnsi="Arial" w:hint="default"/>
        <w:b w:val="0"/>
        <w:i w:val="0"/>
        <w:sz w:val="22"/>
        <w:u w:val="none"/>
      </w:rPr>
    </w:lvl>
    <w:lvl w:ilvl="1">
      <w:start w:val="1"/>
      <w:numFmt w:val="bullet"/>
      <w:lvlText w:val=""/>
      <w:lvlJc w:val="left"/>
      <w:pPr>
        <w:tabs>
          <w:tab w:val="num" w:pos="0"/>
        </w:tabs>
        <w:ind w:left="142" w:hanging="142"/>
      </w:pPr>
      <w:rPr>
        <w:rFonts w:ascii="Wingdings" w:hAnsi="Wingdings" w:hint="default"/>
        <w:b w:val="0"/>
        <w:i w:val="0"/>
        <w:sz w:val="22"/>
        <w:u w:val="none"/>
      </w:rPr>
    </w:lvl>
    <w:lvl w:ilvl="2">
      <w:start w:val="1"/>
      <w:numFmt w:val="bullet"/>
      <w:lvlText w:val=""/>
      <w:lvlJc w:val="left"/>
      <w:pPr>
        <w:tabs>
          <w:tab w:val="num" w:pos="1401"/>
        </w:tabs>
        <w:ind w:left="965" w:hanging="114"/>
      </w:pPr>
      <w:rPr>
        <w:rFonts w:ascii="Symbol" w:hAnsi="Symbol" w:hint="default"/>
        <w:b w:val="0"/>
        <w:i w:val="0"/>
        <w:sz w:val="22"/>
        <w:u w:val="none"/>
      </w:rPr>
    </w:lvl>
    <w:lvl w:ilvl="3">
      <w:start w:val="1"/>
      <w:numFmt w:val="lowerLetter"/>
      <w:lvlText w:val="(%4)"/>
      <w:lvlJc w:val="left"/>
      <w:pPr>
        <w:tabs>
          <w:tab w:val="num" w:pos="2268"/>
        </w:tabs>
        <w:ind w:left="2268" w:hanging="567"/>
      </w:pPr>
      <w:rPr>
        <w:rFonts w:ascii="Times New Roman" w:hAnsi="Times New Roman" w:hint="default"/>
        <w:b w:val="0"/>
        <w:i w:val="0"/>
        <w:sz w:val="23"/>
      </w:rPr>
    </w:lvl>
    <w:lvl w:ilvl="4">
      <w:start w:val="1"/>
      <w:numFmt w:val="lowerRoman"/>
      <w:lvlText w:val="(%5)"/>
      <w:lvlJc w:val="left"/>
      <w:pPr>
        <w:tabs>
          <w:tab w:val="num" w:pos="2988"/>
        </w:tabs>
        <w:ind w:left="2835" w:hanging="567"/>
      </w:pPr>
      <w:rPr>
        <w:rFonts w:ascii="Times New Roman" w:hAnsi="Times New Roman" w:hint="default"/>
        <w:sz w:val="23"/>
      </w:rPr>
    </w:lvl>
    <w:lvl w:ilvl="5">
      <w:start w:val="1"/>
      <w:numFmt w:val="decimal"/>
      <w:lvlText w:val="%1.%6"/>
      <w:lvlJc w:val="left"/>
      <w:pPr>
        <w:tabs>
          <w:tab w:val="num" w:pos="1701"/>
        </w:tabs>
        <w:ind w:left="1701" w:hanging="85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Times New Roman" w:hAnsi="Times New Roman" w:hint="default"/>
        <w:b w:val="0"/>
        <w:i w:val="0"/>
        <w:sz w:val="23"/>
      </w:rPr>
    </w:lvl>
    <w:lvl w:ilvl="8">
      <w:start w:val="1"/>
      <w:numFmt w:val="lowerRoman"/>
      <w:lvlText w:val="(%9)"/>
      <w:lvlJc w:val="left"/>
      <w:pPr>
        <w:tabs>
          <w:tab w:val="num" w:pos="3839"/>
        </w:tabs>
        <w:ind w:left="3686" w:hanging="567"/>
      </w:pPr>
      <w:rPr>
        <w:rFonts w:ascii="Times New Roman" w:hAnsi="Times New Roman" w:hint="default"/>
        <w:b w:val="0"/>
        <w:i w:val="0"/>
        <w:sz w:val="23"/>
      </w:rPr>
    </w:lvl>
  </w:abstractNum>
  <w:abstractNum w:abstractNumId="2">
    <w:nsid w:val="061450BE"/>
    <w:multiLevelType w:val="hybridMultilevel"/>
    <w:tmpl w:val="942A7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2B3A94"/>
    <w:multiLevelType w:val="hybridMultilevel"/>
    <w:tmpl w:val="F7449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4956F0"/>
    <w:multiLevelType w:val="multilevel"/>
    <w:tmpl w:val="14102276"/>
    <w:lvl w:ilvl="0">
      <w:start w:val="2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2C4BE7"/>
    <w:multiLevelType w:val="multilevel"/>
    <w:tmpl w:val="D2746C20"/>
    <w:lvl w:ilvl="0">
      <w:start w:val="1"/>
      <w:numFmt w:val="decimal"/>
      <w:lvlText w:val="%1."/>
      <w:lvlJc w:val="left"/>
      <w:pPr>
        <w:tabs>
          <w:tab w:val="num" w:pos="170"/>
        </w:tabs>
        <w:ind w:left="1418" w:hanging="1418"/>
      </w:pPr>
      <w:rPr>
        <w:rFonts w:ascii="Arial" w:hAnsi="Arial" w:hint="default"/>
        <w:b/>
        <w:i w:val="0"/>
        <w:sz w:val="22"/>
        <w:u w:val="none"/>
      </w:rPr>
    </w:lvl>
    <w:lvl w:ilvl="1">
      <w:start w:val="1"/>
      <w:numFmt w:val="decimal"/>
      <w:lvlText w:val="%2."/>
      <w:lvlJc w:val="left"/>
      <w:pPr>
        <w:tabs>
          <w:tab w:val="num" w:pos="851"/>
        </w:tabs>
        <w:ind w:left="851" w:hanging="851"/>
      </w:pPr>
      <w:rPr>
        <w:rFonts w:ascii="Arial" w:eastAsia="Times New Roman" w:hAnsi="Arial" w:cs="Arial"/>
        <w:b w:val="0"/>
        <w:i w:val="0"/>
        <w:strike w:val="0"/>
        <w:sz w:val="22"/>
        <w:u w:val="none"/>
      </w:rPr>
    </w:lvl>
    <w:lvl w:ilvl="2">
      <w:start w:val="1"/>
      <w:numFmt w:val="decimal"/>
      <w:lvlText w:val="%1.%2.%3"/>
      <w:lvlJc w:val="left"/>
      <w:pPr>
        <w:tabs>
          <w:tab w:val="num" w:pos="1341"/>
        </w:tabs>
        <w:ind w:left="1341" w:hanging="850"/>
      </w:pPr>
      <w:rPr>
        <w:rFonts w:ascii="Arial" w:hAnsi="Arial" w:hint="default"/>
        <w:b w:val="0"/>
        <w:i w:val="0"/>
        <w:sz w:val="22"/>
      </w:rPr>
    </w:lvl>
    <w:lvl w:ilvl="3">
      <w:start w:val="1"/>
      <w:numFmt w:val="lowerLetter"/>
      <w:pStyle w:val="Outline4"/>
      <w:lvlText w:val="(%4)"/>
      <w:lvlJc w:val="left"/>
      <w:pPr>
        <w:tabs>
          <w:tab w:val="num" w:pos="1908"/>
        </w:tabs>
        <w:ind w:left="1908" w:hanging="567"/>
      </w:pPr>
      <w:rPr>
        <w:rFonts w:ascii="Times New Roman" w:hAnsi="Times New Roman" w:hint="default"/>
        <w:b w:val="0"/>
        <w:i w:val="0"/>
        <w:sz w:val="23"/>
      </w:rPr>
    </w:lvl>
    <w:lvl w:ilvl="4">
      <w:start w:val="1"/>
      <w:numFmt w:val="lowerRoman"/>
      <w:pStyle w:val="Outline5"/>
      <w:lvlText w:val="(%5)"/>
      <w:lvlJc w:val="left"/>
      <w:pPr>
        <w:tabs>
          <w:tab w:val="num" w:pos="2628"/>
        </w:tabs>
        <w:ind w:left="2475" w:hanging="567"/>
      </w:pPr>
      <w:rPr>
        <w:rFonts w:ascii="Times New Roman" w:hAnsi="Times New Roman" w:hint="default"/>
        <w:sz w:val="23"/>
      </w:rPr>
    </w:lvl>
    <w:lvl w:ilvl="5">
      <w:start w:val="1"/>
      <w:numFmt w:val="decimal"/>
      <w:pStyle w:val="OutlineInd2"/>
      <w:lvlText w:val="%1.%6"/>
      <w:lvlJc w:val="left"/>
      <w:pPr>
        <w:tabs>
          <w:tab w:val="num" w:pos="1341"/>
        </w:tabs>
        <w:ind w:left="1341" w:hanging="85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192"/>
        </w:tabs>
        <w:ind w:left="2192" w:hanging="851"/>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2759"/>
        </w:tabs>
        <w:ind w:left="2759" w:hanging="567"/>
      </w:pPr>
      <w:rPr>
        <w:rFonts w:ascii="Times New Roman" w:hAnsi="Times New Roman" w:hint="default"/>
        <w:b w:val="0"/>
        <w:i w:val="0"/>
        <w:sz w:val="23"/>
      </w:rPr>
    </w:lvl>
    <w:lvl w:ilvl="8">
      <w:start w:val="1"/>
      <w:numFmt w:val="lowerRoman"/>
      <w:pStyle w:val="OutlineInd5"/>
      <w:lvlText w:val="(%9)"/>
      <w:lvlJc w:val="left"/>
      <w:pPr>
        <w:tabs>
          <w:tab w:val="num" w:pos="3479"/>
        </w:tabs>
        <w:ind w:left="3326" w:hanging="567"/>
      </w:pPr>
      <w:rPr>
        <w:rFonts w:ascii="Times New Roman" w:hAnsi="Times New Roman" w:hint="default"/>
        <w:b w:val="0"/>
        <w:i w:val="0"/>
        <w:sz w:val="23"/>
      </w:rPr>
    </w:lvl>
  </w:abstractNum>
  <w:abstractNum w:abstractNumId="6">
    <w:nsid w:val="1B387AF8"/>
    <w:multiLevelType w:val="hybridMultilevel"/>
    <w:tmpl w:val="BDA033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DC13792"/>
    <w:multiLevelType w:val="hybridMultilevel"/>
    <w:tmpl w:val="82D82C18"/>
    <w:lvl w:ilvl="0" w:tplc="C9765F38">
      <w:start w:val="1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FFD750B"/>
    <w:multiLevelType w:val="multilevel"/>
    <w:tmpl w:val="4F027C2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25FB4BA0"/>
    <w:multiLevelType w:val="hybridMultilevel"/>
    <w:tmpl w:val="0AEA2154"/>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0">
    <w:nsid w:val="27A648EC"/>
    <w:multiLevelType w:val="hybridMultilevel"/>
    <w:tmpl w:val="EAFE97D6"/>
    <w:lvl w:ilvl="0" w:tplc="248A4274">
      <w:start w:val="5"/>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nsid w:val="2C602B64"/>
    <w:multiLevelType w:val="hybridMultilevel"/>
    <w:tmpl w:val="412A63C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7F2EF5"/>
    <w:multiLevelType w:val="hybridMultilevel"/>
    <w:tmpl w:val="1EAE5122"/>
    <w:lvl w:ilvl="0" w:tplc="0172AE9E">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nsid w:val="34C36963"/>
    <w:multiLevelType w:val="hybridMultilevel"/>
    <w:tmpl w:val="8A34557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nsid w:val="3AC30738"/>
    <w:multiLevelType w:val="hybridMultilevel"/>
    <w:tmpl w:val="27623104"/>
    <w:lvl w:ilvl="0" w:tplc="BBC4BD0C">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DFB0861"/>
    <w:multiLevelType w:val="hybridMultilevel"/>
    <w:tmpl w:val="F03E200A"/>
    <w:lvl w:ilvl="0" w:tplc="83A86B18">
      <w:start w:val="1"/>
      <w:numFmt w:val="decimal"/>
      <w:lvlText w:val="%1."/>
      <w:lvlJc w:val="left"/>
      <w:pPr>
        <w:ind w:left="1931" w:hanging="360"/>
      </w:pPr>
      <w:rPr>
        <w:rFonts w:hint="default"/>
      </w:r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16">
    <w:nsid w:val="3FAC7289"/>
    <w:multiLevelType w:val="hybridMultilevel"/>
    <w:tmpl w:val="D62CD01E"/>
    <w:lvl w:ilvl="0" w:tplc="A3D0F90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47D32EE"/>
    <w:multiLevelType w:val="hybridMultilevel"/>
    <w:tmpl w:val="3FE0ED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nsid w:val="4625493B"/>
    <w:multiLevelType w:val="hybridMultilevel"/>
    <w:tmpl w:val="57EA0F50"/>
    <w:lvl w:ilvl="0" w:tplc="FFFFFFFF">
      <w:start w:val="1"/>
      <w:numFmt w:val="bullet"/>
      <w:lvlText w:val=""/>
      <w:lvlJc w:val="left"/>
      <w:pPr>
        <w:tabs>
          <w:tab w:val="num" w:pos="2304"/>
        </w:tabs>
        <w:ind w:left="2304" w:hanging="432"/>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4A4B61CE"/>
    <w:multiLevelType w:val="multilevel"/>
    <w:tmpl w:val="88A00B92"/>
    <w:lvl w:ilvl="0">
      <w:start w:val="1"/>
      <w:numFmt w:val="decimal"/>
      <w:lvlText w:val="%1."/>
      <w:lvlJc w:val="left"/>
      <w:pPr>
        <w:ind w:left="720" w:hanging="360"/>
      </w:pPr>
      <w:rPr>
        <w:rFonts w:hint="default"/>
      </w:rPr>
    </w:lvl>
    <w:lvl w:ilvl="1">
      <w:start w:val="1"/>
      <w:numFmt w:val="decimal"/>
      <w:isLgl/>
      <w:lvlText w:val="%1.%2"/>
      <w:lvlJc w:val="left"/>
      <w:pPr>
        <w:ind w:left="851" w:hanging="360"/>
      </w:pPr>
      <w:rPr>
        <w:rFonts w:hint="default"/>
      </w:rPr>
    </w:lvl>
    <w:lvl w:ilvl="2">
      <w:start w:val="1"/>
      <w:numFmt w:val="decimal"/>
      <w:isLgl/>
      <w:lvlText w:val="%1.%2.%3"/>
      <w:lvlJc w:val="left"/>
      <w:pPr>
        <w:ind w:left="1342" w:hanging="720"/>
      </w:pPr>
      <w:rPr>
        <w:rFonts w:hint="default"/>
      </w:rPr>
    </w:lvl>
    <w:lvl w:ilvl="3">
      <w:start w:val="1"/>
      <w:numFmt w:val="decimal"/>
      <w:isLgl/>
      <w:lvlText w:val="%1.%2.%3.%4"/>
      <w:lvlJc w:val="left"/>
      <w:pPr>
        <w:ind w:left="147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2095"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208" w:hanging="1800"/>
      </w:pPr>
      <w:rPr>
        <w:rFonts w:hint="default"/>
      </w:rPr>
    </w:lvl>
  </w:abstractNum>
  <w:abstractNum w:abstractNumId="20">
    <w:nsid w:val="4B5C5D68"/>
    <w:multiLevelType w:val="hybridMultilevel"/>
    <w:tmpl w:val="6164B618"/>
    <w:lvl w:ilvl="0" w:tplc="661EF372">
      <w:start w:val="1"/>
      <w:numFmt w:val="bullet"/>
      <w:pStyle w:val="Outline3"/>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nsid w:val="4C577532"/>
    <w:multiLevelType w:val="hybridMultilevel"/>
    <w:tmpl w:val="81B21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DDF19B4"/>
    <w:multiLevelType w:val="hybridMultilevel"/>
    <w:tmpl w:val="7A6059E6"/>
    <w:lvl w:ilvl="0" w:tplc="B582C984">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4FDA221C"/>
    <w:multiLevelType w:val="hybridMultilevel"/>
    <w:tmpl w:val="3536A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1892C13"/>
    <w:multiLevelType w:val="hybridMultilevel"/>
    <w:tmpl w:val="FB1AAE54"/>
    <w:lvl w:ilvl="0" w:tplc="08090001">
      <w:start w:val="1"/>
      <w:numFmt w:val="bullet"/>
      <w:lvlText w:val=""/>
      <w:lvlJc w:val="left"/>
      <w:pPr>
        <w:ind w:left="2304" w:hanging="360"/>
      </w:pPr>
      <w:rPr>
        <w:rFonts w:ascii="Symbol" w:hAnsi="Symbol" w:hint="default"/>
      </w:rPr>
    </w:lvl>
    <w:lvl w:ilvl="1" w:tplc="08090003" w:tentative="1">
      <w:start w:val="1"/>
      <w:numFmt w:val="bullet"/>
      <w:lvlText w:val="o"/>
      <w:lvlJc w:val="left"/>
      <w:pPr>
        <w:ind w:left="3024" w:hanging="360"/>
      </w:pPr>
      <w:rPr>
        <w:rFonts w:ascii="Courier New" w:hAnsi="Courier New" w:cs="Courier New" w:hint="default"/>
      </w:rPr>
    </w:lvl>
    <w:lvl w:ilvl="2" w:tplc="08090005" w:tentative="1">
      <w:start w:val="1"/>
      <w:numFmt w:val="bullet"/>
      <w:lvlText w:val=""/>
      <w:lvlJc w:val="left"/>
      <w:pPr>
        <w:ind w:left="3744" w:hanging="360"/>
      </w:pPr>
      <w:rPr>
        <w:rFonts w:ascii="Wingdings" w:hAnsi="Wingdings" w:hint="default"/>
      </w:rPr>
    </w:lvl>
    <w:lvl w:ilvl="3" w:tplc="08090001" w:tentative="1">
      <w:start w:val="1"/>
      <w:numFmt w:val="bullet"/>
      <w:lvlText w:val=""/>
      <w:lvlJc w:val="left"/>
      <w:pPr>
        <w:ind w:left="4464" w:hanging="360"/>
      </w:pPr>
      <w:rPr>
        <w:rFonts w:ascii="Symbol" w:hAnsi="Symbol" w:hint="default"/>
      </w:rPr>
    </w:lvl>
    <w:lvl w:ilvl="4" w:tplc="08090003" w:tentative="1">
      <w:start w:val="1"/>
      <w:numFmt w:val="bullet"/>
      <w:lvlText w:val="o"/>
      <w:lvlJc w:val="left"/>
      <w:pPr>
        <w:ind w:left="5184" w:hanging="360"/>
      </w:pPr>
      <w:rPr>
        <w:rFonts w:ascii="Courier New" w:hAnsi="Courier New" w:cs="Courier New" w:hint="default"/>
      </w:rPr>
    </w:lvl>
    <w:lvl w:ilvl="5" w:tplc="08090005" w:tentative="1">
      <w:start w:val="1"/>
      <w:numFmt w:val="bullet"/>
      <w:lvlText w:val=""/>
      <w:lvlJc w:val="left"/>
      <w:pPr>
        <w:ind w:left="5904" w:hanging="360"/>
      </w:pPr>
      <w:rPr>
        <w:rFonts w:ascii="Wingdings" w:hAnsi="Wingdings" w:hint="default"/>
      </w:rPr>
    </w:lvl>
    <w:lvl w:ilvl="6" w:tplc="08090001" w:tentative="1">
      <w:start w:val="1"/>
      <w:numFmt w:val="bullet"/>
      <w:lvlText w:val=""/>
      <w:lvlJc w:val="left"/>
      <w:pPr>
        <w:ind w:left="6624" w:hanging="360"/>
      </w:pPr>
      <w:rPr>
        <w:rFonts w:ascii="Symbol" w:hAnsi="Symbol" w:hint="default"/>
      </w:rPr>
    </w:lvl>
    <w:lvl w:ilvl="7" w:tplc="08090003" w:tentative="1">
      <w:start w:val="1"/>
      <w:numFmt w:val="bullet"/>
      <w:lvlText w:val="o"/>
      <w:lvlJc w:val="left"/>
      <w:pPr>
        <w:ind w:left="7344" w:hanging="360"/>
      </w:pPr>
      <w:rPr>
        <w:rFonts w:ascii="Courier New" w:hAnsi="Courier New" w:cs="Courier New" w:hint="default"/>
      </w:rPr>
    </w:lvl>
    <w:lvl w:ilvl="8" w:tplc="08090005" w:tentative="1">
      <w:start w:val="1"/>
      <w:numFmt w:val="bullet"/>
      <w:lvlText w:val=""/>
      <w:lvlJc w:val="left"/>
      <w:pPr>
        <w:ind w:left="8064" w:hanging="360"/>
      </w:pPr>
      <w:rPr>
        <w:rFonts w:ascii="Wingdings" w:hAnsi="Wingdings" w:hint="default"/>
      </w:rPr>
    </w:lvl>
  </w:abstractNum>
  <w:abstractNum w:abstractNumId="25">
    <w:nsid w:val="52E016C5"/>
    <w:multiLevelType w:val="hybridMultilevel"/>
    <w:tmpl w:val="1B10B46C"/>
    <w:lvl w:ilvl="0" w:tplc="FFFFFFFF">
      <w:start w:val="1"/>
      <w:numFmt w:val="bullet"/>
      <w:lvlText w:val=""/>
      <w:lvlJc w:val="left"/>
      <w:pPr>
        <w:tabs>
          <w:tab w:val="num" w:pos="1584"/>
        </w:tabs>
        <w:ind w:left="1584" w:hanging="432"/>
      </w:pPr>
      <w:rPr>
        <w:rFonts w:ascii="Symbol" w:hAnsi="Symbol" w:hint="default"/>
      </w:rPr>
    </w:lvl>
    <w:lvl w:ilvl="1" w:tplc="FFFFFFFF" w:tentative="1">
      <w:start w:val="1"/>
      <w:numFmt w:val="bullet"/>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26">
    <w:nsid w:val="53DA1EA9"/>
    <w:multiLevelType w:val="hybridMultilevel"/>
    <w:tmpl w:val="6C928574"/>
    <w:lvl w:ilvl="0" w:tplc="368858D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nsid w:val="5A2D41CE"/>
    <w:multiLevelType w:val="multilevel"/>
    <w:tmpl w:val="56A0BF86"/>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PCSchedule4"/>
      <w:isLgl/>
      <w:lvlText w:val="%1.%2"/>
      <w:lvlJc w:val="left"/>
      <w:pPr>
        <w:tabs>
          <w:tab w:val="num" w:pos="851"/>
        </w:tabs>
        <w:ind w:left="851" w:hanging="851"/>
      </w:pPr>
      <w:rPr>
        <w:rFonts w:ascii="Arial" w:hAnsi="Arial" w:hint="default"/>
        <w:b w:val="0"/>
        <w:i w:val="0"/>
        <w:sz w:val="22"/>
        <w:u w:val="none"/>
      </w:rPr>
    </w:lvl>
    <w:lvl w:ilvl="2">
      <w:start w:val="1"/>
      <w:numFmt w:val="decimal"/>
      <w:pStyle w:val="PCSchedule5"/>
      <w:isLgl/>
      <w:lvlText w:val="%1.%2.%3"/>
      <w:lvlJc w:val="left"/>
      <w:pPr>
        <w:tabs>
          <w:tab w:val="num" w:pos="1701"/>
        </w:tabs>
        <w:ind w:left="1701" w:hanging="850"/>
      </w:pPr>
      <w:rPr>
        <w:rFonts w:ascii="Arial" w:hAnsi="Arial" w:hint="default"/>
        <w:b w:val="0"/>
        <w:i w:val="0"/>
        <w:sz w:val="22"/>
      </w:rPr>
    </w:lvl>
    <w:lvl w:ilvl="3">
      <w:start w:val="1"/>
      <w:numFmt w:val="lowerLetter"/>
      <w:pStyle w:val="PCScheduleInd2"/>
      <w:lvlText w:val="(%4)"/>
      <w:lvlJc w:val="left"/>
      <w:pPr>
        <w:tabs>
          <w:tab w:val="num" w:pos="2268"/>
        </w:tabs>
        <w:ind w:left="2268" w:hanging="567"/>
      </w:pPr>
      <w:rPr>
        <w:rFonts w:ascii="Arial" w:hAnsi="Arial" w:hint="default"/>
        <w:b w:val="0"/>
        <w:i w:val="0"/>
        <w:sz w:val="22"/>
      </w:rPr>
    </w:lvl>
    <w:lvl w:ilvl="4">
      <w:start w:val="1"/>
      <w:numFmt w:val="lowerRoman"/>
      <w:pStyle w:val="PCScheduleInd3"/>
      <w:lvlText w:val="(%5)"/>
      <w:lvlJc w:val="left"/>
      <w:pPr>
        <w:tabs>
          <w:tab w:val="num" w:pos="2988"/>
        </w:tabs>
        <w:ind w:left="2835" w:hanging="567"/>
      </w:pPr>
      <w:rPr>
        <w:rFonts w:ascii="Arial" w:hAnsi="Arial" w:hint="default"/>
        <w:sz w:val="22"/>
      </w:rPr>
    </w:lvl>
    <w:lvl w:ilvl="5">
      <w:start w:val="1"/>
      <w:numFmt w:val="decimal"/>
      <w:pStyle w:val="PCScheduleInd4"/>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11"/>
      <w:lvlText w:val="(%8)"/>
      <w:lvlJc w:val="left"/>
      <w:pPr>
        <w:tabs>
          <w:tab w:val="num" w:pos="3119"/>
        </w:tabs>
        <w:ind w:left="3119" w:hanging="567"/>
      </w:pPr>
      <w:rPr>
        <w:rFonts w:ascii="Arial" w:hAnsi="Arial" w:hint="default"/>
        <w:b w:val="0"/>
        <w:i w:val="0"/>
        <w:sz w:val="22"/>
      </w:rPr>
    </w:lvl>
    <w:lvl w:ilvl="8">
      <w:start w:val="1"/>
      <w:numFmt w:val="lowerRoman"/>
      <w:pStyle w:val="BodyText2"/>
      <w:lvlText w:val="(%9)"/>
      <w:lvlJc w:val="left"/>
      <w:pPr>
        <w:tabs>
          <w:tab w:val="num" w:pos="3839"/>
        </w:tabs>
        <w:ind w:left="3686" w:hanging="567"/>
      </w:pPr>
      <w:rPr>
        <w:rFonts w:ascii="Arial" w:hAnsi="Arial" w:hint="default"/>
        <w:b w:val="0"/>
        <w:i w:val="0"/>
        <w:sz w:val="22"/>
      </w:rPr>
    </w:lvl>
  </w:abstractNum>
  <w:abstractNum w:abstractNumId="28">
    <w:nsid w:val="5A3D152E"/>
    <w:multiLevelType w:val="hybridMultilevel"/>
    <w:tmpl w:val="7F100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4363CCA"/>
    <w:multiLevelType w:val="hybridMultilevel"/>
    <w:tmpl w:val="23A0322A"/>
    <w:lvl w:ilvl="0" w:tplc="29062A64">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5C7611E"/>
    <w:multiLevelType w:val="hybridMultilevel"/>
    <w:tmpl w:val="ECC01968"/>
    <w:lvl w:ilvl="0" w:tplc="0B925190">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nsid w:val="664C39B9"/>
    <w:multiLevelType w:val="hybridMultilevel"/>
    <w:tmpl w:val="FA0C64AC"/>
    <w:lvl w:ilvl="0" w:tplc="B7CA3180">
      <w:start w:val="5"/>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nsid w:val="68E86151"/>
    <w:multiLevelType w:val="hybridMultilevel"/>
    <w:tmpl w:val="61A8E926"/>
    <w:lvl w:ilvl="0" w:tplc="08090001">
      <w:start w:val="1"/>
      <w:numFmt w:val="bullet"/>
      <w:lvlText w:val=""/>
      <w:lvlJc w:val="left"/>
      <w:pPr>
        <w:ind w:left="2304" w:hanging="360"/>
      </w:pPr>
      <w:rPr>
        <w:rFonts w:ascii="Symbol" w:hAnsi="Symbol" w:hint="default"/>
      </w:rPr>
    </w:lvl>
    <w:lvl w:ilvl="1" w:tplc="08090003" w:tentative="1">
      <w:start w:val="1"/>
      <w:numFmt w:val="bullet"/>
      <w:lvlText w:val="o"/>
      <w:lvlJc w:val="left"/>
      <w:pPr>
        <w:ind w:left="3024" w:hanging="360"/>
      </w:pPr>
      <w:rPr>
        <w:rFonts w:ascii="Courier New" w:hAnsi="Courier New" w:cs="Courier New" w:hint="default"/>
      </w:rPr>
    </w:lvl>
    <w:lvl w:ilvl="2" w:tplc="08090005" w:tentative="1">
      <w:start w:val="1"/>
      <w:numFmt w:val="bullet"/>
      <w:lvlText w:val=""/>
      <w:lvlJc w:val="left"/>
      <w:pPr>
        <w:ind w:left="3744" w:hanging="360"/>
      </w:pPr>
      <w:rPr>
        <w:rFonts w:ascii="Wingdings" w:hAnsi="Wingdings" w:hint="default"/>
      </w:rPr>
    </w:lvl>
    <w:lvl w:ilvl="3" w:tplc="08090001" w:tentative="1">
      <w:start w:val="1"/>
      <w:numFmt w:val="bullet"/>
      <w:lvlText w:val=""/>
      <w:lvlJc w:val="left"/>
      <w:pPr>
        <w:ind w:left="4464" w:hanging="360"/>
      </w:pPr>
      <w:rPr>
        <w:rFonts w:ascii="Symbol" w:hAnsi="Symbol" w:hint="default"/>
      </w:rPr>
    </w:lvl>
    <w:lvl w:ilvl="4" w:tplc="08090003" w:tentative="1">
      <w:start w:val="1"/>
      <w:numFmt w:val="bullet"/>
      <w:lvlText w:val="o"/>
      <w:lvlJc w:val="left"/>
      <w:pPr>
        <w:ind w:left="5184" w:hanging="360"/>
      </w:pPr>
      <w:rPr>
        <w:rFonts w:ascii="Courier New" w:hAnsi="Courier New" w:cs="Courier New" w:hint="default"/>
      </w:rPr>
    </w:lvl>
    <w:lvl w:ilvl="5" w:tplc="08090005" w:tentative="1">
      <w:start w:val="1"/>
      <w:numFmt w:val="bullet"/>
      <w:lvlText w:val=""/>
      <w:lvlJc w:val="left"/>
      <w:pPr>
        <w:ind w:left="5904" w:hanging="360"/>
      </w:pPr>
      <w:rPr>
        <w:rFonts w:ascii="Wingdings" w:hAnsi="Wingdings" w:hint="default"/>
      </w:rPr>
    </w:lvl>
    <w:lvl w:ilvl="6" w:tplc="08090001" w:tentative="1">
      <w:start w:val="1"/>
      <w:numFmt w:val="bullet"/>
      <w:lvlText w:val=""/>
      <w:lvlJc w:val="left"/>
      <w:pPr>
        <w:ind w:left="6624" w:hanging="360"/>
      </w:pPr>
      <w:rPr>
        <w:rFonts w:ascii="Symbol" w:hAnsi="Symbol" w:hint="default"/>
      </w:rPr>
    </w:lvl>
    <w:lvl w:ilvl="7" w:tplc="08090003" w:tentative="1">
      <w:start w:val="1"/>
      <w:numFmt w:val="bullet"/>
      <w:lvlText w:val="o"/>
      <w:lvlJc w:val="left"/>
      <w:pPr>
        <w:ind w:left="7344" w:hanging="360"/>
      </w:pPr>
      <w:rPr>
        <w:rFonts w:ascii="Courier New" w:hAnsi="Courier New" w:cs="Courier New" w:hint="default"/>
      </w:rPr>
    </w:lvl>
    <w:lvl w:ilvl="8" w:tplc="08090005" w:tentative="1">
      <w:start w:val="1"/>
      <w:numFmt w:val="bullet"/>
      <w:lvlText w:val=""/>
      <w:lvlJc w:val="left"/>
      <w:pPr>
        <w:ind w:left="8064" w:hanging="360"/>
      </w:pPr>
      <w:rPr>
        <w:rFonts w:ascii="Wingdings" w:hAnsi="Wingdings" w:hint="default"/>
      </w:rPr>
    </w:lvl>
  </w:abstractNum>
  <w:abstractNum w:abstractNumId="33">
    <w:nsid w:val="6E2856CF"/>
    <w:multiLevelType w:val="hybridMultilevel"/>
    <w:tmpl w:val="0428C1C8"/>
    <w:lvl w:ilvl="0" w:tplc="FFFFFFFF">
      <w:start w:val="1"/>
      <w:numFmt w:val="bullet"/>
      <w:lvlText w:val=""/>
      <w:lvlJc w:val="left"/>
      <w:pPr>
        <w:tabs>
          <w:tab w:val="num" w:pos="2304"/>
        </w:tabs>
        <w:ind w:left="2304" w:hanging="432"/>
      </w:pPr>
      <w:rPr>
        <w:rFonts w:ascii="Symbol" w:hAnsi="Symbol" w:hint="default"/>
      </w:rPr>
    </w:lvl>
    <w:lvl w:ilvl="1" w:tplc="FFFFFFFF">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7CF345C0"/>
    <w:multiLevelType w:val="hybridMultilevel"/>
    <w:tmpl w:val="052A9364"/>
    <w:lvl w:ilvl="0" w:tplc="B768C6D8">
      <w:start w:val="2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25"/>
  </w:num>
  <w:num w:numId="3">
    <w:abstractNumId w:val="27"/>
  </w:num>
  <w:num w:numId="4">
    <w:abstractNumId w:val="1"/>
  </w:num>
  <w:num w:numId="5">
    <w:abstractNumId w:val="29"/>
  </w:num>
  <w:num w:numId="6">
    <w:abstractNumId w:val="12"/>
  </w:num>
  <w:num w:numId="7">
    <w:abstractNumId w:val="15"/>
  </w:num>
  <w:num w:numId="8">
    <w:abstractNumId w:val="19"/>
  </w:num>
  <w:num w:numId="9">
    <w:abstractNumId w:val="18"/>
  </w:num>
  <w:num w:numId="10">
    <w:abstractNumId w:val="33"/>
  </w:num>
  <w:num w:numId="11">
    <w:abstractNumId w:val="13"/>
  </w:num>
  <w:num w:numId="12">
    <w:abstractNumId w:val="17"/>
  </w:num>
  <w:num w:numId="13">
    <w:abstractNumId w:val="20"/>
  </w:num>
  <w:num w:numId="14">
    <w:abstractNumId w:val="30"/>
  </w:num>
  <w:num w:numId="15">
    <w:abstractNumId w:val="4"/>
  </w:num>
  <w:num w:numId="16">
    <w:abstractNumId w:val="16"/>
  </w:num>
  <w:num w:numId="17">
    <w:abstractNumId w:val="22"/>
  </w:num>
  <w:num w:numId="18">
    <w:abstractNumId w:val="7"/>
  </w:num>
  <w:num w:numId="19">
    <w:abstractNumId w:val="34"/>
  </w:num>
  <w:num w:numId="20">
    <w:abstractNumId w:val="14"/>
  </w:num>
  <w:num w:numId="21">
    <w:abstractNumId w:val="31"/>
  </w:num>
  <w:num w:numId="22">
    <w:abstractNumId w:val="10"/>
  </w:num>
  <w:num w:numId="23">
    <w:abstractNumId w:val="32"/>
  </w:num>
  <w:num w:numId="24">
    <w:abstractNumId w:val="26"/>
  </w:num>
  <w:num w:numId="25">
    <w:abstractNumId w:val="0"/>
    <w:lvlOverride w:ilvl="0">
      <w:lvl w:ilvl="0">
        <w:numFmt w:val="bullet"/>
        <w:lvlText w:val=""/>
        <w:legacy w:legacy="1" w:legacySpace="0" w:legacyIndent="0"/>
        <w:lvlJc w:val="left"/>
        <w:rPr>
          <w:rFonts w:ascii="Symbol" w:hAnsi="Symbol" w:hint="default"/>
        </w:rPr>
      </w:lvl>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4"/>
  </w:num>
  <w:num w:numId="29">
    <w:abstractNumId w:val="8"/>
  </w:num>
  <w:num w:numId="30">
    <w:abstractNumId w:val="28"/>
  </w:num>
  <w:num w:numId="31">
    <w:abstractNumId w:val="2"/>
  </w:num>
  <w:num w:numId="32">
    <w:abstractNumId w:val="11"/>
  </w:num>
  <w:num w:numId="33">
    <w:abstractNumId w:val="21"/>
  </w:num>
  <w:num w:numId="34">
    <w:abstractNumId w:val="9"/>
  </w:num>
  <w:num w:numId="35">
    <w:abstractNumId w:val="6"/>
  </w:num>
  <w:num w:numId="36">
    <w:abstractNumId w:val="3"/>
  </w:num>
  <w:num w:numId="37">
    <w:abstractNumId w:val="23"/>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7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116"/>
    <w:rsid w:val="00001DF8"/>
    <w:rsid w:val="00002A58"/>
    <w:rsid w:val="00003858"/>
    <w:rsid w:val="00006420"/>
    <w:rsid w:val="00007524"/>
    <w:rsid w:val="00007CED"/>
    <w:rsid w:val="00013A14"/>
    <w:rsid w:val="000141B7"/>
    <w:rsid w:val="00015051"/>
    <w:rsid w:val="000205D4"/>
    <w:rsid w:val="000213A1"/>
    <w:rsid w:val="00032A15"/>
    <w:rsid w:val="0003643E"/>
    <w:rsid w:val="000377DF"/>
    <w:rsid w:val="00037A97"/>
    <w:rsid w:val="0004123A"/>
    <w:rsid w:val="00042EDC"/>
    <w:rsid w:val="00043EC6"/>
    <w:rsid w:val="00044CF7"/>
    <w:rsid w:val="00047149"/>
    <w:rsid w:val="00047D2B"/>
    <w:rsid w:val="00060F20"/>
    <w:rsid w:val="00061DE5"/>
    <w:rsid w:val="00071844"/>
    <w:rsid w:val="00075616"/>
    <w:rsid w:val="000759C8"/>
    <w:rsid w:val="00076603"/>
    <w:rsid w:val="00082690"/>
    <w:rsid w:val="000856BC"/>
    <w:rsid w:val="00087586"/>
    <w:rsid w:val="0009307D"/>
    <w:rsid w:val="00095B6C"/>
    <w:rsid w:val="000A0B01"/>
    <w:rsid w:val="000A2554"/>
    <w:rsid w:val="000A315D"/>
    <w:rsid w:val="000A3C31"/>
    <w:rsid w:val="000B07AF"/>
    <w:rsid w:val="000B2B65"/>
    <w:rsid w:val="000B4824"/>
    <w:rsid w:val="000B5D00"/>
    <w:rsid w:val="000B6469"/>
    <w:rsid w:val="000B6A26"/>
    <w:rsid w:val="000B6BE6"/>
    <w:rsid w:val="000B76E6"/>
    <w:rsid w:val="000C4712"/>
    <w:rsid w:val="000C5E0A"/>
    <w:rsid w:val="000C5E5E"/>
    <w:rsid w:val="000C6595"/>
    <w:rsid w:val="000D0DC5"/>
    <w:rsid w:val="000D4DF8"/>
    <w:rsid w:val="000D7A3C"/>
    <w:rsid w:val="000E0228"/>
    <w:rsid w:val="000E15AB"/>
    <w:rsid w:val="000F0F3A"/>
    <w:rsid w:val="000F2D13"/>
    <w:rsid w:val="000F53E3"/>
    <w:rsid w:val="000F7C9E"/>
    <w:rsid w:val="00106974"/>
    <w:rsid w:val="00112D90"/>
    <w:rsid w:val="00113476"/>
    <w:rsid w:val="0011580A"/>
    <w:rsid w:val="00120EBB"/>
    <w:rsid w:val="00121E21"/>
    <w:rsid w:val="00127A1D"/>
    <w:rsid w:val="00134271"/>
    <w:rsid w:val="001414E8"/>
    <w:rsid w:val="001459F6"/>
    <w:rsid w:val="0014685F"/>
    <w:rsid w:val="00151BE8"/>
    <w:rsid w:val="00153076"/>
    <w:rsid w:val="00155634"/>
    <w:rsid w:val="0016002B"/>
    <w:rsid w:val="00161179"/>
    <w:rsid w:val="00161EFF"/>
    <w:rsid w:val="00163383"/>
    <w:rsid w:val="0016341E"/>
    <w:rsid w:val="00172614"/>
    <w:rsid w:val="00173240"/>
    <w:rsid w:val="00176A2D"/>
    <w:rsid w:val="00180AA8"/>
    <w:rsid w:val="0018398F"/>
    <w:rsid w:val="00183D87"/>
    <w:rsid w:val="00185F1A"/>
    <w:rsid w:val="00187D2A"/>
    <w:rsid w:val="0019082A"/>
    <w:rsid w:val="00190C69"/>
    <w:rsid w:val="00192063"/>
    <w:rsid w:val="00193114"/>
    <w:rsid w:val="001940FA"/>
    <w:rsid w:val="00195BD5"/>
    <w:rsid w:val="0019660D"/>
    <w:rsid w:val="00197C0B"/>
    <w:rsid w:val="001A0357"/>
    <w:rsid w:val="001A0CF5"/>
    <w:rsid w:val="001B130B"/>
    <w:rsid w:val="001B26AC"/>
    <w:rsid w:val="001B2EF4"/>
    <w:rsid w:val="001B4BB5"/>
    <w:rsid w:val="001C273E"/>
    <w:rsid w:val="001C44E0"/>
    <w:rsid w:val="001C4945"/>
    <w:rsid w:val="001C56BC"/>
    <w:rsid w:val="001D4763"/>
    <w:rsid w:val="001D7210"/>
    <w:rsid w:val="001E5FDB"/>
    <w:rsid w:val="001E69D5"/>
    <w:rsid w:val="001E6C8E"/>
    <w:rsid w:val="001F0E89"/>
    <w:rsid w:val="001F2C9E"/>
    <w:rsid w:val="001F6029"/>
    <w:rsid w:val="00202582"/>
    <w:rsid w:val="0020760A"/>
    <w:rsid w:val="00210367"/>
    <w:rsid w:val="00212463"/>
    <w:rsid w:val="002130CE"/>
    <w:rsid w:val="002137CE"/>
    <w:rsid w:val="00214C5E"/>
    <w:rsid w:val="00223B4E"/>
    <w:rsid w:val="00230BAB"/>
    <w:rsid w:val="002316D4"/>
    <w:rsid w:val="00242A5A"/>
    <w:rsid w:val="0024543E"/>
    <w:rsid w:val="00245B6F"/>
    <w:rsid w:val="002522E6"/>
    <w:rsid w:val="00252AF8"/>
    <w:rsid w:val="00260ED3"/>
    <w:rsid w:val="002621A0"/>
    <w:rsid w:val="00263DC2"/>
    <w:rsid w:val="0026662E"/>
    <w:rsid w:val="00266EA4"/>
    <w:rsid w:val="00273A25"/>
    <w:rsid w:val="00275308"/>
    <w:rsid w:val="0027627D"/>
    <w:rsid w:val="00277C74"/>
    <w:rsid w:val="00281C51"/>
    <w:rsid w:val="00282AFB"/>
    <w:rsid w:val="002838C9"/>
    <w:rsid w:val="002847D1"/>
    <w:rsid w:val="0028545B"/>
    <w:rsid w:val="00285FD1"/>
    <w:rsid w:val="0028717A"/>
    <w:rsid w:val="0028752F"/>
    <w:rsid w:val="00293E02"/>
    <w:rsid w:val="0029491B"/>
    <w:rsid w:val="00294A2D"/>
    <w:rsid w:val="002A10D1"/>
    <w:rsid w:val="002A18DE"/>
    <w:rsid w:val="002A220B"/>
    <w:rsid w:val="002A22C7"/>
    <w:rsid w:val="002A3BF0"/>
    <w:rsid w:val="002B0172"/>
    <w:rsid w:val="002B03AC"/>
    <w:rsid w:val="002B0732"/>
    <w:rsid w:val="002B1715"/>
    <w:rsid w:val="002B1FB2"/>
    <w:rsid w:val="002B2807"/>
    <w:rsid w:val="002B5FD4"/>
    <w:rsid w:val="002B79E3"/>
    <w:rsid w:val="002C0578"/>
    <w:rsid w:val="002C165E"/>
    <w:rsid w:val="002C5E30"/>
    <w:rsid w:val="002E0ADF"/>
    <w:rsid w:val="002F21EC"/>
    <w:rsid w:val="00304B5F"/>
    <w:rsid w:val="00304D26"/>
    <w:rsid w:val="003059C2"/>
    <w:rsid w:val="00305C9C"/>
    <w:rsid w:val="00311C9E"/>
    <w:rsid w:val="003137B8"/>
    <w:rsid w:val="00314089"/>
    <w:rsid w:val="0031512B"/>
    <w:rsid w:val="00316E02"/>
    <w:rsid w:val="00321B12"/>
    <w:rsid w:val="00323A2E"/>
    <w:rsid w:val="003243CB"/>
    <w:rsid w:val="00324B4E"/>
    <w:rsid w:val="00325C0B"/>
    <w:rsid w:val="00331EA9"/>
    <w:rsid w:val="00332209"/>
    <w:rsid w:val="003323B5"/>
    <w:rsid w:val="00335735"/>
    <w:rsid w:val="00337827"/>
    <w:rsid w:val="00337E19"/>
    <w:rsid w:val="003411FB"/>
    <w:rsid w:val="00346E72"/>
    <w:rsid w:val="00351A9A"/>
    <w:rsid w:val="00362FE6"/>
    <w:rsid w:val="00363E9F"/>
    <w:rsid w:val="0036485E"/>
    <w:rsid w:val="00365678"/>
    <w:rsid w:val="00365F2F"/>
    <w:rsid w:val="003662AD"/>
    <w:rsid w:val="00366D9E"/>
    <w:rsid w:val="00370FF3"/>
    <w:rsid w:val="00372D0F"/>
    <w:rsid w:val="00380E3F"/>
    <w:rsid w:val="00381D4E"/>
    <w:rsid w:val="00382939"/>
    <w:rsid w:val="00383A2C"/>
    <w:rsid w:val="00385C26"/>
    <w:rsid w:val="00390DA6"/>
    <w:rsid w:val="00391235"/>
    <w:rsid w:val="00396F9B"/>
    <w:rsid w:val="003A12CB"/>
    <w:rsid w:val="003A5859"/>
    <w:rsid w:val="003B19D5"/>
    <w:rsid w:val="003B33A6"/>
    <w:rsid w:val="003B6EAA"/>
    <w:rsid w:val="003C11B0"/>
    <w:rsid w:val="003C1A40"/>
    <w:rsid w:val="003C2839"/>
    <w:rsid w:val="003C66BE"/>
    <w:rsid w:val="003D0F5F"/>
    <w:rsid w:val="003D5317"/>
    <w:rsid w:val="003D6AAB"/>
    <w:rsid w:val="003E6711"/>
    <w:rsid w:val="003E7328"/>
    <w:rsid w:val="003E7B1B"/>
    <w:rsid w:val="003E7F14"/>
    <w:rsid w:val="003F114F"/>
    <w:rsid w:val="003F4EC6"/>
    <w:rsid w:val="0040107A"/>
    <w:rsid w:val="00401207"/>
    <w:rsid w:val="004018A1"/>
    <w:rsid w:val="004028A7"/>
    <w:rsid w:val="00403B16"/>
    <w:rsid w:val="00406368"/>
    <w:rsid w:val="0041215C"/>
    <w:rsid w:val="00413219"/>
    <w:rsid w:val="0041375A"/>
    <w:rsid w:val="00413C55"/>
    <w:rsid w:val="00414AD8"/>
    <w:rsid w:val="00420958"/>
    <w:rsid w:val="00421D78"/>
    <w:rsid w:val="004226FA"/>
    <w:rsid w:val="00427F0C"/>
    <w:rsid w:val="004308EB"/>
    <w:rsid w:val="00430FA0"/>
    <w:rsid w:val="0043102F"/>
    <w:rsid w:val="00440E7C"/>
    <w:rsid w:val="00441C3D"/>
    <w:rsid w:val="004429E7"/>
    <w:rsid w:val="00444D10"/>
    <w:rsid w:val="00445E73"/>
    <w:rsid w:val="004460CE"/>
    <w:rsid w:val="00452A14"/>
    <w:rsid w:val="00454019"/>
    <w:rsid w:val="004543F3"/>
    <w:rsid w:val="00454FFD"/>
    <w:rsid w:val="00455854"/>
    <w:rsid w:val="004570AB"/>
    <w:rsid w:val="00462010"/>
    <w:rsid w:val="00467438"/>
    <w:rsid w:val="0047115B"/>
    <w:rsid w:val="0047419B"/>
    <w:rsid w:val="004813DD"/>
    <w:rsid w:val="00482A40"/>
    <w:rsid w:val="00485188"/>
    <w:rsid w:val="00486394"/>
    <w:rsid w:val="00491258"/>
    <w:rsid w:val="00492C23"/>
    <w:rsid w:val="0049547A"/>
    <w:rsid w:val="004A17D2"/>
    <w:rsid w:val="004A1E86"/>
    <w:rsid w:val="004B152B"/>
    <w:rsid w:val="004B3BBF"/>
    <w:rsid w:val="004B66A6"/>
    <w:rsid w:val="004B6A9B"/>
    <w:rsid w:val="004C00A3"/>
    <w:rsid w:val="004C17D7"/>
    <w:rsid w:val="004C2302"/>
    <w:rsid w:val="004C38B7"/>
    <w:rsid w:val="004C4D4F"/>
    <w:rsid w:val="004C6A5F"/>
    <w:rsid w:val="004D1649"/>
    <w:rsid w:val="004D52DA"/>
    <w:rsid w:val="004D6AF3"/>
    <w:rsid w:val="004E0037"/>
    <w:rsid w:val="004E7876"/>
    <w:rsid w:val="004F2DAE"/>
    <w:rsid w:val="004F3EA0"/>
    <w:rsid w:val="0050383D"/>
    <w:rsid w:val="00504E89"/>
    <w:rsid w:val="0050570B"/>
    <w:rsid w:val="0050657C"/>
    <w:rsid w:val="00514E44"/>
    <w:rsid w:val="00517A8C"/>
    <w:rsid w:val="00517FB8"/>
    <w:rsid w:val="00521E43"/>
    <w:rsid w:val="005300C8"/>
    <w:rsid w:val="00533AF1"/>
    <w:rsid w:val="0054067C"/>
    <w:rsid w:val="005516CF"/>
    <w:rsid w:val="00554E54"/>
    <w:rsid w:val="00556FBB"/>
    <w:rsid w:val="005631BC"/>
    <w:rsid w:val="005655B9"/>
    <w:rsid w:val="00567C8A"/>
    <w:rsid w:val="0057315D"/>
    <w:rsid w:val="005743B3"/>
    <w:rsid w:val="00590FB7"/>
    <w:rsid w:val="00593642"/>
    <w:rsid w:val="005A0202"/>
    <w:rsid w:val="005A751B"/>
    <w:rsid w:val="005B398D"/>
    <w:rsid w:val="005B3B4D"/>
    <w:rsid w:val="005B593F"/>
    <w:rsid w:val="005B701A"/>
    <w:rsid w:val="005C0B48"/>
    <w:rsid w:val="005C2DFB"/>
    <w:rsid w:val="005C67BA"/>
    <w:rsid w:val="005D0730"/>
    <w:rsid w:val="005D2A76"/>
    <w:rsid w:val="005D34BA"/>
    <w:rsid w:val="005D675C"/>
    <w:rsid w:val="005E2C24"/>
    <w:rsid w:val="005E3590"/>
    <w:rsid w:val="005E76D3"/>
    <w:rsid w:val="005F0CBF"/>
    <w:rsid w:val="005F1004"/>
    <w:rsid w:val="005F4346"/>
    <w:rsid w:val="005F4920"/>
    <w:rsid w:val="006015D6"/>
    <w:rsid w:val="006028D7"/>
    <w:rsid w:val="006041FA"/>
    <w:rsid w:val="00612669"/>
    <w:rsid w:val="0061316E"/>
    <w:rsid w:val="006162A3"/>
    <w:rsid w:val="00620C5A"/>
    <w:rsid w:val="00621EBA"/>
    <w:rsid w:val="00623E43"/>
    <w:rsid w:val="00624E9E"/>
    <w:rsid w:val="00625810"/>
    <w:rsid w:val="006274B3"/>
    <w:rsid w:val="00627B5C"/>
    <w:rsid w:val="00637EDF"/>
    <w:rsid w:val="00637F67"/>
    <w:rsid w:val="00652989"/>
    <w:rsid w:val="006556F8"/>
    <w:rsid w:val="00656098"/>
    <w:rsid w:val="00663679"/>
    <w:rsid w:val="00667A84"/>
    <w:rsid w:val="00670CE7"/>
    <w:rsid w:val="00676D67"/>
    <w:rsid w:val="0068635F"/>
    <w:rsid w:val="00694C6F"/>
    <w:rsid w:val="006969D7"/>
    <w:rsid w:val="00696A16"/>
    <w:rsid w:val="006A3132"/>
    <w:rsid w:val="006A6474"/>
    <w:rsid w:val="006B4808"/>
    <w:rsid w:val="006B499E"/>
    <w:rsid w:val="006B56CB"/>
    <w:rsid w:val="006D607D"/>
    <w:rsid w:val="006D6760"/>
    <w:rsid w:val="006E53CA"/>
    <w:rsid w:val="006E63CF"/>
    <w:rsid w:val="006F1FAA"/>
    <w:rsid w:val="006F51F3"/>
    <w:rsid w:val="006F5725"/>
    <w:rsid w:val="006F64A3"/>
    <w:rsid w:val="007013A1"/>
    <w:rsid w:val="00701DF4"/>
    <w:rsid w:val="00702CDA"/>
    <w:rsid w:val="007063EA"/>
    <w:rsid w:val="007064E5"/>
    <w:rsid w:val="007073AE"/>
    <w:rsid w:val="007105EC"/>
    <w:rsid w:val="00710BAD"/>
    <w:rsid w:val="00711997"/>
    <w:rsid w:val="0072046D"/>
    <w:rsid w:val="00720C03"/>
    <w:rsid w:val="00723C67"/>
    <w:rsid w:val="00725321"/>
    <w:rsid w:val="0072556B"/>
    <w:rsid w:val="00731EBA"/>
    <w:rsid w:val="007350FA"/>
    <w:rsid w:val="00736C8E"/>
    <w:rsid w:val="007371AB"/>
    <w:rsid w:val="00737825"/>
    <w:rsid w:val="00740185"/>
    <w:rsid w:val="0074187D"/>
    <w:rsid w:val="00741A1E"/>
    <w:rsid w:val="007455CB"/>
    <w:rsid w:val="007465D7"/>
    <w:rsid w:val="007469DA"/>
    <w:rsid w:val="007520ED"/>
    <w:rsid w:val="00755184"/>
    <w:rsid w:val="007667A6"/>
    <w:rsid w:val="00767CEA"/>
    <w:rsid w:val="00770811"/>
    <w:rsid w:val="007746BB"/>
    <w:rsid w:val="00790548"/>
    <w:rsid w:val="00793812"/>
    <w:rsid w:val="007968F7"/>
    <w:rsid w:val="007A183E"/>
    <w:rsid w:val="007A1F86"/>
    <w:rsid w:val="007A2634"/>
    <w:rsid w:val="007A35BD"/>
    <w:rsid w:val="007A7A7A"/>
    <w:rsid w:val="007B026C"/>
    <w:rsid w:val="007B1AA4"/>
    <w:rsid w:val="007B20E0"/>
    <w:rsid w:val="007B23A7"/>
    <w:rsid w:val="007B6287"/>
    <w:rsid w:val="007B7CFD"/>
    <w:rsid w:val="007C1ED0"/>
    <w:rsid w:val="007C29F5"/>
    <w:rsid w:val="007C2C16"/>
    <w:rsid w:val="007C3D2D"/>
    <w:rsid w:val="007C47C0"/>
    <w:rsid w:val="007C5948"/>
    <w:rsid w:val="007C6DC7"/>
    <w:rsid w:val="007C7BF6"/>
    <w:rsid w:val="007D144D"/>
    <w:rsid w:val="007D4AC0"/>
    <w:rsid w:val="007D4F33"/>
    <w:rsid w:val="007E50A2"/>
    <w:rsid w:val="007F44B3"/>
    <w:rsid w:val="00801886"/>
    <w:rsid w:val="00801D20"/>
    <w:rsid w:val="00804C0B"/>
    <w:rsid w:val="00807979"/>
    <w:rsid w:val="00810502"/>
    <w:rsid w:val="00814F01"/>
    <w:rsid w:val="00816520"/>
    <w:rsid w:val="00816D68"/>
    <w:rsid w:val="00820766"/>
    <w:rsid w:val="00824A5F"/>
    <w:rsid w:val="0082612C"/>
    <w:rsid w:val="0083112A"/>
    <w:rsid w:val="00834912"/>
    <w:rsid w:val="00836577"/>
    <w:rsid w:val="008375F9"/>
    <w:rsid w:val="00840DFA"/>
    <w:rsid w:val="00843C2A"/>
    <w:rsid w:val="00844626"/>
    <w:rsid w:val="00845581"/>
    <w:rsid w:val="00847381"/>
    <w:rsid w:val="0085006C"/>
    <w:rsid w:val="00852CB9"/>
    <w:rsid w:val="008614B5"/>
    <w:rsid w:val="008629F9"/>
    <w:rsid w:val="00864362"/>
    <w:rsid w:val="00866158"/>
    <w:rsid w:val="00871D32"/>
    <w:rsid w:val="00873D6C"/>
    <w:rsid w:val="00877C99"/>
    <w:rsid w:val="00882116"/>
    <w:rsid w:val="00883599"/>
    <w:rsid w:val="00887026"/>
    <w:rsid w:val="00895F47"/>
    <w:rsid w:val="008975FF"/>
    <w:rsid w:val="008A3EBC"/>
    <w:rsid w:val="008A4617"/>
    <w:rsid w:val="008B0F21"/>
    <w:rsid w:val="008B1463"/>
    <w:rsid w:val="008B2162"/>
    <w:rsid w:val="008B7420"/>
    <w:rsid w:val="008D1067"/>
    <w:rsid w:val="008D51A9"/>
    <w:rsid w:val="008D5DA4"/>
    <w:rsid w:val="008E20A5"/>
    <w:rsid w:val="008E40A9"/>
    <w:rsid w:val="008E50A0"/>
    <w:rsid w:val="008E6D55"/>
    <w:rsid w:val="008F152D"/>
    <w:rsid w:val="008F47A6"/>
    <w:rsid w:val="008F6553"/>
    <w:rsid w:val="008F657E"/>
    <w:rsid w:val="00901E77"/>
    <w:rsid w:val="00905F3F"/>
    <w:rsid w:val="0091107B"/>
    <w:rsid w:val="00913950"/>
    <w:rsid w:val="00915D98"/>
    <w:rsid w:val="00916924"/>
    <w:rsid w:val="009170CA"/>
    <w:rsid w:val="00920FB6"/>
    <w:rsid w:val="00922C19"/>
    <w:rsid w:val="00924837"/>
    <w:rsid w:val="00932EF6"/>
    <w:rsid w:val="00937D33"/>
    <w:rsid w:val="00952702"/>
    <w:rsid w:val="009544AF"/>
    <w:rsid w:val="00955458"/>
    <w:rsid w:val="00955534"/>
    <w:rsid w:val="00961868"/>
    <w:rsid w:val="009628ED"/>
    <w:rsid w:val="00970F66"/>
    <w:rsid w:val="009744C1"/>
    <w:rsid w:val="00977F3D"/>
    <w:rsid w:val="00985658"/>
    <w:rsid w:val="0098724D"/>
    <w:rsid w:val="00990B07"/>
    <w:rsid w:val="00992248"/>
    <w:rsid w:val="0099393E"/>
    <w:rsid w:val="00993A4A"/>
    <w:rsid w:val="009970F6"/>
    <w:rsid w:val="009A35C2"/>
    <w:rsid w:val="009A5982"/>
    <w:rsid w:val="009A688E"/>
    <w:rsid w:val="009A714E"/>
    <w:rsid w:val="009A79CF"/>
    <w:rsid w:val="009B2351"/>
    <w:rsid w:val="009B357C"/>
    <w:rsid w:val="009C0667"/>
    <w:rsid w:val="009C12AB"/>
    <w:rsid w:val="009C5917"/>
    <w:rsid w:val="009D125E"/>
    <w:rsid w:val="009D18EB"/>
    <w:rsid w:val="009D3574"/>
    <w:rsid w:val="009E64EC"/>
    <w:rsid w:val="009E67AC"/>
    <w:rsid w:val="009F0D38"/>
    <w:rsid w:val="009F157D"/>
    <w:rsid w:val="009F2B09"/>
    <w:rsid w:val="009F2CF4"/>
    <w:rsid w:val="009F5195"/>
    <w:rsid w:val="00A01900"/>
    <w:rsid w:val="00A060DE"/>
    <w:rsid w:val="00A1198B"/>
    <w:rsid w:val="00A15539"/>
    <w:rsid w:val="00A25418"/>
    <w:rsid w:val="00A26619"/>
    <w:rsid w:val="00A26DD6"/>
    <w:rsid w:val="00A27505"/>
    <w:rsid w:val="00A27F3F"/>
    <w:rsid w:val="00A3658E"/>
    <w:rsid w:val="00A416FA"/>
    <w:rsid w:val="00A43058"/>
    <w:rsid w:val="00A47C7F"/>
    <w:rsid w:val="00A50B17"/>
    <w:rsid w:val="00A51656"/>
    <w:rsid w:val="00A53051"/>
    <w:rsid w:val="00A5488A"/>
    <w:rsid w:val="00A55482"/>
    <w:rsid w:val="00A61ACA"/>
    <w:rsid w:val="00A61C73"/>
    <w:rsid w:val="00A66312"/>
    <w:rsid w:val="00A674FF"/>
    <w:rsid w:val="00A71105"/>
    <w:rsid w:val="00A766BD"/>
    <w:rsid w:val="00A824BF"/>
    <w:rsid w:val="00A85295"/>
    <w:rsid w:val="00A8677C"/>
    <w:rsid w:val="00A91A46"/>
    <w:rsid w:val="00A91D16"/>
    <w:rsid w:val="00A93523"/>
    <w:rsid w:val="00A93629"/>
    <w:rsid w:val="00A967E2"/>
    <w:rsid w:val="00A97D12"/>
    <w:rsid w:val="00AB2C64"/>
    <w:rsid w:val="00AB328D"/>
    <w:rsid w:val="00AB33C0"/>
    <w:rsid w:val="00AC1751"/>
    <w:rsid w:val="00AC5A94"/>
    <w:rsid w:val="00AC6681"/>
    <w:rsid w:val="00AD010E"/>
    <w:rsid w:val="00AD237A"/>
    <w:rsid w:val="00AD7337"/>
    <w:rsid w:val="00AE0D33"/>
    <w:rsid w:val="00AE4348"/>
    <w:rsid w:val="00AE5347"/>
    <w:rsid w:val="00AF0CDD"/>
    <w:rsid w:val="00AF3E8A"/>
    <w:rsid w:val="00AF4175"/>
    <w:rsid w:val="00B002CC"/>
    <w:rsid w:val="00B06DC2"/>
    <w:rsid w:val="00B07070"/>
    <w:rsid w:val="00B0772A"/>
    <w:rsid w:val="00B101DE"/>
    <w:rsid w:val="00B11910"/>
    <w:rsid w:val="00B2221C"/>
    <w:rsid w:val="00B3051E"/>
    <w:rsid w:val="00B319CA"/>
    <w:rsid w:val="00B3741C"/>
    <w:rsid w:val="00B430FB"/>
    <w:rsid w:val="00B55008"/>
    <w:rsid w:val="00B550DE"/>
    <w:rsid w:val="00B57360"/>
    <w:rsid w:val="00B63DA3"/>
    <w:rsid w:val="00B66099"/>
    <w:rsid w:val="00B73156"/>
    <w:rsid w:val="00B7439C"/>
    <w:rsid w:val="00B75629"/>
    <w:rsid w:val="00B87FE9"/>
    <w:rsid w:val="00B944A6"/>
    <w:rsid w:val="00B94F80"/>
    <w:rsid w:val="00B95CB2"/>
    <w:rsid w:val="00B95D7A"/>
    <w:rsid w:val="00BA10A2"/>
    <w:rsid w:val="00BA6BC4"/>
    <w:rsid w:val="00BB2EF9"/>
    <w:rsid w:val="00BB30AC"/>
    <w:rsid w:val="00BB679C"/>
    <w:rsid w:val="00BB7E9F"/>
    <w:rsid w:val="00BC1C16"/>
    <w:rsid w:val="00BD379B"/>
    <w:rsid w:val="00BD4900"/>
    <w:rsid w:val="00BD61A8"/>
    <w:rsid w:val="00BD70A8"/>
    <w:rsid w:val="00BE35AB"/>
    <w:rsid w:val="00BE416A"/>
    <w:rsid w:val="00BE7307"/>
    <w:rsid w:val="00BF1B2D"/>
    <w:rsid w:val="00BF33D0"/>
    <w:rsid w:val="00C00C06"/>
    <w:rsid w:val="00C01219"/>
    <w:rsid w:val="00C0254B"/>
    <w:rsid w:val="00C02C1D"/>
    <w:rsid w:val="00C02DF2"/>
    <w:rsid w:val="00C04502"/>
    <w:rsid w:val="00C0786C"/>
    <w:rsid w:val="00C13780"/>
    <w:rsid w:val="00C166DD"/>
    <w:rsid w:val="00C20341"/>
    <w:rsid w:val="00C204F0"/>
    <w:rsid w:val="00C2079D"/>
    <w:rsid w:val="00C21745"/>
    <w:rsid w:val="00C21D29"/>
    <w:rsid w:val="00C312DD"/>
    <w:rsid w:val="00C3260C"/>
    <w:rsid w:val="00C33A9F"/>
    <w:rsid w:val="00C35AC5"/>
    <w:rsid w:val="00C374B7"/>
    <w:rsid w:val="00C4170C"/>
    <w:rsid w:val="00C42A89"/>
    <w:rsid w:val="00C42D8D"/>
    <w:rsid w:val="00C42F30"/>
    <w:rsid w:val="00C47203"/>
    <w:rsid w:val="00C54B86"/>
    <w:rsid w:val="00C611A2"/>
    <w:rsid w:val="00C641C8"/>
    <w:rsid w:val="00C64FA9"/>
    <w:rsid w:val="00C663A5"/>
    <w:rsid w:val="00C67571"/>
    <w:rsid w:val="00C70040"/>
    <w:rsid w:val="00C7056C"/>
    <w:rsid w:val="00C7198F"/>
    <w:rsid w:val="00C726A2"/>
    <w:rsid w:val="00C74650"/>
    <w:rsid w:val="00C750F0"/>
    <w:rsid w:val="00C76D22"/>
    <w:rsid w:val="00C77164"/>
    <w:rsid w:val="00C82BD8"/>
    <w:rsid w:val="00C83BC6"/>
    <w:rsid w:val="00C92808"/>
    <w:rsid w:val="00C958BA"/>
    <w:rsid w:val="00C95962"/>
    <w:rsid w:val="00C96280"/>
    <w:rsid w:val="00C96FB3"/>
    <w:rsid w:val="00CA688D"/>
    <w:rsid w:val="00CB2287"/>
    <w:rsid w:val="00CB65AA"/>
    <w:rsid w:val="00CB7010"/>
    <w:rsid w:val="00CC0595"/>
    <w:rsid w:val="00CC5A03"/>
    <w:rsid w:val="00CD44F0"/>
    <w:rsid w:val="00CD57E9"/>
    <w:rsid w:val="00CE15F7"/>
    <w:rsid w:val="00CE232E"/>
    <w:rsid w:val="00CE3214"/>
    <w:rsid w:val="00CE35AD"/>
    <w:rsid w:val="00CE4614"/>
    <w:rsid w:val="00CE5488"/>
    <w:rsid w:val="00CF1A56"/>
    <w:rsid w:val="00CF1A79"/>
    <w:rsid w:val="00CF2AD1"/>
    <w:rsid w:val="00CF38A9"/>
    <w:rsid w:val="00CF7153"/>
    <w:rsid w:val="00D02680"/>
    <w:rsid w:val="00D04EF6"/>
    <w:rsid w:val="00D0753C"/>
    <w:rsid w:val="00D10757"/>
    <w:rsid w:val="00D11450"/>
    <w:rsid w:val="00D122A8"/>
    <w:rsid w:val="00D1234A"/>
    <w:rsid w:val="00D133CD"/>
    <w:rsid w:val="00D16F12"/>
    <w:rsid w:val="00D25735"/>
    <w:rsid w:val="00D257F8"/>
    <w:rsid w:val="00D33A07"/>
    <w:rsid w:val="00D41855"/>
    <w:rsid w:val="00D41E59"/>
    <w:rsid w:val="00D46CE1"/>
    <w:rsid w:val="00D50564"/>
    <w:rsid w:val="00D54042"/>
    <w:rsid w:val="00D542B7"/>
    <w:rsid w:val="00D55ECF"/>
    <w:rsid w:val="00D57515"/>
    <w:rsid w:val="00D62011"/>
    <w:rsid w:val="00D622E6"/>
    <w:rsid w:val="00D64E68"/>
    <w:rsid w:val="00D652E3"/>
    <w:rsid w:val="00D750FB"/>
    <w:rsid w:val="00D757AB"/>
    <w:rsid w:val="00D80736"/>
    <w:rsid w:val="00D878A6"/>
    <w:rsid w:val="00D90276"/>
    <w:rsid w:val="00D92795"/>
    <w:rsid w:val="00D92906"/>
    <w:rsid w:val="00DA32FB"/>
    <w:rsid w:val="00DA44E6"/>
    <w:rsid w:val="00DB02B2"/>
    <w:rsid w:val="00DB1A76"/>
    <w:rsid w:val="00DB3440"/>
    <w:rsid w:val="00DC034E"/>
    <w:rsid w:val="00DC0747"/>
    <w:rsid w:val="00DC264E"/>
    <w:rsid w:val="00DC39F8"/>
    <w:rsid w:val="00DC46F8"/>
    <w:rsid w:val="00DC61CD"/>
    <w:rsid w:val="00DC67E1"/>
    <w:rsid w:val="00DD426F"/>
    <w:rsid w:val="00DD5D21"/>
    <w:rsid w:val="00DE44B3"/>
    <w:rsid w:val="00DE5189"/>
    <w:rsid w:val="00DE51CC"/>
    <w:rsid w:val="00DE6020"/>
    <w:rsid w:val="00DE6ABB"/>
    <w:rsid w:val="00DF0255"/>
    <w:rsid w:val="00DF1465"/>
    <w:rsid w:val="00E01C42"/>
    <w:rsid w:val="00E02EC9"/>
    <w:rsid w:val="00E036EF"/>
    <w:rsid w:val="00E11302"/>
    <w:rsid w:val="00E12AFB"/>
    <w:rsid w:val="00E143D8"/>
    <w:rsid w:val="00E166C1"/>
    <w:rsid w:val="00E17CF1"/>
    <w:rsid w:val="00E24377"/>
    <w:rsid w:val="00E25065"/>
    <w:rsid w:val="00E25F3B"/>
    <w:rsid w:val="00E27C43"/>
    <w:rsid w:val="00E302DD"/>
    <w:rsid w:val="00E304DE"/>
    <w:rsid w:val="00E3646C"/>
    <w:rsid w:val="00E4334D"/>
    <w:rsid w:val="00E446BD"/>
    <w:rsid w:val="00E4794C"/>
    <w:rsid w:val="00E52D0B"/>
    <w:rsid w:val="00E545F3"/>
    <w:rsid w:val="00E625C9"/>
    <w:rsid w:val="00E63525"/>
    <w:rsid w:val="00E63A5E"/>
    <w:rsid w:val="00E6514C"/>
    <w:rsid w:val="00E668F6"/>
    <w:rsid w:val="00E707CF"/>
    <w:rsid w:val="00E738CB"/>
    <w:rsid w:val="00E7763E"/>
    <w:rsid w:val="00E8220D"/>
    <w:rsid w:val="00E82A25"/>
    <w:rsid w:val="00E90A77"/>
    <w:rsid w:val="00E90FC6"/>
    <w:rsid w:val="00E930C4"/>
    <w:rsid w:val="00EA15BA"/>
    <w:rsid w:val="00EA17AA"/>
    <w:rsid w:val="00EA2464"/>
    <w:rsid w:val="00EA79A9"/>
    <w:rsid w:val="00EB0C2A"/>
    <w:rsid w:val="00EB1A2C"/>
    <w:rsid w:val="00EB2780"/>
    <w:rsid w:val="00EC1F47"/>
    <w:rsid w:val="00EC2200"/>
    <w:rsid w:val="00EC2797"/>
    <w:rsid w:val="00EC4674"/>
    <w:rsid w:val="00EC5194"/>
    <w:rsid w:val="00ED15F5"/>
    <w:rsid w:val="00EE178F"/>
    <w:rsid w:val="00EE31ED"/>
    <w:rsid w:val="00EE3764"/>
    <w:rsid w:val="00EE5803"/>
    <w:rsid w:val="00EF2471"/>
    <w:rsid w:val="00EF42DA"/>
    <w:rsid w:val="00F018F2"/>
    <w:rsid w:val="00F02373"/>
    <w:rsid w:val="00F043A0"/>
    <w:rsid w:val="00F061B5"/>
    <w:rsid w:val="00F06802"/>
    <w:rsid w:val="00F105BC"/>
    <w:rsid w:val="00F10B50"/>
    <w:rsid w:val="00F10FFB"/>
    <w:rsid w:val="00F11115"/>
    <w:rsid w:val="00F137A3"/>
    <w:rsid w:val="00F1388B"/>
    <w:rsid w:val="00F14F54"/>
    <w:rsid w:val="00F27CC3"/>
    <w:rsid w:val="00F30037"/>
    <w:rsid w:val="00F3055D"/>
    <w:rsid w:val="00F30CD8"/>
    <w:rsid w:val="00F30D62"/>
    <w:rsid w:val="00F402B2"/>
    <w:rsid w:val="00F419F5"/>
    <w:rsid w:val="00F43721"/>
    <w:rsid w:val="00F45F10"/>
    <w:rsid w:val="00F47256"/>
    <w:rsid w:val="00F5343F"/>
    <w:rsid w:val="00F6081F"/>
    <w:rsid w:val="00F61B24"/>
    <w:rsid w:val="00F62608"/>
    <w:rsid w:val="00F6654A"/>
    <w:rsid w:val="00F834BF"/>
    <w:rsid w:val="00F8476B"/>
    <w:rsid w:val="00F929CE"/>
    <w:rsid w:val="00F97BF6"/>
    <w:rsid w:val="00FA4059"/>
    <w:rsid w:val="00FB246E"/>
    <w:rsid w:val="00FB29D2"/>
    <w:rsid w:val="00FB3022"/>
    <w:rsid w:val="00FC2199"/>
    <w:rsid w:val="00FC22DC"/>
    <w:rsid w:val="00FC45A8"/>
    <w:rsid w:val="00FC6915"/>
    <w:rsid w:val="00FC6BAB"/>
    <w:rsid w:val="00FC7F3B"/>
    <w:rsid w:val="00FC7FB3"/>
    <w:rsid w:val="00FD3A47"/>
    <w:rsid w:val="00FD5285"/>
    <w:rsid w:val="00FD76B6"/>
    <w:rsid w:val="00FE0E4A"/>
    <w:rsid w:val="00FE2F48"/>
    <w:rsid w:val="00FF39CE"/>
    <w:rsid w:val="00FF7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82116"/>
    <w:pPr>
      <w:jc w:val="both"/>
    </w:pPr>
    <w:rPr>
      <w:rFonts w:ascii="Arial" w:eastAsia="Times New Roman" w:hAnsi="Arial"/>
      <w:sz w:val="22"/>
      <w:lang w:eastAsia="en-US"/>
    </w:rPr>
  </w:style>
  <w:style w:type="paragraph" w:styleId="Heading1">
    <w:name w:val="heading 1"/>
    <w:basedOn w:val="Normal"/>
    <w:next w:val="Normal"/>
    <w:link w:val="Heading1Char"/>
    <w:uiPriority w:val="9"/>
    <w:qFormat/>
    <w:rsid w:val="00C3260C"/>
    <w:pPr>
      <w:numPr>
        <w:numId w:val="29"/>
      </w:numPr>
      <w:spacing w:before="480"/>
      <w:contextualSpacing/>
      <w:outlineLvl w:val="0"/>
    </w:pPr>
    <w:rPr>
      <w:b/>
      <w:bCs/>
      <w:sz w:val="24"/>
      <w:szCs w:val="28"/>
    </w:rPr>
  </w:style>
  <w:style w:type="paragraph" w:styleId="Heading2">
    <w:name w:val="heading 2"/>
    <w:basedOn w:val="Normal"/>
    <w:next w:val="Normal"/>
    <w:link w:val="Heading2Char"/>
    <w:uiPriority w:val="9"/>
    <w:qFormat/>
    <w:rsid w:val="001414E8"/>
    <w:pPr>
      <w:numPr>
        <w:ilvl w:val="1"/>
        <w:numId w:val="29"/>
      </w:numPr>
      <w:spacing w:before="200"/>
      <w:outlineLvl w:val="1"/>
    </w:pPr>
    <w:rPr>
      <w:bCs/>
      <w:szCs w:val="26"/>
    </w:rPr>
  </w:style>
  <w:style w:type="paragraph" w:styleId="Heading3">
    <w:name w:val="heading 3"/>
    <w:basedOn w:val="Normal"/>
    <w:next w:val="Normal"/>
    <w:link w:val="Heading3Char"/>
    <w:autoRedefine/>
    <w:uiPriority w:val="9"/>
    <w:qFormat/>
    <w:rsid w:val="00924837"/>
    <w:pPr>
      <w:numPr>
        <w:ilvl w:val="2"/>
        <w:numId w:val="29"/>
      </w:numPr>
      <w:spacing w:before="200" w:line="271" w:lineRule="auto"/>
      <w:ind w:left="567" w:hanging="11"/>
      <w:outlineLvl w:val="2"/>
    </w:pPr>
    <w:rPr>
      <w:bCs/>
    </w:rPr>
  </w:style>
  <w:style w:type="paragraph" w:styleId="Heading4">
    <w:name w:val="heading 4"/>
    <w:basedOn w:val="Normal"/>
    <w:next w:val="Normal"/>
    <w:link w:val="Heading4Char"/>
    <w:uiPriority w:val="9"/>
    <w:qFormat/>
    <w:rsid w:val="00363E9F"/>
    <w:pPr>
      <w:numPr>
        <w:ilvl w:val="3"/>
        <w:numId w:val="29"/>
      </w:numPr>
      <w:spacing w:before="200"/>
      <w:outlineLvl w:val="3"/>
    </w:pPr>
    <w:rPr>
      <w:rFonts w:ascii="Cambria" w:hAnsi="Cambria"/>
      <w:b/>
      <w:bCs/>
      <w:i/>
      <w:iCs/>
    </w:rPr>
  </w:style>
  <w:style w:type="paragraph" w:styleId="Heading5">
    <w:name w:val="heading 5"/>
    <w:basedOn w:val="Normal"/>
    <w:next w:val="Normal"/>
    <w:link w:val="Heading5Char"/>
    <w:uiPriority w:val="9"/>
    <w:qFormat/>
    <w:rsid w:val="00363E9F"/>
    <w:pPr>
      <w:numPr>
        <w:ilvl w:val="4"/>
        <w:numId w:val="29"/>
      </w:num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363E9F"/>
    <w:pPr>
      <w:numPr>
        <w:ilvl w:val="5"/>
        <w:numId w:val="29"/>
      </w:num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363E9F"/>
    <w:pPr>
      <w:numPr>
        <w:ilvl w:val="6"/>
        <w:numId w:val="29"/>
      </w:numPr>
      <w:outlineLvl w:val="6"/>
    </w:pPr>
    <w:rPr>
      <w:rFonts w:ascii="Cambria" w:hAnsi="Cambria"/>
      <w:i/>
      <w:iCs/>
    </w:rPr>
  </w:style>
  <w:style w:type="paragraph" w:styleId="Heading8">
    <w:name w:val="heading 8"/>
    <w:basedOn w:val="Normal"/>
    <w:next w:val="Normal"/>
    <w:link w:val="Heading8Char"/>
    <w:uiPriority w:val="9"/>
    <w:qFormat/>
    <w:rsid w:val="00363E9F"/>
    <w:pPr>
      <w:numPr>
        <w:ilvl w:val="7"/>
        <w:numId w:val="29"/>
      </w:numPr>
      <w:outlineLvl w:val="7"/>
    </w:pPr>
    <w:rPr>
      <w:rFonts w:ascii="Cambria" w:hAnsi="Cambria"/>
      <w:sz w:val="20"/>
    </w:rPr>
  </w:style>
  <w:style w:type="paragraph" w:styleId="Heading9">
    <w:name w:val="heading 9"/>
    <w:basedOn w:val="Normal"/>
    <w:next w:val="Normal"/>
    <w:link w:val="Heading9Char"/>
    <w:uiPriority w:val="9"/>
    <w:qFormat/>
    <w:rsid w:val="00363E9F"/>
    <w:pPr>
      <w:numPr>
        <w:ilvl w:val="8"/>
        <w:numId w:val="29"/>
      </w:numPr>
      <w:outlineLvl w:val="8"/>
    </w:pPr>
    <w:rPr>
      <w:rFonts w:ascii="Cambria" w:hAnsi="Cambria"/>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60C"/>
    <w:rPr>
      <w:rFonts w:ascii="Arial" w:eastAsia="Times New Roman" w:hAnsi="Arial"/>
      <w:b/>
      <w:bCs/>
      <w:sz w:val="24"/>
      <w:szCs w:val="28"/>
      <w:lang w:eastAsia="en-US"/>
    </w:rPr>
  </w:style>
  <w:style w:type="character" w:customStyle="1" w:styleId="Heading2Char">
    <w:name w:val="Heading 2 Char"/>
    <w:basedOn w:val="DefaultParagraphFont"/>
    <w:link w:val="Heading2"/>
    <w:uiPriority w:val="9"/>
    <w:rsid w:val="001414E8"/>
    <w:rPr>
      <w:rFonts w:ascii="Arial" w:eastAsia="Times New Roman" w:hAnsi="Arial"/>
      <w:bCs/>
      <w:sz w:val="22"/>
      <w:szCs w:val="26"/>
      <w:lang w:eastAsia="en-US"/>
    </w:rPr>
  </w:style>
  <w:style w:type="character" w:customStyle="1" w:styleId="Heading3Char">
    <w:name w:val="Heading 3 Char"/>
    <w:basedOn w:val="DefaultParagraphFont"/>
    <w:link w:val="Heading3"/>
    <w:uiPriority w:val="9"/>
    <w:rsid w:val="00924837"/>
    <w:rPr>
      <w:rFonts w:ascii="Arial" w:eastAsia="Times New Roman" w:hAnsi="Arial"/>
      <w:bCs/>
      <w:sz w:val="22"/>
      <w:lang w:eastAsia="en-US"/>
    </w:rPr>
  </w:style>
  <w:style w:type="character" w:customStyle="1" w:styleId="Heading4Char">
    <w:name w:val="Heading 4 Char"/>
    <w:basedOn w:val="DefaultParagraphFont"/>
    <w:link w:val="Heading4"/>
    <w:uiPriority w:val="9"/>
    <w:rsid w:val="00363E9F"/>
    <w:rPr>
      <w:rFonts w:ascii="Cambria" w:eastAsia="Times New Roman" w:hAnsi="Cambria"/>
      <w:b/>
      <w:bCs/>
      <w:i/>
      <w:iCs/>
      <w:sz w:val="22"/>
      <w:lang w:eastAsia="en-US"/>
    </w:rPr>
  </w:style>
  <w:style w:type="character" w:customStyle="1" w:styleId="Heading5Char">
    <w:name w:val="Heading 5 Char"/>
    <w:basedOn w:val="DefaultParagraphFont"/>
    <w:link w:val="Heading5"/>
    <w:uiPriority w:val="9"/>
    <w:rsid w:val="00363E9F"/>
    <w:rPr>
      <w:rFonts w:ascii="Cambria" w:eastAsia="Times New Roman" w:hAnsi="Cambria"/>
      <w:b/>
      <w:bCs/>
      <w:color w:val="7F7F7F"/>
      <w:sz w:val="22"/>
      <w:lang w:eastAsia="en-US"/>
    </w:rPr>
  </w:style>
  <w:style w:type="character" w:customStyle="1" w:styleId="Heading6Char">
    <w:name w:val="Heading 6 Char"/>
    <w:basedOn w:val="DefaultParagraphFont"/>
    <w:link w:val="Heading6"/>
    <w:uiPriority w:val="9"/>
    <w:rsid w:val="00363E9F"/>
    <w:rPr>
      <w:rFonts w:ascii="Cambria" w:eastAsia="Times New Roman" w:hAnsi="Cambria"/>
      <w:b/>
      <w:bCs/>
      <w:i/>
      <w:iCs/>
      <w:color w:val="7F7F7F"/>
      <w:sz w:val="22"/>
      <w:lang w:eastAsia="en-US"/>
    </w:rPr>
  </w:style>
  <w:style w:type="character" w:customStyle="1" w:styleId="Heading7Char">
    <w:name w:val="Heading 7 Char"/>
    <w:basedOn w:val="DefaultParagraphFont"/>
    <w:link w:val="Heading7"/>
    <w:uiPriority w:val="9"/>
    <w:rsid w:val="00363E9F"/>
    <w:rPr>
      <w:rFonts w:ascii="Cambria" w:eastAsia="Times New Roman" w:hAnsi="Cambria"/>
      <w:i/>
      <w:iCs/>
      <w:sz w:val="22"/>
      <w:lang w:eastAsia="en-US"/>
    </w:rPr>
  </w:style>
  <w:style w:type="character" w:customStyle="1" w:styleId="Heading8Char">
    <w:name w:val="Heading 8 Char"/>
    <w:basedOn w:val="DefaultParagraphFont"/>
    <w:link w:val="Heading8"/>
    <w:uiPriority w:val="9"/>
    <w:rsid w:val="00363E9F"/>
    <w:rPr>
      <w:rFonts w:ascii="Cambria" w:eastAsia="Times New Roman" w:hAnsi="Cambria"/>
      <w:lang w:eastAsia="en-US"/>
    </w:rPr>
  </w:style>
  <w:style w:type="character" w:customStyle="1" w:styleId="Heading9Char">
    <w:name w:val="Heading 9 Char"/>
    <w:basedOn w:val="DefaultParagraphFont"/>
    <w:link w:val="Heading9"/>
    <w:uiPriority w:val="9"/>
    <w:rsid w:val="00363E9F"/>
    <w:rPr>
      <w:rFonts w:ascii="Cambria" w:eastAsia="Times New Roman" w:hAnsi="Cambria"/>
      <w:i/>
      <w:iCs/>
      <w:spacing w:val="5"/>
      <w:lang w:eastAsia="en-US"/>
    </w:rPr>
  </w:style>
  <w:style w:type="paragraph" w:styleId="Caption">
    <w:name w:val="caption"/>
    <w:basedOn w:val="Normal"/>
    <w:next w:val="Normal"/>
    <w:uiPriority w:val="35"/>
    <w:qFormat/>
    <w:rsid w:val="00363E9F"/>
    <w:rPr>
      <w:b/>
      <w:bCs/>
      <w:smallCaps/>
      <w:color w:val="1F497D"/>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spacing w:val="5"/>
      <w:sz w:val="52"/>
      <w:szCs w:val="52"/>
    </w:rPr>
  </w:style>
  <w:style w:type="character" w:customStyle="1" w:styleId="TitleChar">
    <w:name w:val="Title Char"/>
    <w:basedOn w:val="DefaultParagraphFont"/>
    <w:link w:val="Title"/>
    <w:uiPriority w:val="10"/>
    <w:rsid w:val="00363E9F"/>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363E9F"/>
    <w:pPr>
      <w:spacing w:after="600"/>
    </w:pPr>
    <w:rPr>
      <w:i/>
      <w:iCs/>
      <w:spacing w:val="13"/>
      <w:szCs w:val="24"/>
    </w:rPr>
  </w:style>
  <w:style w:type="character" w:customStyle="1" w:styleId="SubtitleChar">
    <w:name w:val="Subtitle Char"/>
    <w:basedOn w:val="DefaultParagraphFont"/>
    <w:link w:val="Subtitle"/>
    <w:uiPriority w:val="11"/>
    <w:rsid w:val="00363E9F"/>
    <w:rPr>
      <w:rFonts w:ascii="Arial" w:eastAsia="Times New Roman" w:hAnsi="Arial" w:cs="Times New Roman"/>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qFormat/>
    <w:rsid w:val="00363E9F"/>
    <w:pPr>
      <w:outlineLvl w:val="9"/>
    </w:pPr>
  </w:style>
  <w:style w:type="paragraph" w:customStyle="1" w:styleId="Outline1">
    <w:name w:val="Outline 1"/>
    <w:basedOn w:val="Normal"/>
    <w:autoRedefine/>
    <w:rsid w:val="004308EB"/>
    <w:pPr>
      <w:keepNext/>
      <w:spacing w:after="240"/>
      <w:ind w:left="709"/>
      <w:outlineLvl w:val="0"/>
    </w:pPr>
    <w:rPr>
      <w:rFonts w:cs="Arial"/>
      <w:szCs w:val="22"/>
    </w:rPr>
  </w:style>
  <w:style w:type="paragraph" w:customStyle="1" w:styleId="Outline2">
    <w:name w:val="Outline 2"/>
    <w:basedOn w:val="Normal"/>
    <w:link w:val="Outline2Char"/>
    <w:autoRedefine/>
    <w:rsid w:val="004D6AF3"/>
    <w:pPr>
      <w:spacing w:after="240"/>
      <w:ind w:left="709"/>
      <w:contextualSpacing/>
      <w:outlineLvl w:val="1"/>
    </w:pPr>
    <w:rPr>
      <w:rFonts w:cs="Arial"/>
      <w:szCs w:val="22"/>
    </w:rPr>
  </w:style>
  <w:style w:type="paragraph" w:customStyle="1" w:styleId="Outline3">
    <w:name w:val="Outline 3"/>
    <w:basedOn w:val="Normal"/>
    <w:autoRedefine/>
    <w:rsid w:val="00E82A25"/>
    <w:pPr>
      <w:numPr>
        <w:numId w:val="13"/>
      </w:numPr>
      <w:tabs>
        <w:tab w:val="left" w:pos="1134"/>
        <w:tab w:val="left" w:pos="1418"/>
      </w:tabs>
      <w:spacing w:after="240"/>
      <w:ind w:left="1134" w:hanging="425"/>
      <w:outlineLvl w:val="2"/>
    </w:pPr>
  </w:style>
  <w:style w:type="paragraph" w:customStyle="1" w:styleId="Outline4">
    <w:name w:val="Outline 4"/>
    <w:basedOn w:val="Normal"/>
    <w:rsid w:val="00882116"/>
    <w:pPr>
      <w:numPr>
        <w:ilvl w:val="3"/>
        <w:numId w:val="1"/>
      </w:numPr>
      <w:spacing w:after="240"/>
      <w:outlineLvl w:val="3"/>
    </w:pPr>
  </w:style>
  <w:style w:type="paragraph" w:customStyle="1" w:styleId="Outline5">
    <w:name w:val="Outline 5"/>
    <w:basedOn w:val="Normal"/>
    <w:rsid w:val="00882116"/>
    <w:pPr>
      <w:numPr>
        <w:ilvl w:val="4"/>
        <w:numId w:val="1"/>
      </w:numPr>
      <w:tabs>
        <w:tab w:val="left" w:pos="2835"/>
      </w:tabs>
      <w:spacing w:after="240"/>
      <w:outlineLvl w:val="4"/>
    </w:pPr>
  </w:style>
  <w:style w:type="paragraph" w:customStyle="1" w:styleId="OutlineInd2">
    <w:name w:val="Outline Ind 2"/>
    <w:basedOn w:val="Normal"/>
    <w:rsid w:val="00882116"/>
    <w:pPr>
      <w:numPr>
        <w:ilvl w:val="5"/>
        <w:numId w:val="1"/>
      </w:numPr>
      <w:spacing w:after="240"/>
      <w:outlineLvl w:val="5"/>
    </w:pPr>
  </w:style>
  <w:style w:type="paragraph" w:customStyle="1" w:styleId="OutlineInd3">
    <w:name w:val="Outline Ind 3"/>
    <w:basedOn w:val="Normal"/>
    <w:rsid w:val="00882116"/>
    <w:pPr>
      <w:numPr>
        <w:ilvl w:val="6"/>
        <w:numId w:val="1"/>
      </w:numPr>
      <w:spacing w:after="240"/>
      <w:outlineLvl w:val="6"/>
    </w:pPr>
  </w:style>
  <w:style w:type="paragraph" w:customStyle="1" w:styleId="OutlineInd4">
    <w:name w:val="Outline Ind 4"/>
    <w:basedOn w:val="Normal"/>
    <w:rsid w:val="00882116"/>
    <w:pPr>
      <w:numPr>
        <w:ilvl w:val="7"/>
        <w:numId w:val="1"/>
      </w:numPr>
      <w:spacing w:after="240"/>
      <w:outlineLvl w:val="7"/>
    </w:pPr>
  </w:style>
  <w:style w:type="paragraph" w:customStyle="1" w:styleId="OutlineInd5">
    <w:name w:val="Outline Ind 5"/>
    <w:basedOn w:val="Normal"/>
    <w:rsid w:val="00882116"/>
    <w:pPr>
      <w:numPr>
        <w:ilvl w:val="8"/>
        <w:numId w:val="1"/>
      </w:numPr>
      <w:tabs>
        <w:tab w:val="left" w:pos="3686"/>
      </w:tabs>
      <w:spacing w:after="240"/>
      <w:outlineLvl w:val="8"/>
    </w:pPr>
  </w:style>
  <w:style w:type="paragraph" w:customStyle="1" w:styleId="OutlineIndPara">
    <w:name w:val="Outline Ind Para"/>
    <w:basedOn w:val="Normal"/>
    <w:rsid w:val="00882116"/>
    <w:pPr>
      <w:spacing w:after="240"/>
      <w:ind w:left="851"/>
    </w:pPr>
  </w:style>
  <w:style w:type="paragraph" w:styleId="Header">
    <w:name w:val="header"/>
    <w:basedOn w:val="Normal"/>
    <w:link w:val="HeaderChar"/>
    <w:rsid w:val="00882116"/>
    <w:pPr>
      <w:tabs>
        <w:tab w:val="center" w:pos="4320"/>
        <w:tab w:val="right" w:pos="8640"/>
      </w:tabs>
    </w:pPr>
  </w:style>
  <w:style w:type="character" w:customStyle="1" w:styleId="HeaderChar">
    <w:name w:val="Header Char"/>
    <w:basedOn w:val="DefaultParagraphFont"/>
    <w:link w:val="Header"/>
    <w:rsid w:val="00882116"/>
    <w:rPr>
      <w:rFonts w:ascii="Arial" w:eastAsia="Times New Roman" w:hAnsi="Arial" w:cs="Times New Roman"/>
      <w:szCs w:val="20"/>
      <w:lang w:val="en-GB" w:bidi="ar-SA"/>
    </w:rPr>
  </w:style>
  <w:style w:type="paragraph" w:styleId="Footer">
    <w:name w:val="footer"/>
    <w:basedOn w:val="Normal"/>
    <w:link w:val="FooterChar"/>
    <w:rsid w:val="00882116"/>
    <w:pPr>
      <w:tabs>
        <w:tab w:val="center" w:pos="4320"/>
        <w:tab w:val="right" w:pos="8640"/>
      </w:tabs>
    </w:pPr>
  </w:style>
  <w:style w:type="character" w:customStyle="1" w:styleId="FooterChar">
    <w:name w:val="Footer Char"/>
    <w:basedOn w:val="DefaultParagraphFont"/>
    <w:link w:val="Footer"/>
    <w:rsid w:val="00882116"/>
    <w:rPr>
      <w:rFonts w:ascii="Arial" w:eastAsia="Times New Roman" w:hAnsi="Arial" w:cs="Times New Roman"/>
      <w:szCs w:val="20"/>
      <w:lang w:val="en-GB" w:bidi="ar-SA"/>
    </w:rPr>
  </w:style>
  <w:style w:type="character" w:customStyle="1" w:styleId="Outline2Char">
    <w:name w:val="Outline 2 Char"/>
    <w:basedOn w:val="DefaultParagraphFont"/>
    <w:link w:val="Outline2"/>
    <w:rsid w:val="004D6AF3"/>
    <w:rPr>
      <w:rFonts w:ascii="Arial" w:eastAsia="Times New Roman" w:hAnsi="Arial" w:cs="Arial"/>
      <w:sz w:val="22"/>
      <w:szCs w:val="22"/>
      <w:lang w:eastAsia="en-US"/>
    </w:rPr>
  </w:style>
  <w:style w:type="paragraph" w:customStyle="1" w:styleId="PCSchedule4">
    <w:name w:val="PC Schedule 4"/>
    <w:basedOn w:val="Normal"/>
    <w:rsid w:val="00882116"/>
    <w:pPr>
      <w:numPr>
        <w:ilvl w:val="1"/>
        <w:numId w:val="3"/>
      </w:numPr>
      <w:tabs>
        <w:tab w:val="clear" w:pos="851"/>
        <w:tab w:val="num" w:pos="2268"/>
      </w:tabs>
      <w:spacing w:after="240"/>
      <w:ind w:left="2268" w:hanging="567"/>
      <w:outlineLvl w:val="3"/>
    </w:pPr>
  </w:style>
  <w:style w:type="paragraph" w:customStyle="1" w:styleId="PCSchedule5">
    <w:name w:val="PC Schedule 5"/>
    <w:basedOn w:val="Normal"/>
    <w:rsid w:val="00882116"/>
    <w:pPr>
      <w:numPr>
        <w:ilvl w:val="2"/>
        <w:numId w:val="3"/>
      </w:numPr>
      <w:tabs>
        <w:tab w:val="clear" w:pos="1701"/>
        <w:tab w:val="left" w:pos="2835"/>
        <w:tab w:val="num" w:pos="2988"/>
      </w:tabs>
      <w:spacing w:after="240"/>
      <w:ind w:left="2835" w:hanging="567"/>
      <w:outlineLvl w:val="4"/>
    </w:pPr>
  </w:style>
  <w:style w:type="paragraph" w:customStyle="1" w:styleId="PCScheduleInd2">
    <w:name w:val="PC Schedule Ind 2"/>
    <w:basedOn w:val="Normal"/>
    <w:rsid w:val="00882116"/>
    <w:pPr>
      <w:numPr>
        <w:ilvl w:val="3"/>
        <w:numId w:val="3"/>
      </w:numPr>
      <w:tabs>
        <w:tab w:val="clear" w:pos="2268"/>
        <w:tab w:val="num" w:pos="1701"/>
      </w:tabs>
      <w:spacing w:after="240"/>
      <w:ind w:left="1701" w:hanging="850"/>
      <w:outlineLvl w:val="5"/>
    </w:pPr>
  </w:style>
  <w:style w:type="paragraph" w:customStyle="1" w:styleId="PCScheduleInd3">
    <w:name w:val="PC Schedule Ind 3"/>
    <w:basedOn w:val="Normal"/>
    <w:rsid w:val="00882116"/>
    <w:pPr>
      <w:numPr>
        <w:ilvl w:val="4"/>
        <w:numId w:val="3"/>
      </w:numPr>
      <w:tabs>
        <w:tab w:val="clear" w:pos="2988"/>
        <w:tab w:val="num" w:pos="2552"/>
      </w:tabs>
      <w:spacing w:after="240"/>
      <w:ind w:left="2552" w:hanging="851"/>
      <w:outlineLvl w:val="6"/>
    </w:pPr>
  </w:style>
  <w:style w:type="paragraph" w:customStyle="1" w:styleId="PCScheduleInd4">
    <w:name w:val="PC Schedule Ind 4"/>
    <w:basedOn w:val="Normal"/>
    <w:rsid w:val="00882116"/>
    <w:pPr>
      <w:numPr>
        <w:ilvl w:val="5"/>
        <w:numId w:val="3"/>
      </w:numPr>
      <w:tabs>
        <w:tab w:val="clear" w:pos="1701"/>
        <w:tab w:val="num" w:pos="3119"/>
      </w:tabs>
      <w:spacing w:after="240"/>
      <w:ind w:left="3119" w:hanging="567"/>
      <w:outlineLvl w:val="7"/>
    </w:pPr>
  </w:style>
  <w:style w:type="paragraph" w:customStyle="1" w:styleId="PCScheduleInd5">
    <w:name w:val="PC Schedule Ind 5"/>
    <w:basedOn w:val="Normal"/>
    <w:rsid w:val="00882116"/>
    <w:pPr>
      <w:numPr>
        <w:ilvl w:val="6"/>
        <w:numId w:val="3"/>
      </w:numPr>
      <w:tabs>
        <w:tab w:val="clear" w:pos="2552"/>
        <w:tab w:val="left" w:pos="3686"/>
        <w:tab w:val="num" w:pos="3839"/>
      </w:tabs>
      <w:spacing w:after="240"/>
      <w:ind w:left="3686" w:hanging="567"/>
      <w:outlineLvl w:val="8"/>
    </w:pPr>
  </w:style>
  <w:style w:type="paragraph" w:customStyle="1" w:styleId="Heading11">
    <w:name w:val="Heading 11"/>
    <w:rsid w:val="00882116"/>
    <w:pPr>
      <w:numPr>
        <w:ilvl w:val="7"/>
        <w:numId w:val="3"/>
      </w:numPr>
      <w:tabs>
        <w:tab w:val="clear" w:pos="3119"/>
      </w:tabs>
      <w:overflowPunct w:val="0"/>
      <w:autoSpaceDE w:val="0"/>
      <w:autoSpaceDN w:val="0"/>
      <w:adjustRightInd w:val="0"/>
      <w:ind w:left="0" w:firstLine="0"/>
      <w:jc w:val="center"/>
      <w:textAlignment w:val="baseline"/>
    </w:pPr>
    <w:rPr>
      <w:rFonts w:ascii="Times" w:eastAsia="Times New Roman" w:hAnsi="Times"/>
      <w:b/>
      <w:sz w:val="24"/>
      <w:lang w:eastAsia="en-US"/>
    </w:rPr>
  </w:style>
  <w:style w:type="paragraph" w:styleId="BodyText2">
    <w:name w:val="Body Text 2"/>
    <w:basedOn w:val="Normal"/>
    <w:link w:val="BodyText2Char"/>
    <w:rsid w:val="00882116"/>
    <w:pPr>
      <w:numPr>
        <w:ilvl w:val="8"/>
        <w:numId w:val="3"/>
      </w:numPr>
      <w:tabs>
        <w:tab w:val="clear" w:pos="3839"/>
      </w:tabs>
      <w:ind w:left="0" w:firstLine="0"/>
      <w:jc w:val="left"/>
    </w:pPr>
    <w:rPr>
      <w:rFonts w:cs="Arial"/>
      <w:szCs w:val="24"/>
    </w:rPr>
  </w:style>
  <w:style w:type="character" w:customStyle="1" w:styleId="BodyText2Char">
    <w:name w:val="Body Text 2 Char"/>
    <w:basedOn w:val="DefaultParagraphFont"/>
    <w:link w:val="BodyText2"/>
    <w:rsid w:val="00882116"/>
    <w:rPr>
      <w:rFonts w:ascii="Arial" w:eastAsia="Times New Roman" w:hAnsi="Arial" w:cs="Arial"/>
      <w:szCs w:val="24"/>
      <w:lang w:val="en-GB" w:bidi="ar-SA"/>
    </w:rPr>
  </w:style>
  <w:style w:type="character" w:styleId="PageNumber">
    <w:name w:val="page number"/>
    <w:basedOn w:val="DefaultParagraphFont"/>
    <w:rsid w:val="00882116"/>
  </w:style>
  <w:style w:type="character" w:styleId="Hyperlink">
    <w:name w:val="Hyperlink"/>
    <w:basedOn w:val="DefaultParagraphFont"/>
    <w:rsid w:val="00882116"/>
    <w:rPr>
      <w:color w:val="0000FF"/>
      <w:u w:val="single"/>
    </w:rPr>
  </w:style>
  <w:style w:type="paragraph" w:styleId="BodyTextIndent">
    <w:name w:val="Body Text Indent"/>
    <w:basedOn w:val="Normal"/>
    <w:link w:val="BodyTextIndentChar"/>
    <w:rsid w:val="00882116"/>
    <w:pPr>
      <w:spacing w:after="120"/>
      <w:ind w:left="283"/>
    </w:pPr>
  </w:style>
  <w:style w:type="character" w:customStyle="1" w:styleId="BodyTextIndentChar">
    <w:name w:val="Body Text Indent Char"/>
    <w:basedOn w:val="DefaultParagraphFont"/>
    <w:link w:val="BodyTextIndent"/>
    <w:rsid w:val="00882116"/>
    <w:rPr>
      <w:rFonts w:ascii="Arial" w:eastAsia="Times New Roman" w:hAnsi="Arial" w:cs="Times New Roman"/>
      <w:szCs w:val="20"/>
      <w:lang w:val="en-GB" w:bidi="ar-SA"/>
    </w:rPr>
  </w:style>
  <w:style w:type="character" w:styleId="CommentReference">
    <w:name w:val="annotation reference"/>
    <w:basedOn w:val="DefaultParagraphFont"/>
    <w:rsid w:val="00882116"/>
    <w:rPr>
      <w:sz w:val="16"/>
      <w:szCs w:val="16"/>
    </w:rPr>
  </w:style>
  <w:style w:type="paragraph" w:styleId="CommentText">
    <w:name w:val="annotation text"/>
    <w:basedOn w:val="Normal"/>
    <w:link w:val="CommentTextChar"/>
    <w:rsid w:val="00882116"/>
    <w:rPr>
      <w:sz w:val="20"/>
    </w:rPr>
  </w:style>
  <w:style w:type="character" w:customStyle="1" w:styleId="CommentTextChar">
    <w:name w:val="Comment Text Char"/>
    <w:basedOn w:val="DefaultParagraphFont"/>
    <w:link w:val="CommentText"/>
    <w:rsid w:val="00882116"/>
    <w:rPr>
      <w:rFonts w:ascii="Arial" w:eastAsia="Times New Roman" w:hAnsi="Arial" w:cs="Times New Roman"/>
      <w:sz w:val="20"/>
      <w:szCs w:val="20"/>
      <w:lang w:val="en-GB" w:bidi="ar-SA"/>
    </w:rPr>
  </w:style>
  <w:style w:type="paragraph" w:styleId="BalloonText">
    <w:name w:val="Balloon Text"/>
    <w:basedOn w:val="Normal"/>
    <w:link w:val="BalloonTextChar"/>
    <w:uiPriority w:val="99"/>
    <w:semiHidden/>
    <w:unhideWhenUsed/>
    <w:rsid w:val="00882116"/>
    <w:rPr>
      <w:rFonts w:ascii="Tahoma" w:hAnsi="Tahoma" w:cs="Tahoma"/>
      <w:sz w:val="16"/>
      <w:szCs w:val="16"/>
    </w:rPr>
  </w:style>
  <w:style w:type="character" w:customStyle="1" w:styleId="BalloonTextChar">
    <w:name w:val="Balloon Text Char"/>
    <w:basedOn w:val="DefaultParagraphFont"/>
    <w:link w:val="BalloonText"/>
    <w:uiPriority w:val="99"/>
    <w:semiHidden/>
    <w:rsid w:val="00882116"/>
    <w:rPr>
      <w:rFonts w:ascii="Tahoma" w:eastAsia="Times New Roman" w:hAnsi="Tahoma" w:cs="Tahoma"/>
      <w:sz w:val="16"/>
      <w:szCs w:val="16"/>
      <w:lang w:val="en-GB" w:bidi="ar-SA"/>
    </w:rPr>
  </w:style>
  <w:style w:type="paragraph" w:styleId="Revision">
    <w:name w:val="Revision"/>
    <w:hidden/>
    <w:uiPriority w:val="99"/>
    <w:semiHidden/>
    <w:rsid w:val="0049547A"/>
    <w:rPr>
      <w:rFonts w:ascii="Arial" w:eastAsia="Times New Roman" w:hAnsi="Arial"/>
      <w:sz w:val="22"/>
      <w:lang w:eastAsia="en-US"/>
    </w:rPr>
  </w:style>
  <w:style w:type="paragraph" w:customStyle="1" w:styleId="CM16">
    <w:name w:val="CM16"/>
    <w:basedOn w:val="Normal"/>
    <w:next w:val="Normal"/>
    <w:uiPriority w:val="99"/>
    <w:rsid w:val="00915D98"/>
    <w:pPr>
      <w:widowControl w:val="0"/>
      <w:autoSpaceDE w:val="0"/>
      <w:autoSpaceDN w:val="0"/>
      <w:adjustRightInd w:val="0"/>
      <w:jc w:val="left"/>
    </w:pPr>
    <w:rPr>
      <w:rFonts w:cs="Arial"/>
      <w:sz w:val="24"/>
      <w:szCs w:val="24"/>
      <w:lang w:eastAsia="en-GB"/>
    </w:rPr>
  </w:style>
  <w:style w:type="paragraph" w:customStyle="1" w:styleId="CM3">
    <w:name w:val="CM3"/>
    <w:basedOn w:val="Normal"/>
    <w:next w:val="Normal"/>
    <w:uiPriority w:val="99"/>
    <w:rsid w:val="00915D98"/>
    <w:pPr>
      <w:widowControl w:val="0"/>
      <w:autoSpaceDE w:val="0"/>
      <w:autoSpaceDN w:val="0"/>
      <w:adjustRightInd w:val="0"/>
      <w:spacing w:line="248" w:lineRule="atLeast"/>
      <w:jc w:val="left"/>
    </w:pPr>
    <w:rPr>
      <w:rFonts w:cs="Arial"/>
      <w:sz w:val="24"/>
      <w:szCs w:val="24"/>
      <w:lang w:eastAsia="en-GB"/>
    </w:rPr>
  </w:style>
  <w:style w:type="paragraph" w:customStyle="1" w:styleId="CM18">
    <w:name w:val="CM18"/>
    <w:basedOn w:val="Normal"/>
    <w:next w:val="Normal"/>
    <w:uiPriority w:val="99"/>
    <w:rsid w:val="007B1AA4"/>
    <w:pPr>
      <w:framePr w:w="8949" w:wrap="auto" w:vAnchor="page" w:hAnchor="page" w:x="1441" w:y="9780"/>
      <w:widowControl w:val="0"/>
      <w:autoSpaceDE w:val="0"/>
      <w:autoSpaceDN w:val="0"/>
      <w:adjustRightInd w:val="0"/>
      <w:spacing w:line="248" w:lineRule="atLeast"/>
      <w:jc w:val="left"/>
    </w:pPr>
    <w:rPr>
      <w:rFonts w:cs="Arial"/>
      <w:color w:val="E36C0A"/>
      <w:szCs w:val="22"/>
      <w:lang w:eastAsia="en-GB"/>
    </w:rPr>
  </w:style>
  <w:style w:type="character" w:styleId="FollowedHyperlink">
    <w:name w:val="FollowedHyperlink"/>
    <w:basedOn w:val="DefaultParagraphFont"/>
    <w:uiPriority w:val="99"/>
    <w:semiHidden/>
    <w:unhideWhenUsed/>
    <w:rsid w:val="000B2B65"/>
    <w:rPr>
      <w:color w:val="800080"/>
      <w:u w:val="single"/>
    </w:rPr>
  </w:style>
  <w:style w:type="paragraph" w:styleId="CommentSubject">
    <w:name w:val="annotation subject"/>
    <w:basedOn w:val="CommentText"/>
    <w:next w:val="CommentText"/>
    <w:link w:val="CommentSubjectChar"/>
    <w:uiPriority w:val="99"/>
    <w:semiHidden/>
    <w:unhideWhenUsed/>
    <w:rsid w:val="003137B8"/>
    <w:rPr>
      <w:b/>
      <w:bCs/>
    </w:rPr>
  </w:style>
  <w:style w:type="character" w:customStyle="1" w:styleId="CommentSubjectChar">
    <w:name w:val="Comment Subject Char"/>
    <w:basedOn w:val="CommentTextChar"/>
    <w:link w:val="CommentSubject"/>
    <w:uiPriority w:val="99"/>
    <w:semiHidden/>
    <w:rsid w:val="003137B8"/>
    <w:rPr>
      <w:rFonts w:ascii="Arial" w:eastAsia="Times New Roman" w:hAnsi="Arial" w:cs="Times New Roman"/>
      <w:b/>
      <w:bCs/>
      <w:sz w:val="20"/>
      <w:szCs w:val="20"/>
      <w:lang w:val="en-GB" w:eastAsia="en-US" w:bidi="ar-SA"/>
    </w:rPr>
  </w:style>
  <w:style w:type="paragraph" w:styleId="NormalWeb">
    <w:name w:val="Normal (Web)"/>
    <w:basedOn w:val="Normal"/>
    <w:uiPriority w:val="99"/>
    <w:semiHidden/>
    <w:unhideWhenUsed/>
    <w:rsid w:val="00D62011"/>
    <w:pPr>
      <w:spacing w:before="100" w:beforeAutospacing="1" w:after="100" w:afterAutospacing="1"/>
      <w:jc w:val="left"/>
    </w:pPr>
    <w:rPr>
      <w:rFonts w:ascii="Times New Roman" w:eastAsia="Calibri" w:hAnsi="Times New Roman"/>
      <w:sz w:val="24"/>
      <w:szCs w:val="24"/>
      <w:lang w:eastAsia="en-GB"/>
    </w:rPr>
  </w:style>
  <w:style w:type="table" w:styleId="TableGrid">
    <w:name w:val="Table Grid"/>
    <w:basedOn w:val="TableNormal"/>
    <w:uiPriority w:val="59"/>
    <w:rsid w:val="00C32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82116"/>
    <w:pPr>
      <w:jc w:val="both"/>
    </w:pPr>
    <w:rPr>
      <w:rFonts w:ascii="Arial" w:eastAsia="Times New Roman" w:hAnsi="Arial"/>
      <w:sz w:val="22"/>
      <w:lang w:eastAsia="en-US"/>
    </w:rPr>
  </w:style>
  <w:style w:type="paragraph" w:styleId="Heading1">
    <w:name w:val="heading 1"/>
    <w:basedOn w:val="Normal"/>
    <w:next w:val="Normal"/>
    <w:link w:val="Heading1Char"/>
    <w:uiPriority w:val="9"/>
    <w:qFormat/>
    <w:rsid w:val="00C3260C"/>
    <w:pPr>
      <w:numPr>
        <w:numId w:val="29"/>
      </w:numPr>
      <w:spacing w:before="480"/>
      <w:contextualSpacing/>
      <w:outlineLvl w:val="0"/>
    </w:pPr>
    <w:rPr>
      <w:b/>
      <w:bCs/>
      <w:sz w:val="24"/>
      <w:szCs w:val="28"/>
    </w:rPr>
  </w:style>
  <w:style w:type="paragraph" w:styleId="Heading2">
    <w:name w:val="heading 2"/>
    <w:basedOn w:val="Normal"/>
    <w:next w:val="Normal"/>
    <w:link w:val="Heading2Char"/>
    <w:uiPriority w:val="9"/>
    <w:qFormat/>
    <w:rsid w:val="001414E8"/>
    <w:pPr>
      <w:numPr>
        <w:ilvl w:val="1"/>
        <w:numId w:val="29"/>
      </w:numPr>
      <w:spacing w:before="200"/>
      <w:outlineLvl w:val="1"/>
    </w:pPr>
    <w:rPr>
      <w:bCs/>
      <w:szCs w:val="26"/>
    </w:rPr>
  </w:style>
  <w:style w:type="paragraph" w:styleId="Heading3">
    <w:name w:val="heading 3"/>
    <w:basedOn w:val="Normal"/>
    <w:next w:val="Normal"/>
    <w:link w:val="Heading3Char"/>
    <w:autoRedefine/>
    <w:uiPriority w:val="9"/>
    <w:qFormat/>
    <w:rsid w:val="00924837"/>
    <w:pPr>
      <w:numPr>
        <w:ilvl w:val="2"/>
        <w:numId w:val="29"/>
      </w:numPr>
      <w:spacing w:before="200" w:line="271" w:lineRule="auto"/>
      <w:ind w:left="567" w:hanging="11"/>
      <w:outlineLvl w:val="2"/>
    </w:pPr>
    <w:rPr>
      <w:bCs/>
    </w:rPr>
  </w:style>
  <w:style w:type="paragraph" w:styleId="Heading4">
    <w:name w:val="heading 4"/>
    <w:basedOn w:val="Normal"/>
    <w:next w:val="Normal"/>
    <w:link w:val="Heading4Char"/>
    <w:uiPriority w:val="9"/>
    <w:qFormat/>
    <w:rsid w:val="00363E9F"/>
    <w:pPr>
      <w:numPr>
        <w:ilvl w:val="3"/>
        <w:numId w:val="29"/>
      </w:numPr>
      <w:spacing w:before="200"/>
      <w:outlineLvl w:val="3"/>
    </w:pPr>
    <w:rPr>
      <w:rFonts w:ascii="Cambria" w:hAnsi="Cambria"/>
      <w:b/>
      <w:bCs/>
      <w:i/>
      <w:iCs/>
    </w:rPr>
  </w:style>
  <w:style w:type="paragraph" w:styleId="Heading5">
    <w:name w:val="heading 5"/>
    <w:basedOn w:val="Normal"/>
    <w:next w:val="Normal"/>
    <w:link w:val="Heading5Char"/>
    <w:uiPriority w:val="9"/>
    <w:qFormat/>
    <w:rsid w:val="00363E9F"/>
    <w:pPr>
      <w:numPr>
        <w:ilvl w:val="4"/>
        <w:numId w:val="29"/>
      </w:num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363E9F"/>
    <w:pPr>
      <w:numPr>
        <w:ilvl w:val="5"/>
        <w:numId w:val="29"/>
      </w:num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363E9F"/>
    <w:pPr>
      <w:numPr>
        <w:ilvl w:val="6"/>
        <w:numId w:val="29"/>
      </w:numPr>
      <w:outlineLvl w:val="6"/>
    </w:pPr>
    <w:rPr>
      <w:rFonts w:ascii="Cambria" w:hAnsi="Cambria"/>
      <w:i/>
      <w:iCs/>
    </w:rPr>
  </w:style>
  <w:style w:type="paragraph" w:styleId="Heading8">
    <w:name w:val="heading 8"/>
    <w:basedOn w:val="Normal"/>
    <w:next w:val="Normal"/>
    <w:link w:val="Heading8Char"/>
    <w:uiPriority w:val="9"/>
    <w:qFormat/>
    <w:rsid w:val="00363E9F"/>
    <w:pPr>
      <w:numPr>
        <w:ilvl w:val="7"/>
        <w:numId w:val="29"/>
      </w:numPr>
      <w:outlineLvl w:val="7"/>
    </w:pPr>
    <w:rPr>
      <w:rFonts w:ascii="Cambria" w:hAnsi="Cambria"/>
      <w:sz w:val="20"/>
    </w:rPr>
  </w:style>
  <w:style w:type="paragraph" w:styleId="Heading9">
    <w:name w:val="heading 9"/>
    <w:basedOn w:val="Normal"/>
    <w:next w:val="Normal"/>
    <w:link w:val="Heading9Char"/>
    <w:uiPriority w:val="9"/>
    <w:qFormat/>
    <w:rsid w:val="00363E9F"/>
    <w:pPr>
      <w:numPr>
        <w:ilvl w:val="8"/>
        <w:numId w:val="29"/>
      </w:numPr>
      <w:outlineLvl w:val="8"/>
    </w:pPr>
    <w:rPr>
      <w:rFonts w:ascii="Cambria" w:hAnsi="Cambria"/>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60C"/>
    <w:rPr>
      <w:rFonts w:ascii="Arial" w:eastAsia="Times New Roman" w:hAnsi="Arial"/>
      <w:b/>
      <w:bCs/>
      <w:sz w:val="24"/>
      <w:szCs w:val="28"/>
      <w:lang w:eastAsia="en-US"/>
    </w:rPr>
  </w:style>
  <w:style w:type="character" w:customStyle="1" w:styleId="Heading2Char">
    <w:name w:val="Heading 2 Char"/>
    <w:basedOn w:val="DefaultParagraphFont"/>
    <w:link w:val="Heading2"/>
    <w:uiPriority w:val="9"/>
    <w:rsid w:val="001414E8"/>
    <w:rPr>
      <w:rFonts w:ascii="Arial" w:eastAsia="Times New Roman" w:hAnsi="Arial"/>
      <w:bCs/>
      <w:sz w:val="22"/>
      <w:szCs w:val="26"/>
      <w:lang w:eastAsia="en-US"/>
    </w:rPr>
  </w:style>
  <w:style w:type="character" w:customStyle="1" w:styleId="Heading3Char">
    <w:name w:val="Heading 3 Char"/>
    <w:basedOn w:val="DefaultParagraphFont"/>
    <w:link w:val="Heading3"/>
    <w:uiPriority w:val="9"/>
    <w:rsid w:val="00924837"/>
    <w:rPr>
      <w:rFonts w:ascii="Arial" w:eastAsia="Times New Roman" w:hAnsi="Arial"/>
      <w:bCs/>
      <w:sz w:val="22"/>
      <w:lang w:eastAsia="en-US"/>
    </w:rPr>
  </w:style>
  <w:style w:type="character" w:customStyle="1" w:styleId="Heading4Char">
    <w:name w:val="Heading 4 Char"/>
    <w:basedOn w:val="DefaultParagraphFont"/>
    <w:link w:val="Heading4"/>
    <w:uiPriority w:val="9"/>
    <w:rsid w:val="00363E9F"/>
    <w:rPr>
      <w:rFonts w:ascii="Cambria" w:eastAsia="Times New Roman" w:hAnsi="Cambria"/>
      <w:b/>
      <w:bCs/>
      <w:i/>
      <w:iCs/>
      <w:sz w:val="22"/>
      <w:lang w:eastAsia="en-US"/>
    </w:rPr>
  </w:style>
  <w:style w:type="character" w:customStyle="1" w:styleId="Heading5Char">
    <w:name w:val="Heading 5 Char"/>
    <w:basedOn w:val="DefaultParagraphFont"/>
    <w:link w:val="Heading5"/>
    <w:uiPriority w:val="9"/>
    <w:rsid w:val="00363E9F"/>
    <w:rPr>
      <w:rFonts w:ascii="Cambria" w:eastAsia="Times New Roman" w:hAnsi="Cambria"/>
      <w:b/>
      <w:bCs/>
      <w:color w:val="7F7F7F"/>
      <w:sz w:val="22"/>
      <w:lang w:eastAsia="en-US"/>
    </w:rPr>
  </w:style>
  <w:style w:type="character" w:customStyle="1" w:styleId="Heading6Char">
    <w:name w:val="Heading 6 Char"/>
    <w:basedOn w:val="DefaultParagraphFont"/>
    <w:link w:val="Heading6"/>
    <w:uiPriority w:val="9"/>
    <w:rsid w:val="00363E9F"/>
    <w:rPr>
      <w:rFonts w:ascii="Cambria" w:eastAsia="Times New Roman" w:hAnsi="Cambria"/>
      <w:b/>
      <w:bCs/>
      <w:i/>
      <w:iCs/>
      <w:color w:val="7F7F7F"/>
      <w:sz w:val="22"/>
      <w:lang w:eastAsia="en-US"/>
    </w:rPr>
  </w:style>
  <w:style w:type="character" w:customStyle="1" w:styleId="Heading7Char">
    <w:name w:val="Heading 7 Char"/>
    <w:basedOn w:val="DefaultParagraphFont"/>
    <w:link w:val="Heading7"/>
    <w:uiPriority w:val="9"/>
    <w:rsid w:val="00363E9F"/>
    <w:rPr>
      <w:rFonts w:ascii="Cambria" w:eastAsia="Times New Roman" w:hAnsi="Cambria"/>
      <w:i/>
      <w:iCs/>
      <w:sz w:val="22"/>
      <w:lang w:eastAsia="en-US"/>
    </w:rPr>
  </w:style>
  <w:style w:type="character" w:customStyle="1" w:styleId="Heading8Char">
    <w:name w:val="Heading 8 Char"/>
    <w:basedOn w:val="DefaultParagraphFont"/>
    <w:link w:val="Heading8"/>
    <w:uiPriority w:val="9"/>
    <w:rsid w:val="00363E9F"/>
    <w:rPr>
      <w:rFonts w:ascii="Cambria" w:eastAsia="Times New Roman" w:hAnsi="Cambria"/>
      <w:lang w:eastAsia="en-US"/>
    </w:rPr>
  </w:style>
  <w:style w:type="character" w:customStyle="1" w:styleId="Heading9Char">
    <w:name w:val="Heading 9 Char"/>
    <w:basedOn w:val="DefaultParagraphFont"/>
    <w:link w:val="Heading9"/>
    <w:uiPriority w:val="9"/>
    <w:rsid w:val="00363E9F"/>
    <w:rPr>
      <w:rFonts w:ascii="Cambria" w:eastAsia="Times New Roman" w:hAnsi="Cambria"/>
      <w:i/>
      <w:iCs/>
      <w:spacing w:val="5"/>
      <w:lang w:eastAsia="en-US"/>
    </w:rPr>
  </w:style>
  <w:style w:type="paragraph" w:styleId="Caption">
    <w:name w:val="caption"/>
    <w:basedOn w:val="Normal"/>
    <w:next w:val="Normal"/>
    <w:uiPriority w:val="35"/>
    <w:qFormat/>
    <w:rsid w:val="00363E9F"/>
    <w:rPr>
      <w:b/>
      <w:bCs/>
      <w:smallCaps/>
      <w:color w:val="1F497D"/>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spacing w:val="5"/>
      <w:sz w:val="52"/>
      <w:szCs w:val="52"/>
    </w:rPr>
  </w:style>
  <w:style w:type="character" w:customStyle="1" w:styleId="TitleChar">
    <w:name w:val="Title Char"/>
    <w:basedOn w:val="DefaultParagraphFont"/>
    <w:link w:val="Title"/>
    <w:uiPriority w:val="10"/>
    <w:rsid w:val="00363E9F"/>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363E9F"/>
    <w:pPr>
      <w:spacing w:after="600"/>
    </w:pPr>
    <w:rPr>
      <w:i/>
      <w:iCs/>
      <w:spacing w:val="13"/>
      <w:szCs w:val="24"/>
    </w:rPr>
  </w:style>
  <w:style w:type="character" w:customStyle="1" w:styleId="SubtitleChar">
    <w:name w:val="Subtitle Char"/>
    <w:basedOn w:val="DefaultParagraphFont"/>
    <w:link w:val="Subtitle"/>
    <w:uiPriority w:val="11"/>
    <w:rsid w:val="00363E9F"/>
    <w:rPr>
      <w:rFonts w:ascii="Arial" w:eastAsia="Times New Roman" w:hAnsi="Arial" w:cs="Times New Roman"/>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qFormat/>
    <w:rsid w:val="00363E9F"/>
    <w:pPr>
      <w:outlineLvl w:val="9"/>
    </w:pPr>
  </w:style>
  <w:style w:type="paragraph" w:customStyle="1" w:styleId="Outline1">
    <w:name w:val="Outline 1"/>
    <w:basedOn w:val="Normal"/>
    <w:autoRedefine/>
    <w:rsid w:val="004308EB"/>
    <w:pPr>
      <w:keepNext/>
      <w:spacing w:after="240"/>
      <w:ind w:left="709"/>
      <w:outlineLvl w:val="0"/>
    </w:pPr>
    <w:rPr>
      <w:rFonts w:cs="Arial"/>
      <w:szCs w:val="22"/>
    </w:rPr>
  </w:style>
  <w:style w:type="paragraph" w:customStyle="1" w:styleId="Outline2">
    <w:name w:val="Outline 2"/>
    <w:basedOn w:val="Normal"/>
    <w:link w:val="Outline2Char"/>
    <w:autoRedefine/>
    <w:rsid w:val="004D6AF3"/>
    <w:pPr>
      <w:spacing w:after="240"/>
      <w:ind w:left="709"/>
      <w:contextualSpacing/>
      <w:outlineLvl w:val="1"/>
    </w:pPr>
    <w:rPr>
      <w:rFonts w:cs="Arial"/>
      <w:szCs w:val="22"/>
    </w:rPr>
  </w:style>
  <w:style w:type="paragraph" w:customStyle="1" w:styleId="Outline3">
    <w:name w:val="Outline 3"/>
    <w:basedOn w:val="Normal"/>
    <w:autoRedefine/>
    <w:rsid w:val="00E82A25"/>
    <w:pPr>
      <w:numPr>
        <w:numId w:val="13"/>
      </w:numPr>
      <w:tabs>
        <w:tab w:val="left" w:pos="1134"/>
        <w:tab w:val="left" w:pos="1418"/>
      </w:tabs>
      <w:spacing w:after="240"/>
      <w:ind w:left="1134" w:hanging="425"/>
      <w:outlineLvl w:val="2"/>
    </w:pPr>
  </w:style>
  <w:style w:type="paragraph" w:customStyle="1" w:styleId="Outline4">
    <w:name w:val="Outline 4"/>
    <w:basedOn w:val="Normal"/>
    <w:rsid w:val="00882116"/>
    <w:pPr>
      <w:numPr>
        <w:ilvl w:val="3"/>
        <w:numId w:val="1"/>
      </w:numPr>
      <w:spacing w:after="240"/>
      <w:outlineLvl w:val="3"/>
    </w:pPr>
  </w:style>
  <w:style w:type="paragraph" w:customStyle="1" w:styleId="Outline5">
    <w:name w:val="Outline 5"/>
    <w:basedOn w:val="Normal"/>
    <w:rsid w:val="00882116"/>
    <w:pPr>
      <w:numPr>
        <w:ilvl w:val="4"/>
        <w:numId w:val="1"/>
      </w:numPr>
      <w:tabs>
        <w:tab w:val="left" w:pos="2835"/>
      </w:tabs>
      <w:spacing w:after="240"/>
      <w:outlineLvl w:val="4"/>
    </w:pPr>
  </w:style>
  <w:style w:type="paragraph" w:customStyle="1" w:styleId="OutlineInd2">
    <w:name w:val="Outline Ind 2"/>
    <w:basedOn w:val="Normal"/>
    <w:rsid w:val="00882116"/>
    <w:pPr>
      <w:numPr>
        <w:ilvl w:val="5"/>
        <w:numId w:val="1"/>
      </w:numPr>
      <w:spacing w:after="240"/>
      <w:outlineLvl w:val="5"/>
    </w:pPr>
  </w:style>
  <w:style w:type="paragraph" w:customStyle="1" w:styleId="OutlineInd3">
    <w:name w:val="Outline Ind 3"/>
    <w:basedOn w:val="Normal"/>
    <w:rsid w:val="00882116"/>
    <w:pPr>
      <w:numPr>
        <w:ilvl w:val="6"/>
        <w:numId w:val="1"/>
      </w:numPr>
      <w:spacing w:after="240"/>
      <w:outlineLvl w:val="6"/>
    </w:pPr>
  </w:style>
  <w:style w:type="paragraph" w:customStyle="1" w:styleId="OutlineInd4">
    <w:name w:val="Outline Ind 4"/>
    <w:basedOn w:val="Normal"/>
    <w:rsid w:val="00882116"/>
    <w:pPr>
      <w:numPr>
        <w:ilvl w:val="7"/>
        <w:numId w:val="1"/>
      </w:numPr>
      <w:spacing w:after="240"/>
      <w:outlineLvl w:val="7"/>
    </w:pPr>
  </w:style>
  <w:style w:type="paragraph" w:customStyle="1" w:styleId="OutlineInd5">
    <w:name w:val="Outline Ind 5"/>
    <w:basedOn w:val="Normal"/>
    <w:rsid w:val="00882116"/>
    <w:pPr>
      <w:numPr>
        <w:ilvl w:val="8"/>
        <w:numId w:val="1"/>
      </w:numPr>
      <w:tabs>
        <w:tab w:val="left" w:pos="3686"/>
      </w:tabs>
      <w:spacing w:after="240"/>
      <w:outlineLvl w:val="8"/>
    </w:pPr>
  </w:style>
  <w:style w:type="paragraph" w:customStyle="1" w:styleId="OutlineIndPara">
    <w:name w:val="Outline Ind Para"/>
    <w:basedOn w:val="Normal"/>
    <w:rsid w:val="00882116"/>
    <w:pPr>
      <w:spacing w:after="240"/>
      <w:ind w:left="851"/>
    </w:pPr>
  </w:style>
  <w:style w:type="paragraph" w:styleId="Header">
    <w:name w:val="header"/>
    <w:basedOn w:val="Normal"/>
    <w:link w:val="HeaderChar"/>
    <w:rsid w:val="00882116"/>
    <w:pPr>
      <w:tabs>
        <w:tab w:val="center" w:pos="4320"/>
        <w:tab w:val="right" w:pos="8640"/>
      </w:tabs>
    </w:pPr>
  </w:style>
  <w:style w:type="character" w:customStyle="1" w:styleId="HeaderChar">
    <w:name w:val="Header Char"/>
    <w:basedOn w:val="DefaultParagraphFont"/>
    <w:link w:val="Header"/>
    <w:rsid w:val="00882116"/>
    <w:rPr>
      <w:rFonts w:ascii="Arial" w:eastAsia="Times New Roman" w:hAnsi="Arial" w:cs="Times New Roman"/>
      <w:szCs w:val="20"/>
      <w:lang w:val="en-GB" w:bidi="ar-SA"/>
    </w:rPr>
  </w:style>
  <w:style w:type="paragraph" w:styleId="Footer">
    <w:name w:val="footer"/>
    <w:basedOn w:val="Normal"/>
    <w:link w:val="FooterChar"/>
    <w:rsid w:val="00882116"/>
    <w:pPr>
      <w:tabs>
        <w:tab w:val="center" w:pos="4320"/>
        <w:tab w:val="right" w:pos="8640"/>
      </w:tabs>
    </w:pPr>
  </w:style>
  <w:style w:type="character" w:customStyle="1" w:styleId="FooterChar">
    <w:name w:val="Footer Char"/>
    <w:basedOn w:val="DefaultParagraphFont"/>
    <w:link w:val="Footer"/>
    <w:rsid w:val="00882116"/>
    <w:rPr>
      <w:rFonts w:ascii="Arial" w:eastAsia="Times New Roman" w:hAnsi="Arial" w:cs="Times New Roman"/>
      <w:szCs w:val="20"/>
      <w:lang w:val="en-GB" w:bidi="ar-SA"/>
    </w:rPr>
  </w:style>
  <w:style w:type="character" w:customStyle="1" w:styleId="Outline2Char">
    <w:name w:val="Outline 2 Char"/>
    <w:basedOn w:val="DefaultParagraphFont"/>
    <w:link w:val="Outline2"/>
    <w:rsid w:val="004D6AF3"/>
    <w:rPr>
      <w:rFonts w:ascii="Arial" w:eastAsia="Times New Roman" w:hAnsi="Arial" w:cs="Arial"/>
      <w:sz w:val="22"/>
      <w:szCs w:val="22"/>
      <w:lang w:eastAsia="en-US"/>
    </w:rPr>
  </w:style>
  <w:style w:type="paragraph" w:customStyle="1" w:styleId="PCSchedule4">
    <w:name w:val="PC Schedule 4"/>
    <w:basedOn w:val="Normal"/>
    <w:rsid w:val="00882116"/>
    <w:pPr>
      <w:numPr>
        <w:ilvl w:val="1"/>
        <w:numId w:val="3"/>
      </w:numPr>
      <w:tabs>
        <w:tab w:val="clear" w:pos="851"/>
        <w:tab w:val="num" w:pos="2268"/>
      </w:tabs>
      <w:spacing w:after="240"/>
      <w:ind w:left="2268" w:hanging="567"/>
      <w:outlineLvl w:val="3"/>
    </w:pPr>
  </w:style>
  <w:style w:type="paragraph" w:customStyle="1" w:styleId="PCSchedule5">
    <w:name w:val="PC Schedule 5"/>
    <w:basedOn w:val="Normal"/>
    <w:rsid w:val="00882116"/>
    <w:pPr>
      <w:numPr>
        <w:ilvl w:val="2"/>
        <w:numId w:val="3"/>
      </w:numPr>
      <w:tabs>
        <w:tab w:val="clear" w:pos="1701"/>
        <w:tab w:val="left" w:pos="2835"/>
        <w:tab w:val="num" w:pos="2988"/>
      </w:tabs>
      <w:spacing w:after="240"/>
      <w:ind w:left="2835" w:hanging="567"/>
      <w:outlineLvl w:val="4"/>
    </w:pPr>
  </w:style>
  <w:style w:type="paragraph" w:customStyle="1" w:styleId="PCScheduleInd2">
    <w:name w:val="PC Schedule Ind 2"/>
    <w:basedOn w:val="Normal"/>
    <w:rsid w:val="00882116"/>
    <w:pPr>
      <w:numPr>
        <w:ilvl w:val="3"/>
        <w:numId w:val="3"/>
      </w:numPr>
      <w:tabs>
        <w:tab w:val="clear" w:pos="2268"/>
        <w:tab w:val="num" w:pos="1701"/>
      </w:tabs>
      <w:spacing w:after="240"/>
      <w:ind w:left="1701" w:hanging="850"/>
      <w:outlineLvl w:val="5"/>
    </w:pPr>
  </w:style>
  <w:style w:type="paragraph" w:customStyle="1" w:styleId="PCScheduleInd3">
    <w:name w:val="PC Schedule Ind 3"/>
    <w:basedOn w:val="Normal"/>
    <w:rsid w:val="00882116"/>
    <w:pPr>
      <w:numPr>
        <w:ilvl w:val="4"/>
        <w:numId w:val="3"/>
      </w:numPr>
      <w:tabs>
        <w:tab w:val="clear" w:pos="2988"/>
        <w:tab w:val="num" w:pos="2552"/>
      </w:tabs>
      <w:spacing w:after="240"/>
      <w:ind w:left="2552" w:hanging="851"/>
      <w:outlineLvl w:val="6"/>
    </w:pPr>
  </w:style>
  <w:style w:type="paragraph" w:customStyle="1" w:styleId="PCScheduleInd4">
    <w:name w:val="PC Schedule Ind 4"/>
    <w:basedOn w:val="Normal"/>
    <w:rsid w:val="00882116"/>
    <w:pPr>
      <w:numPr>
        <w:ilvl w:val="5"/>
        <w:numId w:val="3"/>
      </w:numPr>
      <w:tabs>
        <w:tab w:val="clear" w:pos="1701"/>
        <w:tab w:val="num" w:pos="3119"/>
      </w:tabs>
      <w:spacing w:after="240"/>
      <w:ind w:left="3119" w:hanging="567"/>
      <w:outlineLvl w:val="7"/>
    </w:pPr>
  </w:style>
  <w:style w:type="paragraph" w:customStyle="1" w:styleId="PCScheduleInd5">
    <w:name w:val="PC Schedule Ind 5"/>
    <w:basedOn w:val="Normal"/>
    <w:rsid w:val="00882116"/>
    <w:pPr>
      <w:numPr>
        <w:ilvl w:val="6"/>
        <w:numId w:val="3"/>
      </w:numPr>
      <w:tabs>
        <w:tab w:val="clear" w:pos="2552"/>
        <w:tab w:val="left" w:pos="3686"/>
        <w:tab w:val="num" w:pos="3839"/>
      </w:tabs>
      <w:spacing w:after="240"/>
      <w:ind w:left="3686" w:hanging="567"/>
      <w:outlineLvl w:val="8"/>
    </w:pPr>
  </w:style>
  <w:style w:type="paragraph" w:customStyle="1" w:styleId="Heading11">
    <w:name w:val="Heading 11"/>
    <w:rsid w:val="00882116"/>
    <w:pPr>
      <w:numPr>
        <w:ilvl w:val="7"/>
        <w:numId w:val="3"/>
      </w:numPr>
      <w:tabs>
        <w:tab w:val="clear" w:pos="3119"/>
      </w:tabs>
      <w:overflowPunct w:val="0"/>
      <w:autoSpaceDE w:val="0"/>
      <w:autoSpaceDN w:val="0"/>
      <w:adjustRightInd w:val="0"/>
      <w:ind w:left="0" w:firstLine="0"/>
      <w:jc w:val="center"/>
      <w:textAlignment w:val="baseline"/>
    </w:pPr>
    <w:rPr>
      <w:rFonts w:ascii="Times" w:eastAsia="Times New Roman" w:hAnsi="Times"/>
      <w:b/>
      <w:sz w:val="24"/>
      <w:lang w:eastAsia="en-US"/>
    </w:rPr>
  </w:style>
  <w:style w:type="paragraph" w:styleId="BodyText2">
    <w:name w:val="Body Text 2"/>
    <w:basedOn w:val="Normal"/>
    <w:link w:val="BodyText2Char"/>
    <w:rsid w:val="00882116"/>
    <w:pPr>
      <w:numPr>
        <w:ilvl w:val="8"/>
        <w:numId w:val="3"/>
      </w:numPr>
      <w:tabs>
        <w:tab w:val="clear" w:pos="3839"/>
      </w:tabs>
      <w:ind w:left="0" w:firstLine="0"/>
      <w:jc w:val="left"/>
    </w:pPr>
    <w:rPr>
      <w:rFonts w:cs="Arial"/>
      <w:szCs w:val="24"/>
    </w:rPr>
  </w:style>
  <w:style w:type="character" w:customStyle="1" w:styleId="BodyText2Char">
    <w:name w:val="Body Text 2 Char"/>
    <w:basedOn w:val="DefaultParagraphFont"/>
    <w:link w:val="BodyText2"/>
    <w:rsid w:val="00882116"/>
    <w:rPr>
      <w:rFonts w:ascii="Arial" w:eastAsia="Times New Roman" w:hAnsi="Arial" w:cs="Arial"/>
      <w:szCs w:val="24"/>
      <w:lang w:val="en-GB" w:bidi="ar-SA"/>
    </w:rPr>
  </w:style>
  <w:style w:type="character" w:styleId="PageNumber">
    <w:name w:val="page number"/>
    <w:basedOn w:val="DefaultParagraphFont"/>
    <w:rsid w:val="00882116"/>
  </w:style>
  <w:style w:type="character" w:styleId="Hyperlink">
    <w:name w:val="Hyperlink"/>
    <w:basedOn w:val="DefaultParagraphFont"/>
    <w:rsid w:val="00882116"/>
    <w:rPr>
      <w:color w:val="0000FF"/>
      <w:u w:val="single"/>
    </w:rPr>
  </w:style>
  <w:style w:type="paragraph" w:styleId="BodyTextIndent">
    <w:name w:val="Body Text Indent"/>
    <w:basedOn w:val="Normal"/>
    <w:link w:val="BodyTextIndentChar"/>
    <w:rsid w:val="00882116"/>
    <w:pPr>
      <w:spacing w:after="120"/>
      <w:ind w:left="283"/>
    </w:pPr>
  </w:style>
  <w:style w:type="character" w:customStyle="1" w:styleId="BodyTextIndentChar">
    <w:name w:val="Body Text Indent Char"/>
    <w:basedOn w:val="DefaultParagraphFont"/>
    <w:link w:val="BodyTextIndent"/>
    <w:rsid w:val="00882116"/>
    <w:rPr>
      <w:rFonts w:ascii="Arial" w:eastAsia="Times New Roman" w:hAnsi="Arial" w:cs="Times New Roman"/>
      <w:szCs w:val="20"/>
      <w:lang w:val="en-GB" w:bidi="ar-SA"/>
    </w:rPr>
  </w:style>
  <w:style w:type="character" w:styleId="CommentReference">
    <w:name w:val="annotation reference"/>
    <w:basedOn w:val="DefaultParagraphFont"/>
    <w:rsid w:val="00882116"/>
    <w:rPr>
      <w:sz w:val="16"/>
      <w:szCs w:val="16"/>
    </w:rPr>
  </w:style>
  <w:style w:type="paragraph" w:styleId="CommentText">
    <w:name w:val="annotation text"/>
    <w:basedOn w:val="Normal"/>
    <w:link w:val="CommentTextChar"/>
    <w:rsid w:val="00882116"/>
    <w:rPr>
      <w:sz w:val="20"/>
    </w:rPr>
  </w:style>
  <w:style w:type="character" w:customStyle="1" w:styleId="CommentTextChar">
    <w:name w:val="Comment Text Char"/>
    <w:basedOn w:val="DefaultParagraphFont"/>
    <w:link w:val="CommentText"/>
    <w:rsid w:val="00882116"/>
    <w:rPr>
      <w:rFonts w:ascii="Arial" w:eastAsia="Times New Roman" w:hAnsi="Arial" w:cs="Times New Roman"/>
      <w:sz w:val="20"/>
      <w:szCs w:val="20"/>
      <w:lang w:val="en-GB" w:bidi="ar-SA"/>
    </w:rPr>
  </w:style>
  <w:style w:type="paragraph" w:styleId="BalloonText">
    <w:name w:val="Balloon Text"/>
    <w:basedOn w:val="Normal"/>
    <w:link w:val="BalloonTextChar"/>
    <w:uiPriority w:val="99"/>
    <w:semiHidden/>
    <w:unhideWhenUsed/>
    <w:rsid w:val="00882116"/>
    <w:rPr>
      <w:rFonts w:ascii="Tahoma" w:hAnsi="Tahoma" w:cs="Tahoma"/>
      <w:sz w:val="16"/>
      <w:szCs w:val="16"/>
    </w:rPr>
  </w:style>
  <w:style w:type="character" w:customStyle="1" w:styleId="BalloonTextChar">
    <w:name w:val="Balloon Text Char"/>
    <w:basedOn w:val="DefaultParagraphFont"/>
    <w:link w:val="BalloonText"/>
    <w:uiPriority w:val="99"/>
    <w:semiHidden/>
    <w:rsid w:val="00882116"/>
    <w:rPr>
      <w:rFonts w:ascii="Tahoma" w:eastAsia="Times New Roman" w:hAnsi="Tahoma" w:cs="Tahoma"/>
      <w:sz w:val="16"/>
      <w:szCs w:val="16"/>
      <w:lang w:val="en-GB" w:bidi="ar-SA"/>
    </w:rPr>
  </w:style>
  <w:style w:type="paragraph" w:styleId="Revision">
    <w:name w:val="Revision"/>
    <w:hidden/>
    <w:uiPriority w:val="99"/>
    <w:semiHidden/>
    <w:rsid w:val="0049547A"/>
    <w:rPr>
      <w:rFonts w:ascii="Arial" w:eastAsia="Times New Roman" w:hAnsi="Arial"/>
      <w:sz w:val="22"/>
      <w:lang w:eastAsia="en-US"/>
    </w:rPr>
  </w:style>
  <w:style w:type="paragraph" w:customStyle="1" w:styleId="CM16">
    <w:name w:val="CM16"/>
    <w:basedOn w:val="Normal"/>
    <w:next w:val="Normal"/>
    <w:uiPriority w:val="99"/>
    <w:rsid w:val="00915D98"/>
    <w:pPr>
      <w:widowControl w:val="0"/>
      <w:autoSpaceDE w:val="0"/>
      <w:autoSpaceDN w:val="0"/>
      <w:adjustRightInd w:val="0"/>
      <w:jc w:val="left"/>
    </w:pPr>
    <w:rPr>
      <w:rFonts w:cs="Arial"/>
      <w:sz w:val="24"/>
      <w:szCs w:val="24"/>
      <w:lang w:eastAsia="en-GB"/>
    </w:rPr>
  </w:style>
  <w:style w:type="paragraph" w:customStyle="1" w:styleId="CM3">
    <w:name w:val="CM3"/>
    <w:basedOn w:val="Normal"/>
    <w:next w:val="Normal"/>
    <w:uiPriority w:val="99"/>
    <w:rsid w:val="00915D98"/>
    <w:pPr>
      <w:widowControl w:val="0"/>
      <w:autoSpaceDE w:val="0"/>
      <w:autoSpaceDN w:val="0"/>
      <w:adjustRightInd w:val="0"/>
      <w:spacing w:line="248" w:lineRule="atLeast"/>
      <w:jc w:val="left"/>
    </w:pPr>
    <w:rPr>
      <w:rFonts w:cs="Arial"/>
      <w:sz w:val="24"/>
      <w:szCs w:val="24"/>
      <w:lang w:eastAsia="en-GB"/>
    </w:rPr>
  </w:style>
  <w:style w:type="paragraph" w:customStyle="1" w:styleId="CM18">
    <w:name w:val="CM18"/>
    <w:basedOn w:val="Normal"/>
    <w:next w:val="Normal"/>
    <w:uiPriority w:val="99"/>
    <w:rsid w:val="007B1AA4"/>
    <w:pPr>
      <w:framePr w:w="8949" w:wrap="auto" w:vAnchor="page" w:hAnchor="page" w:x="1441" w:y="9780"/>
      <w:widowControl w:val="0"/>
      <w:autoSpaceDE w:val="0"/>
      <w:autoSpaceDN w:val="0"/>
      <w:adjustRightInd w:val="0"/>
      <w:spacing w:line="248" w:lineRule="atLeast"/>
      <w:jc w:val="left"/>
    </w:pPr>
    <w:rPr>
      <w:rFonts w:cs="Arial"/>
      <w:color w:val="E36C0A"/>
      <w:szCs w:val="22"/>
      <w:lang w:eastAsia="en-GB"/>
    </w:rPr>
  </w:style>
  <w:style w:type="character" w:styleId="FollowedHyperlink">
    <w:name w:val="FollowedHyperlink"/>
    <w:basedOn w:val="DefaultParagraphFont"/>
    <w:uiPriority w:val="99"/>
    <w:semiHidden/>
    <w:unhideWhenUsed/>
    <w:rsid w:val="000B2B65"/>
    <w:rPr>
      <w:color w:val="800080"/>
      <w:u w:val="single"/>
    </w:rPr>
  </w:style>
  <w:style w:type="paragraph" w:styleId="CommentSubject">
    <w:name w:val="annotation subject"/>
    <w:basedOn w:val="CommentText"/>
    <w:next w:val="CommentText"/>
    <w:link w:val="CommentSubjectChar"/>
    <w:uiPriority w:val="99"/>
    <w:semiHidden/>
    <w:unhideWhenUsed/>
    <w:rsid w:val="003137B8"/>
    <w:rPr>
      <w:b/>
      <w:bCs/>
    </w:rPr>
  </w:style>
  <w:style w:type="character" w:customStyle="1" w:styleId="CommentSubjectChar">
    <w:name w:val="Comment Subject Char"/>
    <w:basedOn w:val="CommentTextChar"/>
    <w:link w:val="CommentSubject"/>
    <w:uiPriority w:val="99"/>
    <w:semiHidden/>
    <w:rsid w:val="003137B8"/>
    <w:rPr>
      <w:rFonts w:ascii="Arial" w:eastAsia="Times New Roman" w:hAnsi="Arial" w:cs="Times New Roman"/>
      <w:b/>
      <w:bCs/>
      <w:sz w:val="20"/>
      <w:szCs w:val="20"/>
      <w:lang w:val="en-GB" w:eastAsia="en-US" w:bidi="ar-SA"/>
    </w:rPr>
  </w:style>
  <w:style w:type="paragraph" w:styleId="NormalWeb">
    <w:name w:val="Normal (Web)"/>
    <w:basedOn w:val="Normal"/>
    <w:uiPriority w:val="99"/>
    <w:semiHidden/>
    <w:unhideWhenUsed/>
    <w:rsid w:val="00D62011"/>
    <w:pPr>
      <w:spacing w:before="100" w:beforeAutospacing="1" w:after="100" w:afterAutospacing="1"/>
      <w:jc w:val="left"/>
    </w:pPr>
    <w:rPr>
      <w:rFonts w:ascii="Times New Roman" w:eastAsia="Calibri" w:hAnsi="Times New Roman"/>
      <w:sz w:val="24"/>
      <w:szCs w:val="24"/>
      <w:lang w:eastAsia="en-GB"/>
    </w:rPr>
  </w:style>
  <w:style w:type="table" w:styleId="TableGrid">
    <w:name w:val="Table Grid"/>
    <w:basedOn w:val="TableNormal"/>
    <w:uiPriority w:val="59"/>
    <w:rsid w:val="00C32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4825">
      <w:bodyDiv w:val="1"/>
      <w:marLeft w:val="0"/>
      <w:marRight w:val="0"/>
      <w:marTop w:val="0"/>
      <w:marBottom w:val="0"/>
      <w:divBdr>
        <w:top w:val="none" w:sz="0" w:space="0" w:color="auto"/>
        <w:left w:val="none" w:sz="0" w:space="0" w:color="auto"/>
        <w:bottom w:val="none" w:sz="0" w:space="0" w:color="auto"/>
        <w:right w:val="none" w:sz="0" w:space="0" w:color="auto"/>
      </w:divBdr>
    </w:div>
    <w:div w:id="211038112">
      <w:bodyDiv w:val="1"/>
      <w:marLeft w:val="0"/>
      <w:marRight w:val="0"/>
      <w:marTop w:val="0"/>
      <w:marBottom w:val="0"/>
      <w:divBdr>
        <w:top w:val="none" w:sz="0" w:space="0" w:color="auto"/>
        <w:left w:val="none" w:sz="0" w:space="0" w:color="auto"/>
        <w:bottom w:val="none" w:sz="0" w:space="0" w:color="auto"/>
        <w:right w:val="none" w:sz="0" w:space="0" w:color="auto"/>
      </w:divBdr>
    </w:div>
    <w:div w:id="288323402">
      <w:bodyDiv w:val="1"/>
      <w:marLeft w:val="0"/>
      <w:marRight w:val="0"/>
      <w:marTop w:val="0"/>
      <w:marBottom w:val="0"/>
      <w:divBdr>
        <w:top w:val="none" w:sz="0" w:space="0" w:color="auto"/>
        <w:left w:val="none" w:sz="0" w:space="0" w:color="auto"/>
        <w:bottom w:val="none" w:sz="0" w:space="0" w:color="auto"/>
        <w:right w:val="none" w:sz="0" w:space="0" w:color="auto"/>
      </w:divBdr>
    </w:div>
    <w:div w:id="460927226">
      <w:bodyDiv w:val="1"/>
      <w:marLeft w:val="0"/>
      <w:marRight w:val="0"/>
      <w:marTop w:val="0"/>
      <w:marBottom w:val="0"/>
      <w:divBdr>
        <w:top w:val="none" w:sz="0" w:space="0" w:color="auto"/>
        <w:left w:val="none" w:sz="0" w:space="0" w:color="auto"/>
        <w:bottom w:val="none" w:sz="0" w:space="0" w:color="auto"/>
        <w:right w:val="none" w:sz="0" w:space="0" w:color="auto"/>
      </w:divBdr>
    </w:div>
    <w:div w:id="534318766">
      <w:bodyDiv w:val="1"/>
      <w:marLeft w:val="0"/>
      <w:marRight w:val="0"/>
      <w:marTop w:val="0"/>
      <w:marBottom w:val="0"/>
      <w:divBdr>
        <w:top w:val="none" w:sz="0" w:space="0" w:color="auto"/>
        <w:left w:val="none" w:sz="0" w:space="0" w:color="auto"/>
        <w:bottom w:val="none" w:sz="0" w:space="0" w:color="auto"/>
        <w:right w:val="none" w:sz="0" w:space="0" w:color="auto"/>
      </w:divBdr>
    </w:div>
    <w:div w:id="573009233">
      <w:bodyDiv w:val="1"/>
      <w:marLeft w:val="0"/>
      <w:marRight w:val="0"/>
      <w:marTop w:val="0"/>
      <w:marBottom w:val="0"/>
      <w:divBdr>
        <w:top w:val="none" w:sz="0" w:space="0" w:color="auto"/>
        <w:left w:val="none" w:sz="0" w:space="0" w:color="auto"/>
        <w:bottom w:val="none" w:sz="0" w:space="0" w:color="auto"/>
        <w:right w:val="none" w:sz="0" w:space="0" w:color="auto"/>
      </w:divBdr>
    </w:div>
    <w:div w:id="649601973">
      <w:bodyDiv w:val="1"/>
      <w:marLeft w:val="0"/>
      <w:marRight w:val="0"/>
      <w:marTop w:val="0"/>
      <w:marBottom w:val="0"/>
      <w:divBdr>
        <w:top w:val="none" w:sz="0" w:space="0" w:color="auto"/>
        <w:left w:val="none" w:sz="0" w:space="0" w:color="auto"/>
        <w:bottom w:val="none" w:sz="0" w:space="0" w:color="auto"/>
        <w:right w:val="none" w:sz="0" w:space="0" w:color="auto"/>
      </w:divBdr>
    </w:div>
    <w:div w:id="691804863">
      <w:bodyDiv w:val="1"/>
      <w:marLeft w:val="0"/>
      <w:marRight w:val="0"/>
      <w:marTop w:val="0"/>
      <w:marBottom w:val="0"/>
      <w:divBdr>
        <w:top w:val="none" w:sz="0" w:space="0" w:color="auto"/>
        <w:left w:val="none" w:sz="0" w:space="0" w:color="auto"/>
        <w:bottom w:val="none" w:sz="0" w:space="0" w:color="auto"/>
        <w:right w:val="none" w:sz="0" w:space="0" w:color="auto"/>
      </w:divBdr>
    </w:div>
    <w:div w:id="806705354">
      <w:bodyDiv w:val="1"/>
      <w:marLeft w:val="0"/>
      <w:marRight w:val="0"/>
      <w:marTop w:val="0"/>
      <w:marBottom w:val="0"/>
      <w:divBdr>
        <w:top w:val="none" w:sz="0" w:space="0" w:color="auto"/>
        <w:left w:val="none" w:sz="0" w:space="0" w:color="auto"/>
        <w:bottom w:val="none" w:sz="0" w:space="0" w:color="auto"/>
        <w:right w:val="none" w:sz="0" w:space="0" w:color="auto"/>
      </w:divBdr>
    </w:div>
    <w:div w:id="873736334">
      <w:bodyDiv w:val="1"/>
      <w:marLeft w:val="0"/>
      <w:marRight w:val="0"/>
      <w:marTop w:val="0"/>
      <w:marBottom w:val="0"/>
      <w:divBdr>
        <w:top w:val="none" w:sz="0" w:space="0" w:color="auto"/>
        <w:left w:val="none" w:sz="0" w:space="0" w:color="auto"/>
        <w:bottom w:val="none" w:sz="0" w:space="0" w:color="auto"/>
        <w:right w:val="none" w:sz="0" w:space="0" w:color="auto"/>
      </w:divBdr>
    </w:div>
    <w:div w:id="1117529591">
      <w:bodyDiv w:val="1"/>
      <w:marLeft w:val="0"/>
      <w:marRight w:val="0"/>
      <w:marTop w:val="0"/>
      <w:marBottom w:val="0"/>
      <w:divBdr>
        <w:top w:val="none" w:sz="0" w:space="0" w:color="auto"/>
        <w:left w:val="none" w:sz="0" w:space="0" w:color="auto"/>
        <w:bottom w:val="none" w:sz="0" w:space="0" w:color="auto"/>
        <w:right w:val="none" w:sz="0" w:space="0" w:color="auto"/>
      </w:divBdr>
    </w:div>
    <w:div w:id="1125268375">
      <w:bodyDiv w:val="1"/>
      <w:marLeft w:val="0"/>
      <w:marRight w:val="0"/>
      <w:marTop w:val="0"/>
      <w:marBottom w:val="0"/>
      <w:divBdr>
        <w:top w:val="none" w:sz="0" w:space="0" w:color="auto"/>
        <w:left w:val="none" w:sz="0" w:space="0" w:color="auto"/>
        <w:bottom w:val="none" w:sz="0" w:space="0" w:color="auto"/>
        <w:right w:val="none" w:sz="0" w:space="0" w:color="auto"/>
      </w:divBdr>
    </w:div>
    <w:div w:id="1141191012">
      <w:bodyDiv w:val="1"/>
      <w:marLeft w:val="0"/>
      <w:marRight w:val="0"/>
      <w:marTop w:val="0"/>
      <w:marBottom w:val="0"/>
      <w:divBdr>
        <w:top w:val="none" w:sz="0" w:space="0" w:color="auto"/>
        <w:left w:val="none" w:sz="0" w:space="0" w:color="auto"/>
        <w:bottom w:val="none" w:sz="0" w:space="0" w:color="auto"/>
        <w:right w:val="none" w:sz="0" w:space="0" w:color="auto"/>
      </w:divBdr>
    </w:div>
    <w:div w:id="1143540197">
      <w:bodyDiv w:val="1"/>
      <w:marLeft w:val="0"/>
      <w:marRight w:val="0"/>
      <w:marTop w:val="0"/>
      <w:marBottom w:val="0"/>
      <w:divBdr>
        <w:top w:val="none" w:sz="0" w:space="0" w:color="auto"/>
        <w:left w:val="none" w:sz="0" w:space="0" w:color="auto"/>
        <w:bottom w:val="none" w:sz="0" w:space="0" w:color="auto"/>
        <w:right w:val="none" w:sz="0" w:space="0" w:color="auto"/>
      </w:divBdr>
    </w:div>
    <w:div w:id="1295404163">
      <w:bodyDiv w:val="1"/>
      <w:marLeft w:val="0"/>
      <w:marRight w:val="0"/>
      <w:marTop w:val="0"/>
      <w:marBottom w:val="0"/>
      <w:divBdr>
        <w:top w:val="none" w:sz="0" w:space="0" w:color="auto"/>
        <w:left w:val="none" w:sz="0" w:space="0" w:color="auto"/>
        <w:bottom w:val="none" w:sz="0" w:space="0" w:color="auto"/>
        <w:right w:val="none" w:sz="0" w:space="0" w:color="auto"/>
      </w:divBdr>
    </w:div>
    <w:div w:id="1381444790">
      <w:bodyDiv w:val="1"/>
      <w:marLeft w:val="0"/>
      <w:marRight w:val="0"/>
      <w:marTop w:val="0"/>
      <w:marBottom w:val="0"/>
      <w:divBdr>
        <w:top w:val="none" w:sz="0" w:space="0" w:color="auto"/>
        <w:left w:val="none" w:sz="0" w:space="0" w:color="auto"/>
        <w:bottom w:val="none" w:sz="0" w:space="0" w:color="auto"/>
        <w:right w:val="none" w:sz="0" w:space="0" w:color="auto"/>
      </w:divBdr>
    </w:div>
    <w:div w:id="1835291379">
      <w:bodyDiv w:val="1"/>
      <w:marLeft w:val="0"/>
      <w:marRight w:val="0"/>
      <w:marTop w:val="0"/>
      <w:marBottom w:val="0"/>
      <w:divBdr>
        <w:top w:val="none" w:sz="0" w:space="0" w:color="auto"/>
        <w:left w:val="none" w:sz="0" w:space="0" w:color="auto"/>
        <w:bottom w:val="none" w:sz="0" w:space="0" w:color="auto"/>
        <w:right w:val="none" w:sz="0" w:space="0" w:color="auto"/>
      </w:divBdr>
    </w:div>
    <w:div w:id="1898855161">
      <w:bodyDiv w:val="1"/>
      <w:marLeft w:val="0"/>
      <w:marRight w:val="0"/>
      <w:marTop w:val="0"/>
      <w:marBottom w:val="0"/>
      <w:divBdr>
        <w:top w:val="none" w:sz="0" w:space="0" w:color="auto"/>
        <w:left w:val="none" w:sz="0" w:space="0" w:color="auto"/>
        <w:bottom w:val="none" w:sz="0" w:space="0" w:color="auto"/>
        <w:right w:val="none" w:sz="0" w:space="0" w:color="auto"/>
      </w:divBdr>
    </w:div>
    <w:div w:id="190344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specialisedpharma@dh.gsi.gov.uk" TargetMode="External"/><Relationship Id="rId3" Type="http://schemas.openxmlformats.org/officeDocument/2006/relationships/styles" Target="styles.xml"/><Relationship Id="rId21" Type="http://schemas.openxmlformats.org/officeDocument/2006/relationships/package" Target="embeddings/Microsoft_Excel_Worksheet1.xls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hyperlink" Target="mailto:specialisedpharma@dh.gsi.gov.u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6FE0F-3223-46B0-90E3-031541D5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4780</Words>
  <Characters>27250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Wendy</dc:creator>
  <cp:lastModifiedBy>Roach, Wendy</cp:lastModifiedBy>
  <cp:revision>5</cp:revision>
  <cp:lastPrinted>2017-07-27T11:24:00Z</cp:lastPrinted>
  <dcterms:created xsi:type="dcterms:W3CDTF">2017-07-31T11:12:00Z</dcterms:created>
  <dcterms:modified xsi:type="dcterms:W3CDTF">2017-08-17T08:58:00Z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A2393975</vt:lpwstr>
  </property>
  <property fmtid="{D5CDD505-2E9C-101B-9397-08002B2CF9AE}" pid="3" name="Objective-Title">
    <vt:lpwstr>Document No. 04a rFVIII - Contract Technical Specification</vt:lpwstr>
  </property>
  <property fmtid="{D5CDD505-2E9C-101B-9397-08002B2CF9AE}" pid="4" name="Objective-Comment">
    <vt:lpwstr>
    </vt:lpwstr>
  </property>
  <property fmtid="{D5CDD505-2E9C-101B-9397-08002B2CF9AE}" pid="5" name="Objective-CreationStamp">
    <vt:filetime>2017-07-31T11:12:06Z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2017-08-17T14:34:02Z</vt:filetime>
  </property>
  <property fmtid="{D5CDD505-2E9C-101B-9397-08002B2CF9AE}" pid="10" name="Objective-Owner">
    <vt:lpwstr>Roach, Wendy</vt:lpwstr>
  </property>
  <property fmtid="{D5CDD505-2E9C-101B-9397-08002B2CF9AE}" pid="11" name="Objective-Path">
    <vt:lpwstr>Global Folder:05 Specialised Projects and Contracts:Live Projects:15 Specialised Pharmaceuticals projects and contracts 2015:CM/PHS/15/5498 - Recombinant Factor VIII:03 Tender for CM/PHS/15/5498 rFVIII:04 ITO documents:ITO Stage:</vt:lpwstr>
  </property>
  <property fmtid="{D5CDD505-2E9C-101B-9397-08002B2CF9AE}" pid="12" name="Objective-Parent">
    <vt:lpwstr>ITO Stage</vt:lpwstr>
  </property>
  <property fmtid="{D5CDD505-2E9C-101B-9397-08002B2CF9AE}" pid="13" name="Objective-State">
    <vt:lpwstr>Being Edited</vt:lpwstr>
  </property>
  <property fmtid="{D5CDD505-2E9C-101B-9397-08002B2CF9AE}" pid="14" name="Objective-Version">
    <vt:lpwstr>7.1</vt:lpwstr>
  </property>
  <property fmtid="{D5CDD505-2E9C-101B-9397-08002B2CF9AE}" pid="15" name="Objective-VersionNumber">
    <vt:i4>9</vt:i4>
  </property>
  <property fmtid="{D5CDD505-2E9C-101B-9397-08002B2CF9AE}" pid="16" name="Objective-VersionComment">
    <vt:lpwstr>
    </vt:lpwstr>
  </property>
  <property fmtid="{D5CDD505-2E9C-101B-9397-08002B2CF9AE}" pid="17" name="Objective-FileNumber">
    <vt:lpwstr>qA18498</vt:lpwstr>
  </property>
  <property fmtid="{D5CDD505-2E9C-101B-9397-08002B2CF9AE}" pid="18" name="Objective-Classification">
    <vt:lpwstr>[Inherited - none]</vt:lpwstr>
  </property>
  <property fmtid="{D5CDD505-2E9C-101B-9397-08002B2CF9AE}" pid="19" name="Objective-Caveats">
    <vt:lpwstr>
    </vt:lpwstr>
  </property>
</Properties>
</file>