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72F" w:rsidRPr="00B56D9C" w:rsidRDefault="0007672F" w:rsidP="0007672F">
      <w:pPr>
        <w:spacing w:before="0" w:line="240" w:lineRule="auto"/>
        <w:rPr>
          <w:rFonts w:ascii="Calibri" w:hAnsi="Calibri"/>
          <w:b/>
          <w:szCs w:val="22"/>
        </w:rPr>
      </w:pPr>
      <w:r w:rsidRPr="00B56D9C">
        <w:rPr>
          <w:rFonts w:ascii="Calibri" w:hAnsi="Calibri"/>
          <w:b/>
          <w:szCs w:val="22"/>
        </w:rPr>
        <w:t>SECTION TWO: SPECIFICATION</w:t>
      </w:r>
    </w:p>
    <w:p w:rsidR="0007672F" w:rsidRPr="00B56D9C" w:rsidRDefault="0007672F" w:rsidP="0007672F">
      <w:pPr>
        <w:spacing w:before="0" w:line="240" w:lineRule="auto"/>
        <w:rPr>
          <w:rFonts w:ascii="Calibri" w:hAnsi="Calibri"/>
          <w:b/>
          <w:szCs w:val="22"/>
        </w:rPr>
      </w:pPr>
    </w:p>
    <w:p w:rsidR="0007672F" w:rsidRPr="00B56D9C" w:rsidRDefault="0007672F" w:rsidP="0007672F">
      <w:pPr>
        <w:pStyle w:val="Default"/>
        <w:rPr>
          <w:rFonts w:ascii="Calibri" w:hAnsi="Calibri"/>
          <w:color w:val="auto"/>
          <w:sz w:val="22"/>
          <w:szCs w:val="22"/>
        </w:rPr>
      </w:pPr>
      <w:r w:rsidRPr="00B56D9C">
        <w:rPr>
          <w:rFonts w:ascii="Calibri" w:hAnsi="Calibri"/>
          <w:color w:val="auto"/>
          <w:sz w:val="22"/>
          <w:szCs w:val="22"/>
        </w:rPr>
        <w:t xml:space="preserve">Section two of this ITT sets out the requirement for which the Customer invites Bidders to submit a Tender Response. </w:t>
      </w:r>
    </w:p>
    <w:p w:rsidR="0007672F" w:rsidRPr="00B56D9C" w:rsidRDefault="0007672F" w:rsidP="0007672F">
      <w:pPr>
        <w:spacing w:before="0" w:line="240" w:lineRule="auto"/>
        <w:rPr>
          <w:rFonts w:ascii="Calibri" w:hAnsi="Calibri"/>
          <w:b/>
          <w:szCs w:val="22"/>
        </w:rPr>
      </w:pPr>
    </w:p>
    <w:p w:rsidR="0007672F" w:rsidRPr="00B56D9C" w:rsidRDefault="0007672F" w:rsidP="0007672F">
      <w:pPr>
        <w:pStyle w:val="Kew1"/>
        <w:rPr>
          <w:rFonts w:ascii="Calibri" w:hAnsi="Calibri"/>
          <w:b/>
          <w:sz w:val="22"/>
          <w:szCs w:val="22"/>
        </w:rPr>
      </w:pPr>
      <w:r w:rsidRPr="00B56D9C">
        <w:rPr>
          <w:rFonts w:ascii="Calibri" w:hAnsi="Calibri"/>
          <w:b/>
          <w:sz w:val="22"/>
          <w:szCs w:val="22"/>
          <w:lang w:val="en-GB"/>
        </w:rPr>
        <w:t>S</w:t>
      </w:r>
      <w:r w:rsidRPr="00B56D9C">
        <w:rPr>
          <w:rFonts w:ascii="Calibri" w:hAnsi="Calibri"/>
          <w:b/>
          <w:sz w:val="22"/>
          <w:szCs w:val="22"/>
        </w:rPr>
        <w:t>UMMARY</w:t>
      </w:r>
    </w:p>
    <w:p w:rsidR="0007672F" w:rsidRPr="00B56D9C" w:rsidRDefault="0007672F" w:rsidP="0007672F">
      <w:pPr>
        <w:pStyle w:val="Kew1"/>
        <w:numPr>
          <w:ilvl w:val="0"/>
          <w:numId w:val="0"/>
        </w:numPr>
        <w:ind w:left="567"/>
        <w:rPr>
          <w:rFonts w:ascii="Calibri" w:hAnsi="Calibri"/>
          <w:b/>
          <w:sz w:val="22"/>
          <w:szCs w:val="22"/>
        </w:rPr>
      </w:pPr>
    </w:p>
    <w:p w:rsidR="0007672F" w:rsidRPr="00B56D9C" w:rsidRDefault="0007672F" w:rsidP="0007672F">
      <w:pPr>
        <w:pStyle w:val="Default"/>
        <w:rPr>
          <w:rFonts w:ascii="Calibri" w:hAnsi="Calibri"/>
          <w:color w:val="auto"/>
          <w:sz w:val="22"/>
          <w:szCs w:val="22"/>
        </w:rPr>
      </w:pPr>
      <w:r w:rsidRPr="00B56D9C">
        <w:rPr>
          <w:rFonts w:ascii="Calibri" w:hAnsi="Calibri"/>
          <w:color w:val="auto"/>
          <w:sz w:val="22"/>
          <w:szCs w:val="22"/>
        </w:rPr>
        <w:t>An instrument for medium-throughput fragmentation (up to 8 samples at a time) of genomic DNA and RNA into accurate size distribution for high-throughput sequencing approaches.</w:t>
      </w:r>
    </w:p>
    <w:p w:rsidR="0007672F" w:rsidRPr="00B56D9C" w:rsidRDefault="0007672F" w:rsidP="0007672F">
      <w:pPr>
        <w:pStyle w:val="Default"/>
        <w:rPr>
          <w:rFonts w:ascii="Calibri" w:hAnsi="Calibri"/>
          <w:color w:val="auto"/>
          <w:sz w:val="22"/>
          <w:szCs w:val="22"/>
        </w:rPr>
      </w:pPr>
    </w:p>
    <w:p w:rsidR="0007672F" w:rsidRPr="00B56D9C" w:rsidRDefault="0007672F" w:rsidP="0007672F">
      <w:pPr>
        <w:pStyle w:val="Kew1"/>
        <w:rPr>
          <w:rFonts w:ascii="Calibri" w:hAnsi="Calibri"/>
          <w:b/>
          <w:sz w:val="22"/>
          <w:szCs w:val="22"/>
        </w:rPr>
      </w:pPr>
      <w:r w:rsidRPr="00B56D9C">
        <w:rPr>
          <w:rFonts w:ascii="Calibri" w:hAnsi="Calibri"/>
          <w:b/>
          <w:sz w:val="22"/>
          <w:szCs w:val="22"/>
        </w:rPr>
        <w:t xml:space="preserve"> ESSENTIAL REQUIREMENTS</w:t>
      </w:r>
    </w:p>
    <w:p w:rsidR="0007672F" w:rsidRPr="00B56D9C" w:rsidRDefault="0007672F" w:rsidP="0007672F">
      <w:pPr>
        <w:pStyle w:val="Kew1"/>
        <w:numPr>
          <w:ilvl w:val="0"/>
          <w:numId w:val="0"/>
        </w:numPr>
        <w:ind w:left="567"/>
        <w:rPr>
          <w:rFonts w:ascii="Calibri" w:hAnsi="Calibri"/>
          <w:b/>
          <w:sz w:val="22"/>
          <w:szCs w:val="22"/>
        </w:rPr>
      </w:pPr>
    </w:p>
    <w:p w:rsidR="0007672F" w:rsidRPr="00B56D9C" w:rsidRDefault="0007672F" w:rsidP="0007672F">
      <w:pPr>
        <w:pStyle w:val="Default"/>
        <w:rPr>
          <w:rFonts w:ascii="Calibri" w:hAnsi="Calibri"/>
          <w:color w:val="auto"/>
          <w:sz w:val="22"/>
          <w:szCs w:val="22"/>
        </w:rPr>
      </w:pPr>
      <w:r w:rsidRPr="00B56D9C">
        <w:rPr>
          <w:rFonts w:ascii="Calibri" w:hAnsi="Calibri"/>
          <w:color w:val="auto"/>
          <w:sz w:val="22"/>
          <w:szCs w:val="22"/>
        </w:rPr>
        <w:t xml:space="preserve">The </w:t>
      </w:r>
      <w:proofErr w:type="spellStart"/>
      <w:r w:rsidRPr="00B56D9C">
        <w:rPr>
          <w:rFonts w:ascii="Calibri" w:hAnsi="Calibri"/>
          <w:color w:val="auto"/>
          <w:sz w:val="22"/>
          <w:szCs w:val="22"/>
        </w:rPr>
        <w:t>Ultrasonicator</w:t>
      </w:r>
      <w:proofErr w:type="spellEnd"/>
      <w:r w:rsidRPr="00B56D9C">
        <w:rPr>
          <w:rFonts w:ascii="Calibri" w:hAnsi="Calibri"/>
          <w:color w:val="auto"/>
          <w:sz w:val="22"/>
          <w:szCs w:val="22"/>
        </w:rPr>
        <w:t xml:space="preserve"> must provide the following features:</w:t>
      </w:r>
    </w:p>
    <w:p w:rsidR="0007672F" w:rsidRPr="00E0513B" w:rsidRDefault="0007672F" w:rsidP="0007672F">
      <w:pPr>
        <w:pStyle w:val="Default"/>
        <w:rPr>
          <w:rFonts w:ascii="Calibri" w:hAnsi="Calibri"/>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6355"/>
        <w:gridCol w:w="1165"/>
      </w:tblGrid>
      <w:tr w:rsidR="0007672F" w:rsidRPr="00E0513B" w:rsidTr="0078591A">
        <w:trPr>
          <w:jc w:val="center"/>
        </w:trPr>
        <w:tc>
          <w:tcPr>
            <w:tcW w:w="1502" w:type="dxa"/>
            <w:tcBorders>
              <w:bottom w:val="single" w:sz="4" w:space="0" w:color="auto"/>
            </w:tcBorders>
            <w:shd w:val="clear" w:color="auto" w:fill="C9C9C9"/>
          </w:tcPr>
          <w:p w:rsidR="0007672F" w:rsidRPr="00F461E4" w:rsidRDefault="0007672F" w:rsidP="0078591A">
            <w:pPr>
              <w:spacing w:before="0" w:line="240" w:lineRule="auto"/>
              <w:jc w:val="center"/>
              <w:rPr>
                <w:rFonts w:ascii="Calibri" w:hAnsi="Calibri"/>
                <w:b/>
              </w:rPr>
            </w:pPr>
            <w:r w:rsidRPr="00F461E4">
              <w:rPr>
                <w:rFonts w:ascii="Calibri" w:hAnsi="Calibri"/>
                <w:b/>
              </w:rPr>
              <w:t>Requirement reference</w:t>
            </w:r>
          </w:p>
        </w:tc>
        <w:tc>
          <w:tcPr>
            <w:tcW w:w="6470" w:type="dxa"/>
            <w:tcBorders>
              <w:bottom w:val="single" w:sz="4" w:space="0" w:color="auto"/>
            </w:tcBorders>
            <w:shd w:val="clear" w:color="auto" w:fill="C9C9C9"/>
          </w:tcPr>
          <w:p w:rsidR="0007672F" w:rsidRPr="00F461E4" w:rsidRDefault="0007672F" w:rsidP="0078591A">
            <w:pPr>
              <w:spacing w:before="0" w:line="240" w:lineRule="auto"/>
              <w:rPr>
                <w:rFonts w:ascii="Calibri" w:hAnsi="Calibri"/>
                <w:b/>
              </w:rPr>
            </w:pPr>
            <w:r w:rsidRPr="00F461E4">
              <w:rPr>
                <w:rFonts w:ascii="Calibri" w:hAnsi="Calibri"/>
                <w:b/>
              </w:rPr>
              <w:t>Criteria</w:t>
            </w:r>
          </w:p>
        </w:tc>
        <w:tc>
          <w:tcPr>
            <w:tcW w:w="1165" w:type="dxa"/>
            <w:tcBorders>
              <w:bottom w:val="single" w:sz="4" w:space="0" w:color="auto"/>
            </w:tcBorders>
            <w:shd w:val="clear" w:color="auto" w:fill="C9C9C9"/>
            <w:vAlign w:val="center"/>
          </w:tcPr>
          <w:p w:rsidR="0007672F" w:rsidRPr="00F461E4" w:rsidRDefault="0007672F" w:rsidP="0078591A">
            <w:pPr>
              <w:spacing w:before="0" w:line="240" w:lineRule="auto"/>
              <w:rPr>
                <w:rFonts w:ascii="Calibri" w:hAnsi="Calibri"/>
                <w:b/>
              </w:rPr>
            </w:pPr>
            <w:r w:rsidRPr="00F461E4">
              <w:rPr>
                <w:rFonts w:ascii="Calibri" w:hAnsi="Calibri"/>
                <w:b/>
              </w:rPr>
              <w:t>Weighting</w:t>
            </w:r>
          </w:p>
        </w:tc>
      </w:tr>
      <w:tr w:rsidR="0007672F" w:rsidRPr="00E0513B" w:rsidTr="0078591A">
        <w:trPr>
          <w:jc w:val="center"/>
        </w:trPr>
        <w:tc>
          <w:tcPr>
            <w:tcW w:w="9137" w:type="dxa"/>
            <w:gridSpan w:val="3"/>
            <w:shd w:val="clear" w:color="auto" w:fill="EDEDED"/>
          </w:tcPr>
          <w:p w:rsidR="0007672F" w:rsidRPr="00F461E4" w:rsidRDefault="0007672F" w:rsidP="0078591A">
            <w:pPr>
              <w:spacing w:before="0" w:line="240" w:lineRule="auto"/>
              <w:jc w:val="center"/>
              <w:rPr>
                <w:rFonts w:ascii="Calibri" w:hAnsi="Calibri"/>
                <w:b/>
              </w:rPr>
            </w:pPr>
            <w:r w:rsidRPr="00F461E4">
              <w:rPr>
                <w:rFonts w:ascii="Calibri" w:hAnsi="Calibri"/>
                <w:b/>
              </w:rPr>
              <w:t>Technical Performance</w:t>
            </w:r>
          </w:p>
        </w:tc>
      </w:tr>
      <w:tr w:rsidR="0007672F" w:rsidRPr="00E0513B" w:rsidTr="0078591A">
        <w:trPr>
          <w:jc w:val="center"/>
        </w:trPr>
        <w:tc>
          <w:tcPr>
            <w:tcW w:w="1502" w:type="dxa"/>
            <w:vAlign w:val="center"/>
          </w:tcPr>
          <w:p w:rsidR="0007672F" w:rsidRPr="00F461E4" w:rsidRDefault="0007672F" w:rsidP="0078591A">
            <w:pPr>
              <w:spacing w:before="0" w:line="240" w:lineRule="auto"/>
              <w:jc w:val="center"/>
              <w:rPr>
                <w:rFonts w:ascii="Calibri" w:hAnsi="Calibri"/>
              </w:rPr>
            </w:pPr>
            <w:r w:rsidRPr="00F461E4">
              <w:rPr>
                <w:rFonts w:ascii="Calibri" w:hAnsi="Calibri"/>
              </w:rPr>
              <w:t>1</w:t>
            </w:r>
          </w:p>
        </w:tc>
        <w:tc>
          <w:tcPr>
            <w:tcW w:w="6470" w:type="dxa"/>
            <w:vAlign w:val="center"/>
          </w:tcPr>
          <w:p w:rsidR="0007672F" w:rsidRPr="00F461E4" w:rsidRDefault="0007672F" w:rsidP="0078591A">
            <w:pPr>
              <w:spacing w:before="0" w:line="240" w:lineRule="auto"/>
              <w:rPr>
                <w:rFonts w:ascii="Calibri" w:hAnsi="Calibri"/>
                <w:szCs w:val="22"/>
              </w:rPr>
            </w:pPr>
            <w:r w:rsidRPr="00F461E4">
              <w:rPr>
                <w:rFonts w:ascii="Calibri" w:hAnsi="Calibri"/>
                <w:szCs w:val="22"/>
              </w:rPr>
              <w:t>Sonication and general:</w:t>
            </w:r>
          </w:p>
          <w:p w:rsidR="0007672F" w:rsidRPr="00F461E4" w:rsidRDefault="0007672F" w:rsidP="0007672F">
            <w:pPr>
              <w:pStyle w:val="Default"/>
              <w:numPr>
                <w:ilvl w:val="0"/>
                <w:numId w:val="2"/>
              </w:numPr>
              <w:rPr>
                <w:rFonts w:ascii="Calibri" w:hAnsi="Calibri"/>
                <w:color w:val="auto"/>
                <w:sz w:val="22"/>
                <w:szCs w:val="22"/>
              </w:rPr>
            </w:pPr>
            <w:r w:rsidRPr="00F461E4">
              <w:rPr>
                <w:rFonts w:ascii="Calibri" w:hAnsi="Calibri"/>
                <w:color w:val="auto"/>
                <w:sz w:val="22"/>
                <w:szCs w:val="22"/>
              </w:rPr>
              <w:t>The capability for automated, isothermal, non-contact focussed ultra-sonication of DNA/RNA samples</w:t>
            </w:r>
          </w:p>
          <w:p w:rsidR="0007672F" w:rsidRPr="00F461E4" w:rsidRDefault="0007672F" w:rsidP="0007672F">
            <w:pPr>
              <w:pStyle w:val="Default"/>
              <w:numPr>
                <w:ilvl w:val="0"/>
                <w:numId w:val="2"/>
              </w:numPr>
              <w:rPr>
                <w:rFonts w:ascii="Calibri" w:hAnsi="Calibri"/>
                <w:color w:val="auto"/>
                <w:sz w:val="22"/>
                <w:szCs w:val="22"/>
              </w:rPr>
            </w:pPr>
            <w:r w:rsidRPr="00F461E4">
              <w:rPr>
                <w:rFonts w:ascii="Calibri" w:hAnsi="Calibri"/>
                <w:color w:val="auto"/>
                <w:sz w:val="22"/>
                <w:szCs w:val="22"/>
              </w:rPr>
              <w:t xml:space="preserve">Frequency focussed and within the ultrasonic range (500-1500 kHz and 1-10 mm wavelengths) </w:t>
            </w:r>
          </w:p>
          <w:p w:rsidR="0007672F" w:rsidRPr="00F461E4" w:rsidRDefault="0007672F" w:rsidP="0007672F">
            <w:pPr>
              <w:pStyle w:val="Default"/>
              <w:numPr>
                <w:ilvl w:val="0"/>
                <w:numId w:val="2"/>
              </w:numPr>
              <w:rPr>
                <w:rFonts w:ascii="Calibri" w:hAnsi="Calibri"/>
                <w:color w:val="auto"/>
                <w:sz w:val="22"/>
                <w:szCs w:val="22"/>
              </w:rPr>
            </w:pPr>
            <w:r w:rsidRPr="00F461E4">
              <w:rPr>
                <w:rFonts w:ascii="Calibri" w:hAnsi="Calibri"/>
                <w:color w:val="auto"/>
                <w:sz w:val="22"/>
                <w:szCs w:val="22"/>
              </w:rPr>
              <w:t>Computer-controlled time and acoustic energy transfer.  Temperature and power monitored in real-time</w:t>
            </w:r>
          </w:p>
          <w:p w:rsidR="0007672F" w:rsidRPr="00F461E4" w:rsidRDefault="0007672F" w:rsidP="0007672F">
            <w:pPr>
              <w:pStyle w:val="Default"/>
              <w:numPr>
                <w:ilvl w:val="0"/>
                <w:numId w:val="2"/>
              </w:numPr>
              <w:rPr>
                <w:rFonts w:ascii="Calibri" w:hAnsi="Calibri"/>
                <w:color w:val="auto"/>
                <w:sz w:val="22"/>
                <w:szCs w:val="22"/>
              </w:rPr>
            </w:pPr>
            <w:r w:rsidRPr="00F461E4">
              <w:rPr>
                <w:rFonts w:ascii="Calibri" w:hAnsi="Calibri"/>
                <w:color w:val="auto"/>
                <w:sz w:val="22"/>
                <w:szCs w:val="22"/>
              </w:rPr>
              <w:t>The system must be non-audible to humans, and therefore can be operated within a normal laboratory set</w:t>
            </w:r>
            <w:r>
              <w:rPr>
                <w:rFonts w:ascii="Calibri" w:hAnsi="Calibri"/>
                <w:color w:val="auto"/>
                <w:sz w:val="22"/>
                <w:szCs w:val="22"/>
              </w:rPr>
              <w:t>ting without hearing protection</w:t>
            </w:r>
          </w:p>
          <w:p w:rsidR="0007672F" w:rsidRPr="00F461E4" w:rsidRDefault="0007672F" w:rsidP="0007672F">
            <w:pPr>
              <w:pStyle w:val="Default"/>
              <w:numPr>
                <w:ilvl w:val="0"/>
                <w:numId w:val="2"/>
              </w:numPr>
              <w:rPr>
                <w:rFonts w:ascii="Calibri" w:hAnsi="Calibri"/>
                <w:color w:val="auto"/>
                <w:szCs w:val="22"/>
              </w:rPr>
            </w:pPr>
            <w:r w:rsidRPr="00F461E4">
              <w:rPr>
                <w:rFonts w:ascii="Calibri" w:hAnsi="Calibri"/>
                <w:color w:val="auto"/>
                <w:sz w:val="22"/>
                <w:szCs w:val="22"/>
              </w:rPr>
              <w:t>Automated control, including temperature control and control of water levels</w:t>
            </w:r>
            <w:r>
              <w:rPr>
                <w:rFonts w:ascii="Calibri" w:hAnsi="Calibri"/>
                <w:szCs w:val="22"/>
              </w:rPr>
              <w:t xml:space="preserve"> </w:t>
            </w:r>
          </w:p>
        </w:tc>
        <w:tc>
          <w:tcPr>
            <w:tcW w:w="1165" w:type="dxa"/>
            <w:tcBorders>
              <w:bottom w:val="single" w:sz="4" w:space="0" w:color="auto"/>
            </w:tcBorders>
            <w:vAlign w:val="center"/>
          </w:tcPr>
          <w:p w:rsidR="0007672F" w:rsidRPr="00E14C7E" w:rsidRDefault="0007672F" w:rsidP="0078591A">
            <w:pPr>
              <w:spacing w:before="0" w:line="240" w:lineRule="auto"/>
              <w:jc w:val="center"/>
              <w:rPr>
                <w:rFonts w:ascii="Calibri" w:hAnsi="Calibri"/>
              </w:rPr>
            </w:pPr>
            <w:r w:rsidRPr="00E14C7E">
              <w:rPr>
                <w:rFonts w:ascii="Calibri" w:hAnsi="Calibri"/>
              </w:rPr>
              <w:t>15%</w:t>
            </w:r>
          </w:p>
        </w:tc>
      </w:tr>
      <w:tr w:rsidR="0007672F" w:rsidRPr="00E0513B" w:rsidTr="0078591A">
        <w:trPr>
          <w:jc w:val="center"/>
        </w:trPr>
        <w:tc>
          <w:tcPr>
            <w:tcW w:w="1502" w:type="dxa"/>
            <w:vAlign w:val="center"/>
          </w:tcPr>
          <w:p w:rsidR="0007672F" w:rsidRPr="00F461E4" w:rsidRDefault="0007672F" w:rsidP="0078591A">
            <w:pPr>
              <w:spacing w:before="0" w:line="240" w:lineRule="auto"/>
              <w:jc w:val="center"/>
              <w:rPr>
                <w:rFonts w:ascii="Calibri" w:hAnsi="Calibri"/>
              </w:rPr>
            </w:pPr>
            <w:r w:rsidRPr="00F461E4">
              <w:rPr>
                <w:rFonts w:ascii="Calibri" w:hAnsi="Calibri"/>
              </w:rPr>
              <w:t>2</w:t>
            </w:r>
          </w:p>
        </w:tc>
        <w:tc>
          <w:tcPr>
            <w:tcW w:w="6470" w:type="dxa"/>
            <w:vAlign w:val="center"/>
          </w:tcPr>
          <w:p w:rsidR="0007672F" w:rsidRPr="00F461E4" w:rsidRDefault="0007672F" w:rsidP="0078591A">
            <w:pPr>
              <w:spacing w:before="0" w:line="240" w:lineRule="auto"/>
              <w:rPr>
                <w:rFonts w:ascii="Calibri" w:hAnsi="Calibri"/>
                <w:szCs w:val="22"/>
              </w:rPr>
            </w:pPr>
            <w:r w:rsidRPr="00F461E4">
              <w:rPr>
                <w:rFonts w:ascii="Calibri" w:hAnsi="Calibri"/>
                <w:szCs w:val="22"/>
              </w:rPr>
              <w:t xml:space="preserve">Fragmentation range and accuracy: </w:t>
            </w:r>
          </w:p>
          <w:p w:rsidR="0007672F" w:rsidRDefault="0007672F" w:rsidP="0007672F">
            <w:pPr>
              <w:numPr>
                <w:ilvl w:val="0"/>
                <w:numId w:val="2"/>
              </w:numPr>
              <w:suppressAutoHyphens/>
              <w:spacing w:before="0" w:line="240" w:lineRule="auto"/>
              <w:rPr>
                <w:rFonts w:ascii="Calibri" w:hAnsi="Calibri"/>
                <w:szCs w:val="22"/>
              </w:rPr>
            </w:pPr>
            <w:r>
              <w:rPr>
                <w:rFonts w:ascii="Calibri" w:hAnsi="Calibri"/>
                <w:szCs w:val="22"/>
              </w:rPr>
              <w:t xml:space="preserve">Fragment size distribution can be adapted by user from 150 </w:t>
            </w:r>
            <w:proofErr w:type="spellStart"/>
            <w:r>
              <w:rPr>
                <w:rFonts w:ascii="Calibri" w:hAnsi="Calibri"/>
                <w:szCs w:val="22"/>
              </w:rPr>
              <w:t>bp</w:t>
            </w:r>
            <w:proofErr w:type="spellEnd"/>
            <w:r>
              <w:rPr>
                <w:rFonts w:ascii="Calibri" w:hAnsi="Calibri"/>
                <w:szCs w:val="22"/>
              </w:rPr>
              <w:t xml:space="preserve"> to 5000 </w:t>
            </w:r>
            <w:proofErr w:type="spellStart"/>
            <w:r>
              <w:rPr>
                <w:rFonts w:ascii="Calibri" w:hAnsi="Calibri"/>
                <w:szCs w:val="22"/>
              </w:rPr>
              <w:t>bp</w:t>
            </w:r>
            <w:proofErr w:type="spellEnd"/>
          </w:p>
          <w:p w:rsidR="0007672F" w:rsidRPr="00254868" w:rsidRDefault="0007672F" w:rsidP="0007672F">
            <w:pPr>
              <w:numPr>
                <w:ilvl w:val="0"/>
                <w:numId w:val="2"/>
              </w:numPr>
              <w:suppressAutoHyphens/>
              <w:spacing w:before="0" w:line="240" w:lineRule="auto"/>
              <w:rPr>
                <w:rFonts w:ascii="Calibri" w:hAnsi="Calibri"/>
                <w:szCs w:val="22"/>
              </w:rPr>
            </w:pPr>
            <w:r>
              <w:rPr>
                <w:rFonts w:ascii="Calibri" w:hAnsi="Calibri"/>
                <w:szCs w:val="22"/>
              </w:rPr>
              <w:t>Continuous real-time isothermal processing, resulting in no heat generation in the sample (thereby maintaining integrity of DNA/RNA)</w:t>
            </w:r>
          </w:p>
          <w:p w:rsidR="0007672F" w:rsidRPr="00F461E4" w:rsidRDefault="0007672F" w:rsidP="0007672F">
            <w:pPr>
              <w:numPr>
                <w:ilvl w:val="0"/>
                <w:numId w:val="2"/>
              </w:numPr>
              <w:suppressAutoHyphens/>
              <w:spacing w:before="0" w:line="240" w:lineRule="auto"/>
              <w:rPr>
                <w:rFonts w:ascii="Calibri" w:hAnsi="Calibri"/>
                <w:szCs w:val="22"/>
              </w:rPr>
            </w:pPr>
            <w:r>
              <w:rPr>
                <w:rFonts w:ascii="Calibri" w:hAnsi="Calibri"/>
                <w:szCs w:val="22"/>
              </w:rPr>
              <w:t>Non-contact process with closed-tube, controlled focussed acoustic field to avoid cross-contamination and faster process</w:t>
            </w:r>
          </w:p>
        </w:tc>
        <w:tc>
          <w:tcPr>
            <w:tcW w:w="1165" w:type="dxa"/>
            <w:tcBorders>
              <w:bottom w:val="single" w:sz="4" w:space="0" w:color="auto"/>
            </w:tcBorders>
            <w:vAlign w:val="center"/>
          </w:tcPr>
          <w:p w:rsidR="0007672F" w:rsidRPr="00E14C7E" w:rsidRDefault="0007672F" w:rsidP="0078591A">
            <w:pPr>
              <w:spacing w:before="0" w:line="240" w:lineRule="auto"/>
              <w:jc w:val="center"/>
              <w:rPr>
                <w:rFonts w:ascii="Calibri" w:hAnsi="Calibri"/>
              </w:rPr>
            </w:pPr>
            <w:r w:rsidRPr="00E14C7E">
              <w:rPr>
                <w:rFonts w:ascii="Calibri" w:hAnsi="Calibri"/>
              </w:rPr>
              <w:t>30%</w:t>
            </w:r>
          </w:p>
        </w:tc>
      </w:tr>
      <w:tr w:rsidR="0007672F" w:rsidRPr="00E0513B" w:rsidTr="0078591A">
        <w:trPr>
          <w:jc w:val="center"/>
        </w:trPr>
        <w:tc>
          <w:tcPr>
            <w:tcW w:w="1502" w:type="dxa"/>
            <w:vAlign w:val="center"/>
          </w:tcPr>
          <w:p w:rsidR="0007672F" w:rsidRPr="005340FD" w:rsidRDefault="0007672F" w:rsidP="0078591A">
            <w:pPr>
              <w:spacing w:before="0" w:line="240" w:lineRule="auto"/>
              <w:jc w:val="center"/>
              <w:rPr>
                <w:rFonts w:ascii="Calibri" w:hAnsi="Calibri"/>
              </w:rPr>
            </w:pPr>
            <w:r w:rsidRPr="005340FD">
              <w:rPr>
                <w:rFonts w:ascii="Calibri" w:hAnsi="Calibri"/>
              </w:rPr>
              <w:t>3</w:t>
            </w:r>
          </w:p>
        </w:tc>
        <w:tc>
          <w:tcPr>
            <w:tcW w:w="6470" w:type="dxa"/>
            <w:vAlign w:val="center"/>
          </w:tcPr>
          <w:p w:rsidR="0007672F" w:rsidRPr="005340FD" w:rsidRDefault="0007672F" w:rsidP="0078591A">
            <w:pPr>
              <w:spacing w:before="0" w:line="240" w:lineRule="auto"/>
              <w:rPr>
                <w:rFonts w:ascii="Calibri" w:hAnsi="Calibri"/>
                <w:szCs w:val="22"/>
              </w:rPr>
            </w:pPr>
            <w:r w:rsidRPr="005340FD">
              <w:rPr>
                <w:rFonts w:ascii="Calibri" w:hAnsi="Calibri"/>
                <w:szCs w:val="22"/>
              </w:rPr>
              <w:t>Throughput:</w:t>
            </w:r>
          </w:p>
          <w:p w:rsidR="0007672F" w:rsidRPr="005340FD" w:rsidRDefault="0007672F" w:rsidP="0007672F">
            <w:pPr>
              <w:numPr>
                <w:ilvl w:val="0"/>
                <w:numId w:val="2"/>
              </w:numPr>
              <w:suppressAutoHyphens/>
              <w:spacing w:before="0" w:line="240" w:lineRule="auto"/>
              <w:rPr>
                <w:rFonts w:ascii="Calibri" w:hAnsi="Calibri"/>
                <w:szCs w:val="22"/>
              </w:rPr>
            </w:pPr>
            <w:r w:rsidRPr="005340FD">
              <w:rPr>
                <w:rFonts w:ascii="Calibri" w:hAnsi="Calibri"/>
                <w:szCs w:val="22"/>
              </w:rPr>
              <w:t xml:space="preserve">Ability to batch process up to 8 samples in a single run </w:t>
            </w:r>
          </w:p>
        </w:tc>
        <w:tc>
          <w:tcPr>
            <w:tcW w:w="1165" w:type="dxa"/>
            <w:tcBorders>
              <w:bottom w:val="single" w:sz="4" w:space="0" w:color="auto"/>
            </w:tcBorders>
            <w:vAlign w:val="center"/>
          </w:tcPr>
          <w:p w:rsidR="0007672F" w:rsidRPr="00E14C7E" w:rsidRDefault="0007672F" w:rsidP="0078591A">
            <w:pPr>
              <w:spacing w:before="0" w:line="240" w:lineRule="auto"/>
              <w:jc w:val="center"/>
              <w:rPr>
                <w:rFonts w:ascii="Calibri" w:hAnsi="Calibri"/>
              </w:rPr>
            </w:pPr>
            <w:r w:rsidRPr="00E14C7E">
              <w:rPr>
                <w:rFonts w:ascii="Calibri" w:hAnsi="Calibri"/>
              </w:rPr>
              <w:t>25%</w:t>
            </w:r>
          </w:p>
        </w:tc>
      </w:tr>
      <w:tr w:rsidR="0007672F" w:rsidRPr="00E0513B" w:rsidTr="0078591A">
        <w:trPr>
          <w:jc w:val="center"/>
        </w:trPr>
        <w:tc>
          <w:tcPr>
            <w:tcW w:w="9137" w:type="dxa"/>
            <w:gridSpan w:val="3"/>
            <w:tcBorders>
              <w:bottom w:val="single" w:sz="4" w:space="0" w:color="auto"/>
            </w:tcBorders>
            <w:shd w:val="clear" w:color="auto" w:fill="EDEDED"/>
          </w:tcPr>
          <w:p w:rsidR="0007672F" w:rsidRPr="005340FD" w:rsidRDefault="0007672F" w:rsidP="0078591A">
            <w:pPr>
              <w:spacing w:before="0" w:line="240" w:lineRule="auto"/>
              <w:jc w:val="center"/>
              <w:rPr>
                <w:rFonts w:ascii="Calibri" w:hAnsi="Calibri"/>
                <w:b/>
                <w:highlight w:val="yellow"/>
              </w:rPr>
            </w:pPr>
            <w:r w:rsidRPr="005340FD">
              <w:rPr>
                <w:rFonts w:ascii="Calibri" w:hAnsi="Calibri"/>
                <w:b/>
              </w:rPr>
              <w:t>Commercial</w:t>
            </w:r>
          </w:p>
        </w:tc>
      </w:tr>
      <w:tr w:rsidR="0007672F" w:rsidRPr="00E0513B" w:rsidTr="0078591A">
        <w:trPr>
          <w:jc w:val="center"/>
        </w:trPr>
        <w:tc>
          <w:tcPr>
            <w:tcW w:w="1502" w:type="dxa"/>
            <w:tcBorders>
              <w:bottom w:val="single" w:sz="4" w:space="0" w:color="auto"/>
            </w:tcBorders>
          </w:tcPr>
          <w:p w:rsidR="0007672F" w:rsidRPr="005340FD" w:rsidRDefault="0007672F" w:rsidP="0078591A">
            <w:pPr>
              <w:spacing w:before="0" w:line="240" w:lineRule="auto"/>
              <w:jc w:val="center"/>
              <w:rPr>
                <w:rFonts w:ascii="Calibri" w:hAnsi="Calibri"/>
              </w:rPr>
            </w:pPr>
            <w:r>
              <w:rPr>
                <w:rFonts w:ascii="Calibri" w:hAnsi="Calibri"/>
              </w:rPr>
              <w:t>4</w:t>
            </w:r>
          </w:p>
        </w:tc>
        <w:tc>
          <w:tcPr>
            <w:tcW w:w="6470" w:type="dxa"/>
            <w:tcBorders>
              <w:bottom w:val="single" w:sz="4" w:space="0" w:color="auto"/>
            </w:tcBorders>
            <w:shd w:val="clear" w:color="auto" w:fill="auto"/>
          </w:tcPr>
          <w:p w:rsidR="0007672F" w:rsidRPr="005340FD" w:rsidRDefault="0007672F" w:rsidP="0078591A">
            <w:pPr>
              <w:spacing w:before="0" w:line="240" w:lineRule="auto"/>
              <w:rPr>
                <w:rFonts w:ascii="Calibri" w:hAnsi="Calibri"/>
              </w:rPr>
            </w:pPr>
            <w:r w:rsidRPr="005340FD">
              <w:rPr>
                <w:rFonts w:ascii="Calibri" w:hAnsi="Calibri"/>
              </w:rPr>
              <w:t xml:space="preserve">Total Cost </w:t>
            </w:r>
          </w:p>
        </w:tc>
        <w:tc>
          <w:tcPr>
            <w:tcW w:w="1165" w:type="dxa"/>
            <w:tcBorders>
              <w:bottom w:val="single" w:sz="4" w:space="0" w:color="auto"/>
            </w:tcBorders>
            <w:shd w:val="clear" w:color="auto" w:fill="auto"/>
            <w:vAlign w:val="center"/>
          </w:tcPr>
          <w:p w:rsidR="0007672F" w:rsidRPr="005340FD" w:rsidRDefault="0007672F" w:rsidP="0078591A">
            <w:pPr>
              <w:spacing w:before="0" w:line="240" w:lineRule="auto"/>
              <w:jc w:val="center"/>
              <w:rPr>
                <w:rFonts w:ascii="Calibri" w:hAnsi="Calibri"/>
              </w:rPr>
            </w:pPr>
            <w:r w:rsidRPr="005340FD">
              <w:rPr>
                <w:rFonts w:ascii="Calibri" w:hAnsi="Calibri"/>
              </w:rPr>
              <w:t>30%</w:t>
            </w:r>
          </w:p>
        </w:tc>
      </w:tr>
      <w:tr w:rsidR="0007672F" w:rsidRPr="005340FD" w:rsidTr="0078591A">
        <w:trPr>
          <w:jc w:val="center"/>
        </w:trPr>
        <w:tc>
          <w:tcPr>
            <w:tcW w:w="7972" w:type="dxa"/>
            <w:gridSpan w:val="2"/>
            <w:tcBorders>
              <w:bottom w:val="single" w:sz="4" w:space="0" w:color="auto"/>
            </w:tcBorders>
            <w:shd w:val="clear" w:color="auto" w:fill="C9C9C9"/>
          </w:tcPr>
          <w:p w:rsidR="0007672F" w:rsidRPr="005340FD" w:rsidRDefault="0007672F" w:rsidP="0078591A">
            <w:pPr>
              <w:spacing w:before="0" w:line="240" w:lineRule="auto"/>
              <w:jc w:val="center"/>
              <w:rPr>
                <w:rFonts w:ascii="Calibri" w:hAnsi="Calibri"/>
                <w:b/>
              </w:rPr>
            </w:pPr>
            <w:r w:rsidRPr="005340FD">
              <w:rPr>
                <w:rFonts w:ascii="Calibri" w:hAnsi="Calibri"/>
                <w:b/>
              </w:rPr>
              <w:t>Total</w:t>
            </w:r>
          </w:p>
        </w:tc>
        <w:tc>
          <w:tcPr>
            <w:tcW w:w="1165" w:type="dxa"/>
            <w:tcBorders>
              <w:bottom w:val="single" w:sz="4" w:space="0" w:color="auto"/>
            </w:tcBorders>
            <w:shd w:val="clear" w:color="auto" w:fill="C9C9C9"/>
            <w:vAlign w:val="center"/>
          </w:tcPr>
          <w:p w:rsidR="0007672F" w:rsidRPr="005340FD" w:rsidRDefault="0007672F" w:rsidP="0078591A">
            <w:pPr>
              <w:spacing w:before="0" w:line="240" w:lineRule="auto"/>
              <w:jc w:val="center"/>
              <w:rPr>
                <w:rFonts w:ascii="Calibri" w:hAnsi="Calibri"/>
                <w:b/>
              </w:rPr>
            </w:pPr>
            <w:r w:rsidRPr="005340FD">
              <w:rPr>
                <w:rFonts w:ascii="Calibri" w:hAnsi="Calibri"/>
                <w:b/>
              </w:rPr>
              <w:t>100%</w:t>
            </w:r>
          </w:p>
        </w:tc>
      </w:tr>
    </w:tbl>
    <w:p w:rsidR="0007672F" w:rsidRPr="005340FD" w:rsidRDefault="0007672F" w:rsidP="0007672F">
      <w:pPr>
        <w:spacing w:line="240" w:lineRule="auto"/>
        <w:rPr>
          <w:rFonts w:ascii="Calibri" w:hAnsi="Calibri"/>
          <w:szCs w:val="22"/>
        </w:rPr>
      </w:pPr>
    </w:p>
    <w:p w:rsidR="0007672F" w:rsidRPr="005340FD" w:rsidRDefault="0007672F" w:rsidP="0007672F">
      <w:pPr>
        <w:pStyle w:val="Kew1"/>
        <w:rPr>
          <w:rFonts w:ascii="Calibri" w:hAnsi="Calibri"/>
          <w:b/>
          <w:sz w:val="22"/>
          <w:szCs w:val="22"/>
        </w:rPr>
      </w:pPr>
      <w:r w:rsidRPr="005340FD">
        <w:rPr>
          <w:rFonts w:ascii="Calibri" w:hAnsi="Calibri"/>
          <w:sz w:val="22"/>
          <w:szCs w:val="22"/>
        </w:rPr>
        <w:t xml:space="preserve"> </w:t>
      </w:r>
      <w:r w:rsidRPr="005340FD">
        <w:rPr>
          <w:rFonts w:ascii="Calibri" w:hAnsi="Calibri"/>
          <w:sz w:val="22"/>
          <w:szCs w:val="22"/>
        </w:rPr>
        <w:tab/>
      </w:r>
      <w:r w:rsidRPr="005340FD">
        <w:rPr>
          <w:rFonts w:ascii="Calibri" w:hAnsi="Calibri"/>
          <w:b/>
          <w:sz w:val="22"/>
          <w:szCs w:val="22"/>
        </w:rPr>
        <w:t>DELIVERY DATES</w:t>
      </w:r>
    </w:p>
    <w:p w:rsidR="0007672F" w:rsidRPr="005340FD" w:rsidRDefault="0007672F" w:rsidP="0007672F">
      <w:pPr>
        <w:pStyle w:val="Kew1"/>
        <w:numPr>
          <w:ilvl w:val="0"/>
          <w:numId w:val="0"/>
        </w:numPr>
        <w:ind w:left="720"/>
        <w:rPr>
          <w:rFonts w:ascii="Calibri" w:hAnsi="Calibri"/>
          <w:b/>
          <w:sz w:val="22"/>
          <w:szCs w:val="22"/>
        </w:rPr>
      </w:pPr>
    </w:p>
    <w:p w:rsidR="0007672F" w:rsidRPr="005340FD" w:rsidRDefault="0007672F" w:rsidP="0007672F">
      <w:pPr>
        <w:pStyle w:val="Default"/>
        <w:rPr>
          <w:rFonts w:ascii="Calibri" w:hAnsi="Calibri"/>
          <w:color w:val="auto"/>
          <w:sz w:val="22"/>
          <w:szCs w:val="22"/>
        </w:rPr>
      </w:pPr>
      <w:r>
        <w:rPr>
          <w:rFonts w:ascii="Calibri" w:hAnsi="Calibri"/>
          <w:color w:val="auto"/>
          <w:sz w:val="22"/>
          <w:szCs w:val="22"/>
        </w:rPr>
        <w:t xml:space="preserve">Must be delivered to </w:t>
      </w:r>
      <w:r w:rsidRPr="005340FD">
        <w:rPr>
          <w:rFonts w:ascii="Calibri" w:hAnsi="Calibri"/>
          <w:color w:val="auto"/>
          <w:sz w:val="22"/>
          <w:szCs w:val="22"/>
        </w:rPr>
        <w:t>the</w:t>
      </w:r>
      <w:r>
        <w:rPr>
          <w:rFonts w:ascii="Calibri" w:hAnsi="Calibri"/>
          <w:color w:val="auto"/>
          <w:sz w:val="22"/>
          <w:szCs w:val="22"/>
        </w:rPr>
        <w:t xml:space="preserve"> Jodrell Laboratory</w:t>
      </w:r>
      <w:r w:rsidRPr="005340FD">
        <w:rPr>
          <w:rFonts w:ascii="Calibri" w:hAnsi="Calibri"/>
          <w:color w:val="auto"/>
          <w:sz w:val="22"/>
          <w:szCs w:val="22"/>
        </w:rPr>
        <w:t xml:space="preserve"> by 31</w:t>
      </w:r>
      <w:r w:rsidRPr="00E14C7E">
        <w:rPr>
          <w:rFonts w:ascii="Calibri" w:hAnsi="Calibri"/>
          <w:color w:val="auto"/>
          <w:sz w:val="22"/>
          <w:szCs w:val="22"/>
          <w:vertAlign w:val="superscript"/>
        </w:rPr>
        <w:t>st</w:t>
      </w:r>
      <w:r>
        <w:rPr>
          <w:rFonts w:ascii="Calibri" w:hAnsi="Calibri"/>
          <w:color w:val="auto"/>
          <w:sz w:val="22"/>
          <w:szCs w:val="22"/>
        </w:rPr>
        <w:t xml:space="preserve"> </w:t>
      </w:r>
      <w:r w:rsidRPr="005340FD">
        <w:rPr>
          <w:rFonts w:ascii="Calibri" w:hAnsi="Calibri"/>
          <w:color w:val="auto"/>
          <w:sz w:val="22"/>
          <w:szCs w:val="22"/>
        </w:rPr>
        <w:t xml:space="preserve">January 2017. </w:t>
      </w:r>
    </w:p>
    <w:p w:rsidR="0007672F" w:rsidRPr="005340FD" w:rsidRDefault="0007672F" w:rsidP="0007672F">
      <w:pPr>
        <w:pStyle w:val="Default"/>
        <w:rPr>
          <w:rFonts w:ascii="Calibri" w:hAnsi="Calibri"/>
          <w:color w:val="auto"/>
          <w:sz w:val="22"/>
          <w:szCs w:val="22"/>
        </w:rPr>
      </w:pPr>
    </w:p>
    <w:p w:rsidR="0007672F" w:rsidRPr="005340FD" w:rsidRDefault="0007672F" w:rsidP="0007672F">
      <w:pPr>
        <w:pStyle w:val="Kew1"/>
        <w:rPr>
          <w:rFonts w:ascii="Calibri" w:hAnsi="Calibri"/>
          <w:b/>
          <w:sz w:val="22"/>
          <w:szCs w:val="22"/>
        </w:rPr>
      </w:pPr>
      <w:r w:rsidRPr="005340FD">
        <w:rPr>
          <w:rFonts w:ascii="Calibri" w:hAnsi="Calibri"/>
          <w:b/>
          <w:sz w:val="22"/>
          <w:szCs w:val="22"/>
        </w:rPr>
        <w:tab/>
        <w:t>TRAINING</w:t>
      </w:r>
    </w:p>
    <w:p w:rsidR="0007672F" w:rsidRPr="005340FD" w:rsidRDefault="0007672F" w:rsidP="0007672F">
      <w:pPr>
        <w:pStyle w:val="Default"/>
        <w:rPr>
          <w:rFonts w:ascii="Calibri" w:hAnsi="Calibri"/>
          <w:b/>
          <w:color w:val="auto"/>
          <w:sz w:val="22"/>
          <w:szCs w:val="22"/>
        </w:rPr>
      </w:pPr>
    </w:p>
    <w:p w:rsidR="0007672F" w:rsidRPr="005340FD" w:rsidRDefault="0007672F" w:rsidP="0007672F">
      <w:pPr>
        <w:pStyle w:val="Default"/>
        <w:rPr>
          <w:rFonts w:ascii="Calibri" w:hAnsi="Calibri"/>
          <w:color w:val="auto"/>
          <w:sz w:val="22"/>
          <w:szCs w:val="22"/>
        </w:rPr>
      </w:pPr>
      <w:r w:rsidRPr="005340FD">
        <w:rPr>
          <w:rFonts w:ascii="Calibri" w:hAnsi="Calibri"/>
          <w:color w:val="auto"/>
          <w:sz w:val="22"/>
          <w:szCs w:val="22"/>
        </w:rPr>
        <w:lastRenderedPageBreak/>
        <w:t xml:space="preserve">The successful supplier is to provide training for relevant Kew staff to ensure that they are familiar with the full functionality of the instruments and software.  Additional support materials such as software tutorials are also desirable. </w:t>
      </w:r>
    </w:p>
    <w:p w:rsidR="0007672F" w:rsidRPr="005340FD" w:rsidRDefault="0007672F" w:rsidP="0007672F">
      <w:pPr>
        <w:pStyle w:val="Default"/>
        <w:rPr>
          <w:rFonts w:ascii="Calibri" w:hAnsi="Calibri"/>
          <w:color w:val="auto"/>
          <w:sz w:val="22"/>
          <w:szCs w:val="22"/>
        </w:rPr>
      </w:pPr>
    </w:p>
    <w:p w:rsidR="0007672F" w:rsidRPr="005340FD" w:rsidRDefault="0007672F" w:rsidP="0007672F">
      <w:pPr>
        <w:pStyle w:val="Kew1"/>
        <w:rPr>
          <w:rFonts w:ascii="Calibri" w:hAnsi="Calibri"/>
          <w:b/>
          <w:sz w:val="22"/>
          <w:szCs w:val="22"/>
        </w:rPr>
      </w:pPr>
      <w:r w:rsidRPr="005340FD">
        <w:rPr>
          <w:rFonts w:ascii="Calibri" w:hAnsi="Calibri"/>
          <w:b/>
          <w:sz w:val="22"/>
          <w:szCs w:val="22"/>
        </w:rPr>
        <w:tab/>
        <w:t>PAYMENT PROFILE</w:t>
      </w:r>
    </w:p>
    <w:p w:rsidR="0007672F" w:rsidRPr="005340FD" w:rsidRDefault="0007672F" w:rsidP="0007672F">
      <w:pPr>
        <w:pStyle w:val="Kew1"/>
        <w:numPr>
          <w:ilvl w:val="0"/>
          <w:numId w:val="0"/>
        </w:numPr>
        <w:ind w:left="567"/>
        <w:rPr>
          <w:rFonts w:ascii="Calibri" w:hAnsi="Calibri"/>
          <w:b/>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118"/>
      </w:tblGrid>
      <w:tr w:rsidR="0007672F" w:rsidRPr="005340FD" w:rsidTr="0078591A">
        <w:tc>
          <w:tcPr>
            <w:tcW w:w="4395" w:type="dxa"/>
          </w:tcPr>
          <w:p w:rsidR="0007672F" w:rsidRPr="005340FD" w:rsidRDefault="0007672F" w:rsidP="0078591A">
            <w:pPr>
              <w:rPr>
                <w:rFonts w:ascii="Calibri" w:hAnsi="Calibri"/>
                <w:b/>
                <w:szCs w:val="22"/>
              </w:rPr>
            </w:pPr>
            <w:r w:rsidRPr="005340FD">
              <w:rPr>
                <w:rFonts w:ascii="Calibri" w:hAnsi="Calibri"/>
                <w:b/>
                <w:szCs w:val="22"/>
              </w:rPr>
              <w:t xml:space="preserve">Deliverable  </w:t>
            </w:r>
          </w:p>
        </w:tc>
        <w:tc>
          <w:tcPr>
            <w:tcW w:w="3118" w:type="dxa"/>
          </w:tcPr>
          <w:p w:rsidR="0007672F" w:rsidRPr="005340FD" w:rsidRDefault="0007672F" w:rsidP="0078591A">
            <w:pPr>
              <w:rPr>
                <w:rFonts w:ascii="Calibri" w:hAnsi="Calibri"/>
                <w:b/>
                <w:szCs w:val="22"/>
              </w:rPr>
            </w:pPr>
            <w:r w:rsidRPr="005340FD">
              <w:rPr>
                <w:rFonts w:ascii="Calibri" w:hAnsi="Calibri"/>
                <w:b/>
                <w:szCs w:val="22"/>
              </w:rPr>
              <w:t>Amount due (%)</w:t>
            </w:r>
          </w:p>
        </w:tc>
      </w:tr>
      <w:tr w:rsidR="0007672F" w:rsidRPr="005340FD" w:rsidTr="0078591A">
        <w:tc>
          <w:tcPr>
            <w:tcW w:w="4395" w:type="dxa"/>
          </w:tcPr>
          <w:p w:rsidR="0007672F" w:rsidRPr="005340FD" w:rsidRDefault="0007672F" w:rsidP="0078591A">
            <w:pPr>
              <w:rPr>
                <w:rFonts w:ascii="Calibri" w:hAnsi="Calibri"/>
                <w:szCs w:val="22"/>
              </w:rPr>
            </w:pPr>
            <w:r w:rsidRPr="005340FD">
              <w:rPr>
                <w:rFonts w:ascii="Calibri" w:hAnsi="Calibri"/>
                <w:szCs w:val="22"/>
              </w:rPr>
              <w:t>Delivery of all instrumentation</w:t>
            </w:r>
          </w:p>
        </w:tc>
        <w:tc>
          <w:tcPr>
            <w:tcW w:w="3118" w:type="dxa"/>
          </w:tcPr>
          <w:p w:rsidR="0007672F" w:rsidRPr="005340FD" w:rsidRDefault="0007672F" w:rsidP="0078591A">
            <w:pPr>
              <w:rPr>
                <w:rFonts w:ascii="Calibri" w:hAnsi="Calibri"/>
                <w:szCs w:val="22"/>
              </w:rPr>
            </w:pPr>
            <w:r w:rsidRPr="005340FD">
              <w:rPr>
                <w:rFonts w:ascii="Calibri" w:hAnsi="Calibri"/>
                <w:szCs w:val="22"/>
              </w:rPr>
              <w:t>100% of Equipment cost</w:t>
            </w:r>
          </w:p>
        </w:tc>
      </w:tr>
    </w:tbl>
    <w:p w:rsidR="0007672F" w:rsidRPr="00E0513B" w:rsidRDefault="0007672F" w:rsidP="0007672F">
      <w:pPr>
        <w:rPr>
          <w:rFonts w:ascii="Calibri" w:eastAsia="Calibri" w:hAnsi="Calibri"/>
          <w:color w:val="FF0000"/>
          <w:szCs w:val="22"/>
        </w:rPr>
      </w:pPr>
    </w:p>
    <w:p w:rsidR="00B94C20" w:rsidRDefault="00B94C20">
      <w:bookmarkStart w:id="0" w:name="_GoBack"/>
      <w:bookmarkEnd w:id="0"/>
    </w:p>
    <w:sectPr w:rsidR="00B94C20" w:rsidSect="00DD442B">
      <w:footerReference w:type="even" r:id="rId5"/>
      <w:footerReference w:type="default" r:id="rId6"/>
      <w:pgSz w:w="11909" w:h="16834" w:code="9"/>
      <w:pgMar w:top="1440" w:right="1440" w:bottom="1440" w:left="1440" w:header="720" w:footer="720" w:gutter="0"/>
      <w:paperSrc w:first="262" w:other="262"/>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0B1" w:rsidRDefault="0007672F" w:rsidP="00DD4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70B1" w:rsidRDefault="0007672F" w:rsidP="00DD44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6" w:type="dxa"/>
      <w:tblLayout w:type="fixed"/>
      <w:tblLook w:val="0000" w:firstRow="0" w:lastRow="0" w:firstColumn="0" w:lastColumn="0" w:noHBand="0" w:noVBand="0"/>
    </w:tblPr>
    <w:tblGrid>
      <w:gridCol w:w="3192"/>
      <w:gridCol w:w="3192"/>
      <w:gridCol w:w="3192"/>
    </w:tblGrid>
    <w:tr w:rsidR="00DC70B1">
      <w:tblPrEx>
        <w:tblCellMar>
          <w:top w:w="0" w:type="dxa"/>
          <w:bottom w:w="0" w:type="dxa"/>
        </w:tblCellMar>
      </w:tblPrEx>
      <w:trPr>
        <w:trHeight w:val="140"/>
      </w:trPr>
      <w:tc>
        <w:tcPr>
          <w:tcW w:w="3192" w:type="dxa"/>
        </w:tcPr>
        <w:p w:rsidR="00DC70B1" w:rsidRDefault="0007672F" w:rsidP="00DD442B">
          <w:pPr>
            <w:pStyle w:val="Footer"/>
            <w:ind w:right="360"/>
            <w:rPr>
              <w:sz w:val="16"/>
            </w:rPr>
          </w:pPr>
        </w:p>
      </w:tc>
      <w:tc>
        <w:tcPr>
          <w:tcW w:w="3192" w:type="dxa"/>
        </w:tcPr>
        <w:p w:rsidR="00DC70B1" w:rsidRDefault="0007672F">
          <w:pPr>
            <w:pStyle w:val="Footer"/>
            <w:jc w:val="center"/>
          </w:pPr>
        </w:p>
      </w:tc>
      <w:tc>
        <w:tcPr>
          <w:tcW w:w="3192" w:type="dxa"/>
        </w:tcPr>
        <w:p w:rsidR="00DC70B1" w:rsidRDefault="0007672F">
          <w:pPr>
            <w:pStyle w:val="Footer"/>
            <w:rPr>
              <w:sz w:val="16"/>
            </w:rPr>
          </w:pPr>
        </w:p>
      </w:tc>
    </w:tr>
  </w:tbl>
  <w:p w:rsidR="00DC70B1" w:rsidRDefault="0007672F">
    <w:pPr>
      <w:pStyle w:val="Footer"/>
      <w:rPr>
        <w:sz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5DBD"/>
    <w:multiLevelType w:val="hybridMultilevel"/>
    <w:tmpl w:val="DA58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ED727F"/>
    <w:multiLevelType w:val="hybridMultilevel"/>
    <w:tmpl w:val="1EFABFA4"/>
    <w:lvl w:ilvl="0" w:tplc="875C5560">
      <w:start w:val="1"/>
      <w:numFmt w:val="decimal"/>
      <w:pStyle w:val="Kew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2F"/>
    <w:rsid w:val="0007672F"/>
    <w:rsid w:val="00B94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00BB5-C626-456B-B55E-B2CA0CFB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72F"/>
    <w:pPr>
      <w:spacing w:before="240" w:after="0" w:line="360" w:lineRule="auto"/>
      <w:jc w:val="both"/>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
    <w:basedOn w:val="Normal"/>
    <w:link w:val="FooterChar"/>
    <w:uiPriority w:val="99"/>
    <w:rsid w:val="0007672F"/>
    <w:pPr>
      <w:tabs>
        <w:tab w:val="center" w:pos="4153"/>
        <w:tab w:val="right" w:pos="8306"/>
      </w:tabs>
    </w:pPr>
  </w:style>
  <w:style w:type="character" w:customStyle="1" w:styleId="FooterChar">
    <w:name w:val="Footer Char"/>
    <w:aliases w:val="fo Char"/>
    <w:basedOn w:val="DefaultParagraphFont"/>
    <w:link w:val="Footer"/>
    <w:uiPriority w:val="99"/>
    <w:rsid w:val="0007672F"/>
    <w:rPr>
      <w:rFonts w:ascii="Arial" w:eastAsia="Times New Roman" w:hAnsi="Arial" w:cs="Times New Roman"/>
      <w:szCs w:val="20"/>
      <w:lang w:eastAsia="en-GB"/>
    </w:rPr>
  </w:style>
  <w:style w:type="character" w:styleId="PageNumber">
    <w:name w:val="page number"/>
    <w:basedOn w:val="DefaultParagraphFont"/>
    <w:rsid w:val="0007672F"/>
  </w:style>
  <w:style w:type="paragraph" w:customStyle="1" w:styleId="Default">
    <w:name w:val="Default"/>
    <w:qFormat/>
    <w:rsid w:val="0007672F"/>
    <w:pPr>
      <w:suppressAutoHyphens/>
      <w:spacing w:after="0" w:line="240" w:lineRule="auto"/>
    </w:pPr>
    <w:rPr>
      <w:rFonts w:ascii="Arial" w:eastAsia="Times New Roman" w:hAnsi="Arial" w:cs="Arial"/>
      <w:color w:val="000000"/>
      <w:sz w:val="24"/>
      <w:szCs w:val="24"/>
      <w:lang w:eastAsia="en-GB"/>
    </w:rPr>
  </w:style>
  <w:style w:type="paragraph" w:customStyle="1" w:styleId="Kew1">
    <w:name w:val="Kew1"/>
    <w:basedOn w:val="Normal"/>
    <w:link w:val="Kew1Char"/>
    <w:qFormat/>
    <w:rsid w:val="0007672F"/>
    <w:pPr>
      <w:numPr>
        <w:numId w:val="1"/>
      </w:numPr>
      <w:spacing w:before="0" w:line="240" w:lineRule="auto"/>
    </w:pPr>
    <w:rPr>
      <w:rFonts w:ascii="Verdana" w:hAnsi="Verdana"/>
      <w:sz w:val="20"/>
      <w:szCs w:val="24"/>
      <w:lang w:val="x-none" w:eastAsia="x-none"/>
    </w:rPr>
  </w:style>
  <w:style w:type="character" w:customStyle="1" w:styleId="Kew1Char">
    <w:name w:val="Kew1 Char"/>
    <w:link w:val="Kew1"/>
    <w:rsid w:val="0007672F"/>
    <w:rPr>
      <w:rFonts w:ascii="Verdana" w:eastAsia="Times New Roman" w:hAnsi="Verdana"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Powell</dc:creator>
  <cp:keywords/>
  <dc:description/>
  <cp:lastModifiedBy>Tracey Powell</cp:lastModifiedBy>
  <cp:revision>1</cp:revision>
  <dcterms:created xsi:type="dcterms:W3CDTF">2016-11-25T13:45:00Z</dcterms:created>
  <dcterms:modified xsi:type="dcterms:W3CDTF">2016-11-25T13:46:00Z</dcterms:modified>
</cp:coreProperties>
</file>