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5B3F1" w14:textId="77777777" w:rsidR="00A731E1" w:rsidRDefault="00043197">
      <w:pPr>
        <w:spacing w:after="200" w:line="276" w:lineRule="auto"/>
        <w:jc w:val="left"/>
        <w:rPr>
          <w:rFonts w:eastAsia="Arial"/>
          <w:b/>
          <w:color w:val="000000"/>
          <w:sz w:val="36"/>
          <w:szCs w:val="36"/>
        </w:rPr>
      </w:pPr>
      <w:r>
        <w:rPr>
          <w:rFonts w:eastAsia="Arial"/>
          <w:b/>
          <w:color w:val="000000"/>
          <w:sz w:val="36"/>
          <w:szCs w:val="36"/>
        </w:rPr>
        <w:t>Schedule 24 (</w:t>
      </w:r>
      <w:r>
        <w:rPr>
          <w:rFonts w:eastAsia="Arial"/>
          <w:b/>
          <w:sz w:val="36"/>
          <w:szCs w:val="36"/>
        </w:rPr>
        <w:t>Financial</w:t>
      </w:r>
      <w:r>
        <w:rPr>
          <w:rFonts w:eastAsia="Arial"/>
          <w:b/>
          <w:color w:val="000000"/>
          <w:sz w:val="36"/>
          <w:szCs w:val="36"/>
        </w:rPr>
        <w:t xml:space="preserve"> Difficulties)</w:t>
      </w:r>
    </w:p>
    <w:p w14:paraId="718AA520"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0" w:name="_heading=h.3dy6vkm" w:colFirst="0" w:colLast="0"/>
      <w:bookmarkEnd w:id="0"/>
      <w:r w:rsidRPr="006C68D3">
        <w:rPr>
          <w:rFonts w:eastAsia="Calibri"/>
          <w:b/>
          <w:color w:val="000000"/>
          <w:szCs w:val="24"/>
        </w:rPr>
        <w:t>Definitions</w:t>
      </w:r>
    </w:p>
    <w:p w14:paraId="6EEDAED0"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In this Schedule, the following words shall have the following meanings and they shall supplement Schedule 1 (Definitions):</w:t>
      </w:r>
    </w:p>
    <w:tbl>
      <w:tblPr>
        <w:tblStyle w:val="a2"/>
        <w:tblW w:w="808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4"/>
        <w:gridCol w:w="5456"/>
      </w:tblGrid>
      <w:tr w:rsidR="00A731E1" w14:paraId="6657D5B1" w14:textId="77777777" w:rsidTr="006C68D3">
        <w:tc>
          <w:tcPr>
            <w:tcW w:w="2624" w:type="dxa"/>
          </w:tcPr>
          <w:p w14:paraId="2F585ADF" w14:textId="5D075FCD"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Applicable Financial Indicators</w:t>
            </w:r>
            <w:r>
              <w:rPr>
                <w:rFonts w:eastAsia="Arial"/>
                <w:b/>
                <w:color w:val="000000"/>
                <w:szCs w:val="24"/>
              </w:rPr>
              <w:t>"</w:t>
            </w:r>
          </w:p>
        </w:tc>
        <w:tc>
          <w:tcPr>
            <w:tcW w:w="5456" w:type="dxa"/>
          </w:tcPr>
          <w:p w14:paraId="6BA2F9D8" w14:textId="30AEDADF"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means the financial indicators from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Ann2_Part_C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zCs w:val="24"/>
              </w:rPr>
              <w:t>C</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xml:space="preserve"> which are to apply to the Monitored Suppliers as set out in Part </w:t>
            </w:r>
            <w:r w:rsidR="006C68D3" w:rsidRPr="006C68D3">
              <w:rPr>
                <w:rFonts w:eastAsia="Arial"/>
                <w:color w:val="000000"/>
                <w:szCs w:val="24"/>
              </w:rPr>
              <w:fldChar w:fldCharType="begin"/>
            </w:r>
            <w:r w:rsidR="006C68D3" w:rsidRPr="006C68D3">
              <w:rPr>
                <w:rFonts w:eastAsia="Arial"/>
                <w:color w:val="000000"/>
                <w:szCs w:val="24"/>
              </w:rPr>
              <w:instrText xml:space="preserve"> REF Ann3_Part_B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Ann_3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3</w:t>
            </w:r>
            <w:r w:rsidR="006C68D3" w:rsidRPr="006C68D3">
              <w:rPr>
                <w:rFonts w:eastAsia="Arial"/>
                <w:color w:val="000000"/>
                <w:szCs w:val="24"/>
              </w:rPr>
              <w:fldChar w:fldCharType="end"/>
            </w:r>
            <w:r>
              <w:rPr>
                <w:rFonts w:eastAsia="Arial"/>
                <w:color w:val="000000"/>
                <w:szCs w:val="24"/>
              </w:rPr>
              <w:t>;</w:t>
            </w:r>
          </w:p>
        </w:tc>
      </w:tr>
      <w:tr w:rsidR="00A731E1" w14:paraId="2FA00738" w14:textId="77777777" w:rsidTr="006C68D3">
        <w:tc>
          <w:tcPr>
            <w:tcW w:w="2624" w:type="dxa"/>
          </w:tcPr>
          <w:p w14:paraId="52ADDBD0" w14:textId="3A67D7EF"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Rating Threshold</w:t>
            </w:r>
            <w:r>
              <w:rPr>
                <w:rFonts w:eastAsia="Arial"/>
                <w:b/>
                <w:color w:val="000000"/>
                <w:szCs w:val="24"/>
              </w:rPr>
              <w:t>"</w:t>
            </w:r>
          </w:p>
        </w:tc>
        <w:tc>
          <w:tcPr>
            <w:tcW w:w="5456" w:type="dxa"/>
          </w:tcPr>
          <w:p w14:paraId="72D6A5B5" w14:textId="0BFC42D3"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credit rating level for each entity in the FDE Group as set out in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Ann2_Part_A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A</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xml:space="preserve">; </w:t>
            </w:r>
          </w:p>
        </w:tc>
      </w:tr>
      <w:tr w:rsidR="00A731E1" w14:paraId="0901A7EC" w14:textId="77777777" w:rsidTr="006C68D3">
        <w:tc>
          <w:tcPr>
            <w:tcW w:w="2624" w:type="dxa"/>
          </w:tcPr>
          <w:p w14:paraId="2941A991" w14:textId="199B7D6B"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Reference Agencies</w:t>
            </w:r>
            <w:r>
              <w:rPr>
                <w:rFonts w:eastAsia="Arial"/>
                <w:b/>
                <w:color w:val="000000"/>
                <w:szCs w:val="24"/>
              </w:rPr>
              <w:t>"</w:t>
            </w:r>
          </w:p>
        </w:tc>
        <w:tc>
          <w:tcPr>
            <w:tcW w:w="5456" w:type="dxa"/>
          </w:tcPr>
          <w:p w14:paraId="5712D852" w14:textId="314D1DFE"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credit reference agencies listed in Part </w:t>
            </w:r>
            <w:r w:rsidR="006C68D3" w:rsidRPr="006C68D3">
              <w:rPr>
                <w:rFonts w:eastAsia="Arial"/>
                <w:color w:val="000000"/>
                <w:szCs w:val="24"/>
              </w:rPr>
              <w:fldChar w:fldCharType="begin"/>
            </w:r>
            <w:r w:rsidR="006C68D3" w:rsidRPr="006C68D3">
              <w:rPr>
                <w:rFonts w:eastAsia="Arial"/>
                <w:color w:val="000000"/>
                <w:szCs w:val="24"/>
              </w:rPr>
              <w:instrText xml:space="preserve"> REF Ann1_Part_B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Ann_1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1</w:t>
            </w:r>
            <w:r w:rsidR="006C68D3" w:rsidRPr="006C68D3">
              <w:rPr>
                <w:rFonts w:eastAsia="Arial"/>
                <w:color w:val="000000"/>
                <w:szCs w:val="24"/>
              </w:rPr>
              <w:fldChar w:fldCharType="end"/>
            </w:r>
            <w:r>
              <w:rPr>
                <w:rFonts w:eastAsia="Arial"/>
                <w:color w:val="000000"/>
                <w:szCs w:val="24"/>
              </w:rPr>
              <w:t>;</w:t>
            </w:r>
          </w:p>
        </w:tc>
      </w:tr>
      <w:tr w:rsidR="00A731E1" w14:paraId="33616F00" w14:textId="77777777" w:rsidTr="006C68D3">
        <w:tc>
          <w:tcPr>
            <w:tcW w:w="2624" w:type="dxa"/>
          </w:tcPr>
          <w:p w14:paraId="1F93ABF4" w14:textId="1DF4EAEA"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Score Notification Trigger</w:t>
            </w:r>
            <w:r>
              <w:rPr>
                <w:rFonts w:eastAsia="Arial"/>
                <w:b/>
                <w:color w:val="000000"/>
                <w:szCs w:val="24"/>
              </w:rPr>
              <w:t>"</w:t>
            </w:r>
          </w:p>
        </w:tc>
        <w:tc>
          <w:tcPr>
            <w:tcW w:w="5456" w:type="dxa"/>
          </w:tcPr>
          <w:p w14:paraId="7F387159" w14:textId="3C092C9A"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size of any downgrade in a credit score, set out in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which triggers a Credit Score Notification Trigger Event;</w:t>
            </w:r>
          </w:p>
        </w:tc>
      </w:tr>
      <w:tr w:rsidR="00A731E1" w14:paraId="5B5E244C" w14:textId="77777777" w:rsidTr="006C68D3">
        <w:tc>
          <w:tcPr>
            <w:tcW w:w="2624" w:type="dxa"/>
          </w:tcPr>
          <w:p w14:paraId="3BEC1CA8" w14:textId="4DF89603"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Score Notification Trigger Event</w:t>
            </w:r>
            <w:r>
              <w:rPr>
                <w:rFonts w:eastAsia="Arial"/>
                <w:b/>
                <w:color w:val="000000"/>
                <w:szCs w:val="24"/>
              </w:rPr>
              <w:t>"</w:t>
            </w:r>
          </w:p>
        </w:tc>
        <w:tc>
          <w:tcPr>
            <w:tcW w:w="5456" w:type="dxa"/>
          </w:tcPr>
          <w:p w14:paraId="6C1421B6" w14:textId="77777777"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any downgrade of a credit score which is equal to or greater than the Credit Score Notification Trigger;</w:t>
            </w:r>
          </w:p>
        </w:tc>
      </w:tr>
      <w:tr w:rsidR="00A731E1" w14:paraId="310F5226" w14:textId="77777777" w:rsidTr="006C68D3">
        <w:tc>
          <w:tcPr>
            <w:tcW w:w="2624" w:type="dxa"/>
          </w:tcPr>
          <w:p w14:paraId="45A36814" w14:textId="7DBF4D40"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Score Threshold</w:t>
            </w:r>
            <w:r>
              <w:rPr>
                <w:rFonts w:eastAsia="Arial"/>
                <w:b/>
                <w:color w:val="000000"/>
                <w:szCs w:val="24"/>
              </w:rPr>
              <w:t>"</w:t>
            </w:r>
          </w:p>
        </w:tc>
        <w:tc>
          <w:tcPr>
            <w:tcW w:w="5456" w:type="dxa"/>
          </w:tcPr>
          <w:p w14:paraId="28DC9365" w14:textId="74B22CF6"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credit score level for each entity in the FDE Group as set out in </w:t>
            </w:r>
            <w:r w:rsidR="006C68D3">
              <w:rPr>
                <w:rFonts w:eastAsia="Arial"/>
                <w:color w:val="000000"/>
                <w:szCs w:val="24"/>
              </w:rPr>
              <w:t xml:space="preserve">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sidR="006C68D3">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xml:space="preserve">; </w:t>
            </w:r>
          </w:p>
        </w:tc>
      </w:tr>
      <w:tr w:rsidR="00A731E1" w14:paraId="3D2BBE37" w14:textId="77777777" w:rsidTr="006C68D3">
        <w:tc>
          <w:tcPr>
            <w:tcW w:w="2624" w:type="dxa"/>
          </w:tcPr>
          <w:p w14:paraId="23F2E39E" w14:textId="5F09A955" w:rsidR="00A731E1" w:rsidRDefault="006C68D3">
            <w:pPr>
              <w:pBdr>
                <w:top w:val="nil"/>
                <w:left w:val="nil"/>
                <w:bottom w:val="nil"/>
                <w:right w:val="nil"/>
                <w:between w:val="nil"/>
              </w:pBdr>
              <w:spacing w:before="120" w:after="120"/>
              <w:jc w:val="left"/>
              <w:rPr>
                <w:rFonts w:eastAsia="Arial"/>
                <w:b/>
                <w:color w:val="000000"/>
                <w:szCs w:val="24"/>
              </w:rPr>
            </w:pPr>
            <w:bookmarkStart w:id="1" w:name="_heading=h.gjdgxs" w:colFirst="0" w:colLast="0"/>
            <w:bookmarkEnd w:id="1"/>
            <w:r>
              <w:rPr>
                <w:rFonts w:eastAsia="Arial"/>
                <w:b/>
                <w:color w:val="000000"/>
                <w:szCs w:val="24"/>
              </w:rPr>
              <w:t>"</w:t>
            </w:r>
            <w:r w:rsidR="00043197">
              <w:rPr>
                <w:rFonts w:eastAsia="Arial"/>
                <w:b/>
                <w:color w:val="000000"/>
                <w:szCs w:val="24"/>
              </w:rPr>
              <w:t>Financial Distress Service Continuity Plan</w:t>
            </w:r>
            <w:r>
              <w:rPr>
                <w:rFonts w:eastAsia="Arial"/>
                <w:b/>
                <w:color w:val="000000"/>
                <w:szCs w:val="24"/>
              </w:rPr>
              <w:t>"</w:t>
            </w:r>
          </w:p>
          <w:p w14:paraId="45FEDD66" w14:textId="77777777" w:rsidR="006C68D3" w:rsidRPr="006C68D3" w:rsidRDefault="006C68D3" w:rsidP="006C68D3">
            <w:pPr>
              <w:rPr>
                <w:rFonts w:eastAsia="Arial"/>
                <w:szCs w:val="24"/>
              </w:rPr>
            </w:pPr>
          </w:p>
          <w:p w14:paraId="255003FE" w14:textId="77777777" w:rsidR="006C68D3" w:rsidRPr="006C68D3" w:rsidRDefault="006C68D3" w:rsidP="006C68D3">
            <w:pPr>
              <w:rPr>
                <w:rFonts w:eastAsia="Arial"/>
                <w:szCs w:val="24"/>
              </w:rPr>
            </w:pPr>
          </w:p>
          <w:p w14:paraId="21959DEA" w14:textId="77777777" w:rsidR="006C68D3" w:rsidRDefault="006C68D3" w:rsidP="006C68D3">
            <w:pPr>
              <w:rPr>
                <w:rFonts w:eastAsia="Arial"/>
                <w:b/>
                <w:color w:val="000000"/>
                <w:szCs w:val="24"/>
              </w:rPr>
            </w:pPr>
          </w:p>
          <w:p w14:paraId="0B686366" w14:textId="77777777" w:rsidR="006C68D3" w:rsidRDefault="006C68D3" w:rsidP="006C68D3">
            <w:pPr>
              <w:rPr>
                <w:rFonts w:eastAsia="Arial"/>
                <w:b/>
                <w:color w:val="000000"/>
                <w:szCs w:val="24"/>
              </w:rPr>
            </w:pPr>
          </w:p>
          <w:p w14:paraId="33CF4815" w14:textId="03D7DDE6" w:rsidR="006C68D3" w:rsidRPr="006C68D3" w:rsidRDefault="006C68D3" w:rsidP="006C68D3">
            <w:pPr>
              <w:jc w:val="right"/>
              <w:rPr>
                <w:rFonts w:eastAsia="Arial"/>
                <w:szCs w:val="24"/>
              </w:rPr>
            </w:pPr>
          </w:p>
        </w:tc>
        <w:tc>
          <w:tcPr>
            <w:tcW w:w="5456" w:type="dxa"/>
          </w:tcPr>
          <w:p w14:paraId="320D2406" w14:textId="586BFD41"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a plan setting out how the Supplier will ensure the continued performance and delivery of the Deliverables in accordance with </w:t>
            </w:r>
            <w:r w:rsidR="00BE660D">
              <w:rPr>
                <w:rFonts w:eastAsia="Arial"/>
                <w:color w:val="000000"/>
                <w:szCs w:val="24"/>
              </w:rPr>
              <w:t>this Contract</w:t>
            </w:r>
            <w:r>
              <w:rPr>
                <w:rFonts w:eastAsia="Arial"/>
                <w:color w:val="000000"/>
                <w:szCs w:val="24"/>
              </w:rPr>
              <w:t xml:space="preserve"> in the event that a Financial Distress Event occurs. This plan should include what the Buyer would need to put in place to ensure performance and delivery of the Deliverables in accordance with this Contract up to and including any Insolvency Event in respect of the relevant FDE Group entity;</w:t>
            </w:r>
          </w:p>
        </w:tc>
      </w:tr>
      <w:tr w:rsidR="00A731E1" w14:paraId="020C1CB2" w14:textId="77777777" w:rsidTr="006C68D3">
        <w:tc>
          <w:tcPr>
            <w:tcW w:w="2624" w:type="dxa"/>
          </w:tcPr>
          <w:p w14:paraId="522D1B1F" w14:textId="0D75A163"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Financial Indicators</w:t>
            </w:r>
            <w:r>
              <w:rPr>
                <w:rFonts w:eastAsia="Arial"/>
                <w:b/>
                <w:color w:val="000000"/>
                <w:szCs w:val="24"/>
              </w:rPr>
              <w:t>"</w:t>
            </w:r>
          </w:p>
        </w:tc>
        <w:tc>
          <w:tcPr>
            <w:tcW w:w="5456" w:type="dxa"/>
          </w:tcPr>
          <w:p w14:paraId="2776579E" w14:textId="374EE923"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in respect of the Supplier, Key Sub-contractors and the Guarantor, means each of the financial indicators set out at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Ann2_Part_C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zCs w:val="24"/>
              </w:rPr>
              <w:t>C</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and in respect of each Monitored Supplier, means those Applicable Financial Indicators;</w:t>
            </w:r>
          </w:p>
        </w:tc>
      </w:tr>
      <w:tr w:rsidR="00A731E1" w14:paraId="7B6176C9" w14:textId="77777777" w:rsidTr="006C68D3">
        <w:tc>
          <w:tcPr>
            <w:tcW w:w="2624" w:type="dxa"/>
          </w:tcPr>
          <w:p w14:paraId="25B59967" w14:textId="708ECC52"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Financial Target Thresholds</w:t>
            </w:r>
            <w:r>
              <w:rPr>
                <w:rFonts w:eastAsia="Arial"/>
                <w:b/>
                <w:color w:val="000000"/>
                <w:szCs w:val="24"/>
              </w:rPr>
              <w:t>"</w:t>
            </w:r>
          </w:p>
        </w:tc>
        <w:tc>
          <w:tcPr>
            <w:tcW w:w="5456" w:type="dxa"/>
          </w:tcPr>
          <w:p w14:paraId="42CADBDD" w14:textId="7B354865"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means the target thresholds for each of the Financial Indicators set out at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Ann2_Part_C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zCs w:val="24"/>
              </w:rPr>
              <w:t>C</w:t>
            </w:r>
            <w:r w:rsidR="006C68D3" w:rsidRPr="006C68D3">
              <w:rPr>
                <w:rFonts w:eastAsia="Arial"/>
                <w:color w:val="000000"/>
                <w:szCs w:val="24"/>
              </w:rPr>
              <w:fldChar w:fldCharType="end"/>
            </w:r>
            <w:r w:rsidR="006C68D3">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w:t>
            </w:r>
          </w:p>
        </w:tc>
      </w:tr>
      <w:tr w:rsidR="00A731E1" w14:paraId="675A1961" w14:textId="77777777" w:rsidTr="006C68D3">
        <w:tc>
          <w:tcPr>
            <w:tcW w:w="2624" w:type="dxa"/>
          </w:tcPr>
          <w:p w14:paraId="6517047D" w14:textId="52C75C56"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lastRenderedPageBreak/>
              <w:t>"</w:t>
            </w:r>
            <w:r w:rsidR="00043197">
              <w:rPr>
                <w:rFonts w:eastAsia="Arial"/>
                <w:b/>
                <w:color w:val="000000"/>
                <w:szCs w:val="24"/>
              </w:rPr>
              <w:t>Primary Metric</w:t>
            </w:r>
            <w:r>
              <w:rPr>
                <w:rFonts w:eastAsia="Arial"/>
                <w:b/>
                <w:color w:val="000000"/>
                <w:szCs w:val="24"/>
              </w:rPr>
              <w:t>"</w:t>
            </w:r>
          </w:p>
        </w:tc>
        <w:tc>
          <w:tcPr>
            <w:tcW w:w="5456" w:type="dxa"/>
          </w:tcPr>
          <w:p w14:paraId="01099307" w14:textId="77B544F3" w:rsidR="00A731E1" w:rsidRPr="0057412F"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[credit rating pursuant to Paragraph </w:t>
            </w:r>
            <w:r w:rsidR="006C68D3">
              <w:rPr>
                <w:rFonts w:eastAsia="Arial"/>
                <w:color w:val="000000"/>
                <w:szCs w:val="24"/>
              </w:rPr>
              <w:fldChar w:fldCharType="begin"/>
            </w:r>
            <w:r w:rsidR="006C68D3">
              <w:rPr>
                <w:rFonts w:eastAsia="Arial"/>
                <w:color w:val="000000"/>
                <w:szCs w:val="24"/>
              </w:rPr>
              <w:instrText xml:space="preserve"> REF _Ref141086653 \n \h </w:instrText>
            </w:r>
            <w:r w:rsidR="006C68D3">
              <w:rPr>
                <w:rFonts w:eastAsia="Arial"/>
                <w:color w:val="000000"/>
                <w:szCs w:val="24"/>
              </w:rPr>
            </w:r>
            <w:r w:rsidR="006C68D3">
              <w:rPr>
                <w:rFonts w:eastAsia="Arial"/>
                <w:color w:val="000000"/>
                <w:szCs w:val="24"/>
              </w:rPr>
              <w:fldChar w:fldCharType="separate"/>
            </w:r>
            <w:r w:rsidR="006772B1">
              <w:rPr>
                <w:rFonts w:eastAsia="Arial"/>
                <w:color w:val="000000"/>
                <w:szCs w:val="24"/>
              </w:rPr>
              <w:t>3.3</w:t>
            </w:r>
            <w:r w:rsidR="006C68D3">
              <w:rPr>
                <w:rFonts w:eastAsia="Arial"/>
                <w:color w:val="000000"/>
                <w:szCs w:val="24"/>
              </w:rPr>
              <w:fldChar w:fldCharType="end"/>
            </w:r>
            <w:r>
              <w:rPr>
                <w:rFonts w:eastAsia="Arial"/>
                <w:color w:val="000000"/>
                <w:szCs w:val="24"/>
              </w:rPr>
              <w:t xml:space="preserve">]/[credit score pursuant to Paragraph </w:t>
            </w:r>
            <w:r w:rsidR="006C68D3">
              <w:rPr>
                <w:rFonts w:eastAsia="Arial"/>
                <w:color w:val="000000"/>
                <w:szCs w:val="24"/>
              </w:rPr>
              <w:fldChar w:fldCharType="begin"/>
            </w:r>
            <w:r w:rsidR="006C68D3">
              <w:rPr>
                <w:rFonts w:eastAsia="Arial"/>
                <w:color w:val="000000"/>
                <w:szCs w:val="24"/>
              </w:rPr>
              <w:instrText xml:space="preserve"> REF _Ref141086657 \n \h </w:instrText>
            </w:r>
            <w:r w:rsidR="006C68D3">
              <w:rPr>
                <w:rFonts w:eastAsia="Arial"/>
                <w:color w:val="000000"/>
                <w:szCs w:val="24"/>
              </w:rPr>
            </w:r>
            <w:r w:rsidR="006C68D3">
              <w:rPr>
                <w:rFonts w:eastAsia="Arial"/>
                <w:color w:val="000000"/>
                <w:szCs w:val="24"/>
              </w:rPr>
              <w:fldChar w:fldCharType="separate"/>
            </w:r>
            <w:r w:rsidR="006772B1">
              <w:rPr>
                <w:rFonts w:eastAsia="Arial"/>
                <w:color w:val="000000"/>
                <w:szCs w:val="24"/>
              </w:rPr>
              <w:t>4.3</w:t>
            </w:r>
            <w:r w:rsidR="006C68D3">
              <w:rPr>
                <w:rFonts w:eastAsia="Arial"/>
                <w:color w:val="000000"/>
                <w:szCs w:val="24"/>
              </w:rPr>
              <w:fldChar w:fldCharType="end"/>
            </w:r>
            <w:r>
              <w:rPr>
                <w:rFonts w:eastAsia="Arial"/>
                <w:color w:val="000000"/>
                <w:szCs w:val="24"/>
              </w:rPr>
              <w:t xml:space="preserve">]/[financial indicators pursuant to Paragraph </w:t>
            </w:r>
            <w:r w:rsidR="006C68D3">
              <w:rPr>
                <w:rFonts w:eastAsia="Arial"/>
                <w:color w:val="000000"/>
                <w:szCs w:val="24"/>
              </w:rPr>
              <w:fldChar w:fldCharType="begin"/>
            </w:r>
            <w:r w:rsidR="006C68D3">
              <w:rPr>
                <w:rFonts w:eastAsia="Arial"/>
                <w:color w:val="000000"/>
                <w:szCs w:val="24"/>
              </w:rPr>
              <w:instrText xml:space="preserve"> REF _Ref141086662 \n \h </w:instrText>
            </w:r>
            <w:r w:rsidR="006C68D3">
              <w:rPr>
                <w:rFonts w:eastAsia="Arial"/>
                <w:color w:val="000000"/>
                <w:szCs w:val="24"/>
              </w:rPr>
            </w:r>
            <w:r w:rsidR="006C68D3">
              <w:rPr>
                <w:rFonts w:eastAsia="Arial"/>
                <w:color w:val="000000"/>
                <w:szCs w:val="24"/>
              </w:rPr>
              <w:fldChar w:fldCharType="separate"/>
            </w:r>
            <w:r w:rsidR="006772B1">
              <w:rPr>
                <w:rFonts w:eastAsia="Arial"/>
                <w:color w:val="000000"/>
                <w:szCs w:val="24"/>
              </w:rPr>
              <w:t>5.4</w:t>
            </w:r>
            <w:r w:rsidR="006C68D3">
              <w:rPr>
                <w:rFonts w:eastAsia="Arial"/>
                <w:color w:val="000000"/>
                <w:szCs w:val="24"/>
              </w:rPr>
              <w:fldChar w:fldCharType="end"/>
            </w:r>
            <w:r>
              <w:rPr>
                <w:rFonts w:eastAsia="Arial"/>
                <w:color w:val="000000"/>
                <w:szCs w:val="24"/>
              </w:rPr>
              <w:t>]</w:t>
            </w:r>
          </w:p>
        </w:tc>
      </w:tr>
      <w:tr w:rsidR="00A731E1" w14:paraId="5801AE02" w14:textId="77777777" w:rsidTr="006C68D3">
        <w:tc>
          <w:tcPr>
            <w:tcW w:w="2624" w:type="dxa"/>
          </w:tcPr>
          <w:p w14:paraId="068C9408" w14:textId="4DE0AC29"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Monitored Supplier</w:t>
            </w:r>
            <w:r>
              <w:rPr>
                <w:rFonts w:eastAsia="Arial"/>
                <w:b/>
                <w:color w:val="000000"/>
                <w:szCs w:val="24"/>
              </w:rPr>
              <w:t>"</w:t>
            </w:r>
          </w:p>
        </w:tc>
        <w:tc>
          <w:tcPr>
            <w:tcW w:w="5456" w:type="dxa"/>
          </w:tcPr>
          <w:p w14:paraId="5A17A429" w14:textId="296F1825"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those entities specified in Part </w:t>
            </w:r>
            <w:r w:rsidR="006C68D3" w:rsidRPr="006C68D3">
              <w:rPr>
                <w:rFonts w:eastAsia="Arial"/>
                <w:color w:val="000000"/>
                <w:szCs w:val="24"/>
              </w:rPr>
              <w:fldChar w:fldCharType="begin"/>
            </w:r>
            <w:r w:rsidR="006C68D3" w:rsidRPr="006C68D3">
              <w:rPr>
                <w:rFonts w:eastAsia="Arial"/>
                <w:color w:val="000000"/>
                <w:szCs w:val="24"/>
              </w:rPr>
              <w:instrText xml:space="preserve"> REF Ann3_Part_B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Ann_3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3</w:t>
            </w:r>
            <w:r w:rsidR="006C68D3" w:rsidRPr="006C68D3">
              <w:rPr>
                <w:rFonts w:eastAsia="Arial"/>
                <w:color w:val="000000"/>
                <w:szCs w:val="24"/>
              </w:rPr>
              <w:fldChar w:fldCharType="end"/>
            </w:r>
            <w:r>
              <w:rPr>
                <w:rFonts w:eastAsia="Arial"/>
                <w:color w:val="000000"/>
                <w:szCs w:val="24"/>
              </w:rPr>
              <w:t>; and</w:t>
            </w:r>
          </w:p>
        </w:tc>
      </w:tr>
      <w:tr w:rsidR="00A731E1" w14:paraId="3A4E0314" w14:textId="77777777" w:rsidTr="006C68D3">
        <w:tc>
          <w:tcPr>
            <w:tcW w:w="2624" w:type="dxa"/>
          </w:tcPr>
          <w:p w14:paraId="537D58E5" w14:textId="50917E1A"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Rating Agencies</w:t>
            </w:r>
            <w:r>
              <w:rPr>
                <w:rFonts w:eastAsia="Arial"/>
                <w:b/>
                <w:color w:val="000000"/>
                <w:szCs w:val="24"/>
              </w:rPr>
              <w:t>"</w:t>
            </w:r>
          </w:p>
        </w:tc>
        <w:tc>
          <w:tcPr>
            <w:tcW w:w="5456" w:type="dxa"/>
          </w:tcPr>
          <w:p w14:paraId="0AC81EB0" w14:textId="2C159801"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rating agencies listed in Part </w:t>
            </w:r>
            <w:r w:rsidR="006C68D3" w:rsidRPr="006C68D3">
              <w:rPr>
                <w:rFonts w:eastAsia="Arial"/>
                <w:color w:val="000000"/>
                <w:szCs w:val="24"/>
              </w:rPr>
              <w:fldChar w:fldCharType="begin"/>
            </w:r>
            <w:r w:rsidR="006C68D3" w:rsidRPr="006C68D3">
              <w:rPr>
                <w:rFonts w:eastAsia="Arial"/>
                <w:color w:val="000000"/>
                <w:szCs w:val="24"/>
              </w:rPr>
              <w:instrText xml:space="preserve"> REF Ann1_Part_A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A</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Ann_1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1</w:t>
            </w:r>
            <w:r w:rsidR="006C68D3" w:rsidRPr="006C68D3">
              <w:rPr>
                <w:rFonts w:eastAsia="Arial"/>
                <w:color w:val="000000"/>
                <w:szCs w:val="24"/>
              </w:rPr>
              <w:fldChar w:fldCharType="end"/>
            </w:r>
            <w:r>
              <w:rPr>
                <w:rFonts w:eastAsia="Arial"/>
                <w:color w:val="000000"/>
                <w:szCs w:val="24"/>
              </w:rPr>
              <w:t>.</w:t>
            </w:r>
          </w:p>
        </w:tc>
      </w:tr>
    </w:tbl>
    <w:p w14:paraId="5DD8F87F"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2" w:name="_heading=h.30j0zll" w:colFirst="0" w:colLast="0"/>
      <w:bookmarkEnd w:id="2"/>
      <w:r w:rsidRPr="006C68D3">
        <w:rPr>
          <w:rFonts w:eastAsia="Calibri"/>
          <w:b/>
          <w:color w:val="000000"/>
          <w:szCs w:val="24"/>
        </w:rPr>
        <w:t>When this Schedule applies</w:t>
      </w:r>
    </w:p>
    <w:p w14:paraId="67C1FEFE"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Parties shall comply with the provisions of this Schedule in relation to the assessment of the financial standing of the FDE Group and the consequences of a change to that financial standing.</w:t>
      </w:r>
    </w:p>
    <w:p w14:paraId="186054D4" w14:textId="38215EDD" w:rsidR="00A731E1" w:rsidRPr="006C68D3" w:rsidRDefault="00043197">
      <w:pPr>
        <w:numPr>
          <w:ilvl w:val="1"/>
          <w:numId w:val="2"/>
        </w:numPr>
        <w:pBdr>
          <w:top w:val="nil"/>
          <w:left w:val="nil"/>
          <w:bottom w:val="nil"/>
          <w:right w:val="nil"/>
          <w:between w:val="nil"/>
        </w:pBdr>
        <w:spacing w:before="120" w:after="120"/>
        <w:jc w:val="left"/>
        <w:rPr>
          <w:rFonts w:eastAsia="Arial"/>
          <w:color w:val="000000"/>
          <w:szCs w:val="24"/>
        </w:rPr>
      </w:pPr>
      <w:r w:rsidRPr="006C68D3">
        <w:rPr>
          <w:rFonts w:eastAsia="Calibri"/>
          <w:color w:val="000000"/>
          <w:szCs w:val="24"/>
        </w:rPr>
        <w:t xml:space="preserve">The terms of this Schedule shall survive </w:t>
      </w:r>
      <w:r w:rsidRPr="006C68D3">
        <w:rPr>
          <w:rFonts w:eastAsia="Arial"/>
          <w:color w:val="000000"/>
          <w:szCs w:val="24"/>
        </w:rPr>
        <w:t xml:space="preserve">under </w:t>
      </w:r>
      <w:r w:rsidR="00BE660D">
        <w:rPr>
          <w:rFonts w:eastAsia="Arial"/>
          <w:color w:val="000000"/>
          <w:szCs w:val="24"/>
        </w:rPr>
        <w:t>this Contract</w:t>
      </w:r>
      <w:r w:rsidRPr="006C68D3">
        <w:rPr>
          <w:rFonts w:eastAsia="Arial"/>
          <w:color w:val="000000"/>
          <w:szCs w:val="24"/>
        </w:rPr>
        <w:t xml:space="preserve"> until the </w:t>
      </w:r>
      <w:r w:rsidRPr="006C68D3">
        <w:rPr>
          <w:rFonts w:eastAsia="Calibri"/>
          <w:color w:val="000000"/>
          <w:szCs w:val="24"/>
        </w:rPr>
        <w:t>termination</w:t>
      </w:r>
      <w:r w:rsidRPr="006C68D3">
        <w:rPr>
          <w:rFonts w:eastAsia="Arial"/>
          <w:color w:val="000000"/>
          <w:szCs w:val="24"/>
        </w:rPr>
        <w:t xml:space="preserve"> or expiry of </w:t>
      </w:r>
      <w:r w:rsidR="00BE660D">
        <w:rPr>
          <w:rFonts w:eastAsia="Arial"/>
          <w:color w:val="000000"/>
          <w:szCs w:val="24"/>
        </w:rPr>
        <w:t>this Contract</w:t>
      </w:r>
      <w:r w:rsidRPr="006C68D3">
        <w:rPr>
          <w:rFonts w:eastAsia="Arial"/>
          <w:color w:val="000000"/>
          <w:szCs w:val="24"/>
        </w:rPr>
        <w:t>.</w:t>
      </w:r>
    </w:p>
    <w:p w14:paraId="42A31AD6" w14:textId="77777777" w:rsidR="00A731E1" w:rsidRPr="006C68D3" w:rsidRDefault="00043197" w:rsidP="006C68D3">
      <w:pPr>
        <w:keepNext/>
        <w:numPr>
          <w:ilvl w:val="0"/>
          <w:numId w:val="2"/>
        </w:numPr>
        <w:pBdr>
          <w:top w:val="nil"/>
          <w:left w:val="nil"/>
          <w:bottom w:val="nil"/>
          <w:right w:val="nil"/>
          <w:between w:val="nil"/>
        </w:pBdr>
        <w:spacing w:before="120"/>
        <w:jc w:val="left"/>
        <w:rPr>
          <w:rFonts w:eastAsia="Arial"/>
          <w:b/>
          <w:smallCaps/>
          <w:color w:val="000000"/>
          <w:szCs w:val="24"/>
        </w:rPr>
      </w:pPr>
      <w:r w:rsidRPr="006C68D3">
        <w:rPr>
          <w:rFonts w:eastAsia="Calibri"/>
          <w:b/>
          <w:color w:val="000000"/>
          <w:szCs w:val="24"/>
        </w:rPr>
        <w:t>Credit Ratings</w:t>
      </w:r>
    </w:p>
    <w:p w14:paraId="06496B12" w14:textId="1CC63022"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3" w:name="_heading=h.1fob9te" w:colFirst="0" w:colLast="0"/>
      <w:bookmarkEnd w:id="3"/>
      <w:r w:rsidRPr="006C68D3">
        <w:rPr>
          <w:rFonts w:eastAsia="Calibri"/>
          <w:color w:val="000000"/>
          <w:szCs w:val="24"/>
        </w:rPr>
        <w:t xml:space="preserve">The Supplier warrants and represents to the Buyer that as at the </w:t>
      </w:r>
      <w:sdt>
        <w:sdtPr>
          <w:rPr>
            <w:szCs w:val="24"/>
          </w:rPr>
          <w:tag w:val="goog_rdk_0"/>
          <w:id w:val="-1881392898"/>
        </w:sdtPr>
        <w:sdtEndPr/>
        <w:sdtContent>
          <w:r w:rsidRPr="006C68D3">
            <w:rPr>
              <w:rFonts w:eastAsia="Calibri"/>
              <w:color w:val="000000"/>
              <w:szCs w:val="24"/>
            </w:rPr>
            <w:t>Effective</w:t>
          </w:r>
        </w:sdtContent>
      </w:sdt>
      <w:sdt>
        <w:sdtPr>
          <w:rPr>
            <w:szCs w:val="24"/>
          </w:rPr>
          <w:tag w:val="goog_rdk_1"/>
          <w:id w:val="-999801953"/>
          <w:showingPlcHdr/>
        </w:sdtPr>
        <w:sdtEndPr/>
        <w:sdtContent>
          <w:r w:rsidR="006C68D3" w:rsidRPr="006C68D3">
            <w:rPr>
              <w:szCs w:val="24"/>
            </w:rPr>
            <w:t xml:space="preserve">     </w:t>
          </w:r>
        </w:sdtContent>
      </w:sdt>
      <w:r w:rsidRPr="006C68D3">
        <w:rPr>
          <w:rFonts w:eastAsia="Calibri"/>
          <w:color w:val="000000"/>
          <w:szCs w:val="24"/>
        </w:rPr>
        <w:t xml:space="preserve"> Date the long term credit ratings issued for each entity in the FDE Group by each of the Rating Agencies are as set out in </w:t>
      </w:r>
      <w:r w:rsidR="002238CF">
        <w:rPr>
          <w:rFonts w:eastAsia="Arial"/>
          <w:color w:val="000000"/>
          <w:szCs w:val="24"/>
        </w:rPr>
        <w:t xml:space="preserve">Part </w:t>
      </w:r>
      <w:r w:rsidR="002238CF" w:rsidRPr="006C68D3">
        <w:rPr>
          <w:rFonts w:eastAsia="Arial"/>
          <w:color w:val="000000"/>
          <w:szCs w:val="24"/>
        </w:rPr>
        <w:fldChar w:fldCharType="begin"/>
      </w:r>
      <w:r w:rsidR="002238CF" w:rsidRPr="006C68D3">
        <w:rPr>
          <w:rFonts w:eastAsia="Arial"/>
          <w:color w:val="000000"/>
          <w:szCs w:val="24"/>
        </w:rPr>
        <w:instrText xml:space="preserve"> REF Ann2_Part_A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color w:val="000000"/>
          <w:szCs w:val="24"/>
        </w:rPr>
        <w:t>A</w:t>
      </w:r>
      <w:r w:rsidR="002238CF" w:rsidRPr="006C68D3">
        <w:rPr>
          <w:rFonts w:eastAsia="Arial"/>
          <w:color w:val="000000"/>
          <w:szCs w:val="24"/>
        </w:rPr>
        <w:fldChar w:fldCharType="end"/>
      </w:r>
      <w:r w:rsidR="002238CF">
        <w:rPr>
          <w:rFonts w:eastAsia="Arial"/>
          <w:color w:val="000000"/>
          <w:szCs w:val="24"/>
        </w:rPr>
        <w:t xml:space="preserve"> of Annex </w:t>
      </w:r>
      <w:r w:rsidR="002238CF" w:rsidRPr="006C68D3">
        <w:rPr>
          <w:rFonts w:eastAsia="Arial"/>
          <w:color w:val="000000"/>
          <w:szCs w:val="24"/>
        </w:rPr>
        <w:fldChar w:fldCharType="begin"/>
      </w:r>
      <w:r w:rsidR="002238CF" w:rsidRPr="006C68D3">
        <w:rPr>
          <w:rFonts w:eastAsia="Arial"/>
          <w:color w:val="000000"/>
          <w:szCs w:val="24"/>
        </w:rPr>
        <w:instrText xml:space="preserve"> REF Ann_2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smallCaps/>
          <w:color w:val="000000"/>
          <w:szCs w:val="24"/>
        </w:rPr>
        <w:t>2</w:t>
      </w:r>
      <w:r w:rsidR="002238CF" w:rsidRPr="006C68D3">
        <w:rPr>
          <w:rFonts w:eastAsia="Arial"/>
          <w:color w:val="000000"/>
          <w:szCs w:val="24"/>
        </w:rPr>
        <w:fldChar w:fldCharType="end"/>
      </w:r>
      <w:r w:rsidRPr="006C68D3">
        <w:rPr>
          <w:rFonts w:eastAsia="Calibri"/>
          <w:color w:val="000000"/>
          <w:szCs w:val="24"/>
        </w:rPr>
        <w:t xml:space="preserve">. </w:t>
      </w:r>
    </w:p>
    <w:p w14:paraId="499D5786"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w:t>
      </w:r>
    </w:p>
    <w:p w14:paraId="34337C2F"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regularly monitor the credit ratings of each entity in the FDE Group with the Rating Agencies; and</w:t>
      </w:r>
    </w:p>
    <w:p w14:paraId="362FDC0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promptly (and in any event within five (5) Working Days) notify the Buyer in writing if there is any downgrade in the credit rating issued by any Rating Agency for any entity in the FDE Group.</w:t>
      </w:r>
    </w:p>
    <w:p w14:paraId="651816C2" w14:textId="6DEC73DD"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 w:name="_heading=h.3znysh7" w:colFirst="0" w:colLast="0"/>
      <w:bookmarkStart w:id="5" w:name="_Ref141086653"/>
      <w:bookmarkEnd w:id="4"/>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credit rating is the Primary Metric, the credit rating of an FDE Group entity shall be deemed to have dropped below the applicable Credit Rating Threshold if any of the Rating Agencies have given a credit rating level for that FDE Group entity which is  below the applicable Credit Rating Threshold.</w:t>
      </w:r>
      <w:bookmarkEnd w:id="5"/>
    </w:p>
    <w:p w14:paraId="682E0F1A"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r w:rsidRPr="006C68D3">
        <w:rPr>
          <w:rFonts w:eastAsia="Calibri"/>
          <w:b/>
          <w:color w:val="000000"/>
          <w:szCs w:val="24"/>
        </w:rPr>
        <w:t>Credit Scores</w:t>
      </w:r>
    </w:p>
    <w:p w14:paraId="4A065799" w14:textId="4A009A3E"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 xml:space="preserve">The Supplier warrants and represents to the Buyer that as at the </w:t>
      </w:r>
      <w:sdt>
        <w:sdtPr>
          <w:rPr>
            <w:szCs w:val="24"/>
          </w:rPr>
          <w:tag w:val="goog_rdk_2"/>
          <w:id w:val="-2107871411"/>
          <w:showingPlcHdr/>
        </w:sdtPr>
        <w:sdtEndPr/>
        <w:sdtContent>
          <w:r w:rsidR="006C68D3" w:rsidRPr="006C68D3">
            <w:rPr>
              <w:szCs w:val="24"/>
            </w:rPr>
            <w:t xml:space="preserve">     </w:t>
          </w:r>
        </w:sdtContent>
      </w:sdt>
      <w:sdt>
        <w:sdtPr>
          <w:rPr>
            <w:szCs w:val="24"/>
          </w:rPr>
          <w:tag w:val="goog_rdk_3"/>
          <w:id w:val="1228422318"/>
        </w:sdtPr>
        <w:sdtEndPr/>
        <w:sdtContent>
          <w:r w:rsidRPr="006C68D3">
            <w:rPr>
              <w:rFonts w:eastAsia="Calibri"/>
              <w:color w:val="000000"/>
              <w:szCs w:val="24"/>
            </w:rPr>
            <w:t>Effective</w:t>
          </w:r>
        </w:sdtContent>
      </w:sdt>
      <w:r w:rsidRPr="006C68D3">
        <w:rPr>
          <w:rFonts w:eastAsia="Calibri"/>
          <w:color w:val="000000"/>
          <w:szCs w:val="24"/>
        </w:rPr>
        <w:t xml:space="preserve"> Date the credit scores issued for each entity in the FDE Group by each of the Credit Reference Agencies are as set out in </w:t>
      </w:r>
      <w:r w:rsidR="002238CF">
        <w:rPr>
          <w:rFonts w:eastAsia="Arial"/>
          <w:color w:val="000000"/>
          <w:szCs w:val="24"/>
        </w:rPr>
        <w:t xml:space="preserve">Part </w:t>
      </w:r>
      <w:r w:rsidR="002238CF" w:rsidRPr="002238CF">
        <w:rPr>
          <w:rFonts w:eastAsia="Arial"/>
          <w:color w:val="000000"/>
          <w:szCs w:val="24"/>
        </w:rPr>
        <w:fldChar w:fldCharType="begin"/>
      </w:r>
      <w:r w:rsidR="002238CF" w:rsidRPr="002238CF">
        <w:rPr>
          <w:rFonts w:eastAsia="Arial"/>
          <w:color w:val="000000"/>
          <w:szCs w:val="24"/>
        </w:rPr>
        <w:instrText xml:space="preserve"> REF Ann2_Part_B \h  \* MERGEFORMAT </w:instrText>
      </w:r>
      <w:r w:rsidR="002238CF" w:rsidRPr="002238CF">
        <w:rPr>
          <w:rFonts w:eastAsia="Arial"/>
          <w:color w:val="000000"/>
          <w:szCs w:val="24"/>
        </w:rPr>
      </w:r>
      <w:r w:rsidR="002238CF" w:rsidRPr="002238CF">
        <w:rPr>
          <w:rFonts w:eastAsia="Arial"/>
          <w:color w:val="000000"/>
          <w:szCs w:val="24"/>
        </w:rPr>
        <w:fldChar w:fldCharType="separate"/>
      </w:r>
      <w:r w:rsidR="006772B1" w:rsidRPr="006772B1">
        <w:rPr>
          <w:rFonts w:eastAsia="Arial"/>
          <w:color w:val="000000"/>
          <w:szCs w:val="24"/>
        </w:rPr>
        <w:t>B</w:t>
      </w:r>
      <w:r w:rsidR="002238CF" w:rsidRPr="002238CF">
        <w:rPr>
          <w:rFonts w:eastAsia="Arial"/>
          <w:color w:val="000000"/>
          <w:szCs w:val="24"/>
        </w:rPr>
        <w:fldChar w:fldCharType="end"/>
      </w:r>
      <w:r w:rsidR="002238CF">
        <w:rPr>
          <w:rFonts w:eastAsia="Arial"/>
          <w:color w:val="000000"/>
          <w:szCs w:val="24"/>
        </w:rPr>
        <w:t xml:space="preserve"> of Annex </w:t>
      </w:r>
      <w:r w:rsidR="002238CF" w:rsidRPr="006C68D3">
        <w:rPr>
          <w:rFonts w:eastAsia="Arial"/>
          <w:color w:val="000000"/>
          <w:szCs w:val="24"/>
        </w:rPr>
        <w:fldChar w:fldCharType="begin"/>
      </w:r>
      <w:r w:rsidR="002238CF" w:rsidRPr="006C68D3">
        <w:rPr>
          <w:rFonts w:eastAsia="Arial"/>
          <w:color w:val="000000"/>
          <w:szCs w:val="24"/>
        </w:rPr>
        <w:instrText xml:space="preserve"> REF Ann_2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smallCaps/>
          <w:color w:val="000000"/>
          <w:szCs w:val="24"/>
        </w:rPr>
        <w:t>2</w:t>
      </w:r>
      <w:r w:rsidR="002238CF" w:rsidRPr="006C68D3">
        <w:rPr>
          <w:rFonts w:eastAsia="Arial"/>
          <w:color w:val="000000"/>
          <w:szCs w:val="24"/>
        </w:rPr>
        <w:fldChar w:fldCharType="end"/>
      </w:r>
      <w:r w:rsidRPr="006C68D3">
        <w:rPr>
          <w:rFonts w:eastAsia="Calibri"/>
          <w:color w:val="000000"/>
          <w:szCs w:val="24"/>
        </w:rPr>
        <w:t xml:space="preserve">. </w:t>
      </w:r>
    </w:p>
    <w:p w14:paraId="705B6BC9"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w:t>
      </w:r>
    </w:p>
    <w:p w14:paraId="7E42EAB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regularly monitor the credit scores of each entity in the FDE Group with the Credit Reference Agencies; and</w:t>
      </w:r>
    </w:p>
    <w:p w14:paraId="68344414"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promptly notify (or shall procure that its auditors promptly notify) the Buyer in writing if there is any Credit Score Notification Trigger </w:t>
      </w:r>
      <w:r w:rsidRPr="006C68D3">
        <w:rPr>
          <w:rFonts w:eastAsia="Calibri"/>
          <w:color w:val="000000"/>
          <w:szCs w:val="24"/>
        </w:rPr>
        <w:lastRenderedPageBreak/>
        <w:t>Event for any entity in the FDE Group (and in any event within five (5) Working Days).</w:t>
      </w:r>
    </w:p>
    <w:p w14:paraId="38249100" w14:textId="2504DA0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6" w:name="_heading=h.1ci93xb" w:colFirst="0" w:colLast="0"/>
      <w:bookmarkStart w:id="7" w:name="_Ref141086657"/>
      <w:bookmarkEnd w:id="6"/>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credit score is the Primary Metric, the credit score of an FDE Group entity shall be deemed to have dropped below the applicable Credit Score Threshold if any of the Credit Reference Agencies have given a credit score for that FDE Group entity which is below the applicable Credit Score Threshold.</w:t>
      </w:r>
      <w:bookmarkEnd w:id="7"/>
    </w:p>
    <w:p w14:paraId="6DDB8FC1"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r w:rsidRPr="006C68D3">
        <w:rPr>
          <w:rFonts w:eastAsia="Calibri"/>
          <w:b/>
          <w:color w:val="000000"/>
          <w:szCs w:val="24"/>
        </w:rPr>
        <w:t>Financial Indicators</w:t>
      </w:r>
    </w:p>
    <w:p w14:paraId="39E25FBF" w14:textId="69F77CFE" w:rsidR="00A731E1" w:rsidRPr="00922F47" w:rsidRDefault="00043197">
      <w:pPr>
        <w:numPr>
          <w:ilvl w:val="1"/>
          <w:numId w:val="2"/>
        </w:numPr>
        <w:pBdr>
          <w:top w:val="nil"/>
          <w:left w:val="nil"/>
          <w:bottom w:val="nil"/>
          <w:right w:val="nil"/>
          <w:between w:val="nil"/>
        </w:pBdr>
        <w:spacing w:before="120" w:after="120"/>
        <w:jc w:val="left"/>
        <w:rPr>
          <w:rFonts w:eastAsia="Calibri"/>
          <w:b/>
          <w:color w:val="000000"/>
          <w:szCs w:val="24"/>
        </w:rPr>
      </w:pPr>
      <w:bookmarkStart w:id="8" w:name="_heading=h.3whwml4" w:colFirst="0" w:colLast="0"/>
      <w:bookmarkStart w:id="9" w:name="_Ref141087035"/>
      <w:bookmarkEnd w:id="8"/>
      <w:r w:rsidRPr="006C68D3">
        <w:rPr>
          <w:rFonts w:eastAsia="Calibri"/>
          <w:color w:val="000000"/>
          <w:szCs w:val="24"/>
        </w:rPr>
        <w:t xml:space="preserve">The Supplier shall monitor and report on the Financial Indicators for each entity in the FDE Group against the Financial Target Thresholds at least at the frequency set out for each at </w:t>
      </w:r>
      <w:r w:rsidR="002238CF" w:rsidRPr="002238CF">
        <w:rPr>
          <w:rFonts w:eastAsia="Calibri"/>
          <w:bCs/>
          <w:iCs/>
          <w:color w:val="000000"/>
          <w:szCs w:val="24"/>
        </w:rPr>
        <w:t xml:space="preserve">Part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Ann2_Part_C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zCs w:val="24"/>
        </w:rPr>
        <w:t>C</w:t>
      </w:r>
      <w:r w:rsidR="002238CF" w:rsidRPr="002238CF">
        <w:rPr>
          <w:rFonts w:eastAsia="Calibri"/>
          <w:bCs/>
          <w:iCs/>
          <w:color w:val="000000"/>
          <w:szCs w:val="24"/>
        </w:rPr>
        <w:fldChar w:fldCharType="end"/>
      </w:r>
      <w:r w:rsidR="002238CF" w:rsidRPr="002238CF">
        <w:rPr>
          <w:rFonts w:eastAsia="Calibri"/>
          <w:bCs/>
          <w:iCs/>
          <w:color w:val="000000"/>
          <w:szCs w:val="24"/>
        </w:rPr>
        <w:t xml:space="preserve"> of Annex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Ann_2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mallCaps/>
          <w:color w:val="000000"/>
          <w:szCs w:val="24"/>
        </w:rPr>
        <w:t>2</w:t>
      </w:r>
      <w:r w:rsidR="002238CF" w:rsidRPr="002238CF">
        <w:rPr>
          <w:rFonts w:eastAsia="Calibri"/>
          <w:bCs/>
          <w:iCs/>
          <w:color w:val="000000"/>
          <w:szCs w:val="24"/>
        </w:rPr>
        <w:fldChar w:fldCharType="end"/>
      </w:r>
      <w:r w:rsidR="002238CF" w:rsidRPr="002238CF">
        <w:rPr>
          <w:rFonts w:eastAsia="Calibri"/>
          <w:b/>
          <w:i/>
          <w:color w:val="000000"/>
          <w:szCs w:val="24"/>
        </w:rPr>
        <w:t xml:space="preserve"> </w:t>
      </w:r>
      <w:r w:rsidRPr="006C68D3">
        <w:rPr>
          <w:rFonts w:eastAsia="Calibri"/>
          <w:color w:val="000000"/>
          <w:szCs w:val="24"/>
        </w:rPr>
        <w:t xml:space="preserve">(where specified) and in any event, on a regular basis and no less than once a year within one hundred and twenty (120) days after the </w:t>
      </w:r>
      <w:r w:rsidRPr="00922F47">
        <w:rPr>
          <w:rFonts w:eastAsia="Calibri"/>
          <w:color w:val="000000"/>
          <w:szCs w:val="24"/>
        </w:rPr>
        <w:t>accounting reference date</w:t>
      </w:r>
      <w:bookmarkEnd w:id="9"/>
    </w:p>
    <w:p w14:paraId="3C7FFDCD" w14:textId="54E4FB6A" w:rsidR="00A731E1" w:rsidRPr="006C68D3" w:rsidRDefault="00043197">
      <w:pPr>
        <w:numPr>
          <w:ilvl w:val="1"/>
          <w:numId w:val="2"/>
        </w:numPr>
        <w:pBdr>
          <w:top w:val="nil"/>
          <w:left w:val="nil"/>
          <w:bottom w:val="nil"/>
          <w:right w:val="nil"/>
          <w:between w:val="nil"/>
        </w:pBdr>
        <w:spacing w:before="120" w:after="120"/>
        <w:jc w:val="left"/>
        <w:rPr>
          <w:rFonts w:eastAsia="Calibri"/>
          <w:b/>
          <w:color w:val="000000"/>
          <w:szCs w:val="24"/>
        </w:rPr>
      </w:pPr>
      <w:r w:rsidRPr="00922F47">
        <w:rPr>
          <w:rFonts w:eastAsia="Calibri"/>
          <w:color w:val="000000"/>
          <w:szCs w:val="24"/>
        </w:rPr>
        <w:t xml:space="preserve">Subject to the calculation methodology set out at Annex 4 of this Schedule, the Financial Indicators and the corresponding calculations and thresholds used to determine whether a Financial Distress Event has occurred in respect of those Financial Indicators, shall be as set out in Appendix I: Standard Financial Ratios of </w:t>
      </w:r>
      <w:r w:rsidRPr="00922F47">
        <w:rPr>
          <w:rFonts w:eastAsia="Calibri"/>
          <w:i/>
          <w:color w:val="000000"/>
          <w:szCs w:val="24"/>
        </w:rPr>
        <w:t xml:space="preserve">Assessing and Monitoring the Economic and Financial Standing of Bidders and Suppliers – May 2021 </w:t>
      </w:r>
      <w:r w:rsidRPr="00922F47">
        <w:rPr>
          <w:rFonts w:eastAsia="Calibri"/>
          <w:color w:val="000000"/>
          <w:szCs w:val="24"/>
        </w:rPr>
        <w:t>(as amended</w:t>
      </w:r>
      <w:r w:rsidRPr="006C68D3">
        <w:rPr>
          <w:rFonts w:eastAsia="Calibri"/>
          <w:color w:val="000000"/>
          <w:szCs w:val="24"/>
        </w:rPr>
        <w:t xml:space="preserve">, supplemented or replaced from time to time) which as at the </w:t>
      </w:r>
      <w:sdt>
        <w:sdtPr>
          <w:rPr>
            <w:szCs w:val="24"/>
          </w:rPr>
          <w:tag w:val="goog_rdk_4"/>
          <w:id w:val="929930599"/>
        </w:sdtPr>
        <w:sdtEndPr/>
        <w:sdtContent>
          <w:r w:rsidR="002238CF" w:rsidRPr="006C68D3">
            <w:rPr>
              <w:rFonts w:eastAsia="Calibri"/>
              <w:color w:val="000000"/>
              <w:szCs w:val="24"/>
            </w:rPr>
            <w:t>Effective</w:t>
          </w:r>
        </w:sdtContent>
      </w:sdt>
      <w:sdt>
        <w:sdtPr>
          <w:rPr>
            <w:szCs w:val="24"/>
          </w:rPr>
          <w:tag w:val="goog_rdk_5"/>
          <w:id w:val="-345638145"/>
          <w:showingPlcHdr/>
        </w:sdtPr>
        <w:sdtEndPr/>
        <w:sdtContent>
          <w:r w:rsidR="006C68D3" w:rsidRPr="006C68D3">
            <w:rPr>
              <w:szCs w:val="24"/>
            </w:rPr>
            <w:t xml:space="preserve">     </w:t>
          </w:r>
        </w:sdtContent>
      </w:sdt>
      <w:r w:rsidRPr="006C68D3">
        <w:rPr>
          <w:rFonts w:eastAsia="Calibri"/>
          <w:color w:val="000000"/>
          <w:szCs w:val="24"/>
        </w:rPr>
        <w:t xml:space="preserve"> Date can be found at:</w:t>
      </w:r>
    </w:p>
    <w:p w14:paraId="15386C07" w14:textId="7DB793B2" w:rsidR="00A731E1" w:rsidRPr="006C68D3" w:rsidRDefault="00272C4A" w:rsidP="002238CF">
      <w:pPr>
        <w:pBdr>
          <w:top w:val="nil"/>
          <w:left w:val="nil"/>
          <w:bottom w:val="nil"/>
          <w:right w:val="nil"/>
          <w:between w:val="nil"/>
        </w:pBdr>
        <w:spacing w:before="120" w:after="120"/>
        <w:ind w:left="907" w:firstLine="20"/>
        <w:jc w:val="left"/>
        <w:rPr>
          <w:rFonts w:eastAsia="Calibri"/>
          <w:color w:val="000000"/>
          <w:szCs w:val="24"/>
        </w:rPr>
      </w:pPr>
      <w:hyperlink r:id="rId11">
        <w:r w:rsidR="00043197" w:rsidRPr="006C68D3">
          <w:rPr>
            <w:rFonts w:eastAsia="Calibri"/>
            <w:color w:val="0000FF"/>
            <w:szCs w:val="24"/>
            <w:u w:val="single"/>
          </w:rPr>
          <w:t>https://assets.publishing.service.gov.uk/government/uploads/system/uploads/attachment_data/file/987132/Assessing_and_monitoring_the_economic_and_financial_standing_of_suppliers_guidance_note_May_2021.pdf</w:t>
        </w:r>
      </w:hyperlink>
      <w:r w:rsidR="00043197" w:rsidRPr="006C68D3">
        <w:rPr>
          <w:rFonts w:eastAsia="Calibri"/>
          <w:color w:val="000000"/>
          <w:szCs w:val="24"/>
        </w:rPr>
        <w:t xml:space="preserve"> </w:t>
      </w:r>
    </w:p>
    <w:p w14:paraId="3095181E" w14:textId="47F0E491"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0" w:name="_heading=h.2bn6wsx" w:colFirst="0" w:colLast="0"/>
      <w:bookmarkStart w:id="11" w:name="_Ref141087084"/>
      <w:bookmarkEnd w:id="10"/>
      <w:r w:rsidRPr="006C68D3">
        <w:rPr>
          <w:rFonts w:eastAsia="Calibri"/>
          <w:color w:val="000000"/>
          <w:szCs w:val="24"/>
        </w:rPr>
        <w:t xml:space="preserve">Each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Pr="006C68D3">
        <w:rPr>
          <w:rFonts w:eastAsia="Calibri"/>
          <w:color w:val="000000"/>
          <w:szCs w:val="24"/>
        </w:rPr>
        <w:t xml:space="preserve"> shall:</w:t>
      </w:r>
      <w:bookmarkEnd w:id="11"/>
    </w:p>
    <w:p w14:paraId="62CB0CF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be a single report with separate sections for each of the FDE Group entities;</w:t>
      </w:r>
    </w:p>
    <w:p w14:paraId="22BE3AC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contain a sufficient level of information to enable the Buyer to verify the calculations that have been made in respect of the Financial Indicators;</w:t>
      </w:r>
    </w:p>
    <w:p w14:paraId="76E28BBB" w14:textId="37E29061"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include key financial and other supporting information (including any accounts data that has been relied on) as separate annexes; </w:t>
      </w:r>
      <w:r w:rsidRPr="003B55F3">
        <w:rPr>
          <w:rFonts w:eastAsia="Calibri"/>
          <w:color w:val="000000"/>
          <w:szCs w:val="24"/>
        </w:rPr>
        <w:t>and</w:t>
      </w:r>
    </w:p>
    <w:p w14:paraId="6C178D27" w14:textId="360AD605"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highlight w:val="yellow"/>
        </w:rPr>
      </w:pPr>
      <w:r w:rsidRPr="006C68D3">
        <w:rPr>
          <w:rFonts w:eastAsia="Calibri"/>
          <w:color w:val="000000"/>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w:t>
      </w:r>
      <w:r w:rsidRPr="00F1158F">
        <w:rPr>
          <w:rFonts w:eastAsia="Calibri"/>
          <w:color w:val="000000"/>
          <w:szCs w:val="24"/>
        </w:rPr>
        <w:t>; and</w:t>
      </w:r>
    </w:p>
    <w:p w14:paraId="5E8EF3B2" w14:textId="53C439D4" w:rsidR="00A731E1" w:rsidRPr="00F1158F"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F1158F">
        <w:rPr>
          <w:rFonts w:eastAsia="Calibri"/>
          <w:color w:val="000000"/>
          <w:szCs w:val="24"/>
        </w:rPr>
        <w:t>include a history of the Financial Indicators reported by the Supplier in graph form to enable the Buyer to easily analyse and assess the trends in financial performance.</w:t>
      </w:r>
    </w:p>
    <w:p w14:paraId="2D27EE79" w14:textId="4D27A558"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2" w:name="_heading=h.qsh70q" w:colFirst="0" w:colLast="0"/>
      <w:bookmarkStart w:id="13" w:name="_Ref141086662"/>
      <w:bookmarkEnd w:id="12"/>
      <w:r w:rsidRPr="006C68D3">
        <w:rPr>
          <w:rFonts w:eastAsia="Calibri"/>
          <w:color w:val="000000"/>
          <w:szCs w:val="24"/>
        </w:rPr>
        <w:lastRenderedPageBreak/>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financial indicators are the Primary Metric, the Financial Indicator of an FDE Group entity shall be deemed to have dropped below the applicable Financial Target Threshold if:</w:t>
      </w:r>
      <w:bookmarkEnd w:id="13"/>
    </w:p>
    <w:p w14:paraId="6FF466A1" w14:textId="4B7E30DC"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shows that any FDE Group entity has failed to meet or exceed the Financial Target Threshold for any of the Financial Indicators set out in </w:t>
      </w:r>
      <w:r w:rsidR="002238CF" w:rsidRPr="002238CF">
        <w:rPr>
          <w:rFonts w:eastAsia="Calibri"/>
          <w:bCs/>
          <w:iCs/>
          <w:color w:val="000000"/>
          <w:szCs w:val="24"/>
        </w:rPr>
        <w:t xml:space="preserve">Part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Ann2_Part_C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zCs w:val="24"/>
        </w:rPr>
        <w:t>C</w:t>
      </w:r>
      <w:r w:rsidR="002238CF" w:rsidRPr="002238CF">
        <w:rPr>
          <w:rFonts w:eastAsia="Calibri"/>
          <w:bCs/>
          <w:iCs/>
          <w:color w:val="000000"/>
          <w:szCs w:val="24"/>
        </w:rPr>
        <w:fldChar w:fldCharType="end"/>
      </w:r>
      <w:r w:rsidR="002238CF" w:rsidRPr="002238CF">
        <w:rPr>
          <w:rFonts w:eastAsia="Calibri"/>
          <w:bCs/>
          <w:iCs/>
          <w:color w:val="000000"/>
          <w:szCs w:val="24"/>
        </w:rPr>
        <w:t xml:space="preserve"> of Annex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Ann_2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mallCaps/>
          <w:color w:val="000000"/>
          <w:szCs w:val="24"/>
        </w:rPr>
        <w:t>2</w:t>
      </w:r>
      <w:r w:rsidR="002238CF" w:rsidRPr="002238CF">
        <w:rPr>
          <w:rFonts w:eastAsia="Calibri"/>
          <w:bCs/>
          <w:iCs/>
          <w:color w:val="000000"/>
          <w:szCs w:val="24"/>
        </w:rPr>
        <w:fldChar w:fldCharType="end"/>
      </w:r>
      <w:r w:rsidR="002238CF" w:rsidRPr="002238CF">
        <w:rPr>
          <w:rFonts w:eastAsia="Calibri"/>
          <w:b/>
          <w:i/>
          <w:color w:val="000000"/>
          <w:szCs w:val="24"/>
        </w:rPr>
        <w:t xml:space="preserve"> </w:t>
      </w:r>
      <w:r w:rsidRPr="006C68D3">
        <w:rPr>
          <w:rFonts w:eastAsia="Calibri"/>
          <w:color w:val="000000"/>
          <w:szCs w:val="24"/>
        </w:rPr>
        <w:t>of this Schedule;</w:t>
      </w:r>
    </w:p>
    <w:p w14:paraId="0E12240E" w14:textId="2CEC8102"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does not comply with the requirements set out in Paragraph </w:t>
      </w:r>
      <w:r w:rsidR="002238CF">
        <w:rPr>
          <w:rFonts w:eastAsia="Calibri"/>
          <w:color w:val="000000"/>
          <w:szCs w:val="24"/>
        </w:rPr>
        <w:fldChar w:fldCharType="begin"/>
      </w:r>
      <w:r w:rsidR="002238CF">
        <w:rPr>
          <w:rFonts w:eastAsia="Calibri"/>
          <w:color w:val="000000"/>
          <w:szCs w:val="24"/>
        </w:rPr>
        <w:instrText xml:space="preserve"> REF _Ref141087084 \n \h  \* MERGEFORMAT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5.3</w:t>
      </w:r>
      <w:r w:rsidR="002238CF">
        <w:rPr>
          <w:rFonts w:eastAsia="Calibri"/>
          <w:color w:val="000000"/>
          <w:szCs w:val="24"/>
        </w:rPr>
        <w:fldChar w:fldCharType="end"/>
      </w:r>
      <w:r w:rsidRPr="006C68D3">
        <w:rPr>
          <w:rFonts w:eastAsia="Calibri"/>
          <w:color w:val="000000"/>
          <w:szCs w:val="24"/>
        </w:rPr>
        <w:t>; or</w:t>
      </w:r>
    </w:p>
    <w:p w14:paraId="68FDE069" w14:textId="01EEC9B0"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the Supplier does not deliver a report pursuant to Paragraph </w:t>
      </w:r>
      <w:r w:rsidR="002238CF">
        <w:rPr>
          <w:rFonts w:eastAsia="Calibri"/>
          <w:color w:val="000000"/>
          <w:szCs w:val="24"/>
        </w:rPr>
        <w:fldChar w:fldCharType="begin"/>
      </w:r>
      <w:r w:rsidR="002238CF">
        <w:rPr>
          <w:rFonts w:eastAsia="Calibri"/>
          <w:color w:val="000000"/>
          <w:szCs w:val="24"/>
        </w:rPr>
        <w:instrText xml:space="preserve"> REF _Ref141087084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5.3</w:t>
      </w:r>
      <w:r w:rsidR="002238CF">
        <w:rPr>
          <w:rFonts w:eastAsia="Calibri"/>
          <w:color w:val="000000"/>
          <w:szCs w:val="24"/>
        </w:rPr>
        <w:fldChar w:fldCharType="end"/>
      </w:r>
      <w:r w:rsidRPr="006C68D3">
        <w:rPr>
          <w:rFonts w:eastAsia="Calibri"/>
          <w:color w:val="000000"/>
          <w:szCs w:val="24"/>
        </w:rPr>
        <w:t xml:space="preserve"> in accordance with the applicable monitoring and reporting frequency.</w:t>
      </w:r>
    </w:p>
    <w:p w14:paraId="6E97063E"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14" w:name="_heading=h.3as4poj" w:colFirst="0" w:colLast="0"/>
      <w:bookmarkStart w:id="15" w:name="_Ref141087349"/>
      <w:bookmarkEnd w:id="14"/>
      <w:r w:rsidRPr="006C68D3">
        <w:rPr>
          <w:rFonts w:eastAsia="Calibri"/>
          <w:b/>
          <w:color w:val="000000"/>
          <w:szCs w:val="24"/>
        </w:rPr>
        <w:t>What happens if there is a financial distress event</w:t>
      </w:r>
      <w:bookmarkEnd w:id="15"/>
    </w:p>
    <w:p w14:paraId="32D75A28"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6" w:name="_heading=h.2et92p0" w:colFirst="0" w:colLast="0"/>
      <w:bookmarkStart w:id="17" w:name="_Ref141087254"/>
      <w:bookmarkEnd w:id="16"/>
      <w:r w:rsidRPr="006C68D3">
        <w:rPr>
          <w:rFonts w:eastAsia="Calibri"/>
          <w:color w:val="000000"/>
          <w:szCs w:val="24"/>
        </w:rPr>
        <w:t>The Supplier shall 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17"/>
    </w:p>
    <w:p w14:paraId="0AAA7E16" w14:textId="51316820"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Pr="006C68D3">
        <w:rPr>
          <w:rFonts w:eastAsia="Calibri"/>
          <w:color w:val="000000"/>
          <w:szCs w:val="24"/>
        </w:rPr>
        <w:t xml:space="preserve"> to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w:t>
      </w:r>
    </w:p>
    <w:p w14:paraId="179186BE" w14:textId="7819010E" w:rsidR="00A731E1" w:rsidRPr="00FA7A0F" w:rsidRDefault="00FA7A0F" w:rsidP="00FA7A0F">
      <w:pPr>
        <w:keepNext/>
        <w:numPr>
          <w:ilvl w:val="1"/>
          <w:numId w:val="2"/>
        </w:numPr>
        <w:pBdr>
          <w:top w:val="nil"/>
          <w:left w:val="nil"/>
          <w:bottom w:val="nil"/>
          <w:right w:val="nil"/>
          <w:between w:val="nil"/>
        </w:pBdr>
        <w:spacing w:before="120" w:after="120"/>
        <w:jc w:val="left"/>
        <w:rPr>
          <w:rFonts w:eastAsia="Calibri"/>
          <w:b/>
          <w:bCs/>
          <w:i/>
          <w:iCs/>
          <w:color w:val="000000"/>
          <w:szCs w:val="24"/>
        </w:rPr>
      </w:pPr>
      <w:bookmarkStart w:id="18" w:name="_heading=h.tyjcwt" w:colFirst="0" w:colLast="0"/>
      <w:bookmarkEnd w:id="18"/>
      <w:r w:rsidRPr="00FA7A0F">
        <w:rPr>
          <w:rFonts w:eastAsia="Calibri"/>
          <w:b/>
          <w:bCs/>
          <w:i/>
          <w:iCs/>
          <w:color w:val="000000"/>
          <w:szCs w:val="24"/>
        </w:rPr>
        <w:t>NOT USED</w:t>
      </w:r>
    </w:p>
    <w:p w14:paraId="44EAF64C"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19" w:name="_heading=h.1t3h5sf" w:colFirst="0" w:colLast="0"/>
      <w:bookmarkStart w:id="20" w:name="_Ref141087122"/>
      <w:bookmarkEnd w:id="19"/>
      <w:r w:rsidRPr="006C68D3">
        <w:rPr>
          <w:rFonts w:eastAsia="Calibri"/>
          <w:color w:val="000000"/>
          <w:szCs w:val="24"/>
        </w:rPr>
        <w:t>The Supplier shall (and shall procure that each Additional FDE Group Member shall):</w:t>
      </w:r>
      <w:bookmarkEnd w:id="20"/>
    </w:p>
    <w:p w14:paraId="04F7A232" w14:textId="21CC1EB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1" w:name="_heading=h.4d34og8" w:colFirst="0" w:colLast="0"/>
      <w:bookmarkStart w:id="22" w:name="_Ref141087182"/>
      <w:bookmarkEnd w:id="21"/>
      <w:r w:rsidRPr="006C68D3">
        <w:rPr>
          <w:rFonts w:eastAsia="Calibri"/>
          <w:color w:val="000000"/>
          <w:szCs w:val="24"/>
        </w:rPr>
        <w:t xml:space="preserve">at the request of the Buyer meet the Buyer as soon as reasonably practicable (and in any event within three (3) Working Days of the initial notification (or awareness) of the Financial Distress Event) to review the effect of the Financial Distress Event on the continued performance of </w:t>
      </w:r>
      <w:r w:rsidR="00BE660D">
        <w:rPr>
          <w:rFonts w:eastAsia="Calibri"/>
          <w:color w:val="000000"/>
          <w:szCs w:val="24"/>
        </w:rPr>
        <w:t>this Contract</w:t>
      </w:r>
      <w:r w:rsidRPr="006C68D3">
        <w:rPr>
          <w:rFonts w:eastAsia="Calibri"/>
          <w:color w:val="000000"/>
          <w:szCs w:val="24"/>
        </w:rPr>
        <w:t xml:space="preserve"> and delivery of the Deliverables in accordance </w:t>
      </w:r>
      <w:r w:rsidR="00BE660D">
        <w:rPr>
          <w:rFonts w:eastAsia="Calibri"/>
          <w:color w:val="000000"/>
          <w:szCs w:val="24"/>
        </w:rPr>
        <w:t>this Contract</w:t>
      </w:r>
      <w:r w:rsidRPr="006C68D3">
        <w:rPr>
          <w:rFonts w:eastAsia="Calibri"/>
          <w:color w:val="000000"/>
          <w:szCs w:val="24"/>
        </w:rPr>
        <w:t>; and</w:t>
      </w:r>
      <w:bookmarkEnd w:id="22"/>
    </w:p>
    <w:p w14:paraId="2B1610D0" w14:textId="0F2F26FC"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3" w:name="_heading=h.2s8eyo1" w:colFirst="0" w:colLast="0"/>
      <w:bookmarkEnd w:id="23"/>
      <w:r w:rsidRPr="006C68D3">
        <w:rPr>
          <w:rFonts w:eastAsia="Calibri"/>
          <w:color w:val="000000"/>
          <w:szCs w:val="24"/>
        </w:rPr>
        <w:t>where the Buyer reasonably believes (taking into account the discussions and any representations made under Paragraph </w:t>
      </w:r>
      <w:r w:rsidR="002238CF">
        <w:rPr>
          <w:rFonts w:eastAsia="Calibri"/>
          <w:color w:val="000000"/>
          <w:szCs w:val="24"/>
        </w:rPr>
        <w:fldChar w:fldCharType="begin"/>
      </w:r>
      <w:r w:rsidR="002238CF">
        <w:rPr>
          <w:rFonts w:eastAsia="Calibri"/>
          <w:color w:val="000000"/>
          <w:szCs w:val="24"/>
        </w:rPr>
        <w:instrText xml:space="preserve"> REF _Ref141087182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6.4.1</w:t>
      </w:r>
      <w:r w:rsidR="002238CF">
        <w:rPr>
          <w:rFonts w:eastAsia="Calibri"/>
          <w:color w:val="000000"/>
          <w:szCs w:val="24"/>
        </w:rPr>
        <w:fldChar w:fldCharType="end"/>
      </w:r>
      <w:r w:rsidRPr="006C68D3">
        <w:rPr>
          <w:rFonts w:eastAsia="Calibri"/>
          <w:color w:val="000000"/>
          <w:szCs w:val="24"/>
        </w:rPr>
        <w:t xml:space="preserve">) that the Financial Distress Event could impact on the continued performance of </w:t>
      </w:r>
      <w:r w:rsidR="00BE660D">
        <w:rPr>
          <w:rFonts w:eastAsia="Calibri"/>
          <w:color w:val="000000"/>
          <w:szCs w:val="24"/>
        </w:rPr>
        <w:t>this Contract</w:t>
      </w:r>
      <w:r w:rsidRPr="006C68D3">
        <w:rPr>
          <w:rFonts w:eastAsia="Calibri"/>
          <w:color w:val="000000"/>
          <w:szCs w:val="24"/>
        </w:rPr>
        <w:t xml:space="preserve"> and delivery of the Deliverables in accordance with </w:t>
      </w:r>
      <w:r w:rsidR="00BE660D">
        <w:rPr>
          <w:rFonts w:eastAsia="Calibri"/>
          <w:color w:val="000000"/>
          <w:szCs w:val="24"/>
        </w:rPr>
        <w:t>this Contract</w:t>
      </w:r>
      <w:r w:rsidRPr="006C68D3">
        <w:rPr>
          <w:rFonts w:eastAsia="Calibri"/>
          <w:color w:val="000000"/>
          <w:szCs w:val="24"/>
        </w:rPr>
        <w:t xml:space="preserve">: </w:t>
      </w:r>
    </w:p>
    <w:p w14:paraId="088FBB55" w14:textId="77777777" w:rsidR="00A731E1" w:rsidRPr="006C68D3" w:rsidRDefault="00043197" w:rsidP="002238CF">
      <w:pPr>
        <w:pStyle w:val="GPSL4numbered"/>
        <w:rPr>
          <w:rFonts w:eastAsia="Calibri"/>
        </w:rPr>
      </w:pPr>
      <w:r w:rsidRPr="006C68D3">
        <w:rPr>
          <w:rFonts w:eastAsia="Calibri"/>
        </w:rPr>
        <w:t xml:space="preserve">submit to the Buyer for its Approval, a draft Financial Distress Service Continuity Plan as soon as reasonably </w:t>
      </w:r>
      <w:r w:rsidRPr="006C68D3">
        <w:rPr>
          <w:rFonts w:eastAsia="Calibri"/>
        </w:rPr>
        <w:lastRenderedPageBreak/>
        <w:t xml:space="preserve">practicable (and in any event, within ten (10) Working Days of the initial notification (or awareness) of the Financial Distress Event); </w:t>
      </w:r>
    </w:p>
    <w:p w14:paraId="0D124F19" w14:textId="77777777" w:rsidR="00A731E1" w:rsidRPr="006C68D3" w:rsidRDefault="00043197">
      <w:pPr>
        <w:numPr>
          <w:ilvl w:val="3"/>
          <w:numId w:val="2"/>
        </w:numPr>
        <w:pBdr>
          <w:top w:val="nil"/>
          <w:left w:val="nil"/>
          <w:bottom w:val="nil"/>
          <w:right w:val="nil"/>
          <w:between w:val="nil"/>
        </w:pBdr>
        <w:ind w:hanging="849"/>
        <w:jc w:val="left"/>
        <w:rPr>
          <w:rFonts w:eastAsia="Calibri"/>
          <w:color w:val="000000"/>
          <w:szCs w:val="24"/>
        </w:rPr>
      </w:pPr>
      <w:r w:rsidRPr="006C68D3">
        <w:rPr>
          <w:rFonts w:eastAsia="Calibri"/>
          <w:color w:val="000000"/>
          <w:szCs w:val="24"/>
        </w:rPr>
        <w:t>use reasonable endeavours to put in place the necessary measures with each Additional FDE Group Member to ensure that it is able to provide financial information relating to that Additional FDE Group Member to the Buyer; and</w:t>
      </w:r>
    </w:p>
    <w:p w14:paraId="127133CC" w14:textId="77777777" w:rsidR="00A731E1" w:rsidRPr="006C68D3" w:rsidRDefault="00043197">
      <w:pPr>
        <w:numPr>
          <w:ilvl w:val="3"/>
          <w:numId w:val="2"/>
        </w:numPr>
        <w:pBdr>
          <w:top w:val="nil"/>
          <w:left w:val="nil"/>
          <w:bottom w:val="nil"/>
          <w:right w:val="nil"/>
          <w:between w:val="nil"/>
        </w:pBdr>
        <w:ind w:hanging="849"/>
        <w:jc w:val="left"/>
        <w:rPr>
          <w:rFonts w:eastAsia="Calibri"/>
          <w:color w:val="000000"/>
          <w:szCs w:val="24"/>
        </w:rPr>
      </w:pPr>
      <w:bookmarkStart w:id="24" w:name="_heading=h.17dp8vu" w:colFirst="0" w:colLast="0"/>
      <w:bookmarkStart w:id="25" w:name="_Ref141087374"/>
      <w:bookmarkEnd w:id="24"/>
      <w:r w:rsidRPr="006C68D3">
        <w:rPr>
          <w:rFonts w:eastAsia="Calibri"/>
          <w:color w:val="000000"/>
          <w:szCs w:val="24"/>
        </w:rPr>
        <w:t>provide such financial information relating to FDE Group entity as the Buyer may reasonably require.</w:t>
      </w:r>
      <w:bookmarkEnd w:id="25"/>
    </w:p>
    <w:p w14:paraId="1BDCD80D"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26" w:name="_heading=h.3rdcrjn" w:colFirst="0" w:colLast="0"/>
      <w:bookmarkStart w:id="27" w:name="_Ref141087221"/>
      <w:bookmarkEnd w:id="26"/>
      <w:r w:rsidRPr="006C68D3">
        <w:rPr>
          <w:rFonts w:eastAsia="Calibri"/>
          <w:color w:val="000000"/>
          <w:szCs w:val="24"/>
        </w:rPr>
        <w:t>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 This process shall be repeated until the Financial Distress Service Continuity Plan is either:</w:t>
      </w:r>
      <w:bookmarkEnd w:id="27"/>
    </w:p>
    <w:p w14:paraId="0259346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Approved; </w:t>
      </w:r>
    </w:p>
    <w:p w14:paraId="333B35EB"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8" w:name="_heading=h.1pxezwc" w:colFirst="0" w:colLast="0"/>
      <w:bookmarkStart w:id="29" w:name="_Ref141087280"/>
      <w:bookmarkEnd w:id="28"/>
      <w:r w:rsidRPr="006C68D3">
        <w:rPr>
          <w:rFonts w:eastAsia="Calibri"/>
          <w:color w:val="000000"/>
          <w:szCs w:val="24"/>
        </w:rPr>
        <w:t>referred, by notice sent by either Party to the other Party explaining why it thinks the Financial Distress Service Continuity Plan has not been Approved, to commercial negotiation led by senior representatives who have authority to agree the Financial Distress Service Continuity Plan (to be held within 28 days of the date of the notice); or</w:t>
      </w:r>
      <w:bookmarkEnd w:id="29"/>
      <w:r w:rsidRPr="006C68D3">
        <w:rPr>
          <w:rFonts w:eastAsia="Calibri"/>
          <w:color w:val="000000"/>
          <w:szCs w:val="24"/>
        </w:rPr>
        <w:t xml:space="preserve"> </w:t>
      </w:r>
    </w:p>
    <w:p w14:paraId="0190598F"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0" w:name="_heading=h.49x2ik5" w:colFirst="0" w:colLast="0"/>
      <w:bookmarkStart w:id="31" w:name="_Ref141087274"/>
      <w:bookmarkEnd w:id="30"/>
      <w:r w:rsidRPr="006C68D3">
        <w:rPr>
          <w:rFonts w:eastAsia="Calibri"/>
          <w:color w:val="000000"/>
          <w:szCs w:val="24"/>
        </w:rPr>
        <w:t>finally rejected by the Buyer.</w:t>
      </w:r>
      <w:bookmarkEnd w:id="31"/>
    </w:p>
    <w:p w14:paraId="19C87D9F"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32" w:name="_heading=h.lnxbz9" w:colFirst="0" w:colLast="0"/>
      <w:bookmarkStart w:id="33" w:name="_Ref141087127"/>
      <w:bookmarkEnd w:id="32"/>
      <w:r w:rsidRPr="006C68D3">
        <w:rPr>
          <w:rFonts w:eastAsia="Calibri"/>
          <w:color w:val="000000"/>
          <w:szCs w:val="24"/>
        </w:rPr>
        <w:t>Following Approval of the Financial Distress Service Continuity Plan by the Buyer, the Supplier shall:</w:t>
      </w:r>
      <w:bookmarkEnd w:id="33"/>
    </w:p>
    <w:p w14:paraId="3B87F8DB" w14:textId="0E6D90E0"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4" w:name="_heading=h.35nkun2" w:colFirst="0" w:colLast="0"/>
      <w:bookmarkStart w:id="35" w:name="_Ref141087211"/>
      <w:bookmarkEnd w:id="34"/>
      <w:r w:rsidRPr="006C68D3">
        <w:rPr>
          <w:rFonts w:eastAsia="Calibri"/>
          <w:color w:val="000000"/>
          <w:szCs w:val="24"/>
        </w:rPr>
        <w:t xml:space="preserve">on a regular basis (which shall not be less than Monthly), review the Financial Distress Service Continuity Plan and assess whether it remains adequate and up to date to ensure the continued performance </w:t>
      </w:r>
      <w:r w:rsidR="00BE660D">
        <w:rPr>
          <w:rFonts w:eastAsia="Calibri"/>
          <w:color w:val="000000"/>
          <w:szCs w:val="24"/>
        </w:rPr>
        <w:t>this Contract</w:t>
      </w:r>
      <w:r w:rsidRPr="006C68D3">
        <w:rPr>
          <w:rFonts w:eastAsia="Calibri"/>
          <w:color w:val="000000"/>
          <w:szCs w:val="24"/>
        </w:rPr>
        <w:t xml:space="preserve"> and delivery of the Deliverables in accordance with </w:t>
      </w:r>
      <w:r w:rsidR="00BE660D">
        <w:rPr>
          <w:rFonts w:eastAsia="Calibri"/>
          <w:color w:val="000000"/>
          <w:szCs w:val="24"/>
        </w:rPr>
        <w:t>this Contract</w:t>
      </w:r>
      <w:r w:rsidRPr="006C68D3">
        <w:rPr>
          <w:rFonts w:eastAsia="Calibri"/>
          <w:color w:val="000000"/>
          <w:szCs w:val="24"/>
        </w:rPr>
        <w:t>;</w:t>
      </w:r>
      <w:bookmarkEnd w:id="35"/>
    </w:p>
    <w:p w14:paraId="6A62C275" w14:textId="75B1BC4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provide a written report of the results of each review and assessment carried out under Paragraph </w:t>
      </w:r>
      <w:r w:rsidR="002238CF">
        <w:rPr>
          <w:rFonts w:eastAsia="Calibri"/>
          <w:color w:val="000000"/>
          <w:szCs w:val="24"/>
        </w:rPr>
        <w:fldChar w:fldCharType="begin"/>
      </w:r>
      <w:r w:rsidR="002238CF">
        <w:rPr>
          <w:rFonts w:eastAsia="Calibri"/>
          <w:color w:val="000000"/>
          <w:szCs w:val="24"/>
        </w:rPr>
        <w:instrText xml:space="preserve"> REF _Ref141087211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to the Buyer;</w:t>
      </w:r>
    </w:p>
    <w:p w14:paraId="69CB0361" w14:textId="55D0DE3D"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6" w:name="_heading=h.1ksv4uv" w:colFirst="0" w:colLast="0"/>
      <w:bookmarkEnd w:id="36"/>
      <w:r w:rsidRPr="006C68D3">
        <w:rPr>
          <w:rFonts w:eastAsia="Calibri"/>
          <w:color w:val="000000"/>
          <w:szCs w:val="24"/>
        </w:rPr>
        <w:t>where the Financial Distress Service Continuity Plan is not adequate or up to date in accordance with Paragraph </w:t>
      </w:r>
      <w:r w:rsidR="002238CF">
        <w:rPr>
          <w:rFonts w:eastAsia="Calibri"/>
          <w:color w:val="000000"/>
          <w:szCs w:val="24"/>
        </w:rPr>
        <w:fldChar w:fldCharType="begin"/>
      </w:r>
      <w:r w:rsidR="002238CF">
        <w:rPr>
          <w:rFonts w:eastAsia="Calibri"/>
          <w:color w:val="000000"/>
          <w:szCs w:val="24"/>
        </w:rPr>
        <w:instrText xml:space="preserve"> REF _Ref141087211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6.6.1</w:t>
      </w:r>
      <w:r w:rsidR="002238CF">
        <w:rPr>
          <w:rFonts w:eastAsia="Calibri"/>
          <w:color w:val="000000"/>
          <w:szCs w:val="24"/>
        </w:rPr>
        <w:fldChar w:fldCharType="end"/>
      </w:r>
      <w:r w:rsidRPr="006C68D3">
        <w:rPr>
          <w:rFonts w:eastAsia="Calibri"/>
          <w:color w:val="000000"/>
          <w:szCs w:val="24"/>
        </w:rPr>
        <w:t>, submit an updated Financial Distress Service Continuity Plan to the Buyer for its Approval, and the provisions of Paragraphs </w:t>
      </w:r>
      <w:r w:rsidR="002238CF">
        <w:rPr>
          <w:rFonts w:eastAsia="Calibri"/>
          <w:color w:val="000000"/>
          <w:szCs w:val="24"/>
        </w:rPr>
        <w:fldChar w:fldCharType="begin"/>
      </w:r>
      <w:r w:rsidR="002238CF">
        <w:rPr>
          <w:rFonts w:eastAsia="Calibri"/>
          <w:color w:val="000000"/>
          <w:szCs w:val="24"/>
        </w:rPr>
        <w:instrText xml:space="preserve"> REF _Ref141087221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w:t>
      </w:r>
      <w:r w:rsidR="002238CF">
        <w:rPr>
          <w:rFonts w:eastAsia="Calibri"/>
          <w:color w:val="000000"/>
          <w:szCs w:val="24"/>
        </w:rPr>
        <w:fldChar w:fldCharType="end"/>
      </w:r>
      <w:r w:rsidRPr="006C68D3">
        <w:rPr>
          <w:rFonts w:eastAsia="Calibri"/>
          <w:color w:val="000000"/>
          <w:szCs w:val="24"/>
        </w:rPr>
        <w:t xml:space="preserve"> shall apply to the review and Approval process for the updated Financial Distress Service Continuity Plan; and </w:t>
      </w:r>
    </w:p>
    <w:p w14:paraId="2C4D8A43"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7" w:name="_heading=h.44sinio" w:colFirst="0" w:colLast="0"/>
      <w:bookmarkStart w:id="38" w:name="_Ref141087302"/>
      <w:bookmarkEnd w:id="37"/>
      <w:r w:rsidRPr="006C68D3">
        <w:rPr>
          <w:rFonts w:eastAsia="Calibri"/>
          <w:color w:val="000000"/>
          <w:szCs w:val="24"/>
        </w:rPr>
        <w:t>comply with the Financial Distress Service Continuity Plan (including any updated Financial Distress Service Continuity Plan).</w:t>
      </w:r>
      <w:bookmarkEnd w:id="38"/>
    </w:p>
    <w:p w14:paraId="35BE0701" w14:textId="6B635406" w:rsidR="00A731E1" w:rsidRPr="006C68D3" w:rsidRDefault="00043197" w:rsidP="002238CF">
      <w:pPr>
        <w:keepNext/>
        <w:keepLines/>
        <w:numPr>
          <w:ilvl w:val="1"/>
          <w:numId w:val="2"/>
        </w:numPr>
        <w:pBdr>
          <w:top w:val="nil"/>
          <w:left w:val="nil"/>
          <w:bottom w:val="nil"/>
          <w:right w:val="nil"/>
          <w:between w:val="nil"/>
        </w:pBdr>
        <w:spacing w:before="120" w:after="120"/>
        <w:ind w:left="901" w:hanging="544"/>
        <w:jc w:val="left"/>
        <w:rPr>
          <w:rFonts w:eastAsia="Calibri"/>
          <w:color w:val="000000"/>
          <w:szCs w:val="24"/>
        </w:rPr>
      </w:pPr>
      <w:bookmarkStart w:id="39" w:name="_heading=h.2jxsxqh" w:colFirst="0" w:colLast="0"/>
      <w:bookmarkEnd w:id="39"/>
      <w:r w:rsidRPr="006C68D3">
        <w:rPr>
          <w:rFonts w:eastAsia="Calibri"/>
          <w:color w:val="000000"/>
          <w:szCs w:val="24"/>
        </w:rPr>
        <w:lastRenderedPageBreak/>
        <w:t>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 xml:space="preserve">. </w:t>
      </w:r>
    </w:p>
    <w:p w14:paraId="561F82F6"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40" w:name="_heading=h.2p2csry" w:colFirst="0" w:colLast="0"/>
      <w:bookmarkEnd w:id="40"/>
      <w:r w:rsidRPr="006C68D3">
        <w:rPr>
          <w:rFonts w:eastAsia="Calibri"/>
          <w:b/>
          <w:color w:val="000000"/>
          <w:szCs w:val="24"/>
        </w:rPr>
        <w:t xml:space="preserve">When the Buyer can terminate for financial distress </w:t>
      </w:r>
    </w:p>
    <w:p w14:paraId="11EFE9CB" w14:textId="3E458C4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1" w:name="_heading=h.z337ya" w:colFirst="0" w:colLast="0"/>
      <w:bookmarkEnd w:id="41"/>
      <w:r w:rsidRPr="006C68D3">
        <w:rPr>
          <w:rFonts w:eastAsia="Calibri"/>
          <w:color w:val="000000"/>
          <w:szCs w:val="24"/>
        </w:rPr>
        <w:t xml:space="preserve">The Buyer shall be entitled to terminate this Contract for </w:t>
      </w:r>
      <w:sdt>
        <w:sdtPr>
          <w:rPr>
            <w:szCs w:val="24"/>
          </w:rPr>
          <w:tag w:val="goog_rdk_6"/>
          <w:id w:val="1883447153"/>
        </w:sdtPr>
        <w:sdtEndPr/>
        <w:sdtContent>
          <w:r w:rsidRPr="006C68D3">
            <w:rPr>
              <w:rFonts w:eastAsia="Calibri"/>
              <w:color w:val="000000"/>
              <w:szCs w:val="24"/>
            </w:rPr>
            <w:t>M</w:t>
          </w:r>
        </w:sdtContent>
      </w:sdt>
      <w:r w:rsidRPr="006C68D3">
        <w:rPr>
          <w:rFonts w:eastAsia="Calibri"/>
          <w:color w:val="000000"/>
          <w:szCs w:val="24"/>
        </w:rPr>
        <w:t xml:space="preserve">aterial Default if: </w:t>
      </w:r>
    </w:p>
    <w:p w14:paraId="3BE8BCBB" w14:textId="50CBA93E"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the Supplier fails to notify the Buyer of a Financial Distress Event in accordance with Paragraph </w:t>
      </w:r>
      <w:r w:rsidR="002238CF">
        <w:rPr>
          <w:rFonts w:eastAsia="Calibri"/>
          <w:color w:val="000000"/>
          <w:szCs w:val="24"/>
        </w:rPr>
        <w:fldChar w:fldCharType="begin"/>
      </w:r>
      <w:r w:rsidR="002238CF">
        <w:rPr>
          <w:rFonts w:eastAsia="Calibri"/>
          <w:color w:val="000000"/>
          <w:szCs w:val="24"/>
        </w:rPr>
        <w:instrText xml:space="preserve"> REF _Ref141087254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6.1</w:t>
      </w:r>
      <w:r w:rsidR="002238CF">
        <w:rPr>
          <w:rFonts w:eastAsia="Calibri"/>
          <w:color w:val="000000"/>
          <w:szCs w:val="24"/>
        </w:rPr>
        <w:fldChar w:fldCharType="end"/>
      </w:r>
      <w:r w:rsidRPr="006C68D3">
        <w:rPr>
          <w:rFonts w:eastAsia="Calibri"/>
          <w:color w:val="000000"/>
          <w:szCs w:val="24"/>
        </w:rPr>
        <w:t xml:space="preserve">; </w:t>
      </w:r>
    </w:p>
    <w:p w14:paraId="6A9D1D4F" w14:textId="1F3B9A2C"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Supplier fails to comply with any part of Paragraph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Pr="006C68D3">
        <w:rPr>
          <w:rFonts w:eastAsia="Calibri"/>
          <w:color w:val="000000"/>
          <w:szCs w:val="24"/>
        </w:rPr>
        <w:t>;</w:t>
      </w:r>
    </w:p>
    <w:p w14:paraId="287A5590" w14:textId="33CB601F"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bookmarkStart w:id="42" w:name="_heading=h.147n2zr" w:colFirst="0" w:colLast="0"/>
      <w:bookmarkStart w:id="43" w:name="_Ref141087328"/>
      <w:bookmarkEnd w:id="42"/>
      <w:r w:rsidRPr="006C68D3">
        <w:rPr>
          <w:rFonts w:eastAsia="Calibri"/>
          <w:color w:val="000000"/>
          <w:szCs w:val="24"/>
        </w:rPr>
        <w:t xml:space="preserve">subject to Paragraph </w:t>
      </w:r>
      <w:r w:rsidR="002238CF">
        <w:rPr>
          <w:rFonts w:eastAsia="Calibri"/>
          <w:color w:val="000000"/>
          <w:szCs w:val="24"/>
        </w:rPr>
        <w:fldChar w:fldCharType="begin"/>
      </w:r>
      <w:r w:rsidR="002238CF">
        <w:rPr>
          <w:rFonts w:eastAsia="Calibri"/>
          <w:color w:val="000000"/>
          <w:szCs w:val="24"/>
        </w:rPr>
        <w:instrText xml:space="preserve"> REF _Ref141087270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7.2</w:t>
      </w:r>
      <w:r w:rsidR="002238CF">
        <w:rPr>
          <w:rFonts w:eastAsia="Calibri"/>
          <w:color w:val="000000"/>
          <w:szCs w:val="24"/>
        </w:rPr>
        <w:fldChar w:fldCharType="end"/>
      </w:r>
      <w:r w:rsidRPr="006C68D3">
        <w:rPr>
          <w:rFonts w:eastAsia="Calibri"/>
          <w:color w:val="000000"/>
          <w:szCs w:val="24"/>
        </w:rPr>
        <w:t>, the Buyer finally rejects a Financial Distress Service Continuity Plan (or any updated Financial Distress Service Continuity Plan) in accordance with Paragraph </w:t>
      </w:r>
      <w:r w:rsidR="002238CF">
        <w:rPr>
          <w:rFonts w:eastAsia="Calibri"/>
          <w:color w:val="000000"/>
          <w:szCs w:val="24"/>
        </w:rPr>
        <w:fldChar w:fldCharType="begin"/>
      </w:r>
      <w:r w:rsidR="002238CF">
        <w:rPr>
          <w:rFonts w:eastAsia="Calibri"/>
          <w:color w:val="000000"/>
          <w:szCs w:val="24"/>
        </w:rPr>
        <w:instrText xml:space="preserve"> REF _Ref141087274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6.5.3</w:t>
      </w:r>
      <w:r w:rsidR="002238CF">
        <w:rPr>
          <w:rFonts w:eastAsia="Calibri"/>
          <w:color w:val="000000"/>
          <w:szCs w:val="24"/>
        </w:rPr>
        <w:fldChar w:fldCharType="end"/>
      </w:r>
      <w:r w:rsidRPr="006C68D3">
        <w:rPr>
          <w:rFonts w:eastAsia="Calibri"/>
          <w:color w:val="000000"/>
          <w:szCs w:val="24"/>
        </w:rPr>
        <w:t>;</w:t>
      </w:r>
      <w:bookmarkEnd w:id="43"/>
      <w:r w:rsidRPr="006C68D3">
        <w:rPr>
          <w:rFonts w:eastAsia="Calibri"/>
          <w:color w:val="000000"/>
          <w:szCs w:val="24"/>
        </w:rPr>
        <w:t xml:space="preserve"> </w:t>
      </w:r>
    </w:p>
    <w:p w14:paraId="7831446F" w14:textId="7927C1E0"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senior representatives who have authority to agree the Financial Distress Service Continuity Plan (acting reasonably) do not meet within 28 days of the date of the notice of referral pursuant to Paragraph </w:t>
      </w:r>
      <w:r w:rsidR="002238CF">
        <w:rPr>
          <w:rFonts w:eastAsia="Calibri"/>
          <w:color w:val="000000"/>
          <w:szCs w:val="24"/>
        </w:rPr>
        <w:fldChar w:fldCharType="begin"/>
      </w:r>
      <w:r w:rsidR="002238CF">
        <w:rPr>
          <w:rFonts w:eastAsia="Calibri"/>
          <w:color w:val="000000"/>
          <w:szCs w:val="24"/>
        </w:rPr>
        <w:instrText xml:space="preserve"> REF _Ref141087280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6.5.2</w:t>
      </w:r>
      <w:r w:rsidR="002238CF">
        <w:rPr>
          <w:rFonts w:eastAsia="Calibri"/>
          <w:color w:val="000000"/>
          <w:szCs w:val="24"/>
        </w:rPr>
        <w:fldChar w:fldCharType="end"/>
      </w:r>
      <w:r w:rsidRPr="006C68D3">
        <w:rPr>
          <w:rFonts w:eastAsia="Calibri"/>
          <w:color w:val="000000"/>
          <w:szCs w:val="24"/>
        </w:rPr>
        <w:t>;</w:t>
      </w:r>
    </w:p>
    <w:p w14:paraId="151B4F56" w14:textId="5A059B04"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senior representatives who have authority to agree the Financial Distress Service Continuity Plan (acting reasonably) do not agree the Financial Distress Service Continuity Plan after it has been referred pursuant to Paragraph </w:t>
      </w:r>
      <w:r w:rsidR="002238CF">
        <w:rPr>
          <w:rFonts w:eastAsia="Calibri"/>
          <w:color w:val="000000"/>
          <w:szCs w:val="24"/>
        </w:rPr>
        <w:fldChar w:fldCharType="begin"/>
      </w:r>
      <w:r w:rsidR="002238CF">
        <w:rPr>
          <w:rFonts w:eastAsia="Calibri"/>
          <w:color w:val="000000"/>
          <w:szCs w:val="24"/>
        </w:rPr>
        <w:instrText xml:space="preserve"> REF _Ref141087280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6.5.2</w:t>
      </w:r>
      <w:r w:rsidR="002238CF">
        <w:rPr>
          <w:rFonts w:eastAsia="Calibri"/>
          <w:color w:val="000000"/>
          <w:szCs w:val="24"/>
        </w:rPr>
        <w:fldChar w:fldCharType="end"/>
      </w:r>
      <w:r w:rsidRPr="006C68D3">
        <w:rPr>
          <w:rFonts w:eastAsia="Calibri"/>
          <w:color w:val="000000"/>
          <w:szCs w:val="24"/>
        </w:rPr>
        <w:t>; and/or</w:t>
      </w:r>
    </w:p>
    <w:p w14:paraId="53BF5734" w14:textId="66BCD394"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the Supplier fails to comply with the terms of the Financial Distress Service Continuity Plan (or any updated Financial Distress Service Continuity Plan) in accordance with Paragraph </w:t>
      </w:r>
      <w:r w:rsidR="002238CF">
        <w:rPr>
          <w:rFonts w:eastAsia="Calibri"/>
          <w:color w:val="000000"/>
          <w:szCs w:val="24"/>
        </w:rPr>
        <w:fldChar w:fldCharType="begin"/>
      </w:r>
      <w:r w:rsidR="002238CF">
        <w:rPr>
          <w:rFonts w:eastAsia="Calibri"/>
          <w:color w:val="000000"/>
          <w:szCs w:val="24"/>
        </w:rPr>
        <w:instrText xml:space="preserve"> REF _Ref141087302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6.6.4</w:t>
      </w:r>
      <w:r w:rsidR="002238CF">
        <w:rPr>
          <w:rFonts w:eastAsia="Calibri"/>
          <w:color w:val="000000"/>
          <w:szCs w:val="24"/>
        </w:rPr>
        <w:fldChar w:fldCharType="end"/>
      </w:r>
      <w:r w:rsidRPr="006C68D3">
        <w:rPr>
          <w:rFonts w:eastAsia="Calibri"/>
          <w:color w:val="000000"/>
          <w:szCs w:val="24"/>
        </w:rPr>
        <w:t>,</w:t>
      </w:r>
    </w:p>
    <w:p w14:paraId="6E81523C" w14:textId="799A6A67" w:rsidR="00A731E1" w:rsidRPr="006C68D3" w:rsidRDefault="00043197" w:rsidP="006C68D3">
      <w:pPr>
        <w:pBdr>
          <w:top w:val="nil"/>
          <w:left w:val="nil"/>
          <w:bottom w:val="nil"/>
          <w:right w:val="nil"/>
          <w:between w:val="nil"/>
        </w:pBdr>
        <w:ind w:left="187" w:firstLine="720"/>
        <w:jc w:val="left"/>
        <w:rPr>
          <w:rFonts w:eastAsia="Calibri"/>
          <w:color w:val="000000"/>
          <w:szCs w:val="24"/>
        </w:rPr>
      </w:pPr>
      <w:r w:rsidRPr="006C68D3">
        <w:rPr>
          <w:rFonts w:eastAsia="Calibri"/>
          <w:color w:val="000000"/>
          <w:szCs w:val="24"/>
        </w:rPr>
        <w:t>and the consequences of termination in Clause 14.5.1 shall apply.</w:t>
      </w:r>
    </w:p>
    <w:p w14:paraId="723CBAA9" w14:textId="2A74508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4" w:name="_heading=h.3o7alnk" w:colFirst="0" w:colLast="0"/>
      <w:bookmarkStart w:id="45" w:name="_Ref141087270"/>
      <w:bookmarkEnd w:id="44"/>
      <w:r w:rsidRPr="006C68D3">
        <w:rPr>
          <w:rFonts w:eastAsia="Calibri"/>
          <w:color w:val="000000"/>
          <w:szCs w:val="24"/>
        </w:rPr>
        <w:t xml:space="preserve">A </w:t>
      </w:r>
      <w:sdt>
        <w:sdtPr>
          <w:rPr>
            <w:szCs w:val="24"/>
          </w:rPr>
          <w:tag w:val="goog_rdk_13"/>
          <w:id w:val="1586336886"/>
        </w:sdtPr>
        <w:sdtEndPr/>
        <w:sdtContent>
          <w:r w:rsidRPr="006C68D3">
            <w:rPr>
              <w:rFonts w:eastAsia="Calibri"/>
              <w:color w:val="000000"/>
              <w:szCs w:val="24"/>
            </w:rPr>
            <w:t>M</w:t>
          </w:r>
        </w:sdtContent>
      </w:sdt>
      <w:r w:rsidRPr="006C68D3">
        <w:rPr>
          <w:rFonts w:eastAsia="Calibri"/>
          <w:color w:val="000000"/>
          <w:szCs w:val="24"/>
        </w:rPr>
        <w:t xml:space="preserve">aterial Default may only occur under Paragraph </w:t>
      </w:r>
      <w:r w:rsidR="002238CF">
        <w:rPr>
          <w:rFonts w:eastAsia="Calibri"/>
          <w:color w:val="000000"/>
          <w:szCs w:val="24"/>
        </w:rPr>
        <w:fldChar w:fldCharType="begin"/>
      </w:r>
      <w:r w:rsidR="002238CF">
        <w:rPr>
          <w:rFonts w:eastAsia="Calibri"/>
          <w:color w:val="000000"/>
          <w:szCs w:val="24"/>
        </w:rPr>
        <w:instrText xml:space="preserve"> REF _Ref141087328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7.1.3</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after the expiry of the first five (5) Working Days period for the Supplier to submit a revised draft of the first draft of the Financial Distress Service Continuity Plan starting on and from the date on which the Buyer first notified the Supplier that Supplier must submit a revised draft of the first draft Financial Distress Service Continuity Plan.</w:t>
      </w:r>
      <w:bookmarkEnd w:id="45"/>
    </w:p>
    <w:p w14:paraId="1ED1D0C5"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46" w:name="_heading=h.3j2qqm3" w:colFirst="0" w:colLast="0"/>
      <w:bookmarkStart w:id="47" w:name="_Ref141086670"/>
      <w:bookmarkEnd w:id="46"/>
      <w:r w:rsidRPr="006C68D3">
        <w:rPr>
          <w:rFonts w:eastAsia="Calibri"/>
          <w:b/>
          <w:color w:val="000000"/>
          <w:szCs w:val="24"/>
        </w:rPr>
        <w:t>What happens If your Primary Metric is still good</w:t>
      </w:r>
      <w:bookmarkEnd w:id="47"/>
    </w:p>
    <w:p w14:paraId="7242D447" w14:textId="2B1BC8A6" w:rsidR="00A731E1" w:rsidRPr="006C68D3" w:rsidRDefault="00043197" w:rsidP="002238CF">
      <w:pPr>
        <w:keepNext/>
        <w:pBdr>
          <w:top w:val="nil"/>
          <w:left w:val="nil"/>
          <w:bottom w:val="nil"/>
          <w:right w:val="nil"/>
          <w:between w:val="nil"/>
        </w:pBdr>
        <w:spacing w:before="120" w:after="120"/>
        <w:ind w:left="426"/>
        <w:jc w:val="left"/>
        <w:rPr>
          <w:rFonts w:eastAsia="Calibri"/>
          <w:color w:val="000000"/>
          <w:szCs w:val="24"/>
        </w:rPr>
      </w:pPr>
      <w:r w:rsidRPr="006C68D3">
        <w:rPr>
          <w:rFonts w:eastAsia="Calibri"/>
          <w:color w:val="000000"/>
          <w:szCs w:val="24"/>
        </w:rPr>
        <w:t>Without prejudice to the Supplier’s obligations and the Buyer’s rights and remedies under Paragraph ‎</w:t>
      </w:r>
      <w:r w:rsidR="002238CF">
        <w:rPr>
          <w:rFonts w:eastAsia="Calibri"/>
          <w:color w:val="000000"/>
          <w:szCs w:val="24"/>
        </w:rPr>
        <w:fldChar w:fldCharType="begin"/>
      </w:r>
      <w:r w:rsidR="002238CF">
        <w:rPr>
          <w:rFonts w:eastAsia="Calibri"/>
          <w:color w:val="000000"/>
          <w:szCs w:val="24"/>
        </w:rPr>
        <w:instrText xml:space="preserve"> REF _Ref141087349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w:t>
      </w:r>
      <w:r w:rsidR="002238CF">
        <w:rPr>
          <w:rFonts w:eastAsia="Calibri"/>
          <w:color w:val="000000"/>
          <w:szCs w:val="24"/>
        </w:rPr>
        <w:fldChar w:fldCharType="end"/>
      </w:r>
      <w:r w:rsidRPr="006C68D3">
        <w:rPr>
          <w:rFonts w:eastAsia="Calibri"/>
          <w:color w:val="000000"/>
          <w:szCs w:val="24"/>
        </w:rPr>
        <w:t>, if, following the occurrence of a Financial Distress Event, the Supplier evidences to the Buyer’s satisfaction that the Primary Metric shows that the Financial Distress Event no longer exists, then:</w:t>
      </w:r>
    </w:p>
    <w:p w14:paraId="08D6A946" w14:textId="52963E15"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 be relieved automatically of its obligations under Paragraphs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to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 and</w:t>
      </w:r>
    </w:p>
    <w:p w14:paraId="2E28911D" w14:textId="56D57A99"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Buyer shall not be entitled to require the Supplier to provide financial information in accordance with Paragraph </w:t>
      </w:r>
      <w:r w:rsidR="002238CF">
        <w:rPr>
          <w:rFonts w:eastAsia="Calibri"/>
          <w:color w:val="000000"/>
          <w:szCs w:val="24"/>
        </w:rPr>
        <w:fldChar w:fldCharType="begin"/>
      </w:r>
      <w:r w:rsidR="002238CF">
        <w:rPr>
          <w:rFonts w:eastAsia="Calibri"/>
          <w:color w:val="000000"/>
          <w:szCs w:val="24"/>
        </w:rPr>
        <w:instrText xml:space="preserve"> REF _Ref141087374 \w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6.4.2(c)</w:t>
      </w:r>
      <w:r w:rsidR="002238CF">
        <w:rPr>
          <w:rFonts w:eastAsia="Calibri"/>
          <w:color w:val="000000"/>
          <w:szCs w:val="24"/>
        </w:rPr>
        <w:fldChar w:fldCharType="end"/>
      </w:r>
      <w:r w:rsidRPr="006C68D3">
        <w:rPr>
          <w:rFonts w:eastAsia="Calibri"/>
          <w:color w:val="000000"/>
          <w:szCs w:val="24"/>
        </w:rPr>
        <w:t xml:space="preserve">). </w:t>
      </w:r>
    </w:p>
    <w:p w14:paraId="6553BF3A" w14:textId="77777777" w:rsidR="00A731E1" w:rsidRPr="006C68D3" w:rsidRDefault="00A731E1">
      <w:pPr>
        <w:pBdr>
          <w:top w:val="nil"/>
          <w:left w:val="nil"/>
          <w:bottom w:val="nil"/>
          <w:right w:val="nil"/>
          <w:between w:val="nil"/>
        </w:pBdr>
        <w:spacing w:after="0"/>
        <w:jc w:val="left"/>
        <w:rPr>
          <w:rFonts w:eastAsia="Arial"/>
          <w:color w:val="FFFFFF"/>
          <w:szCs w:val="24"/>
        </w:rPr>
      </w:pPr>
    </w:p>
    <w:p w14:paraId="58DC0F07" w14:textId="77777777" w:rsidR="00A731E1" w:rsidRPr="006C68D3" w:rsidRDefault="00043197">
      <w:pPr>
        <w:keepNext/>
        <w:pBdr>
          <w:top w:val="nil"/>
          <w:left w:val="nil"/>
          <w:bottom w:val="nil"/>
          <w:right w:val="nil"/>
          <w:between w:val="nil"/>
        </w:pBdr>
        <w:ind w:firstLine="426"/>
        <w:jc w:val="left"/>
        <w:rPr>
          <w:rFonts w:eastAsia="Arial"/>
          <w:b/>
          <w:smallCaps/>
          <w:color w:val="000000"/>
          <w:szCs w:val="24"/>
        </w:rPr>
      </w:pPr>
      <w:bookmarkStart w:id="48" w:name="_heading=h.1y810tw" w:colFirst="0" w:colLast="0"/>
      <w:bookmarkEnd w:id="48"/>
      <w:r w:rsidRPr="006C68D3">
        <w:rPr>
          <w:szCs w:val="24"/>
        </w:rPr>
        <w:br w:type="page"/>
      </w:r>
    </w:p>
    <w:p w14:paraId="0D395C28" w14:textId="77777777" w:rsidR="00A731E1" w:rsidRPr="006C68D3" w:rsidRDefault="00043197">
      <w:pPr>
        <w:spacing w:after="200" w:line="276" w:lineRule="auto"/>
        <w:jc w:val="left"/>
        <w:rPr>
          <w:rFonts w:eastAsia="Arial"/>
          <w:b/>
          <w:smallCaps/>
          <w:color w:val="000000"/>
          <w:szCs w:val="24"/>
        </w:rPr>
      </w:pPr>
      <w:bookmarkStart w:id="49" w:name="_heading=h.4i7ojhp" w:colFirst="0" w:colLast="0"/>
      <w:bookmarkEnd w:id="49"/>
      <w:r w:rsidRPr="006C68D3">
        <w:rPr>
          <w:rFonts w:eastAsia="Arial"/>
          <w:b/>
          <w:smallCaps/>
          <w:color w:val="000000"/>
          <w:szCs w:val="24"/>
        </w:rPr>
        <w:lastRenderedPageBreak/>
        <w:t xml:space="preserve">ANNEX </w:t>
      </w:r>
      <w:bookmarkStart w:id="50" w:name="Ann_1"/>
      <w:r w:rsidRPr="006C68D3">
        <w:rPr>
          <w:rFonts w:eastAsia="Arial"/>
          <w:b/>
          <w:smallCaps/>
          <w:color w:val="000000"/>
          <w:szCs w:val="24"/>
        </w:rPr>
        <w:t>1</w:t>
      </w:r>
      <w:bookmarkEnd w:id="50"/>
      <w:r w:rsidRPr="006C68D3">
        <w:rPr>
          <w:rFonts w:eastAsia="Arial"/>
          <w:b/>
          <w:smallCaps/>
          <w:color w:val="000000"/>
          <w:szCs w:val="24"/>
        </w:rPr>
        <w:t xml:space="preserve">: RATING </w:t>
      </w:r>
      <w:r w:rsidRPr="006C68D3">
        <w:rPr>
          <w:rFonts w:eastAsia="Arial"/>
          <w:b/>
          <w:color w:val="000000"/>
          <w:szCs w:val="24"/>
        </w:rPr>
        <w:t>AGENCIES AND CREDIT REFERENCE AGENCIES</w:t>
      </w:r>
    </w:p>
    <w:p w14:paraId="6C91317C" w14:textId="77777777" w:rsidR="00A731E1" w:rsidRPr="00255E03" w:rsidRDefault="00043197">
      <w:pPr>
        <w:keepNext/>
        <w:pBdr>
          <w:top w:val="nil"/>
          <w:left w:val="nil"/>
          <w:bottom w:val="nil"/>
          <w:right w:val="nil"/>
          <w:between w:val="nil"/>
        </w:pBdr>
        <w:spacing w:before="240" w:after="120"/>
        <w:jc w:val="left"/>
        <w:rPr>
          <w:rFonts w:eastAsia="Arial"/>
          <w:b/>
          <w:color w:val="000000"/>
          <w:szCs w:val="24"/>
        </w:rPr>
      </w:pPr>
      <w:r w:rsidRPr="00255E03">
        <w:rPr>
          <w:rFonts w:eastAsia="Arial"/>
          <w:b/>
          <w:color w:val="000000"/>
          <w:szCs w:val="24"/>
        </w:rPr>
        <w:t xml:space="preserve">Part </w:t>
      </w:r>
      <w:bookmarkStart w:id="51" w:name="Ann1_Part_A"/>
      <w:r w:rsidRPr="00255E03">
        <w:rPr>
          <w:rFonts w:eastAsia="Arial"/>
          <w:b/>
          <w:color w:val="000000"/>
          <w:szCs w:val="24"/>
        </w:rPr>
        <w:t>A</w:t>
      </w:r>
      <w:bookmarkEnd w:id="51"/>
      <w:r w:rsidRPr="00255E03">
        <w:rPr>
          <w:rFonts w:eastAsia="Arial"/>
          <w:b/>
          <w:color w:val="000000"/>
          <w:szCs w:val="24"/>
        </w:rPr>
        <w:t>: Rating Agencies</w:t>
      </w:r>
    </w:p>
    <w:p w14:paraId="192462C7" w14:textId="77777777" w:rsidR="00A731E1" w:rsidRPr="00255E03" w:rsidRDefault="00043197">
      <w:pPr>
        <w:keepNext/>
        <w:pBdr>
          <w:top w:val="nil"/>
          <w:left w:val="nil"/>
          <w:bottom w:val="nil"/>
          <w:right w:val="nil"/>
          <w:between w:val="nil"/>
        </w:pBdr>
        <w:spacing w:before="240" w:after="120"/>
        <w:jc w:val="left"/>
        <w:rPr>
          <w:rFonts w:eastAsia="Arial"/>
          <w:color w:val="000000"/>
          <w:szCs w:val="24"/>
        </w:rPr>
      </w:pPr>
      <w:r w:rsidRPr="00255E03">
        <w:rPr>
          <w:rFonts w:eastAsia="Arial"/>
          <w:color w:val="000000"/>
          <w:szCs w:val="24"/>
        </w:rPr>
        <w:t>[Rating Agency 1]</w:t>
      </w:r>
    </w:p>
    <w:p w14:paraId="23EE222B" w14:textId="77777777" w:rsidR="00A731E1" w:rsidRPr="006C68D3" w:rsidRDefault="00043197">
      <w:pPr>
        <w:keepNext/>
        <w:pBdr>
          <w:top w:val="nil"/>
          <w:left w:val="nil"/>
          <w:bottom w:val="nil"/>
          <w:right w:val="nil"/>
          <w:between w:val="nil"/>
        </w:pBdr>
        <w:spacing w:before="240" w:after="120"/>
        <w:jc w:val="left"/>
        <w:rPr>
          <w:rFonts w:eastAsia="Arial"/>
          <w:color w:val="000000"/>
          <w:szCs w:val="24"/>
        </w:rPr>
      </w:pPr>
      <w:r w:rsidRPr="00255E03">
        <w:rPr>
          <w:rFonts w:eastAsia="Arial"/>
          <w:color w:val="000000"/>
          <w:szCs w:val="24"/>
        </w:rPr>
        <w:t>[Rating Agency 2]</w:t>
      </w:r>
    </w:p>
    <w:p w14:paraId="6BBF78D6" w14:textId="77777777" w:rsidR="00A731E1" w:rsidRPr="006C68D3" w:rsidRDefault="00A731E1">
      <w:pPr>
        <w:keepNext/>
        <w:pBdr>
          <w:top w:val="nil"/>
          <w:left w:val="nil"/>
          <w:bottom w:val="nil"/>
          <w:right w:val="nil"/>
          <w:between w:val="nil"/>
        </w:pBdr>
        <w:spacing w:before="240" w:after="120"/>
        <w:jc w:val="left"/>
        <w:rPr>
          <w:rFonts w:eastAsia="Arial"/>
          <w:color w:val="000000"/>
          <w:szCs w:val="24"/>
        </w:rPr>
      </w:pPr>
    </w:p>
    <w:p w14:paraId="2B8BA394" w14:textId="77777777" w:rsidR="00A731E1" w:rsidRPr="006C68D3" w:rsidRDefault="00043197">
      <w:pPr>
        <w:spacing w:after="200" w:line="276" w:lineRule="auto"/>
        <w:jc w:val="left"/>
        <w:rPr>
          <w:rFonts w:eastAsia="Arial"/>
          <w:b/>
          <w:smallCaps/>
          <w:color w:val="000000"/>
          <w:szCs w:val="24"/>
        </w:rPr>
      </w:pPr>
      <w:bookmarkStart w:id="52" w:name="_heading=h.2xcytpi" w:colFirst="0" w:colLast="0"/>
      <w:bookmarkEnd w:id="52"/>
      <w:r w:rsidRPr="006C68D3">
        <w:rPr>
          <w:szCs w:val="24"/>
        </w:rPr>
        <w:br w:type="page"/>
      </w:r>
      <w:r w:rsidRPr="006C68D3">
        <w:rPr>
          <w:rFonts w:eastAsia="Arial"/>
          <w:b/>
          <w:smallCaps/>
          <w:color w:val="000000"/>
          <w:szCs w:val="24"/>
        </w:rPr>
        <w:lastRenderedPageBreak/>
        <w:t xml:space="preserve">ANNEX </w:t>
      </w:r>
      <w:bookmarkStart w:id="53" w:name="Ann_2"/>
      <w:r w:rsidRPr="006C68D3">
        <w:rPr>
          <w:rFonts w:eastAsia="Arial"/>
          <w:b/>
          <w:smallCaps/>
          <w:color w:val="000000"/>
          <w:szCs w:val="24"/>
        </w:rPr>
        <w:t>2</w:t>
      </w:r>
      <w:bookmarkEnd w:id="53"/>
      <w:r w:rsidRPr="006C68D3">
        <w:rPr>
          <w:rFonts w:eastAsia="Arial"/>
          <w:b/>
          <w:smallCaps/>
          <w:color w:val="000000"/>
          <w:szCs w:val="24"/>
        </w:rPr>
        <w:t>: CREDIT RATINGS, CREDIT SCORES AND FINANCIAL INDICATORS</w:t>
      </w:r>
    </w:p>
    <w:p w14:paraId="270F25BB" w14:textId="77777777" w:rsidR="00A731E1" w:rsidRPr="006C68D3" w:rsidRDefault="00043197">
      <w:pPr>
        <w:spacing w:after="200" w:line="276" w:lineRule="auto"/>
        <w:jc w:val="left"/>
        <w:rPr>
          <w:rFonts w:eastAsia="Arial"/>
          <w:b/>
          <w:color w:val="000000"/>
          <w:szCs w:val="24"/>
        </w:rPr>
      </w:pPr>
      <w:r w:rsidRPr="006C68D3">
        <w:rPr>
          <w:rFonts w:eastAsia="Arial"/>
          <w:b/>
          <w:color w:val="000000"/>
          <w:szCs w:val="24"/>
        </w:rPr>
        <w:t xml:space="preserve">Part </w:t>
      </w:r>
      <w:bookmarkStart w:id="54" w:name="Ann2_Part_A"/>
      <w:r w:rsidRPr="006C68D3">
        <w:rPr>
          <w:rFonts w:eastAsia="Arial"/>
          <w:b/>
          <w:color w:val="000000"/>
          <w:szCs w:val="24"/>
        </w:rPr>
        <w:t>A</w:t>
      </w:r>
      <w:bookmarkEnd w:id="54"/>
      <w:r w:rsidRPr="006C68D3">
        <w:rPr>
          <w:rFonts w:eastAsia="Arial"/>
          <w:b/>
          <w:color w:val="000000"/>
          <w:szCs w:val="24"/>
        </w:rPr>
        <w:t>: Credit Rating</w:t>
      </w:r>
    </w:p>
    <w:p w14:paraId="0B273CEC" w14:textId="349709BB" w:rsidR="00A731E1" w:rsidRPr="006C68D3" w:rsidRDefault="00A731E1">
      <w:pPr>
        <w:spacing w:after="200" w:line="276" w:lineRule="auto"/>
        <w:jc w:val="left"/>
        <w:rPr>
          <w:rFonts w:eastAsia="Arial"/>
          <w:b/>
          <w:i/>
          <w:smallCaps/>
          <w:color w:val="000000"/>
          <w:szCs w:val="24"/>
        </w:rPr>
      </w:pPr>
    </w:p>
    <w:tbl>
      <w:tblPr>
        <w:tblStyle w:val="a3"/>
        <w:tblW w:w="90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33"/>
        <w:gridCol w:w="3017"/>
        <w:gridCol w:w="2966"/>
      </w:tblGrid>
      <w:tr w:rsidR="00A731E1" w:rsidRPr="006C68D3" w14:paraId="3C2DF990" w14:textId="77777777">
        <w:tc>
          <w:tcPr>
            <w:tcW w:w="3033" w:type="dxa"/>
            <w:tcBorders>
              <w:top w:val="single" w:sz="4" w:space="0" w:color="000000"/>
            </w:tcBorders>
            <w:shd w:val="clear" w:color="auto" w:fill="D9D9D9"/>
          </w:tcPr>
          <w:p w14:paraId="7B58CFDF"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Entity</w:t>
            </w:r>
          </w:p>
        </w:tc>
        <w:tc>
          <w:tcPr>
            <w:tcW w:w="3017" w:type="dxa"/>
            <w:tcBorders>
              <w:top w:val="single" w:sz="4" w:space="0" w:color="000000"/>
            </w:tcBorders>
            <w:shd w:val="clear" w:color="auto" w:fill="D9D9D9"/>
          </w:tcPr>
          <w:p w14:paraId="192B8950"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rating (long term)</w:t>
            </w:r>
          </w:p>
        </w:tc>
        <w:tc>
          <w:tcPr>
            <w:tcW w:w="2966" w:type="dxa"/>
            <w:tcBorders>
              <w:top w:val="single" w:sz="4" w:space="0" w:color="000000"/>
            </w:tcBorders>
            <w:shd w:val="clear" w:color="auto" w:fill="D9D9D9"/>
          </w:tcPr>
          <w:p w14:paraId="363F79BC"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Rating Threshold</w:t>
            </w:r>
          </w:p>
        </w:tc>
      </w:tr>
      <w:tr w:rsidR="00A731E1" w:rsidRPr="006C68D3" w14:paraId="7497C085" w14:textId="77777777">
        <w:tc>
          <w:tcPr>
            <w:tcW w:w="3033" w:type="dxa"/>
            <w:shd w:val="clear" w:color="auto" w:fill="FFFFFF"/>
          </w:tcPr>
          <w:p w14:paraId="4ACBE21A" w14:textId="77777777" w:rsidR="00A731E1" w:rsidRPr="006C68D3" w:rsidRDefault="00043197">
            <w:pPr>
              <w:pBdr>
                <w:top w:val="nil"/>
                <w:left w:val="nil"/>
                <w:bottom w:val="nil"/>
                <w:right w:val="nil"/>
                <w:between w:val="nil"/>
              </w:pBdr>
              <w:spacing w:before="120" w:after="120"/>
              <w:jc w:val="left"/>
              <w:rPr>
                <w:rFonts w:eastAsia="Arial"/>
                <w:color w:val="000000"/>
                <w:szCs w:val="24"/>
              </w:rPr>
            </w:pPr>
            <w:r w:rsidRPr="006C68D3">
              <w:rPr>
                <w:rFonts w:eastAsia="Arial"/>
                <w:color w:val="000000"/>
                <w:szCs w:val="24"/>
              </w:rPr>
              <w:t>Supplier</w:t>
            </w:r>
          </w:p>
        </w:tc>
        <w:tc>
          <w:tcPr>
            <w:tcW w:w="3017" w:type="dxa"/>
            <w:shd w:val="clear" w:color="auto" w:fill="FFFFFF"/>
          </w:tcPr>
          <w:p w14:paraId="0AADE2A7" w14:textId="063124C3" w:rsidR="00A731E1" w:rsidRPr="006C68D3" w:rsidRDefault="00607FB8">
            <w:pPr>
              <w:pBdr>
                <w:top w:val="nil"/>
                <w:left w:val="nil"/>
                <w:bottom w:val="nil"/>
                <w:right w:val="nil"/>
                <w:between w:val="nil"/>
              </w:pBdr>
              <w:spacing w:before="120" w:after="120"/>
              <w:jc w:val="left"/>
              <w:rPr>
                <w:rFonts w:eastAsia="Arial"/>
                <w:color w:val="000000"/>
                <w:szCs w:val="24"/>
              </w:rPr>
            </w:pPr>
            <w:r>
              <w:rPr>
                <w:rFonts w:eastAsia="Arial"/>
                <w:color w:val="000000"/>
                <w:szCs w:val="24"/>
              </w:rPr>
              <w:t>D</w:t>
            </w:r>
            <w:r>
              <w:rPr>
                <w:szCs w:val="24"/>
              </w:rPr>
              <w:t>&amp;B – Financial Failure Score = or &gt;70.</w:t>
            </w:r>
          </w:p>
        </w:tc>
        <w:tc>
          <w:tcPr>
            <w:tcW w:w="2966" w:type="dxa"/>
            <w:shd w:val="clear" w:color="auto" w:fill="FFFFFF"/>
          </w:tcPr>
          <w:p w14:paraId="4BDCE706"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r w:rsidR="00A731E1" w:rsidRPr="006C68D3" w14:paraId="0DB0AD72" w14:textId="77777777">
        <w:tc>
          <w:tcPr>
            <w:tcW w:w="3033" w:type="dxa"/>
            <w:shd w:val="clear" w:color="auto" w:fill="FFFFFF"/>
          </w:tcPr>
          <w:p w14:paraId="7CC1AB5E" w14:textId="54DE47E0" w:rsidR="00A731E1" w:rsidRPr="006C68D3" w:rsidRDefault="00043197">
            <w:pPr>
              <w:pBdr>
                <w:top w:val="nil"/>
                <w:left w:val="nil"/>
                <w:bottom w:val="nil"/>
                <w:right w:val="nil"/>
                <w:between w:val="nil"/>
              </w:pBdr>
              <w:spacing w:before="120" w:after="120"/>
              <w:jc w:val="left"/>
              <w:rPr>
                <w:rFonts w:eastAsia="Arial"/>
                <w:color w:val="000000"/>
                <w:szCs w:val="24"/>
              </w:rPr>
            </w:pPr>
            <w:r w:rsidRPr="006C68D3">
              <w:rPr>
                <w:rFonts w:eastAsia="Arial"/>
                <w:color w:val="000000"/>
                <w:szCs w:val="24"/>
                <w:highlight w:val="yellow"/>
              </w:rPr>
              <w:t>Guarantor</w:t>
            </w:r>
          </w:p>
        </w:tc>
        <w:tc>
          <w:tcPr>
            <w:tcW w:w="3017" w:type="dxa"/>
            <w:shd w:val="clear" w:color="auto" w:fill="FFFFFF"/>
          </w:tcPr>
          <w:p w14:paraId="2CD83B7F"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966" w:type="dxa"/>
            <w:shd w:val="clear" w:color="auto" w:fill="FFFFFF"/>
          </w:tcPr>
          <w:p w14:paraId="7E6F44D5"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r w:rsidR="00A731E1" w:rsidRPr="006C68D3" w14:paraId="5D172D9B" w14:textId="77777777">
        <w:tc>
          <w:tcPr>
            <w:tcW w:w="3033" w:type="dxa"/>
            <w:shd w:val="clear" w:color="auto" w:fill="FFFFFF"/>
          </w:tcPr>
          <w:p w14:paraId="4DFAB0E0" w14:textId="77777777" w:rsidR="00A731E1" w:rsidRPr="006C68D3" w:rsidRDefault="00043197">
            <w:pPr>
              <w:pBdr>
                <w:top w:val="nil"/>
                <w:left w:val="nil"/>
                <w:bottom w:val="nil"/>
                <w:right w:val="nil"/>
                <w:between w:val="nil"/>
              </w:pBdr>
              <w:spacing w:before="120" w:after="120"/>
              <w:jc w:val="left"/>
              <w:rPr>
                <w:rFonts w:eastAsia="Arial"/>
                <w:color w:val="000000"/>
                <w:szCs w:val="24"/>
                <w:highlight w:val="yellow"/>
              </w:rPr>
            </w:pPr>
            <w:r w:rsidRPr="006C68D3">
              <w:rPr>
                <w:rFonts w:eastAsia="Arial"/>
                <w:color w:val="000000"/>
                <w:szCs w:val="24"/>
                <w:highlight w:val="yellow"/>
              </w:rPr>
              <w:t>[Key Subcontractor]</w:t>
            </w:r>
          </w:p>
        </w:tc>
        <w:tc>
          <w:tcPr>
            <w:tcW w:w="3017" w:type="dxa"/>
            <w:shd w:val="clear" w:color="auto" w:fill="FFFFFF"/>
          </w:tcPr>
          <w:p w14:paraId="25605FA3"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966" w:type="dxa"/>
            <w:shd w:val="clear" w:color="auto" w:fill="FFFFFF"/>
          </w:tcPr>
          <w:p w14:paraId="7D41B705"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r w:rsidR="00A731E1" w:rsidRPr="006C68D3" w14:paraId="31B3E9BB" w14:textId="77777777">
        <w:tc>
          <w:tcPr>
            <w:tcW w:w="3033" w:type="dxa"/>
            <w:tcBorders>
              <w:bottom w:val="single" w:sz="4" w:space="0" w:color="000000"/>
            </w:tcBorders>
            <w:shd w:val="clear" w:color="auto" w:fill="FFFFFF"/>
          </w:tcPr>
          <w:p w14:paraId="5D3D77A3" w14:textId="77777777" w:rsidR="00A731E1" w:rsidRPr="006C68D3" w:rsidRDefault="00043197">
            <w:pPr>
              <w:pBdr>
                <w:top w:val="nil"/>
                <w:left w:val="nil"/>
                <w:bottom w:val="nil"/>
                <w:right w:val="nil"/>
                <w:between w:val="nil"/>
              </w:pBdr>
              <w:spacing w:before="120" w:after="120"/>
              <w:jc w:val="left"/>
              <w:rPr>
                <w:rFonts w:eastAsia="Arial"/>
                <w:color w:val="000000"/>
                <w:szCs w:val="24"/>
                <w:highlight w:val="yellow"/>
              </w:rPr>
            </w:pPr>
            <w:r w:rsidRPr="006C68D3">
              <w:rPr>
                <w:rFonts w:eastAsia="Arial"/>
                <w:color w:val="000000"/>
                <w:szCs w:val="24"/>
                <w:highlight w:val="yellow"/>
              </w:rPr>
              <w:t>[Monitored Supplier]</w:t>
            </w:r>
          </w:p>
        </w:tc>
        <w:tc>
          <w:tcPr>
            <w:tcW w:w="3017" w:type="dxa"/>
            <w:tcBorders>
              <w:bottom w:val="single" w:sz="4" w:space="0" w:color="000000"/>
            </w:tcBorders>
            <w:shd w:val="clear" w:color="auto" w:fill="FFFFFF"/>
          </w:tcPr>
          <w:p w14:paraId="1A238A60"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966" w:type="dxa"/>
            <w:tcBorders>
              <w:bottom w:val="single" w:sz="4" w:space="0" w:color="000000"/>
            </w:tcBorders>
            <w:shd w:val="clear" w:color="auto" w:fill="FFFFFF"/>
          </w:tcPr>
          <w:p w14:paraId="60803667"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bl>
    <w:p w14:paraId="5E1A7C61" w14:textId="77777777" w:rsidR="00A731E1" w:rsidRPr="006C68D3" w:rsidRDefault="00A731E1">
      <w:pPr>
        <w:spacing w:after="0"/>
        <w:rPr>
          <w:rFonts w:eastAsia="Arial"/>
          <w:szCs w:val="24"/>
        </w:rPr>
      </w:pPr>
    </w:p>
    <w:p w14:paraId="49902FB8" w14:textId="77777777" w:rsidR="00990D23" w:rsidRPr="006C68D3" w:rsidRDefault="00990D23" w:rsidP="00990D23">
      <w:pPr>
        <w:keepNext/>
        <w:keepLines/>
        <w:spacing w:after="0"/>
        <w:rPr>
          <w:rFonts w:eastAsia="Arial"/>
          <w:b/>
          <w:szCs w:val="24"/>
        </w:rPr>
      </w:pPr>
      <w:r w:rsidRPr="006C68D3">
        <w:rPr>
          <w:rFonts w:eastAsia="Arial"/>
          <w:b/>
          <w:szCs w:val="24"/>
        </w:rPr>
        <w:t xml:space="preserve">Part </w:t>
      </w:r>
      <w:bookmarkStart w:id="55" w:name="Ann2_Part_C"/>
      <w:r w:rsidRPr="006C68D3">
        <w:rPr>
          <w:rFonts w:eastAsia="Arial"/>
          <w:b/>
          <w:szCs w:val="24"/>
        </w:rPr>
        <w:t>C</w:t>
      </w:r>
      <w:bookmarkEnd w:id="55"/>
      <w:r w:rsidRPr="006C68D3">
        <w:rPr>
          <w:rFonts w:eastAsia="Arial"/>
          <w:b/>
          <w:szCs w:val="24"/>
        </w:rPr>
        <w:t>: Financial Indicators</w:t>
      </w:r>
    </w:p>
    <w:p w14:paraId="3B837C9C" w14:textId="77777777" w:rsidR="00990D23" w:rsidRPr="006C68D3" w:rsidRDefault="00990D23" w:rsidP="00990D23">
      <w:pPr>
        <w:keepNext/>
        <w:keepLines/>
        <w:spacing w:after="0"/>
        <w:rPr>
          <w:rFonts w:eastAsia="Arial"/>
          <w:szCs w:val="24"/>
        </w:rPr>
      </w:pP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253"/>
        <w:gridCol w:w="1977"/>
        <w:gridCol w:w="1697"/>
        <w:gridCol w:w="3089"/>
      </w:tblGrid>
      <w:tr w:rsidR="00990D23" w:rsidRPr="006C68D3" w14:paraId="276EF6DB" w14:textId="77777777" w:rsidTr="005C1BB4">
        <w:trPr>
          <w:tblHeader/>
        </w:trPr>
        <w:tc>
          <w:tcPr>
            <w:tcW w:w="2253" w:type="dxa"/>
            <w:shd w:val="clear" w:color="auto" w:fill="D9D9D9"/>
            <w:vAlign w:val="center"/>
          </w:tcPr>
          <w:p w14:paraId="3E50538D" w14:textId="77777777" w:rsidR="00990D23" w:rsidRPr="006C68D3" w:rsidRDefault="00990D23" w:rsidP="005C1BB4">
            <w:pPr>
              <w:keepNext/>
              <w:keepLines/>
              <w:pBdr>
                <w:top w:val="nil"/>
                <w:left w:val="nil"/>
                <w:bottom w:val="nil"/>
                <w:right w:val="nil"/>
                <w:between w:val="nil"/>
              </w:pBdr>
              <w:spacing w:before="100" w:after="200"/>
              <w:jc w:val="center"/>
              <w:rPr>
                <w:rFonts w:eastAsia="Arial"/>
                <w:b/>
                <w:color w:val="000000"/>
                <w:szCs w:val="24"/>
              </w:rPr>
            </w:pPr>
            <w:r w:rsidRPr="006C68D3">
              <w:rPr>
                <w:rFonts w:eastAsia="Arial"/>
                <w:b/>
                <w:color w:val="000000"/>
                <w:szCs w:val="24"/>
              </w:rPr>
              <w:t>Financial Indicator</w:t>
            </w:r>
          </w:p>
        </w:tc>
        <w:tc>
          <w:tcPr>
            <w:tcW w:w="1977" w:type="dxa"/>
            <w:shd w:val="clear" w:color="auto" w:fill="D9D9D9"/>
            <w:vAlign w:val="center"/>
          </w:tcPr>
          <w:p w14:paraId="2AA20AC3" w14:textId="77777777" w:rsidR="00990D23" w:rsidRPr="006C68D3" w:rsidRDefault="00990D23" w:rsidP="005C1BB4">
            <w:pPr>
              <w:keepNext/>
              <w:keepLines/>
              <w:pBdr>
                <w:top w:val="nil"/>
                <w:left w:val="nil"/>
                <w:bottom w:val="nil"/>
                <w:right w:val="nil"/>
                <w:between w:val="nil"/>
              </w:pBdr>
              <w:spacing w:before="100" w:after="200"/>
              <w:jc w:val="center"/>
              <w:rPr>
                <w:rFonts w:eastAsia="Arial"/>
                <w:b/>
                <w:color w:val="000000"/>
                <w:szCs w:val="24"/>
              </w:rPr>
            </w:pPr>
            <w:r w:rsidRPr="006C68D3">
              <w:rPr>
                <w:rFonts w:eastAsia="Arial"/>
                <w:b/>
                <w:color w:val="000000"/>
                <w:szCs w:val="24"/>
              </w:rPr>
              <w:t>Calculation</w:t>
            </w:r>
            <w:r w:rsidRPr="006C68D3">
              <w:rPr>
                <w:rFonts w:eastAsia="Arial"/>
                <w:b/>
                <w:color w:val="000000"/>
                <w:szCs w:val="24"/>
                <w:vertAlign w:val="superscript"/>
              </w:rPr>
              <w:t>1</w:t>
            </w:r>
          </w:p>
        </w:tc>
        <w:tc>
          <w:tcPr>
            <w:tcW w:w="1697" w:type="dxa"/>
            <w:shd w:val="clear" w:color="auto" w:fill="D9D9D9"/>
            <w:vAlign w:val="center"/>
          </w:tcPr>
          <w:p w14:paraId="258399B5" w14:textId="77777777" w:rsidR="00990D23" w:rsidRPr="006C68D3" w:rsidRDefault="00990D23" w:rsidP="005C1BB4">
            <w:pPr>
              <w:keepNext/>
              <w:keepLines/>
              <w:pBdr>
                <w:top w:val="nil"/>
                <w:left w:val="nil"/>
                <w:bottom w:val="nil"/>
                <w:right w:val="nil"/>
                <w:between w:val="nil"/>
              </w:pBdr>
              <w:spacing w:before="100" w:after="200"/>
              <w:jc w:val="center"/>
              <w:rPr>
                <w:rFonts w:eastAsia="Arial"/>
                <w:b/>
                <w:color w:val="000000"/>
                <w:szCs w:val="24"/>
              </w:rPr>
            </w:pPr>
            <w:r w:rsidRPr="006C68D3">
              <w:rPr>
                <w:rFonts w:eastAsia="Arial"/>
                <w:b/>
                <w:color w:val="000000"/>
                <w:szCs w:val="24"/>
              </w:rPr>
              <w:t>Financial Target Threshold:</w:t>
            </w:r>
          </w:p>
        </w:tc>
        <w:tc>
          <w:tcPr>
            <w:tcW w:w="3089" w:type="dxa"/>
            <w:shd w:val="clear" w:color="auto" w:fill="D9D9D9"/>
            <w:vAlign w:val="center"/>
          </w:tcPr>
          <w:p w14:paraId="44AC7771" w14:textId="77777777" w:rsidR="00990D23" w:rsidRPr="006C68D3" w:rsidRDefault="00990D23" w:rsidP="005C1BB4">
            <w:pPr>
              <w:keepNext/>
              <w:keepLines/>
              <w:pBdr>
                <w:top w:val="nil"/>
                <w:left w:val="nil"/>
                <w:bottom w:val="nil"/>
                <w:right w:val="nil"/>
                <w:between w:val="nil"/>
              </w:pBdr>
              <w:spacing w:before="100" w:after="200"/>
              <w:jc w:val="center"/>
              <w:rPr>
                <w:rFonts w:eastAsia="Arial"/>
                <w:b/>
                <w:color w:val="000000"/>
                <w:szCs w:val="24"/>
              </w:rPr>
            </w:pPr>
            <w:bookmarkStart w:id="56" w:name="_heading=h.23ckvvd" w:colFirst="0" w:colLast="0"/>
            <w:bookmarkEnd w:id="56"/>
            <w:r w:rsidRPr="006C68D3">
              <w:rPr>
                <w:rFonts w:eastAsia="Arial"/>
                <w:b/>
                <w:color w:val="000000"/>
                <w:szCs w:val="24"/>
              </w:rPr>
              <w:t xml:space="preserve">Monitoring and Reporting </w:t>
            </w:r>
            <w:r w:rsidRPr="00D85847">
              <w:rPr>
                <w:rFonts w:eastAsia="Arial"/>
                <w:b/>
                <w:color w:val="000000"/>
                <w:szCs w:val="24"/>
              </w:rPr>
              <w:t xml:space="preserve">Frequency [if different from the default position set out in Paragraph </w:t>
            </w:r>
            <w:r w:rsidRPr="00D85847">
              <w:rPr>
                <w:rFonts w:eastAsia="Arial"/>
                <w:b/>
                <w:color w:val="000000"/>
                <w:szCs w:val="24"/>
              </w:rPr>
              <w:fldChar w:fldCharType="begin"/>
            </w:r>
            <w:r w:rsidRPr="00D85847">
              <w:rPr>
                <w:rFonts w:eastAsia="Arial"/>
                <w:b/>
                <w:color w:val="000000"/>
                <w:szCs w:val="24"/>
              </w:rPr>
              <w:instrText xml:space="preserve"> REF _Ref141087035 \w \h </w:instrText>
            </w:r>
            <w:r>
              <w:rPr>
                <w:rFonts w:eastAsia="Arial"/>
                <w:b/>
                <w:color w:val="000000"/>
                <w:szCs w:val="24"/>
              </w:rPr>
              <w:instrText xml:space="preserve"> \* MERGEFORMAT </w:instrText>
            </w:r>
            <w:r w:rsidRPr="00D85847">
              <w:rPr>
                <w:rFonts w:eastAsia="Arial"/>
                <w:b/>
                <w:color w:val="000000"/>
                <w:szCs w:val="24"/>
              </w:rPr>
            </w:r>
            <w:r w:rsidRPr="00D85847">
              <w:rPr>
                <w:rFonts w:eastAsia="Arial"/>
                <w:b/>
                <w:color w:val="000000"/>
                <w:szCs w:val="24"/>
              </w:rPr>
              <w:fldChar w:fldCharType="separate"/>
            </w:r>
            <w:r w:rsidRPr="00D85847">
              <w:rPr>
                <w:rFonts w:eastAsia="Arial"/>
                <w:b/>
                <w:color w:val="000000"/>
                <w:szCs w:val="24"/>
              </w:rPr>
              <w:t>5.1</w:t>
            </w:r>
            <w:r w:rsidRPr="00D85847">
              <w:rPr>
                <w:rFonts w:eastAsia="Arial"/>
                <w:b/>
                <w:color w:val="000000"/>
                <w:szCs w:val="24"/>
              </w:rPr>
              <w:fldChar w:fldCharType="end"/>
            </w:r>
            <w:r w:rsidRPr="00D85847">
              <w:rPr>
                <w:rFonts w:eastAsia="Arial"/>
                <w:b/>
                <w:color w:val="000000"/>
                <w:szCs w:val="24"/>
              </w:rPr>
              <w:t>]</w:t>
            </w:r>
          </w:p>
        </w:tc>
      </w:tr>
      <w:tr w:rsidR="00990D23" w:rsidRPr="006C68D3" w14:paraId="37DDBC61" w14:textId="77777777" w:rsidTr="005C1BB4">
        <w:tc>
          <w:tcPr>
            <w:tcW w:w="2253" w:type="dxa"/>
            <w:vAlign w:val="center"/>
          </w:tcPr>
          <w:p w14:paraId="6700EA00" w14:textId="77777777" w:rsidR="00990D23" w:rsidRPr="00DC5DC0" w:rsidRDefault="00990D23" w:rsidP="005C1BB4">
            <w:pPr>
              <w:keepNext/>
              <w:keepLines/>
              <w:pBdr>
                <w:top w:val="nil"/>
                <w:left w:val="nil"/>
                <w:bottom w:val="nil"/>
                <w:right w:val="nil"/>
                <w:between w:val="nil"/>
              </w:pBdr>
              <w:spacing w:before="100" w:after="200"/>
              <w:jc w:val="left"/>
              <w:rPr>
                <w:rFonts w:eastAsia="Arial"/>
                <w:b/>
                <w:color w:val="000000"/>
                <w:szCs w:val="24"/>
              </w:rPr>
            </w:pPr>
            <w:r w:rsidRPr="00DC5DC0">
              <w:rPr>
                <w:rFonts w:eastAsia="Arial"/>
                <w:b/>
                <w:color w:val="000000"/>
                <w:szCs w:val="24"/>
              </w:rPr>
              <w:t>1</w:t>
            </w:r>
          </w:p>
          <w:p w14:paraId="291DF5EA" w14:textId="77777777" w:rsidR="00990D23" w:rsidRPr="00DC5DC0" w:rsidRDefault="00990D23" w:rsidP="005C1BB4">
            <w:pPr>
              <w:keepNext/>
              <w:keepLines/>
              <w:pBdr>
                <w:top w:val="nil"/>
                <w:left w:val="nil"/>
                <w:bottom w:val="nil"/>
                <w:right w:val="nil"/>
                <w:between w:val="nil"/>
              </w:pBdr>
              <w:spacing w:before="100" w:after="200"/>
              <w:jc w:val="left"/>
              <w:rPr>
                <w:rFonts w:eastAsia="Arial"/>
                <w:b/>
                <w:color w:val="000000"/>
                <w:szCs w:val="24"/>
              </w:rPr>
            </w:pPr>
            <w:r w:rsidRPr="00DC5DC0">
              <w:rPr>
                <w:rFonts w:eastAsia="Arial"/>
                <w:b/>
                <w:color w:val="000000"/>
                <w:szCs w:val="24"/>
              </w:rPr>
              <w:t>Operating Margin</w:t>
            </w:r>
          </w:p>
        </w:tc>
        <w:tc>
          <w:tcPr>
            <w:tcW w:w="1977" w:type="dxa"/>
            <w:vAlign w:val="center"/>
          </w:tcPr>
          <w:p w14:paraId="7D6FEBC5" w14:textId="77777777" w:rsidR="00990D23" w:rsidRPr="00DC5DC0" w:rsidRDefault="00990D23" w:rsidP="005C1BB4">
            <w:pPr>
              <w:keepNext/>
              <w:keepLines/>
              <w:pBdr>
                <w:top w:val="nil"/>
                <w:left w:val="nil"/>
                <w:bottom w:val="nil"/>
                <w:right w:val="nil"/>
                <w:between w:val="nil"/>
              </w:pBdr>
              <w:spacing w:before="100" w:after="200"/>
              <w:jc w:val="center"/>
              <w:rPr>
                <w:rFonts w:eastAsia="Arial"/>
                <w:i/>
                <w:color w:val="000000"/>
                <w:szCs w:val="24"/>
              </w:rPr>
            </w:pPr>
            <w:r w:rsidRPr="00DC5DC0">
              <w:rPr>
                <w:rFonts w:eastAsia="Arial"/>
                <w:i/>
                <w:color w:val="000000"/>
                <w:szCs w:val="24"/>
              </w:rPr>
              <w:t>[Operating Margin = Operating Profit / Revenue]</w:t>
            </w:r>
          </w:p>
        </w:tc>
        <w:tc>
          <w:tcPr>
            <w:tcW w:w="1697" w:type="dxa"/>
            <w:vAlign w:val="center"/>
          </w:tcPr>
          <w:p w14:paraId="49B4D5A2" w14:textId="77777777" w:rsidR="00990D23" w:rsidRPr="006C68D3" w:rsidRDefault="00990D23" w:rsidP="005C1BB4">
            <w:pPr>
              <w:keepNext/>
              <w:keepLines/>
              <w:pBdr>
                <w:top w:val="nil"/>
                <w:left w:val="nil"/>
                <w:bottom w:val="nil"/>
                <w:right w:val="nil"/>
                <w:between w:val="nil"/>
              </w:pBdr>
              <w:spacing w:before="100" w:after="200"/>
              <w:jc w:val="center"/>
              <w:rPr>
                <w:rFonts w:eastAsia="Arial"/>
                <w:i/>
                <w:color w:val="000000"/>
                <w:szCs w:val="24"/>
                <w:highlight w:val="yellow"/>
              </w:rPr>
            </w:pPr>
            <w:r w:rsidRPr="00903A80">
              <w:rPr>
                <w:i/>
                <w:iCs/>
                <w:color w:val="000000" w:themeColor="text1"/>
              </w:rPr>
              <w:t>&lt; 5%</w:t>
            </w:r>
          </w:p>
        </w:tc>
        <w:tc>
          <w:tcPr>
            <w:tcW w:w="3089" w:type="dxa"/>
            <w:vAlign w:val="center"/>
          </w:tcPr>
          <w:p w14:paraId="39748570" w14:textId="77777777" w:rsidR="00990D23" w:rsidRPr="002F3DC9" w:rsidRDefault="00990D23" w:rsidP="005C1BB4">
            <w:pPr>
              <w:pStyle w:val="StdBodyText"/>
              <w:jc w:val="center"/>
              <w:rPr>
                <w:i/>
                <w:iCs/>
              </w:rPr>
            </w:pPr>
            <w:r w:rsidRPr="08A0689D">
              <w:rPr>
                <w:i/>
                <w:iCs/>
                <w:color w:val="000000" w:themeColor="text1"/>
              </w:rPr>
              <w:t xml:space="preserve">Tested and reported yearly in arrears promptly after the publication of the Supplier’s audited financial statements based upon figures for the 12 months ending on </w:t>
            </w:r>
            <w:r w:rsidRPr="00726381">
              <w:rPr>
                <w:i/>
                <w:iCs/>
                <w:color w:val="000000" w:themeColor="text1"/>
              </w:rPr>
              <w:t>the relevant Accounting Reference date.</w:t>
            </w:r>
          </w:p>
          <w:p w14:paraId="462FEE82" w14:textId="77777777" w:rsidR="00990D23" w:rsidRPr="006C68D3" w:rsidRDefault="00990D23" w:rsidP="005C1BB4">
            <w:pPr>
              <w:keepNext/>
              <w:keepLines/>
              <w:pBdr>
                <w:top w:val="nil"/>
                <w:left w:val="nil"/>
                <w:bottom w:val="nil"/>
                <w:right w:val="nil"/>
                <w:between w:val="nil"/>
              </w:pBdr>
              <w:spacing w:before="100" w:after="200"/>
              <w:jc w:val="center"/>
              <w:rPr>
                <w:rFonts w:eastAsia="Arial"/>
                <w:i/>
                <w:color w:val="000000"/>
                <w:szCs w:val="24"/>
              </w:rPr>
            </w:pPr>
          </w:p>
        </w:tc>
      </w:tr>
      <w:tr w:rsidR="00990D23" w:rsidRPr="006C68D3" w14:paraId="012F06CD" w14:textId="77777777" w:rsidTr="005C1BB4">
        <w:tc>
          <w:tcPr>
            <w:tcW w:w="2253" w:type="dxa"/>
            <w:vAlign w:val="center"/>
          </w:tcPr>
          <w:p w14:paraId="5090B632" w14:textId="77777777" w:rsidR="00990D23" w:rsidRPr="00040223" w:rsidRDefault="00990D23" w:rsidP="005C1BB4">
            <w:pPr>
              <w:pBdr>
                <w:top w:val="nil"/>
                <w:left w:val="nil"/>
                <w:bottom w:val="nil"/>
                <w:right w:val="nil"/>
                <w:between w:val="nil"/>
              </w:pBdr>
              <w:spacing w:before="100" w:after="200"/>
              <w:jc w:val="left"/>
              <w:rPr>
                <w:rFonts w:eastAsia="Arial"/>
                <w:b/>
                <w:color w:val="000000"/>
                <w:szCs w:val="24"/>
              </w:rPr>
            </w:pPr>
            <w:r w:rsidRPr="00040223">
              <w:rPr>
                <w:rFonts w:eastAsia="Arial"/>
                <w:b/>
                <w:color w:val="000000"/>
                <w:szCs w:val="24"/>
              </w:rPr>
              <w:t>2</w:t>
            </w:r>
          </w:p>
          <w:p w14:paraId="5AAA77A6" w14:textId="77777777" w:rsidR="00990D23" w:rsidRPr="00040223" w:rsidRDefault="00990D23" w:rsidP="005C1BB4">
            <w:pPr>
              <w:pBdr>
                <w:top w:val="nil"/>
                <w:left w:val="nil"/>
                <w:bottom w:val="nil"/>
                <w:right w:val="nil"/>
                <w:between w:val="nil"/>
              </w:pBdr>
              <w:spacing w:before="100" w:after="200"/>
              <w:jc w:val="left"/>
              <w:rPr>
                <w:rFonts w:eastAsia="Arial"/>
                <w:b/>
                <w:color w:val="000000"/>
                <w:szCs w:val="24"/>
              </w:rPr>
            </w:pPr>
            <w:r w:rsidRPr="00040223">
              <w:rPr>
                <w:rFonts w:eastAsia="Arial"/>
                <w:b/>
                <w:color w:val="000000"/>
                <w:szCs w:val="24"/>
              </w:rPr>
              <w:t>[Free Cash Flow to Net Debt Ratio]</w:t>
            </w:r>
          </w:p>
          <w:p w14:paraId="58BD1330" w14:textId="77777777" w:rsidR="00990D23" w:rsidRPr="00040223" w:rsidRDefault="00990D23" w:rsidP="005C1BB4">
            <w:pPr>
              <w:pBdr>
                <w:top w:val="nil"/>
                <w:left w:val="nil"/>
                <w:bottom w:val="nil"/>
                <w:right w:val="nil"/>
                <w:between w:val="nil"/>
              </w:pBdr>
              <w:spacing w:before="100" w:after="200"/>
              <w:jc w:val="left"/>
              <w:rPr>
                <w:rFonts w:eastAsia="Arial"/>
                <w:b/>
                <w:color w:val="000000"/>
                <w:szCs w:val="24"/>
              </w:rPr>
            </w:pPr>
            <w:r w:rsidRPr="00040223">
              <w:rPr>
                <w:rFonts w:eastAsia="Arial"/>
                <w:b/>
                <w:color w:val="000000"/>
                <w:szCs w:val="24"/>
              </w:rPr>
              <w:t>OR</w:t>
            </w:r>
          </w:p>
          <w:p w14:paraId="68960A40" w14:textId="77777777" w:rsidR="00990D23" w:rsidRPr="00040223" w:rsidRDefault="00990D23" w:rsidP="005C1BB4">
            <w:pPr>
              <w:pBdr>
                <w:top w:val="nil"/>
                <w:left w:val="nil"/>
                <w:bottom w:val="nil"/>
                <w:right w:val="nil"/>
                <w:between w:val="nil"/>
              </w:pBdr>
              <w:spacing w:before="100" w:after="200"/>
              <w:jc w:val="left"/>
              <w:rPr>
                <w:rFonts w:eastAsia="Arial"/>
                <w:b/>
                <w:color w:val="000000"/>
                <w:szCs w:val="24"/>
              </w:rPr>
            </w:pPr>
            <w:r w:rsidRPr="00040223">
              <w:rPr>
                <w:rFonts w:eastAsia="Arial"/>
                <w:b/>
                <w:color w:val="000000"/>
                <w:szCs w:val="24"/>
              </w:rPr>
              <w:t>[Net Debt to EBITDA Ratio]</w:t>
            </w:r>
          </w:p>
        </w:tc>
        <w:tc>
          <w:tcPr>
            <w:tcW w:w="1977" w:type="dxa"/>
            <w:vAlign w:val="center"/>
          </w:tcPr>
          <w:p w14:paraId="5F143614" w14:textId="77777777" w:rsidR="00990D23" w:rsidRPr="00040223" w:rsidRDefault="00990D23" w:rsidP="005C1BB4">
            <w:pPr>
              <w:pBdr>
                <w:top w:val="nil"/>
                <w:left w:val="nil"/>
                <w:bottom w:val="nil"/>
                <w:right w:val="nil"/>
                <w:between w:val="nil"/>
              </w:pBdr>
              <w:spacing w:before="100" w:after="200"/>
              <w:jc w:val="center"/>
              <w:rPr>
                <w:rFonts w:eastAsia="Arial"/>
                <w:i/>
                <w:color w:val="000000"/>
                <w:szCs w:val="24"/>
              </w:rPr>
            </w:pPr>
            <w:r w:rsidRPr="00040223">
              <w:rPr>
                <w:i/>
              </w:rPr>
              <w:t>[Net Debt to EBITDA ratio = Net Debt / EBITDA]</w:t>
            </w:r>
          </w:p>
        </w:tc>
        <w:tc>
          <w:tcPr>
            <w:tcW w:w="1697" w:type="dxa"/>
            <w:vAlign w:val="center"/>
          </w:tcPr>
          <w:p w14:paraId="256B8EA2" w14:textId="77777777" w:rsidR="00990D23" w:rsidRPr="00040223" w:rsidRDefault="00990D23" w:rsidP="005C1BB4">
            <w:pPr>
              <w:pBdr>
                <w:top w:val="nil"/>
                <w:left w:val="nil"/>
                <w:bottom w:val="nil"/>
                <w:right w:val="nil"/>
                <w:between w:val="nil"/>
              </w:pBdr>
              <w:spacing w:before="100" w:after="200"/>
              <w:jc w:val="center"/>
              <w:rPr>
                <w:rFonts w:eastAsia="Arial"/>
                <w:i/>
                <w:color w:val="000000"/>
                <w:szCs w:val="24"/>
              </w:rPr>
            </w:pPr>
            <w:r w:rsidRPr="00040223">
              <w:rPr>
                <w:i/>
                <w:iCs/>
              </w:rPr>
              <w:t>&gt; 3.5x</w:t>
            </w:r>
          </w:p>
        </w:tc>
        <w:tc>
          <w:tcPr>
            <w:tcW w:w="3089" w:type="dxa"/>
            <w:vAlign w:val="center"/>
          </w:tcPr>
          <w:p w14:paraId="2A4BAFE0" w14:textId="77777777" w:rsidR="00990D23" w:rsidRPr="00040223" w:rsidRDefault="00990D23" w:rsidP="005C1BB4">
            <w:pPr>
              <w:pStyle w:val="StdBodyText"/>
              <w:jc w:val="center"/>
              <w:rPr>
                <w:i/>
                <w:iCs/>
              </w:rPr>
            </w:pPr>
            <w:r w:rsidRPr="00040223">
              <w:rPr>
                <w:i/>
                <w:iCs/>
                <w:color w:val="000000" w:themeColor="text1"/>
              </w:rPr>
              <w:t>Tested and reported yearly in arrears promptly after the publication of the Supplier’s audited financial statements based upon figures for the 12 months ending on the relevant Accounting Reference date.</w:t>
            </w:r>
          </w:p>
          <w:p w14:paraId="34A6E1BE" w14:textId="77777777" w:rsidR="00990D23" w:rsidRPr="00040223" w:rsidRDefault="00990D23" w:rsidP="005C1BB4">
            <w:pPr>
              <w:pBdr>
                <w:top w:val="nil"/>
                <w:left w:val="nil"/>
                <w:bottom w:val="nil"/>
                <w:right w:val="nil"/>
                <w:between w:val="nil"/>
              </w:pBdr>
              <w:spacing w:before="100" w:after="200"/>
              <w:jc w:val="center"/>
              <w:rPr>
                <w:rFonts w:eastAsia="Arial"/>
                <w:i/>
                <w:color w:val="000000"/>
                <w:szCs w:val="24"/>
              </w:rPr>
            </w:pPr>
          </w:p>
        </w:tc>
      </w:tr>
      <w:tr w:rsidR="00990D23" w:rsidRPr="006C68D3" w14:paraId="04BE08AA" w14:textId="77777777" w:rsidTr="005C1BB4">
        <w:tc>
          <w:tcPr>
            <w:tcW w:w="2253" w:type="dxa"/>
            <w:vAlign w:val="center"/>
          </w:tcPr>
          <w:p w14:paraId="0424929C" w14:textId="77777777" w:rsidR="00990D23" w:rsidRPr="000D1908" w:rsidRDefault="00990D23" w:rsidP="005C1BB4">
            <w:pPr>
              <w:pBdr>
                <w:top w:val="nil"/>
                <w:left w:val="nil"/>
                <w:bottom w:val="nil"/>
                <w:right w:val="nil"/>
                <w:between w:val="nil"/>
              </w:pBdr>
              <w:spacing w:before="100" w:after="200"/>
              <w:jc w:val="left"/>
              <w:rPr>
                <w:rFonts w:eastAsia="Arial"/>
                <w:b/>
                <w:color w:val="000000"/>
                <w:szCs w:val="24"/>
              </w:rPr>
            </w:pPr>
            <w:r w:rsidRPr="000D1908">
              <w:rPr>
                <w:rFonts w:eastAsia="Arial"/>
                <w:b/>
                <w:color w:val="000000"/>
                <w:szCs w:val="24"/>
              </w:rPr>
              <w:lastRenderedPageBreak/>
              <w:t>5</w:t>
            </w:r>
          </w:p>
          <w:p w14:paraId="0A191DA1" w14:textId="77777777" w:rsidR="00990D23" w:rsidRPr="000D1908" w:rsidRDefault="00990D23" w:rsidP="005C1BB4">
            <w:pPr>
              <w:pBdr>
                <w:top w:val="nil"/>
                <w:left w:val="nil"/>
                <w:bottom w:val="nil"/>
                <w:right w:val="nil"/>
                <w:between w:val="nil"/>
              </w:pBdr>
              <w:spacing w:before="100" w:after="200"/>
              <w:jc w:val="left"/>
              <w:rPr>
                <w:rFonts w:eastAsia="Arial"/>
                <w:b/>
                <w:color w:val="000000"/>
                <w:szCs w:val="24"/>
              </w:rPr>
            </w:pPr>
            <w:r w:rsidRPr="000D1908">
              <w:rPr>
                <w:rFonts w:eastAsia="Arial"/>
                <w:b/>
                <w:color w:val="000000"/>
                <w:szCs w:val="24"/>
              </w:rPr>
              <w:t>[Acid Ratio]</w:t>
            </w:r>
          </w:p>
        </w:tc>
        <w:tc>
          <w:tcPr>
            <w:tcW w:w="1977" w:type="dxa"/>
            <w:vAlign w:val="center"/>
          </w:tcPr>
          <w:p w14:paraId="009255E2" w14:textId="77777777" w:rsidR="00990D23" w:rsidRPr="000D1908" w:rsidRDefault="00990D23" w:rsidP="005C1BB4">
            <w:pPr>
              <w:pBdr>
                <w:top w:val="nil"/>
                <w:left w:val="nil"/>
                <w:bottom w:val="nil"/>
                <w:right w:val="nil"/>
                <w:between w:val="nil"/>
              </w:pBdr>
              <w:spacing w:before="100" w:after="200"/>
              <w:jc w:val="center"/>
              <w:rPr>
                <w:rFonts w:eastAsia="Arial"/>
                <w:i/>
                <w:color w:val="000000"/>
                <w:szCs w:val="24"/>
                <w:lang w:val="fr-FR"/>
              </w:rPr>
            </w:pPr>
            <w:r w:rsidRPr="000D1908">
              <w:rPr>
                <w:rFonts w:eastAsia="Arial"/>
                <w:i/>
                <w:color w:val="000000"/>
                <w:szCs w:val="24"/>
                <w:lang w:val="fr-FR"/>
              </w:rPr>
              <w:t>[Acid Ratio = (Current Assets – Inventories) / Current Liabilities]</w:t>
            </w:r>
          </w:p>
        </w:tc>
        <w:tc>
          <w:tcPr>
            <w:tcW w:w="1697" w:type="dxa"/>
            <w:vAlign w:val="center"/>
          </w:tcPr>
          <w:p w14:paraId="08F56FA4" w14:textId="77777777" w:rsidR="00990D23" w:rsidRPr="000D1908" w:rsidRDefault="00990D23" w:rsidP="005C1BB4">
            <w:pPr>
              <w:pBdr>
                <w:top w:val="nil"/>
                <w:left w:val="nil"/>
                <w:bottom w:val="nil"/>
                <w:right w:val="nil"/>
                <w:between w:val="nil"/>
              </w:pBdr>
              <w:spacing w:before="100" w:after="200"/>
              <w:jc w:val="center"/>
              <w:rPr>
                <w:rFonts w:eastAsia="Arial"/>
                <w:i/>
                <w:color w:val="000000"/>
                <w:szCs w:val="24"/>
              </w:rPr>
            </w:pPr>
            <w:r w:rsidRPr="000D1908">
              <w:rPr>
                <w:i/>
                <w:iCs/>
              </w:rPr>
              <w:t>Falls below 1:1*</w:t>
            </w:r>
          </w:p>
        </w:tc>
        <w:tc>
          <w:tcPr>
            <w:tcW w:w="3089" w:type="dxa"/>
            <w:vAlign w:val="center"/>
          </w:tcPr>
          <w:p w14:paraId="4AC89684" w14:textId="77777777" w:rsidR="00990D23" w:rsidRPr="000D1908" w:rsidRDefault="00990D23" w:rsidP="005C1BB4">
            <w:pPr>
              <w:pStyle w:val="StdBodyText"/>
              <w:jc w:val="center"/>
              <w:rPr>
                <w:i/>
                <w:iCs/>
              </w:rPr>
            </w:pPr>
            <w:r w:rsidRPr="000D1908">
              <w:rPr>
                <w:i/>
                <w:iCs/>
                <w:color w:val="000000" w:themeColor="text1"/>
              </w:rPr>
              <w:t>Tested and reported yearly in arrears promptly after the publication of the Supplier’s audited financial statements based upon figures for the 12 months ending on the relevant Accounting Reference date.</w:t>
            </w:r>
          </w:p>
          <w:p w14:paraId="0C431660" w14:textId="77777777" w:rsidR="00990D23" w:rsidRPr="000D1908" w:rsidRDefault="00990D23" w:rsidP="005C1BB4">
            <w:pPr>
              <w:pBdr>
                <w:top w:val="nil"/>
                <w:left w:val="nil"/>
                <w:bottom w:val="nil"/>
                <w:right w:val="nil"/>
                <w:between w:val="nil"/>
              </w:pBdr>
              <w:spacing w:before="100" w:after="200"/>
              <w:jc w:val="center"/>
              <w:rPr>
                <w:rFonts w:eastAsia="Arial"/>
                <w:i/>
                <w:color w:val="000000"/>
                <w:szCs w:val="24"/>
              </w:rPr>
            </w:pPr>
          </w:p>
        </w:tc>
      </w:tr>
    </w:tbl>
    <w:p w14:paraId="095F268C" w14:textId="77777777" w:rsidR="00990D23" w:rsidRDefault="00990D23" w:rsidP="00990D23">
      <w:pPr>
        <w:pBdr>
          <w:top w:val="nil"/>
          <w:left w:val="nil"/>
          <w:bottom w:val="nil"/>
          <w:right w:val="nil"/>
          <w:between w:val="nil"/>
        </w:pBdr>
        <w:spacing w:before="120" w:after="120"/>
        <w:ind w:left="907" w:hanging="547"/>
        <w:jc w:val="left"/>
        <w:rPr>
          <w:rFonts w:eastAsia="Calibri"/>
          <w:color w:val="000000"/>
          <w:szCs w:val="24"/>
        </w:rPr>
      </w:pPr>
    </w:p>
    <w:p w14:paraId="22567299" w14:textId="77777777" w:rsidR="00990D23" w:rsidRPr="006C68D3" w:rsidRDefault="00990D23" w:rsidP="00990D23">
      <w:pPr>
        <w:pBdr>
          <w:top w:val="nil"/>
          <w:left w:val="nil"/>
          <w:bottom w:val="nil"/>
          <w:right w:val="nil"/>
          <w:between w:val="nil"/>
        </w:pBdr>
        <w:spacing w:before="120" w:after="120"/>
        <w:ind w:left="907" w:hanging="547"/>
        <w:jc w:val="left"/>
        <w:rPr>
          <w:rFonts w:eastAsia="Calibri"/>
          <w:color w:val="000000"/>
          <w:szCs w:val="24"/>
        </w:rPr>
      </w:pPr>
      <w:r w:rsidRPr="006C68D3">
        <w:rPr>
          <w:rFonts w:eastAsia="Calibri"/>
          <w:color w:val="000000"/>
          <w:szCs w:val="24"/>
        </w:rPr>
        <w:t xml:space="preserve">Key: </w:t>
      </w:r>
      <w:r w:rsidRPr="006C68D3">
        <w:rPr>
          <w:rFonts w:eastAsia="Calibri"/>
          <w:color w:val="000000"/>
          <w:szCs w:val="24"/>
          <w:vertAlign w:val="superscript"/>
        </w:rPr>
        <w:t>1</w:t>
      </w:r>
      <w:r w:rsidRPr="006C68D3">
        <w:rPr>
          <w:rFonts w:eastAsia="Calibri"/>
          <w:color w:val="000000"/>
          <w:szCs w:val="24"/>
        </w:rPr>
        <w:t xml:space="preserve"> – </w:t>
      </w:r>
      <w:r w:rsidRPr="00922F47">
        <w:rPr>
          <w:rFonts w:eastAsia="Calibri"/>
          <w:color w:val="000000"/>
          <w:szCs w:val="24"/>
        </w:rPr>
        <w:t>See Annex 4 of this Schedule which sets out the calculation methodology to be used in the calculation of each Financial Indicator.</w:t>
      </w:r>
    </w:p>
    <w:p w14:paraId="15C6B80D" w14:textId="77777777" w:rsidR="00A731E1" w:rsidRPr="006C68D3" w:rsidRDefault="00A731E1">
      <w:pPr>
        <w:spacing w:after="0"/>
        <w:rPr>
          <w:rFonts w:eastAsia="Arial"/>
          <w:szCs w:val="24"/>
        </w:rPr>
      </w:pPr>
    </w:p>
    <w:p w14:paraId="038F9761" w14:textId="77777777" w:rsidR="00A731E1" w:rsidRPr="006C68D3" w:rsidRDefault="00A731E1">
      <w:pPr>
        <w:spacing w:after="0"/>
        <w:rPr>
          <w:rFonts w:eastAsia="Arial"/>
          <w:szCs w:val="24"/>
        </w:rPr>
      </w:pPr>
    </w:p>
    <w:p w14:paraId="36AF10BF" w14:textId="77777777" w:rsidR="00A731E1" w:rsidRPr="006C68D3" w:rsidRDefault="00043197">
      <w:pPr>
        <w:rPr>
          <w:rFonts w:eastAsia="Arial"/>
          <w:szCs w:val="24"/>
        </w:rPr>
      </w:pPr>
      <w:r w:rsidRPr="006C68D3">
        <w:rPr>
          <w:szCs w:val="24"/>
        </w:rPr>
        <w:br w:type="page"/>
      </w:r>
    </w:p>
    <w:p w14:paraId="7522452D" w14:textId="77777777" w:rsidR="00A731E1" w:rsidRPr="006C68D3" w:rsidRDefault="00043197">
      <w:pPr>
        <w:spacing w:after="200" w:line="276" w:lineRule="auto"/>
        <w:jc w:val="left"/>
        <w:rPr>
          <w:rFonts w:eastAsia="Arial"/>
          <w:b/>
          <w:smallCaps/>
          <w:color w:val="000000"/>
          <w:szCs w:val="24"/>
        </w:rPr>
      </w:pPr>
      <w:r w:rsidRPr="006C68D3">
        <w:rPr>
          <w:rFonts w:eastAsia="Arial"/>
          <w:b/>
          <w:smallCaps/>
          <w:color w:val="000000"/>
          <w:szCs w:val="24"/>
        </w:rPr>
        <w:lastRenderedPageBreak/>
        <w:t xml:space="preserve">ANNEX </w:t>
      </w:r>
      <w:bookmarkStart w:id="57" w:name="Ann_3"/>
      <w:r w:rsidRPr="006C68D3">
        <w:rPr>
          <w:rFonts w:eastAsia="Arial"/>
          <w:b/>
          <w:smallCaps/>
          <w:color w:val="000000"/>
          <w:szCs w:val="24"/>
        </w:rPr>
        <w:t>3</w:t>
      </w:r>
      <w:bookmarkEnd w:id="57"/>
      <w:r w:rsidRPr="006C68D3">
        <w:rPr>
          <w:rFonts w:eastAsia="Arial"/>
          <w:b/>
          <w:smallCaps/>
          <w:color w:val="000000"/>
          <w:szCs w:val="24"/>
        </w:rPr>
        <w:t xml:space="preserve"> – ADDITIONAL FDE GROUP MEMBERS AND MONITORED SUPPLIERS</w:t>
      </w:r>
    </w:p>
    <w:p w14:paraId="5CC5A89D" w14:textId="25E284E6" w:rsidR="009B22B6" w:rsidRDefault="009B22B6">
      <w:pPr>
        <w:pBdr>
          <w:top w:val="nil"/>
          <w:left w:val="nil"/>
          <w:bottom w:val="nil"/>
          <w:right w:val="nil"/>
          <w:between w:val="nil"/>
        </w:pBdr>
        <w:spacing w:before="100" w:after="200"/>
        <w:jc w:val="left"/>
        <w:rPr>
          <w:rFonts w:eastAsia="Arial"/>
          <w:b/>
          <w:color w:val="000000"/>
          <w:szCs w:val="24"/>
        </w:rPr>
      </w:pPr>
      <w:r>
        <w:rPr>
          <w:b/>
          <w:bCs/>
          <w:i/>
          <w:iCs/>
          <w:color w:val="000000"/>
          <w:highlight w:val="yellow"/>
        </w:rPr>
        <w:t>To be completed with the successful bidder prior to contract signature.</w:t>
      </w:r>
    </w:p>
    <w:p w14:paraId="3EC4CEBA" w14:textId="36866461"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 xml:space="preserve">Part </w:t>
      </w:r>
      <w:bookmarkStart w:id="58" w:name="Ann3_Part_A"/>
      <w:r w:rsidRPr="006C68D3">
        <w:rPr>
          <w:rFonts w:eastAsia="Arial"/>
          <w:b/>
          <w:color w:val="000000"/>
          <w:szCs w:val="24"/>
        </w:rPr>
        <w:t>A</w:t>
      </w:r>
      <w:bookmarkEnd w:id="58"/>
      <w:r w:rsidRPr="006C68D3">
        <w:rPr>
          <w:rFonts w:eastAsia="Arial"/>
          <w:b/>
          <w:color w:val="000000"/>
          <w:szCs w:val="24"/>
        </w:rPr>
        <w:t>: Additional FDE Group Members</w:t>
      </w:r>
    </w:p>
    <w:p w14:paraId="49C30EC9" w14:textId="77777777" w:rsidR="00A731E1" w:rsidRPr="006C68D3" w:rsidRDefault="00043197">
      <w:pPr>
        <w:numPr>
          <w:ilvl w:val="0"/>
          <w:numId w:val="1"/>
        </w:numPr>
        <w:pBdr>
          <w:top w:val="nil"/>
          <w:left w:val="nil"/>
          <w:bottom w:val="nil"/>
          <w:right w:val="nil"/>
          <w:between w:val="nil"/>
        </w:pBdr>
        <w:spacing w:before="100" w:after="200"/>
        <w:jc w:val="left"/>
        <w:rPr>
          <w:rFonts w:eastAsia="Arial"/>
          <w:b/>
          <w:color w:val="000000"/>
          <w:szCs w:val="24"/>
        </w:rPr>
      </w:pPr>
      <w:r w:rsidRPr="006C68D3">
        <w:rPr>
          <w:rFonts w:eastAsia="Arial"/>
          <w:color w:val="000000"/>
          <w:szCs w:val="24"/>
          <w:highlight w:val="yellow"/>
        </w:rPr>
        <w:t>[[Guarantor</w:t>
      </w:r>
      <w:r w:rsidRPr="006C68D3">
        <w:rPr>
          <w:rFonts w:eastAsia="Arial"/>
          <w:color w:val="000000"/>
          <w:szCs w:val="24"/>
        </w:rPr>
        <w:t>]</w:t>
      </w:r>
    </w:p>
    <w:p w14:paraId="5B1AFF1F" w14:textId="77777777" w:rsidR="00A731E1" w:rsidRPr="006C68D3" w:rsidRDefault="00043197">
      <w:pPr>
        <w:numPr>
          <w:ilvl w:val="0"/>
          <w:numId w:val="1"/>
        </w:numPr>
        <w:pBdr>
          <w:top w:val="nil"/>
          <w:left w:val="nil"/>
          <w:bottom w:val="nil"/>
          <w:right w:val="nil"/>
          <w:between w:val="nil"/>
        </w:pBdr>
        <w:spacing w:before="100" w:after="200"/>
        <w:jc w:val="left"/>
        <w:rPr>
          <w:rFonts w:eastAsia="Arial"/>
          <w:b/>
          <w:color w:val="000000"/>
          <w:szCs w:val="24"/>
        </w:rPr>
      </w:pPr>
      <w:r w:rsidRPr="006C68D3">
        <w:rPr>
          <w:rFonts w:eastAsia="Arial"/>
          <w:color w:val="000000"/>
          <w:szCs w:val="24"/>
        </w:rPr>
        <w:t>[</w:t>
      </w:r>
      <w:r w:rsidRPr="006C68D3">
        <w:rPr>
          <w:rFonts w:eastAsia="Arial"/>
          <w:color w:val="000000"/>
          <w:szCs w:val="24"/>
          <w:highlight w:val="yellow"/>
        </w:rPr>
        <w:t>Key-Subcontractors]</w:t>
      </w:r>
      <w:r w:rsidRPr="006C68D3">
        <w:rPr>
          <w:rFonts w:eastAsia="Arial"/>
          <w:color w:val="000000"/>
          <w:szCs w:val="24"/>
        </w:rPr>
        <w:t xml:space="preserve">; and </w:t>
      </w:r>
    </w:p>
    <w:p w14:paraId="35BA3AC1" w14:textId="77777777" w:rsidR="00A731E1" w:rsidRPr="006C68D3" w:rsidRDefault="00043197">
      <w:pPr>
        <w:numPr>
          <w:ilvl w:val="0"/>
          <w:numId w:val="1"/>
        </w:numPr>
        <w:pBdr>
          <w:top w:val="nil"/>
          <w:left w:val="nil"/>
          <w:bottom w:val="nil"/>
          <w:right w:val="nil"/>
          <w:between w:val="nil"/>
        </w:pBdr>
        <w:spacing w:before="100" w:after="200"/>
        <w:jc w:val="left"/>
        <w:rPr>
          <w:rFonts w:eastAsia="Arial"/>
          <w:b/>
          <w:color w:val="000000"/>
          <w:szCs w:val="24"/>
        </w:rPr>
      </w:pPr>
      <w:r w:rsidRPr="006C68D3">
        <w:rPr>
          <w:rFonts w:eastAsia="Arial"/>
          <w:color w:val="000000"/>
          <w:szCs w:val="24"/>
        </w:rPr>
        <w:t>[</w:t>
      </w:r>
      <w:r w:rsidRPr="006C68D3">
        <w:rPr>
          <w:rFonts w:eastAsia="Arial"/>
          <w:color w:val="000000"/>
          <w:szCs w:val="24"/>
          <w:highlight w:val="yellow"/>
        </w:rPr>
        <w:t>Monitored Suppliers</w:t>
      </w:r>
      <w:r w:rsidRPr="006C68D3">
        <w:rPr>
          <w:rFonts w:eastAsia="Arial"/>
          <w:color w:val="000000"/>
          <w:szCs w:val="24"/>
        </w:rPr>
        <w:t>]];</w:t>
      </w:r>
    </w:p>
    <w:p w14:paraId="446CC692"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 xml:space="preserve">Part </w:t>
      </w:r>
      <w:bookmarkStart w:id="59" w:name="Ann3_Part_B"/>
      <w:r w:rsidRPr="006C68D3">
        <w:rPr>
          <w:rFonts w:eastAsia="Arial"/>
          <w:b/>
          <w:color w:val="000000"/>
          <w:szCs w:val="24"/>
        </w:rPr>
        <w:t>B</w:t>
      </w:r>
      <w:bookmarkEnd w:id="59"/>
      <w:r w:rsidRPr="006C68D3">
        <w:rPr>
          <w:rFonts w:eastAsia="Arial"/>
          <w:b/>
          <w:color w:val="000000"/>
          <w:szCs w:val="24"/>
        </w:rPr>
        <w:t>: Monitored Suppliers</w:t>
      </w:r>
    </w:p>
    <w:tbl>
      <w:tblPr>
        <w:tblStyle w:val="a6"/>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4"/>
        <w:gridCol w:w="2254"/>
        <w:gridCol w:w="4985"/>
      </w:tblGrid>
      <w:tr w:rsidR="00A731E1" w:rsidRPr="006C68D3" w14:paraId="154D7A44" w14:textId="77777777">
        <w:tc>
          <w:tcPr>
            <w:tcW w:w="2254" w:type="dxa"/>
            <w:shd w:val="clear" w:color="auto" w:fill="D9D9D9"/>
          </w:tcPr>
          <w:p w14:paraId="5DF548D1" w14:textId="4C3603EE" w:rsidR="00A731E1" w:rsidRPr="006C68D3" w:rsidRDefault="00043197">
            <w:pPr>
              <w:rPr>
                <w:rFonts w:eastAsia="Arial"/>
                <w:szCs w:val="24"/>
              </w:rPr>
            </w:pPr>
            <w:r w:rsidRPr="006C68D3">
              <w:rPr>
                <w:rFonts w:eastAsia="Arial"/>
                <w:b/>
                <w:szCs w:val="24"/>
              </w:rPr>
              <w:t>Entity Name</w:t>
            </w:r>
          </w:p>
        </w:tc>
        <w:tc>
          <w:tcPr>
            <w:tcW w:w="2254" w:type="dxa"/>
            <w:shd w:val="clear" w:color="auto" w:fill="D9D9D9"/>
          </w:tcPr>
          <w:p w14:paraId="25F76453" w14:textId="77777777" w:rsidR="00A731E1" w:rsidRPr="006C68D3" w:rsidRDefault="00043197">
            <w:pPr>
              <w:rPr>
                <w:rFonts w:eastAsia="Arial"/>
                <w:b/>
                <w:szCs w:val="24"/>
              </w:rPr>
            </w:pPr>
            <w:r w:rsidRPr="006C68D3">
              <w:rPr>
                <w:rFonts w:eastAsia="Arial"/>
                <w:b/>
                <w:szCs w:val="24"/>
              </w:rPr>
              <w:t>Company Number</w:t>
            </w:r>
          </w:p>
        </w:tc>
        <w:tc>
          <w:tcPr>
            <w:tcW w:w="4985" w:type="dxa"/>
            <w:shd w:val="clear" w:color="auto" w:fill="D9D9D9"/>
          </w:tcPr>
          <w:p w14:paraId="1ED09B4C" w14:textId="77777777" w:rsidR="00A731E1" w:rsidRPr="006C68D3" w:rsidRDefault="00043197">
            <w:pPr>
              <w:rPr>
                <w:rFonts w:eastAsia="Arial"/>
                <w:b/>
                <w:szCs w:val="24"/>
              </w:rPr>
            </w:pPr>
            <w:r w:rsidRPr="006C68D3">
              <w:rPr>
                <w:rFonts w:eastAsia="Arial"/>
                <w:b/>
                <w:szCs w:val="24"/>
              </w:rPr>
              <w:t>Applicable Financial Indicators</w:t>
            </w:r>
          </w:p>
          <w:p w14:paraId="43E26F9A" w14:textId="77777777" w:rsidR="00A731E1" w:rsidRPr="006C68D3" w:rsidRDefault="00A731E1">
            <w:pPr>
              <w:rPr>
                <w:rFonts w:eastAsia="Arial"/>
                <w:b/>
                <w:szCs w:val="24"/>
              </w:rPr>
            </w:pPr>
          </w:p>
          <w:p w14:paraId="60E03B3D" w14:textId="38BC01D6" w:rsidR="00A731E1" w:rsidRPr="006C68D3" w:rsidRDefault="00043197">
            <w:pPr>
              <w:rPr>
                <w:rFonts w:eastAsia="Arial"/>
                <w:b/>
                <w:szCs w:val="24"/>
              </w:rPr>
            </w:pPr>
            <w:r w:rsidRPr="006C68D3">
              <w:rPr>
                <w:rFonts w:eastAsia="Arial"/>
                <w:b/>
                <w:szCs w:val="24"/>
              </w:rPr>
              <w:t xml:space="preserve">(these are the Financial Indicators from the table in Part </w:t>
            </w:r>
            <w:r w:rsidR="002238CF">
              <w:rPr>
                <w:rFonts w:eastAsia="Arial"/>
                <w:b/>
                <w:szCs w:val="24"/>
              </w:rPr>
              <w:fldChar w:fldCharType="begin"/>
            </w:r>
            <w:r w:rsidR="002238CF">
              <w:rPr>
                <w:rFonts w:eastAsia="Arial"/>
                <w:b/>
                <w:szCs w:val="24"/>
              </w:rPr>
              <w:instrText xml:space="preserve"> REF Ann2_Part_C \h </w:instrText>
            </w:r>
            <w:r w:rsidR="002238CF">
              <w:rPr>
                <w:rFonts w:eastAsia="Arial"/>
                <w:b/>
                <w:szCs w:val="24"/>
              </w:rPr>
            </w:r>
            <w:r w:rsidR="002238CF">
              <w:rPr>
                <w:rFonts w:eastAsia="Arial"/>
                <w:b/>
                <w:szCs w:val="24"/>
              </w:rPr>
              <w:fldChar w:fldCharType="separate"/>
            </w:r>
            <w:r w:rsidR="006772B1" w:rsidRPr="006C68D3">
              <w:rPr>
                <w:rFonts w:eastAsia="Arial"/>
                <w:b/>
                <w:szCs w:val="24"/>
              </w:rPr>
              <w:t>C</w:t>
            </w:r>
            <w:r w:rsidR="002238CF">
              <w:rPr>
                <w:rFonts w:eastAsia="Arial"/>
                <w:b/>
                <w:szCs w:val="24"/>
              </w:rPr>
              <w:fldChar w:fldCharType="end"/>
            </w:r>
            <w:r w:rsidRPr="006C68D3">
              <w:rPr>
                <w:rFonts w:eastAsia="Arial"/>
                <w:b/>
                <w:szCs w:val="24"/>
              </w:rPr>
              <w:t xml:space="preserve"> of Annex </w:t>
            </w:r>
            <w:r w:rsidR="002238CF">
              <w:rPr>
                <w:rFonts w:eastAsia="Arial"/>
                <w:b/>
                <w:szCs w:val="24"/>
              </w:rPr>
              <w:fldChar w:fldCharType="begin"/>
            </w:r>
            <w:r w:rsidR="002238CF">
              <w:rPr>
                <w:rFonts w:eastAsia="Arial"/>
                <w:b/>
                <w:szCs w:val="24"/>
              </w:rPr>
              <w:instrText xml:space="preserve"> REF Ann_2 \h </w:instrText>
            </w:r>
            <w:r w:rsidR="002238CF">
              <w:rPr>
                <w:rFonts w:eastAsia="Arial"/>
                <w:b/>
                <w:szCs w:val="24"/>
              </w:rPr>
            </w:r>
            <w:r w:rsidR="002238CF">
              <w:rPr>
                <w:rFonts w:eastAsia="Arial"/>
                <w:b/>
                <w:szCs w:val="24"/>
              </w:rPr>
              <w:fldChar w:fldCharType="separate"/>
            </w:r>
            <w:r w:rsidR="006772B1" w:rsidRPr="006C68D3">
              <w:rPr>
                <w:rFonts w:eastAsia="Arial"/>
                <w:b/>
                <w:smallCaps/>
                <w:color w:val="000000"/>
                <w:szCs w:val="24"/>
              </w:rPr>
              <w:t>2</w:t>
            </w:r>
            <w:r w:rsidR="002238CF">
              <w:rPr>
                <w:rFonts w:eastAsia="Arial"/>
                <w:b/>
                <w:szCs w:val="24"/>
              </w:rPr>
              <w:fldChar w:fldCharType="end"/>
            </w:r>
            <w:r w:rsidRPr="006C68D3">
              <w:rPr>
                <w:rFonts w:eastAsia="Arial"/>
                <w:b/>
                <w:szCs w:val="24"/>
              </w:rPr>
              <w:t xml:space="preserve"> which are to apply to the Monitored Suppliers)</w:t>
            </w:r>
          </w:p>
        </w:tc>
      </w:tr>
      <w:tr w:rsidR="00A731E1" w:rsidRPr="006C68D3" w14:paraId="16CA2073" w14:textId="77777777">
        <w:tc>
          <w:tcPr>
            <w:tcW w:w="2254" w:type="dxa"/>
          </w:tcPr>
          <w:p w14:paraId="585833C8" w14:textId="77777777" w:rsidR="00A731E1" w:rsidRPr="006C68D3" w:rsidRDefault="00A731E1">
            <w:pPr>
              <w:rPr>
                <w:rFonts w:eastAsia="Arial"/>
                <w:szCs w:val="24"/>
              </w:rPr>
            </w:pPr>
          </w:p>
        </w:tc>
        <w:tc>
          <w:tcPr>
            <w:tcW w:w="2254" w:type="dxa"/>
          </w:tcPr>
          <w:p w14:paraId="4AC75885" w14:textId="77777777" w:rsidR="00A731E1" w:rsidRPr="006C68D3" w:rsidRDefault="00A731E1">
            <w:pPr>
              <w:rPr>
                <w:rFonts w:eastAsia="Arial"/>
                <w:szCs w:val="24"/>
              </w:rPr>
            </w:pPr>
          </w:p>
          <w:p w14:paraId="5C9BD07D" w14:textId="77777777" w:rsidR="00A731E1" w:rsidRPr="006C68D3" w:rsidRDefault="00A731E1">
            <w:pPr>
              <w:rPr>
                <w:rFonts w:eastAsia="Arial"/>
                <w:szCs w:val="24"/>
              </w:rPr>
            </w:pPr>
          </w:p>
        </w:tc>
        <w:tc>
          <w:tcPr>
            <w:tcW w:w="4985" w:type="dxa"/>
          </w:tcPr>
          <w:p w14:paraId="609A3402" w14:textId="77777777" w:rsidR="00A731E1" w:rsidRPr="006C68D3" w:rsidRDefault="00A731E1">
            <w:pPr>
              <w:rPr>
                <w:rFonts w:eastAsia="Arial"/>
                <w:szCs w:val="24"/>
              </w:rPr>
            </w:pPr>
          </w:p>
        </w:tc>
      </w:tr>
      <w:tr w:rsidR="00A731E1" w:rsidRPr="006C68D3" w14:paraId="6A5C89EC" w14:textId="77777777">
        <w:tc>
          <w:tcPr>
            <w:tcW w:w="2254" w:type="dxa"/>
          </w:tcPr>
          <w:p w14:paraId="634B8895" w14:textId="77777777" w:rsidR="00A731E1" w:rsidRPr="006C68D3" w:rsidRDefault="00A731E1">
            <w:pPr>
              <w:rPr>
                <w:rFonts w:eastAsia="Arial"/>
                <w:szCs w:val="24"/>
              </w:rPr>
            </w:pPr>
          </w:p>
        </w:tc>
        <w:tc>
          <w:tcPr>
            <w:tcW w:w="2254" w:type="dxa"/>
          </w:tcPr>
          <w:p w14:paraId="63C3ADCB" w14:textId="77777777" w:rsidR="00A731E1" w:rsidRPr="006C68D3" w:rsidRDefault="00A731E1">
            <w:pPr>
              <w:rPr>
                <w:rFonts w:eastAsia="Arial"/>
                <w:szCs w:val="24"/>
              </w:rPr>
            </w:pPr>
          </w:p>
          <w:p w14:paraId="64EF33A3" w14:textId="77777777" w:rsidR="00A731E1" w:rsidRPr="006C68D3" w:rsidRDefault="00A731E1">
            <w:pPr>
              <w:rPr>
                <w:rFonts w:eastAsia="Arial"/>
                <w:szCs w:val="24"/>
              </w:rPr>
            </w:pPr>
          </w:p>
        </w:tc>
        <w:tc>
          <w:tcPr>
            <w:tcW w:w="4985" w:type="dxa"/>
          </w:tcPr>
          <w:p w14:paraId="479CEDD3" w14:textId="77777777" w:rsidR="00A731E1" w:rsidRPr="006C68D3" w:rsidRDefault="00A731E1">
            <w:pPr>
              <w:rPr>
                <w:rFonts w:eastAsia="Arial"/>
                <w:szCs w:val="24"/>
              </w:rPr>
            </w:pPr>
          </w:p>
        </w:tc>
      </w:tr>
      <w:tr w:rsidR="00A731E1" w:rsidRPr="006C68D3" w14:paraId="2132C91B" w14:textId="77777777">
        <w:tc>
          <w:tcPr>
            <w:tcW w:w="2254" w:type="dxa"/>
          </w:tcPr>
          <w:p w14:paraId="7B240D81" w14:textId="77777777" w:rsidR="00A731E1" w:rsidRPr="006C68D3" w:rsidRDefault="00A731E1">
            <w:pPr>
              <w:rPr>
                <w:rFonts w:eastAsia="Arial"/>
                <w:szCs w:val="24"/>
              </w:rPr>
            </w:pPr>
          </w:p>
        </w:tc>
        <w:tc>
          <w:tcPr>
            <w:tcW w:w="2254" w:type="dxa"/>
          </w:tcPr>
          <w:p w14:paraId="312707D9" w14:textId="77777777" w:rsidR="00A731E1" w:rsidRPr="006C68D3" w:rsidRDefault="00A731E1">
            <w:pPr>
              <w:rPr>
                <w:rFonts w:eastAsia="Arial"/>
                <w:szCs w:val="24"/>
              </w:rPr>
            </w:pPr>
          </w:p>
          <w:p w14:paraId="4164DE95" w14:textId="77777777" w:rsidR="00A731E1" w:rsidRPr="006C68D3" w:rsidRDefault="00A731E1">
            <w:pPr>
              <w:rPr>
                <w:rFonts w:eastAsia="Arial"/>
                <w:szCs w:val="24"/>
              </w:rPr>
            </w:pPr>
          </w:p>
        </w:tc>
        <w:tc>
          <w:tcPr>
            <w:tcW w:w="4985" w:type="dxa"/>
          </w:tcPr>
          <w:p w14:paraId="55BBD04C" w14:textId="77777777" w:rsidR="00A731E1" w:rsidRPr="006C68D3" w:rsidRDefault="00A731E1">
            <w:pPr>
              <w:rPr>
                <w:rFonts w:eastAsia="Arial"/>
                <w:szCs w:val="24"/>
              </w:rPr>
            </w:pPr>
          </w:p>
        </w:tc>
      </w:tr>
      <w:tr w:rsidR="00A731E1" w:rsidRPr="006C68D3" w14:paraId="584933A3" w14:textId="77777777">
        <w:tc>
          <w:tcPr>
            <w:tcW w:w="2254" w:type="dxa"/>
          </w:tcPr>
          <w:p w14:paraId="3459CDF3" w14:textId="77777777" w:rsidR="00A731E1" w:rsidRPr="006C68D3" w:rsidRDefault="00A731E1">
            <w:pPr>
              <w:rPr>
                <w:rFonts w:eastAsia="Arial"/>
                <w:szCs w:val="24"/>
              </w:rPr>
            </w:pPr>
          </w:p>
        </w:tc>
        <w:tc>
          <w:tcPr>
            <w:tcW w:w="2254" w:type="dxa"/>
          </w:tcPr>
          <w:p w14:paraId="743EC581" w14:textId="77777777" w:rsidR="00A731E1" w:rsidRPr="006C68D3" w:rsidRDefault="00A731E1">
            <w:pPr>
              <w:rPr>
                <w:rFonts w:eastAsia="Arial"/>
                <w:szCs w:val="24"/>
              </w:rPr>
            </w:pPr>
          </w:p>
          <w:p w14:paraId="272BEB16" w14:textId="77777777" w:rsidR="00A731E1" w:rsidRPr="006C68D3" w:rsidRDefault="00A731E1">
            <w:pPr>
              <w:rPr>
                <w:rFonts w:eastAsia="Arial"/>
                <w:szCs w:val="24"/>
              </w:rPr>
            </w:pPr>
          </w:p>
        </w:tc>
        <w:tc>
          <w:tcPr>
            <w:tcW w:w="4985" w:type="dxa"/>
          </w:tcPr>
          <w:p w14:paraId="5AE68355" w14:textId="77777777" w:rsidR="00A731E1" w:rsidRPr="006C68D3" w:rsidRDefault="00A731E1">
            <w:pPr>
              <w:rPr>
                <w:rFonts w:eastAsia="Arial"/>
                <w:szCs w:val="24"/>
              </w:rPr>
            </w:pPr>
          </w:p>
        </w:tc>
      </w:tr>
      <w:tr w:rsidR="00A731E1" w:rsidRPr="006C68D3" w14:paraId="794D0DF4" w14:textId="77777777">
        <w:tc>
          <w:tcPr>
            <w:tcW w:w="2254" w:type="dxa"/>
          </w:tcPr>
          <w:p w14:paraId="0B4ED34D" w14:textId="77777777" w:rsidR="00A731E1" w:rsidRPr="006C68D3" w:rsidRDefault="00A731E1">
            <w:pPr>
              <w:rPr>
                <w:rFonts w:eastAsia="Arial"/>
                <w:szCs w:val="24"/>
              </w:rPr>
            </w:pPr>
          </w:p>
        </w:tc>
        <w:tc>
          <w:tcPr>
            <w:tcW w:w="2254" w:type="dxa"/>
          </w:tcPr>
          <w:p w14:paraId="6A0CF7B4" w14:textId="77777777" w:rsidR="00A731E1" w:rsidRPr="006C68D3" w:rsidRDefault="00A731E1">
            <w:pPr>
              <w:rPr>
                <w:rFonts w:eastAsia="Arial"/>
                <w:szCs w:val="24"/>
              </w:rPr>
            </w:pPr>
          </w:p>
          <w:p w14:paraId="0E87A037" w14:textId="77777777" w:rsidR="00A731E1" w:rsidRPr="006C68D3" w:rsidRDefault="00A731E1">
            <w:pPr>
              <w:rPr>
                <w:rFonts w:eastAsia="Arial"/>
                <w:szCs w:val="24"/>
              </w:rPr>
            </w:pPr>
          </w:p>
        </w:tc>
        <w:tc>
          <w:tcPr>
            <w:tcW w:w="4985" w:type="dxa"/>
          </w:tcPr>
          <w:p w14:paraId="041A2012" w14:textId="77777777" w:rsidR="00A731E1" w:rsidRPr="006C68D3" w:rsidRDefault="00A731E1">
            <w:pPr>
              <w:rPr>
                <w:rFonts w:eastAsia="Arial"/>
                <w:szCs w:val="24"/>
              </w:rPr>
            </w:pPr>
          </w:p>
        </w:tc>
      </w:tr>
    </w:tbl>
    <w:p w14:paraId="1C1D4B6B" w14:textId="77777777" w:rsidR="00A731E1" w:rsidRPr="006C68D3" w:rsidRDefault="00A731E1">
      <w:pPr>
        <w:spacing w:after="0"/>
        <w:rPr>
          <w:rFonts w:eastAsia="Arial"/>
          <w:szCs w:val="24"/>
        </w:rPr>
      </w:pPr>
    </w:p>
    <w:p w14:paraId="2AE3126D" w14:textId="77777777" w:rsidR="00A731E1" w:rsidRPr="006C68D3" w:rsidRDefault="00A731E1">
      <w:pPr>
        <w:rPr>
          <w:rFonts w:eastAsia="Arial"/>
          <w:szCs w:val="24"/>
        </w:rPr>
      </w:pPr>
    </w:p>
    <w:p w14:paraId="6446AF2B" w14:textId="77777777" w:rsidR="00A731E1" w:rsidRPr="006C68D3" w:rsidRDefault="00A731E1">
      <w:pPr>
        <w:rPr>
          <w:rFonts w:eastAsia="Arial"/>
          <w:szCs w:val="24"/>
        </w:rPr>
      </w:pPr>
    </w:p>
    <w:sectPr w:rsidR="00A731E1" w:rsidRPr="006C68D3">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B4F06" w14:textId="77777777" w:rsidR="001E1710" w:rsidRDefault="00043197">
      <w:pPr>
        <w:spacing w:after="0"/>
      </w:pPr>
      <w:r>
        <w:separator/>
      </w:r>
    </w:p>
  </w:endnote>
  <w:endnote w:type="continuationSeparator" w:id="0">
    <w:p w14:paraId="2934E990" w14:textId="77777777" w:rsidR="001E1710" w:rsidRDefault="00043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24FB4" w14:textId="77777777" w:rsidR="00922F47" w:rsidRDefault="00922F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F287F" w14:textId="319469B4" w:rsidR="00A731E1" w:rsidRDefault="00272C4A" w:rsidP="006C68D3">
    <w:pPr>
      <w:tabs>
        <w:tab w:val="center" w:pos="4513"/>
        <w:tab w:val="right" w:pos="9026"/>
      </w:tabs>
      <w:spacing w:after="0"/>
      <w:rPr>
        <w:rFonts w:eastAsia="Arial"/>
        <w:color w:val="BFBFBF"/>
        <w:sz w:val="20"/>
        <w:szCs w:val="20"/>
      </w:rPr>
    </w:pPr>
    <w:r>
      <w:rPr>
        <w:rFonts w:eastAsia="Arial"/>
        <w:noProof/>
        <w:color w:val="BFBFBF"/>
        <w:sz w:val="20"/>
        <w:szCs w:val="20"/>
      </w:rPr>
      <mc:AlternateContent>
        <mc:Choice Requires="wps">
          <w:drawing>
            <wp:anchor distT="0" distB="0" distL="114300" distR="114300" simplePos="0" relativeHeight="251659264" behindDoc="0" locked="0" layoutInCell="0" allowOverlap="1" wp14:anchorId="25A7DFCE" wp14:editId="63B1EBCC">
              <wp:simplePos x="0" y="0"/>
              <wp:positionH relativeFrom="page">
                <wp:posOffset>0</wp:posOffset>
              </wp:positionH>
              <wp:positionV relativeFrom="page">
                <wp:posOffset>10227945</wp:posOffset>
              </wp:positionV>
              <wp:extent cx="7560310" cy="273050"/>
              <wp:effectExtent l="0" t="0" r="0" b="12700"/>
              <wp:wrapNone/>
              <wp:docPr id="1" name="MSIPCM8d124f3fb59f1c7557e487a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F637193" w14:textId="3C9E179B" w:rsidR="00272C4A" w:rsidRPr="00272C4A" w:rsidRDefault="00272C4A" w:rsidP="00272C4A">
                          <w:pPr>
                            <w:spacing w:after="0"/>
                            <w:jc w:val="center"/>
                            <w:rPr>
                              <w:rFonts w:ascii="Calibri" w:hAnsi="Calibri" w:cs="Calibri"/>
                              <w:color w:val="000000"/>
                              <w:sz w:val="20"/>
                            </w:rPr>
                          </w:pPr>
                          <w:r w:rsidRPr="00272C4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5A7DFCE" id="_x0000_t202" coordsize="21600,21600" o:spt="202" path="m,l,21600r21600,l21600,xe">
              <v:stroke joinstyle="miter"/>
              <v:path gradientshapeok="t" o:connecttype="rect"/>
            </v:shapetype>
            <v:shape id="MSIPCM8d124f3fb59f1c7557e487a2"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2F637193" w14:textId="3C9E179B" w:rsidR="00272C4A" w:rsidRPr="00272C4A" w:rsidRDefault="00272C4A" w:rsidP="00272C4A">
                    <w:pPr>
                      <w:spacing w:after="0"/>
                      <w:jc w:val="center"/>
                      <w:rPr>
                        <w:rFonts w:ascii="Calibri" w:hAnsi="Calibri" w:cs="Calibri"/>
                        <w:color w:val="000000"/>
                        <w:sz w:val="20"/>
                      </w:rPr>
                    </w:pPr>
                    <w:r w:rsidRPr="00272C4A">
                      <w:rPr>
                        <w:rFonts w:ascii="Calibri" w:hAnsi="Calibri" w:cs="Calibri"/>
                        <w:color w:val="000000"/>
                        <w:sz w:val="20"/>
                      </w:rPr>
                      <w:t>OFFICIAL</w:t>
                    </w:r>
                  </w:p>
                </w:txbxContent>
              </v:textbox>
              <w10:wrap anchorx="page" anchory="page"/>
            </v:shape>
          </w:pict>
        </mc:Fallback>
      </mc:AlternateContent>
    </w:r>
    <w:r w:rsidR="005B22F1">
      <w:rPr>
        <w:rFonts w:eastAsia="Arial"/>
        <w:color w:val="BFBFBF"/>
        <w:sz w:val="20"/>
        <w:szCs w:val="20"/>
      </w:rPr>
      <w:t>v.1.2</w:t>
    </w:r>
    <w:r w:rsidR="006C68D3">
      <w:rPr>
        <w:rFonts w:eastAsia="Arial"/>
        <w:color w:val="BFBFBF"/>
        <w:sz w:val="20"/>
        <w:szCs w:val="20"/>
      </w:rPr>
      <w:tab/>
    </w:r>
    <w:r w:rsidR="00043197">
      <w:rPr>
        <w:rFonts w:eastAsia="Arial"/>
        <w:color w:val="BFBFBF"/>
        <w:sz w:val="20"/>
        <w:szCs w:val="20"/>
      </w:rPr>
      <w:tab/>
      <w:t xml:space="preserve"> </w:t>
    </w:r>
    <w:r w:rsidR="00043197">
      <w:rPr>
        <w:rFonts w:eastAsia="Arial"/>
        <w:color w:val="BFBFBF"/>
        <w:sz w:val="20"/>
        <w:szCs w:val="20"/>
      </w:rPr>
      <w:fldChar w:fldCharType="begin"/>
    </w:r>
    <w:r w:rsidR="00043197">
      <w:rPr>
        <w:rFonts w:eastAsia="Arial"/>
        <w:color w:val="BFBFBF"/>
        <w:sz w:val="20"/>
        <w:szCs w:val="20"/>
      </w:rPr>
      <w:instrText>PAGE</w:instrText>
    </w:r>
    <w:r w:rsidR="00043197">
      <w:rPr>
        <w:rFonts w:eastAsia="Arial"/>
        <w:color w:val="BFBFBF"/>
        <w:sz w:val="20"/>
        <w:szCs w:val="20"/>
      </w:rPr>
      <w:fldChar w:fldCharType="separate"/>
    </w:r>
    <w:r w:rsidR="0049582C">
      <w:rPr>
        <w:rFonts w:eastAsia="Arial"/>
        <w:noProof/>
        <w:color w:val="BFBFBF"/>
        <w:sz w:val="20"/>
        <w:szCs w:val="20"/>
      </w:rPr>
      <w:t>1</w:t>
    </w:r>
    <w:r w:rsidR="00043197">
      <w:rPr>
        <w:rFonts w:eastAsia="Arial"/>
        <w:color w:val="BFBFBF"/>
        <w:sz w:val="20"/>
        <w:szCs w:val="20"/>
      </w:rPr>
      <w:fldChar w:fldCharType="end"/>
    </w:r>
  </w:p>
  <w:p w14:paraId="4C713EE4" w14:textId="77777777" w:rsidR="00A731E1" w:rsidRDefault="00A731E1">
    <w:pPr>
      <w:pBdr>
        <w:top w:val="nil"/>
        <w:left w:val="nil"/>
        <w:bottom w:val="nil"/>
        <w:right w:val="nil"/>
        <w:between w:val="nil"/>
      </w:pBdr>
      <w:tabs>
        <w:tab w:val="center" w:pos="4513"/>
        <w:tab w:val="right" w:pos="9026"/>
      </w:tabs>
      <w:spacing w:after="0"/>
      <w:rPr>
        <w:rFonts w:eastAsia="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ACA0" w14:textId="77777777" w:rsidR="00A731E1" w:rsidRDefault="00043197">
    <w:pPr>
      <w:tabs>
        <w:tab w:val="center" w:pos="4513"/>
        <w:tab w:val="right" w:pos="9026"/>
      </w:tabs>
      <w:spacing w:after="0"/>
      <w:rPr>
        <w:color w:val="BFBFBF"/>
      </w:rPr>
    </w:pPr>
    <w:r>
      <w:rPr>
        <w:color w:val="BFBFBF"/>
      </w:rPr>
      <w:t>Framework Ref: RM</w:t>
    </w:r>
    <w:r>
      <w:rPr>
        <w:color w:val="BFBFBF"/>
      </w:rPr>
      <w:tab/>
      <w:t xml:space="preserve">                                           </w:t>
    </w:r>
  </w:p>
  <w:p w14:paraId="506A623F" w14:textId="77777777" w:rsidR="00A731E1" w:rsidRDefault="00043197">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sidR="00272C4A">
      <w:rPr>
        <w:color w:val="BFBFBF"/>
      </w:rPr>
      <w:fldChar w:fldCharType="separate"/>
    </w:r>
    <w:r>
      <w:rPr>
        <w:color w:val="BFBFBF"/>
      </w:rPr>
      <w:fldChar w:fldCharType="end"/>
    </w:r>
  </w:p>
  <w:p w14:paraId="1C47E8ED" w14:textId="77777777" w:rsidR="00A731E1" w:rsidRDefault="00043197">
    <w:pPr>
      <w:spacing w:after="0"/>
      <w:rPr>
        <w:rFonts w:eastAsia="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52ACA" w14:textId="77777777" w:rsidR="001E1710" w:rsidRDefault="00043197">
      <w:pPr>
        <w:spacing w:after="0"/>
      </w:pPr>
      <w:r>
        <w:separator/>
      </w:r>
    </w:p>
  </w:footnote>
  <w:footnote w:type="continuationSeparator" w:id="0">
    <w:p w14:paraId="4C9A8195" w14:textId="77777777" w:rsidR="001E1710" w:rsidRDefault="000431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A6C35" w14:textId="77777777" w:rsidR="00922F47" w:rsidRDefault="00922F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9CFB" w14:textId="7C939807" w:rsidR="00A731E1" w:rsidRDefault="00A731E1">
    <w:pPr>
      <w:pBdr>
        <w:top w:val="nil"/>
        <w:left w:val="nil"/>
        <w:bottom w:val="nil"/>
        <w:right w:val="nil"/>
        <w:between w:val="nil"/>
      </w:pBdr>
      <w:tabs>
        <w:tab w:val="center" w:pos="4513"/>
        <w:tab w:val="right" w:pos="9026"/>
      </w:tabs>
      <w:spacing w:after="0"/>
      <w:rPr>
        <w:rFonts w:eastAsia="Arial"/>
        <w:color w:val="000000"/>
        <w:sz w:val="20"/>
        <w:szCs w:val="20"/>
      </w:rPr>
    </w:pPr>
  </w:p>
  <w:p w14:paraId="23C20B0C" w14:textId="5DB71EDD" w:rsidR="006C68D3" w:rsidRPr="005B22F1" w:rsidRDefault="00043197">
    <w:pPr>
      <w:pBdr>
        <w:top w:val="nil"/>
        <w:left w:val="nil"/>
        <w:bottom w:val="nil"/>
        <w:right w:val="nil"/>
        <w:between w:val="nil"/>
      </w:pBdr>
      <w:tabs>
        <w:tab w:val="center" w:pos="4513"/>
        <w:tab w:val="right" w:pos="9026"/>
      </w:tabs>
      <w:spacing w:after="0"/>
      <w:rPr>
        <w:rFonts w:eastAsia="Arial"/>
        <w:bCs/>
        <w:color w:val="000000"/>
        <w:sz w:val="20"/>
        <w:szCs w:val="20"/>
      </w:rPr>
    </w:pPr>
    <w:r w:rsidRPr="005B22F1">
      <w:rPr>
        <w:rFonts w:eastAsia="Arial"/>
        <w:bCs/>
        <w:color w:val="000000"/>
        <w:sz w:val="20"/>
        <w:szCs w:val="20"/>
      </w:rPr>
      <w:t>Schedule 24 (Financial Difficulties)</w:t>
    </w:r>
    <w:r w:rsidR="005B22F1" w:rsidRPr="005B22F1">
      <w:rPr>
        <w:rFonts w:eastAsia="Arial"/>
        <w:bCs/>
        <w:color w:val="000000"/>
        <w:sz w:val="20"/>
        <w:szCs w:val="20"/>
      </w:rPr>
      <w:t xml:space="preserve">, </w:t>
    </w:r>
    <w:r w:rsidRPr="005B22F1">
      <w:rPr>
        <w:rFonts w:eastAsia="Arial"/>
        <w:bCs/>
        <w:color w:val="000000"/>
        <w:sz w:val="20"/>
        <w:szCs w:val="20"/>
      </w:rPr>
      <w:t>Crown Copyright</w:t>
    </w:r>
    <w:r w:rsidRPr="005B22F1">
      <w:rPr>
        <w:rFonts w:eastAsia="Arial"/>
        <w:bCs/>
        <w:color w:val="000000"/>
        <w:sz w:val="14"/>
        <w:szCs w:val="14"/>
      </w:rPr>
      <w:t xml:space="preserve"> </w:t>
    </w:r>
    <w:r w:rsidRPr="005B22F1">
      <w:rPr>
        <w:rFonts w:eastAsia="Arial"/>
        <w:bCs/>
        <w:color w:val="000000"/>
        <w:sz w:val="20"/>
        <w:szCs w:val="20"/>
      </w:rPr>
      <w:t>202</w:t>
    </w:r>
    <w:r w:rsidR="006C68D3" w:rsidRPr="005B22F1">
      <w:rPr>
        <w:rFonts w:eastAsia="Arial"/>
        <w:bCs/>
        <w:color w:val="000000"/>
        <w:sz w:val="20"/>
        <w:szCs w:val="20"/>
      </w:rPr>
      <w:t>3</w:t>
    </w:r>
    <w:r w:rsidR="005B22F1" w:rsidRPr="005B22F1">
      <w:rPr>
        <w:rFonts w:eastAsia="Arial"/>
        <w:bCs/>
        <w:color w:val="000000"/>
        <w:sz w:val="20"/>
        <w:szCs w:val="20"/>
      </w:rPr>
      <w:t xml:space="preserve">, </w:t>
    </w:r>
    <w:r w:rsidR="006C68D3" w:rsidRPr="005B22F1">
      <w:rPr>
        <w:rFonts w:eastAsia="Arial"/>
        <w:bCs/>
        <w:color w:val="000000"/>
        <w:sz w:val="20"/>
        <w:szCs w:val="20"/>
      </w:rPr>
      <w:t>[Subject to Contract]</w:t>
    </w:r>
  </w:p>
  <w:p w14:paraId="195611AE" w14:textId="77777777" w:rsidR="006C68D3" w:rsidRDefault="006C68D3">
    <w:pPr>
      <w:pBdr>
        <w:top w:val="nil"/>
        <w:left w:val="nil"/>
        <w:bottom w:val="nil"/>
        <w:right w:val="nil"/>
        <w:between w:val="nil"/>
      </w:pBdr>
      <w:tabs>
        <w:tab w:val="center" w:pos="4513"/>
        <w:tab w:val="right" w:pos="9026"/>
      </w:tabs>
      <w:spacing w:after="0"/>
      <w:rPr>
        <w:rFonts w:eastAsia="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0042C" w14:textId="77777777" w:rsidR="00922F47" w:rsidRDefault="00922F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67D28"/>
    <w:multiLevelType w:val="multilevel"/>
    <w:tmpl w:val="3ACCF61C"/>
    <w:lvl w:ilvl="0">
      <w:start w:val="1"/>
      <w:numFmt w:val="decimal"/>
      <w:pStyle w:val="GPSL1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ind w:left="2410"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GPSL5NUMBERED"/>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2DD6379D"/>
    <w:multiLevelType w:val="multilevel"/>
    <w:tmpl w:val="1536FA24"/>
    <w:lvl w:ilvl="0">
      <w:start w:val="1"/>
      <w:numFmt w:val="decimal"/>
      <w:pStyle w:val="GPsDefinition"/>
      <w:lvlText w:val="%1."/>
      <w:lvlJc w:val="left"/>
      <w:pPr>
        <w:ind w:left="360" w:hanging="360"/>
      </w:pPr>
      <w:rPr>
        <w:b w:val="0"/>
        <w:bCs/>
      </w:rPr>
    </w:lvl>
    <w:lvl w:ilvl="1">
      <w:start w:val="1"/>
      <w:numFmt w:val="lowerLetter"/>
      <w:pStyle w:val="GPSDefinitionL2"/>
      <w:lvlText w:val="%2."/>
      <w:lvlJc w:val="left"/>
      <w:pPr>
        <w:ind w:left="1080" w:hanging="360"/>
      </w:pPr>
    </w:lvl>
    <w:lvl w:ilvl="2">
      <w:start w:val="1"/>
      <w:numFmt w:val="lowerRoman"/>
      <w:pStyle w:val="GPSDefinitionL3"/>
      <w:lvlText w:val="%3."/>
      <w:lvlJc w:val="right"/>
      <w:pPr>
        <w:ind w:left="1800" w:hanging="180"/>
      </w:pPr>
    </w:lvl>
    <w:lvl w:ilvl="3">
      <w:start w:val="1"/>
      <w:numFmt w:val="decimal"/>
      <w:pStyle w:val="GPSDefinitionL4"/>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7C826B3C"/>
    <w:multiLevelType w:val="multilevel"/>
    <w:tmpl w:val="7B866750"/>
    <w:lvl w:ilvl="0">
      <w:start w:val="1"/>
      <w:numFmt w:val="decimal"/>
      <w:pStyle w:val="Annex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90299642">
    <w:abstractNumId w:val="1"/>
  </w:num>
  <w:num w:numId="2" w16cid:durableId="2087070319">
    <w:abstractNumId w:val="0"/>
  </w:num>
  <w:num w:numId="3" w16cid:durableId="1831873199">
    <w:abstractNumId w:val="2"/>
  </w:num>
  <w:num w:numId="4" w16cid:durableId="9451124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57:43" w:val="V2 - Amend TRK NV"/>
    <w:docVar w:name="gemDocNotesCount" w:val="1"/>
  </w:docVars>
  <w:rsids>
    <w:rsidRoot w:val="00A731E1"/>
    <w:rsid w:val="00015A95"/>
    <w:rsid w:val="00043197"/>
    <w:rsid w:val="001E1710"/>
    <w:rsid w:val="002238CF"/>
    <w:rsid w:val="00255E03"/>
    <w:rsid w:val="00272C4A"/>
    <w:rsid w:val="002A3D1C"/>
    <w:rsid w:val="0032625E"/>
    <w:rsid w:val="003B55F3"/>
    <w:rsid w:val="003C3D2D"/>
    <w:rsid w:val="0049582C"/>
    <w:rsid w:val="00495A80"/>
    <w:rsid w:val="0057412F"/>
    <w:rsid w:val="005B22F1"/>
    <w:rsid w:val="00607FB8"/>
    <w:rsid w:val="006772B1"/>
    <w:rsid w:val="006C68D3"/>
    <w:rsid w:val="008B696B"/>
    <w:rsid w:val="00922F47"/>
    <w:rsid w:val="00990D23"/>
    <w:rsid w:val="009B22B6"/>
    <w:rsid w:val="00A731E1"/>
    <w:rsid w:val="00B26694"/>
    <w:rsid w:val="00BA58CA"/>
    <w:rsid w:val="00BE660D"/>
    <w:rsid w:val="00C45CED"/>
    <w:rsid w:val="00E126F1"/>
    <w:rsid w:val="00F1158F"/>
    <w:rsid w:val="00F64E18"/>
    <w:rsid w:val="00FA7A0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BFD3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8D3"/>
    <w:pPr>
      <w:overflowPunct w:val="0"/>
      <w:autoSpaceDE w:val="0"/>
      <w:autoSpaceDN w:val="0"/>
      <w:adjustRightInd w:val="0"/>
      <w:textAlignment w:val="baseline"/>
    </w:pPr>
    <w:rPr>
      <w:rFonts w:ascii="Arial" w:eastAsia="Times New Roman" w:hAnsi="Arial" w:cs="Arial"/>
      <w:sz w:val="24"/>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unhideWhenUsed/>
    <w:rPr>
      <w:color w:val="0000FF"/>
      <w:u w:val="single"/>
    </w:rPr>
  </w:style>
  <w:style w:type="table" w:styleId="TableGrid">
    <w:name w:val="Table Grid"/>
    <w:basedOn w:val="TableNormal"/>
    <w:uiPriority w:val="59"/>
    <w:pPr>
      <w:spacing w:after="0"/>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GPSL1Numbered">
    <w:name w:val="GPS L1 Numbered"/>
    <w:basedOn w:val="Normal"/>
    <w:rsid w:val="003D4A11"/>
    <w:pPr>
      <w:keepNext/>
      <w:numPr>
        <w:numId w:val="2"/>
      </w:numPr>
      <w:spacing w:before="120"/>
      <w:jc w:val="left"/>
    </w:pPr>
    <w:rPr>
      <w:rFonts w:asciiTheme="minorBidi" w:hAnsiTheme="minorBidi"/>
    </w:rPr>
  </w:style>
  <w:style w:type="paragraph" w:customStyle="1" w:styleId="GPSL2numberedclause">
    <w:name w:val="GPS L2 numbered clause"/>
    <w:basedOn w:val="Normal"/>
    <w:rsid w:val="003D4A11"/>
    <w:pPr>
      <w:numPr>
        <w:ilvl w:val="1"/>
        <w:numId w:val="2"/>
      </w:numPr>
      <w:spacing w:before="120" w:after="120"/>
      <w:jc w:val="left"/>
    </w:pPr>
    <w:rPr>
      <w:rFonts w:asciiTheme="minorBidi" w:hAnsiTheme="minorBidi"/>
    </w:rPr>
  </w:style>
  <w:style w:type="paragraph" w:customStyle="1" w:styleId="GPSL3NUMBERED">
    <w:name w:val="GPS L3 NUMBERED"/>
    <w:basedOn w:val="Normal"/>
    <w:rsid w:val="00E325B0"/>
    <w:pPr>
      <w:numPr>
        <w:ilvl w:val="2"/>
        <w:numId w:val="2"/>
      </w:numPr>
      <w:jc w:val="left"/>
    </w:pPr>
    <w:rPr>
      <w:rFonts w:asciiTheme="minorBidi" w:hAnsiTheme="minorBidi"/>
    </w:rPr>
  </w:style>
  <w:style w:type="paragraph" w:customStyle="1" w:styleId="GPSL4numbered">
    <w:name w:val="GPS L4 numbered"/>
    <w:basedOn w:val="Normal"/>
    <w:rsid w:val="002238CF"/>
    <w:pPr>
      <w:numPr>
        <w:ilvl w:val="3"/>
        <w:numId w:val="2"/>
      </w:numPr>
      <w:jc w:val="left"/>
    </w:pPr>
  </w:style>
  <w:style w:type="paragraph" w:customStyle="1" w:styleId="GPSL5NUMBERED">
    <w:name w:val="GPS L5 NUMBERED"/>
    <w:basedOn w:val="Normal"/>
    <w:rsid w:val="00E325B0"/>
    <w:pPr>
      <w:numPr>
        <w:ilvl w:val="4"/>
        <w:numId w:val="2"/>
      </w:numPr>
    </w:pPr>
  </w:style>
  <w:style w:type="paragraph" w:styleId="ListParagraph">
    <w:name w:val="List Paragraph"/>
    <w:basedOn w:val="Normal"/>
    <w:uiPriority w:val="34"/>
    <w:qFormat/>
    <w:rsid w:val="00E9195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rPr>
  </w:style>
  <w:style w:type="paragraph" w:customStyle="1" w:styleId="StdBodyTextBold">
    <w:name w:val="Std Body Text Bold"/>
    <w:basedOn w:val="Normal"/>
    <w:next w:val="Normal"/>
    <w:link w:val="StdBodyTextBoldChar"/>
    <w:qFormat/>
    <w:rsid w:val="0082449D"/>
    <w:pPr>
      <w:overflowPunct/>
      <w:autoSpaceDE/>
      <w:autoSpaceDN/>
      <w:adjustRightInd/>
      <w:spacing w:before="100" w:after="200"/>
      <w:jc w:val="left"/>
      <w:textAlignment w:val="auto"/>
    </w:pPr>
    <w:rPr>
      <w:rFonts w:cs="Times New Roman"/>
      <w:b/>
      <w:szCs w:val="24"/>
      <w:lang w:eastAsia="en-GB"/>
    </w:rPr>
  </w:style>
  <w:style w:type="character" w:customStyle="1" w:styleId="StdBodyTextBoldChar">
    <w:name w:val="Std Body Text Bold Char"/>
    <w:basedOn w:val="DefaultParagraphFont"/>
    <w:link w:val="StdBodyTextBold"/>
    <w:rsid w:val="0082449D"/>
    <w:rPr>
      <w:rFonts w:ascii="Arial" w:eastAsia="Times New Roman" w:hAnsi="Arial" w:cs="Times New Roman"/>
      <w:b/>
      <w:sz w:val="24"/>
      <w:szCs w:val="24"/>
      <w:lang w:eastAsia="en-GB"/>
    </w:rPr>
  </w:style>
  <w:style w:type="paragraph" w:customStyle="1" w:styleId="StdBodyText">
    <w:name w:val="Std Body Text"/>
    <w:basedOn w:val="Normal"/>
    <w:qFormat/>
    <w:rsid w:val="00C44DF0"/>
    <w:pPr>
      <w:overflowPunct/>
      <w:autoSpaceDE/>
      <w:autoSpaceDN/>
      <w:adjustRightInd/>
      <w:spacing w:before="100" w:after="200"/>
      <w:jc w:val="left"/>
      <w:textAlignment w:val="auto"/>
    </w:pPr>
    <w:rPr>
      <w:rFonts w:cs="Times New Roman"/>
      <w:szCs w:val="24"/>
      <w:lang w:eastAsia="en-GB"/>
    </w:rPr>
  </w:style>
  <w:style w:type="paragraph" w:customStyle="1" w:styleId="StdBodyText2">
    <w:name w:val="Std Body Text 2"/>
    <w:basedOn w:val="Normal"/>
    <w:rsid w:val="000407EB"/>
    <w:pPr>
      <w:overflowPunct/>
      <w:autoSpaceDE/>
      <w:autoSpaceDN/>
      <w:adjustRightInd/>
      <w:spacing w:before="100" w:after="200"/>
      <w:ind w:left="720"/>
      <w:jc w:val="left"/>
      <w:textAlignment w:val="auto"/>
    </w:pPr>
    <w:rPr>
      <w:rFonts w:cs="Times New Roman"/>
      <w:szCs w:val="24"/>
      <w:lang w:eastAsia="en-GB"/>
    </w:rPr>
  </w:style>
  <w:style w:type="paragraph" w:customStyle="1" w:styleId="AnnexHeading">
    <w:name w:val="Annex Heading"/>
    <w:basedOn w:val="Normal"/>
    <w:next w:val="Normal"/>
    <w:rsid w:val="000407EB"/>
    <w:pPr>
      <w:numPr>
        <w:numId w:val="3"/>
      </w:numPr>
      <w:overflowPunct/>
      <w:autoSpaceDE/>
      <w:autoSpaceDN/>
      <w:adjustRightInd/>
      <w:spacing w:before="100" w:after="300"/>
      <w:jc w:val="center"/>
      <w:textAlignment w:val="auto"/>
    </w:pPr>
    <w:rPr>
      <w:rFonts w:ascii="Arial Bold" w:hAnsi="Arial Bold" w:cs="Times New Roman"/>
      <w:b/>
      <w:caps/>
      <w:szCs w:val="24"/>
      <w:lang w:eastAsia="en-GB"/>
    </w:rPr>
  </w:style>
  <w:style w:type="paragraph" w:customStyle="1" w:styleId="AppendixText1">
    <w:name w:val="Appendix Text 1"/>
    <w:basedOn w:val="Normal"/>
    <w:next w:val="Normal"/>
    <w:rsid w:val="000407EB"/>
    <w:pPr>
      <w:tabs>
        <w:tab w:val="num" w:pos="720"/>
      </w:tabs>
      <w:overflowPunct/>
      <w:autoSpaceDE/>
      <w:autoSpaceDN/>
      <w:adjustRightInd/>
      <w:spacing w:before="100" w:after="200"/>
      <w:ind w:left="720" w:hanging="720"/>
      <w:jc w:val="left"/>
      <w:textAlignment w:val="auto"/>
    </w:pPr>
    <w:rPr>
      <w:rFonts w:cs="Times New Roman"/>
      <w:b/>
      <w:szCs w:val="24"/>
      <w:lang w:eastAsia="en-GB"/>
    </w:rPr>
  </w:style>
  <w:style w:type="paragraph" w:customStyle="1" w:styleId="AppendixText2">
    <w:name w:val="Appendix Text 2"/>
    <w:basedOn w:val="AppendixText1"/>
    <w:next w:val="StdBodyText2"/>
    <w:rsid w:val="000407EB"/>
    <w:pPr>
      <w:numPr>
        <w:ilvl w:val="1"/>
      </w:numPr>
      <w:tabs>
        <w:tab w:val="num" w:pos="720"/>
      </w:tabs>
      <w:ind w:left="720" w:hanging="720"/>
    </w:pPr>
    <w:rPr>
      <w:b w:val="0"/>
    </w:rPr>
  </w:style>
  <w:style w:type="paragraph" w:customStyle="1" w:styleId="AppendixText3">
    <w:name w:val="Appendix Text 3"/>
    <w:basedOn w:val="Normal"/>
    <w:next w:val="Normal"/>
    <w:rsid w:val="000407EB"/>
    <w:pPr>
      <w:numPr>
        <w:ilvl w:val="2"/>
        <w:numId w:val="4"/>
      </w:numPr>
      <w:tabs>
        <w:tab w:val="left" w:pos="720"/>
        <w:tab w:val="left" w:pos="1803"/>
      </w:tabs>
      <w:overflowPunct/>
      <w:autoSpaceDE/>
      <w:autoSpaceDN/>
      <w:adjustRightInd/>
      <w:spacing w:before="100" w:after="200"/>
      <w:jc w:val="left"/>
      <w:textAlignment w:val="auto"/>
    </w:pPr>
    <w:rPr>
      <w:rFonts w:cs="Times New Roman"/>
      <w:szCs w:val="24"/>
      <w:lang w:eastAsia="en-GB"/>
    </w:rPr>
  </w:style>
  <w:style w:type="paragraph" w:customStyle="1" w:styleId="AppendixText4">
    <w:name w:val="Appendix Text 4"/>
    <w:basedOn w:val="Normal"/>
    <w:next w:val="Normal"/>
    <w:rsid w:val="000407EB"/>
    <w:pPr>
      <w:numPr>
        <w:ilvl w:val="3"/>
        <w:numId w:val="4"/>
      </w:numPr>
      <w:tabs>
        <w:tab w:val="left" w:pos="720"/>
        <w:tab w:val="left" w:pos="1803"/>
      </w:tabs>
      <w:overflowPunct/>
      <w:autoSpaceDE/>
      <w:autoSpaceDN/>
      <w:adjustRightInd/>
      <w:spacing w:before="100" w:after="200"/>
      <w:jc w:val="left"/>
      <w:textAlignment w:val="auto"/>
    </w:pPr>
    <w:rPr>
      <w:rFonts w:cs="Times New Roman"/>
      <w:szCs w:val="24"/>
      <w:lang w:eastAsia="en-GB"/>
    </w:rPr>
  </w:style>
  <w:style w:type="paragraph" w:customStyle="1" w:styleId="AppendixText5">
    <w:name w:val="Appendix Text 5"/>
    <w:basedOn w:val="Normal"/>
    <w:next w:val="Normal"/>
    <w:rsid w:val="000407EB"/>
    <w:pPr>
      <w:numPr>
        <w:ilvl w:val="4"/>
        <w:numId w:val="4"/>
      </w:numPr>
      <w:tabs>
        <w:tab w:val="left" w:pos="720"/>
        <w:tab w:val="left" w:pos="2523"/>
      </w:tabs>
      <w:overflowPunct/>
      <w:autoSpaceDE/>
      <w:autoSpaceDN/>
      <w:adjustRightInd/>
      <w:spacing w:before="100" w:after="200"/>
      <w:jc w:val="left"/>
      <w:textAlignment w:val="auto"/>
    </w:pPr>
    <w:rPr>
      <w:rFonts w:cs="Times New Roman"/>
      <w:szCs w:val="24"/>
      <w:lang w:eastAsia="en-GB"/>
    </w:rPr>
  </w:style>
  <w:style w:type="paragraph" w:customStyle="1" w:styleId="AppendixText6">
    <w:name w:val="Appendix Text 6"/>
    <w:basedOn w:val="AppendixText5"/>
    <w:rsid w:val="000407EB"/>
    <w:pPr>
      <w:numPr>
        <w:ilvl w:val="5"/>
      </w:numPr>
    </w:pPr>
  </w:style>
  <w:style w:type="character" w:styleId="FollowedHyperlink">
    <w:name w:val="FollowedHyperlink"/>
    <w:basedOn w:val="DefaultParagraphFont"/>
    <w:uiPriority w:val="99"/>
    <w:semiHidden/>
    <w:unhideWhenUsed/>
    <w:rsid w:val="008922C2"/>
    <w:rPr>
      <w:color w:val="800080" w:themeColor="followedHyperlink"/>
      <w:u w:val="single"/>
    </w:rPr>
  </w:style>
  <w:style w:type="table" w:customStyle="1" w:styleId="a2">
    <w:basedOn w:val="TableNormal"/>
    <w:pPr>
      <w:spacing w:after="0"/>
    </w:pPr>
    <w:rPr>
      <w:sz w:val="20"/>
      <w:szCs w:val="20"/>
    </w:rPr>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1lplks/m0vjIgVtT0ElCAfl9Qg==">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</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634EB6-75EA-461E-BA33-030BC1F0941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b3681b-f971-4d53-b84a-c49278846a98"/>
    <ds:schemaRef ds:uri="http://purl.org/dc/elements/1.1/"/>
    <ds:schemaRef ds:uri="http://schemas.microsoft.com/office/2006/metadata/properties"/>
    <ds:schemaRef ds:uri="http://schemas.microsoft.com/sharepoint/v3"/>
    <ds:schemaRef ds:uri="df2fe17e-1586-4888-a73f-0fe1768209fa"/>
    <ds:schemaRef ds:uri="http://www.w3.org/XML/1998/namespace"/>
    <ds:schemaRef ds:uri="http://purl.org/dc/dcmitype/"/>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3.xml><?xml version="1.0" encoding="utf-8"?>
<ds:datastoreItem xmlns:ds="http://schemas.openxmlformats.org/officeDocument/2006/customXml" ds:itemID="{D2CC1FB9-8E97-4774-8988-445F1ABBB0D1}">
  <ds:schemaRefs>
    <ds:schemaRef ds:uri="http://schemas.microsoft.com/sharepoint/v3/contenttype/forms"/>
  </ds:schemaRefs>
</ds:datastoreItem>
</file>

<file path=customXml/itemProps4.xml><?xml version="1.0" encoding="utf-8"?>
<ds:datastoreItem xmlns:ds="http://schemas.openxmlformats.org/officeDocument/2006/customXml" ds:itemID="{DFAC72D8-F83E-4161-9407-57EA226D1D42}"/>
</file>

<file path=docProps/app.xml><?xml version="1.0" encoding="utf-8"?>
<Properties xmlns="http://schemas.openxmlformats.org/officeDocument/2006/extended-properties" xmlns:vt="http://schemas.openxmlformats.org/officeDocument/2006/docPropsVTypes">
  <Template>Normal</Template>
  <TotalTime>5</TotalTime>
  <Pages>11</Pages>
  <Words>2738</Words>
  <Characters>15611</Characters>
  <Application>Microsoft Office Word</Application>
  <DocSecurity>0</DocSecurity>
  <Lines>130</Lines>
  <Paragraphs>36</Paragraphs>
  <ScaleCrop>false</ScaleCrop>
  <Company>DLA Piper</Company>
  <LinksUpToDate>false</LinksUpToDate>
  <CharactersWithSpaces>18313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14</cp:revision>
  <dcterms:created xsi:type="dcterms:W3CDTF">2023-07-27T02:36:00Z</dcterms:created>
  <dcterms:modified xsi:type="dcterms:W3CDTF">2024-01-09T15:01:00Z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59deafc9-d46a-40d6-ae29-60880d83e9c8</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2024-01-09T15:01:23Z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eca9c4e4-661b-4b6f-82c0-39e093b23a14</vt:lpwstr>
  </property>
  <property fmtid="{D5CDD505-2E9C-101B-9397-08002B2CF9AE}" pid="10" name="MSIP_Label_f9af038e-07b4-4369-a678-c835687cb272_ContentBits">
    <vt:lpwstr>2</vt:lpwstr>
  </property>
  <property fmtid="{D5CDD505-2E9C-101B-9397-08002B2CF9AE}" pid="11" name="MediaServiceImageTags">
    <vt:lpwstr/>
  </property>
</Properties>
</file>