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4-Accent51"/>
        <w:tblpPr w:leftFromText="180" w:rightFromText="180" w:vertAnchor="text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2126"/>
      </w:tblGrid>
      <w:tr w:rsidR="00F3020C" w:rsidRPr="00544481" w:rsidTr="00F30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:rsidR="00F3020C" w:rsidRPr="007A09AD" w:rsidRDefault="00F3020C" w:rsidP="00F3020C">
            <w:pPr>
              <w:spacing w:after="0" w:line="240" w:lineRule="auto"/>
            </w:pPr>
            <w:r w:rsidRPr="007A09AD">
              <w:t>Borough</w:t>
            </w:r>
          </w:p>
        </w:tc>
        <w:tc>
          <w:tcPr>
            <w:tcW w:w="1984" w:type="dxa"/>
            <w:hideMark/>
          </w:tcPr>
          <w:p w:rsidR="00F3020C" w:rsidRPr="007A09AD" w:rsidRDefault="00F3020C" w:rsidP="00F302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Annual  UOAs </w:t>
            </w:r>
            <w:r w:rsidRPr="007A09AD">
              <w:t xml:space="preserve"> </w:t>
            </w:r>
            <w:r>
              <w:t>(</w:t>
            </w:r>
            <w:r w:rsidRPr="007A09AD">
              <w:t>based on £62.59</w:t>
            </w:r>
            <w:r>
              <w:t>)</w:t>
            </w:r>
          </w:p>
        </w:tc>
        <w:tc>
          <w:tcPr>
            <w:tcW w:w="1843" w:type="dxa"/>
            <w:hideMark/>
          </w:tcPr>
          <w:p w:rsidR="00F3020C" w:rsidRPr="007A09AD" w:rsidRDefault="00F3020C" w:rsidP="00F302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Estimated Annual Contract </w:t>
            </w:r>
            <w:r w:rsidRPr="007A09AD">
              <w:t xml:space="preserve"> Value</w:t>
            </w:r>
            <w:r w:rsidRPr="007A09AD">
              <w:br/>
            </w:r>
          </w:p>
        </w:tc>
        <w:tc>
          <w:tcPr>
            <w:tcW w:w="2126" w:type="dxa"/>
          </w:tcPr>
          <w:p w:rsidR="00F3020C" w:rsidRDefault="00F3020C" w:rsidP="00F302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 Contract  Value over 10 years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14349">
              <w:t xml:space="preserve">Lot 1 </w:t>
            </w:r>
            <w:r>
              <w:t>–</w:t>
            </w:r>
            <w:r w:rsidRPr="00314349">
              <w:t xml:space="preserve"> Barnet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14142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£885,147.78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£8,851,477.80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14349">
              <w:t xml:space="preserve">Lot 2 </w:t>
            </w:r>
            <w:r>
              <w:t>–</w:t>
            </w:r>
            <w:r w:rsidRPr="00314349">
              <w:t xml:space="preserve"> Barnet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14142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£885,147.78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£8,851,477.80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14349">
              <w:t xml:space="preserve">Lot 3 </w:t>
            </w:r>
            <w:r>
              <w:t>–</w:t>
            </w:r>
            <w:r w:rsidRPr="00314349">
              <w:t xml:space="preserve"> Camden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14,611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£914,502.49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£9,145,024.90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14349">
              <w:t xml:space="preserve">Lot 4 </w:t>
            </w:r>
            <w:r>
              <w:t>–</w:t>
            </w:r>
            <w:r w:rsidRPr="00314349">
              <w:t xml:space="preserve"> Enfield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12,092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£756,838.28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£7,568,382.80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14349">
              <w:t xml:space="preserve">Lot 5 </w:t>
            </w:r>
            <w:r>
              <w:t>–</w:t>
            </w:r>
            <w:r w:rsidRPr="00314349">
              <w:t xml:space="preserve"> Enfield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12,092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£756,838.28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£7,568,382.80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14349">
              <w:t xml:space="preserve">Lot 6 </w:t>
            </w:r>
            <w:r>
              <w:t>–</w:t>
            </w:r>
            <w:r w:rsidRPr="00314349">
              <w:t xml:space="preserve"> Haringey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9,989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£625,211.51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£6,252,115.10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>
              <w:t>Lot 7</w:t>
            </w:r>
            <w:r w:rsidRPr="00314349">
              <w:t xml:space="preserve"> </w:t>
            </w:r>
            <w:r>
              <w:t>–</w:t>
            </w:r>
            <w:r w:rsidRPr="00314349">
              <w:t xml:space="preserve"> Haringey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9,989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£625,211.51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£6,252,115.10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14349">
              <w:t xml:space="preserve">Lot 8 </w:t>
            </w:r>
            <w:r>
              <w:t>–</w:t>
            </w:r>
            <w:r w:rsidRPr="00314349">
              <w:t xml:space="preserve"> Islington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12,756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14349">
              <w:t>£798,398.04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£7,983,980.40</w:t>
            </w:r>
          </w:p>
        </w:tc>
      </w:tr>
      <w:tr w:rsidR="00F3020C" w:rsidRPr="00544481" w:rsidTr="004D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rPr>
                <w:b w:val="0"/>
                <w:bCs w:val="0"/>
                <w:highlight w:val="yellow"/>
              </w:rPr>
            </w:pPr>
            <w:r w:rsidRPr="007A09AD">
              <w:t xml:space="preserve">North Central </w:t>
            </w:r>
            <w:r>
              <w:t xml:space="preserve">London STP </w:t>
            </w:r>
            <w:r w:rsidRPr="007A09AD">
              <w:t>Total</w:t>
            </w:r>
            <w:r>
              <w:t xml:space="preserve"> - 8</w:t>
            </w:r>
          </w:p>
        </w:tc>
        <w:tc>
          <w:tcPr>
            <w:tcW w:w="1984" w:type="dxa"/>
            <w:shd w:val="clear" w:color="auto" w:fill="92D050"/>
            <w:noWrap/>
            <w:hideMark/>
          </w:tcPr>
          <w:p w:rsidR="00F3020C" w:rsidRPr="00086057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86057">
              <w:rPr>
                <w:b/>
                <w:bCs/>
              </w:rPr>
              <w:t>99,813</w:t>
            </w:r>
          </w:p>
        </w:tc>
        <w:tc>
          <w:tcPr>
            <w:tcW w:w="1843" w:type="dxa"/>
            <w:shd w:val="clear" w:color="auto" w:fill="92D050"/>
            <w:noWrap/>
            <w:hideMark/>
          </w:tcPr>
          <w:p w:rsidR="00F3020C" w:rsidRPr="00086057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86057">
              <w:rPr>
                <w:b/>
                <w:bCs/>
              </w:rPr>
              <w:t>£6,247,295.67</w:t>
            </w:r>
          </w:p>
        </w:tc>
        <w:tc>
          <w:tcPr>
            <w:tcW w:w="2126" w:type="dxa"/>
            <w:shd w:val="clear" w:color="auto" w:fill="92D050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2F24">
              <w:rPr>
                <w:b/>
                <w:bCs/>
              </w:rPr>
              <w:t>£62,472,956.70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>
              <w:t>Lot 9 -</w:t>
            </w:r>
            <w:r w:rsidRPr="002F6BF2">
              <w:t xml:space="preserve"> Barking and Dagenham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15026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£940,477.34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£9,404,773.40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2F6BF2">
              <w:t>Lot 10 - City and Hackney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9142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£572,197.78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£5,721,977.80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2F6BF2">
              <w:t>Lot 11 - City and Hackney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9142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£572,197.78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£5,721,977.80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2F6BF2">
              <w:t xml:space="preserve">Lot 12 </w:t>
            </w:r>
            <w:r>
              <w:t>–</w:t>
            </w:r>
            <w:r w:rsidRPr="002F6BF2">
              <w:t xml:space="preserve"> Havering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18246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£1,142,017.14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£11,420,171.40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2F6BF2">
              <w:t xml:space="preserve">Lot 13 </w:t>
            </w:r>
            <w:r>
              <w:t>–</w:t>
            </w:r>
            <w:r w:rsidRPr="002F6BF2">
              <w:t xml:space="preserve"> Redbridge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12012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£751,831.08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£7,518,310.80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2F6BF2">
              <w:t xml:space="preserve">Lot 14 </w:t>
            </w:r>
            <w:r>
              <w:t>–</w:t>
            </w:r>
            <w:r w:rsidRPr="002F6BF2">
              <w:t xml:space="preserve"> Redbridge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12012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£751,831.08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£7,518,310.80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2F6BF2">
              <w:t>Lot 15 - Tower Hamlets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14703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£920,260.77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£9,202,607.70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2F6BF2">
              <w:t>Lot 16 - Waltham Forest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17653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2F6BF2">
              <w:t>£1,104,901.27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£11,049,012.70</w:t>
            </w:r>
          </w:p>
        </w:tc>
      </w:tr>
      <w:tr w:rsidR="00F3020C" w:rsidRPr="007A09AD" w:rsidTr="004D2F2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rPr>
                <w:b w:val="0"/>
                <w:bCs w:val="0"/>
                <w:highlight w:val="yellow"/>
              </w:rPr>
            </w:pPr>
            <w:r w:rsidRPr="007A09AD">
              <w:t xml:space="preserve">North East </w:t>
            </w:r>
            <w:r>
              <w:t xml:space="preserve">London STP </w:t>
            </w:r>
            <w:r w:rsidRPr="007A09AD">
              <w:t>Total</w:t>
            </w:r>
            <w:r>
              <w:t xml:space="preserve"> - 8</w:t>
            </w:r>
          </w:p>
        </w:tc>
        <w:tc>
          <w:tcPr>
            <w:tcW w:w="1984" w:type="dxa"/>
            <w:shd w:val="clear" w:color="auto" w:fill="92D050"/>
            <w:noWrap/>
            <w:hideMark/>
          </w:tcPr>
          <w:p w:rsidR="00F3020C" w:rsidRPr="00086057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86057">
              <w:rPr>
                <w:b/>
                <w:bCs/>
              </w:rPr>
              <w:t>107,936</w:t>
            </w:r>
          </w:p>
        </w:tc>
        <w:tc>
          <w:tcPr>
            <w:tcW w:w="1843" w:type="dxa"/>
            <w:shd w:val="clear" w:color="auto" w:fill="92D050"/>
            <w:noWrap/>
            <w:hideMark/>
          </w:tcPr>
          <w:p w:rsidR="00F3020C" w:rsidRPr="00086057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86057">
              <w:rPr>
                <w:b/>
                <w:bCs/>
              </w:rPr>
              <w:t>£6,755,714.24</w:t>
            </w:r>
          </w:p>
        </w:tc>
        <w:tc>
          <w:tcPr>
            <w:tcW w:w="2126" w:type="dxa"/>
            <w:shd w:val="clear" w:color="auto" w:fill="92D050"/>
            <w:vAlign w:val="bottom"/>
          </w:tcPr>
          <w:p w:rsidR="00F3020C" w:rsidRPr="004D2F24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D2F24">
              <w:rPr>
                <w:b/>
                <w:bCs/>
              </w:rPr>
              <w:t>£67,557,142.40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>Lot 17</w:t>
            </w:r>
            <w:r>
              <w:t xml:space="preserve"> -</w:t>
            </w:r>
            <w:r w:rsidRPr="006C3B88">
              <w:t xml:space="preserve"> Brent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12231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£765,538.29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£7,655,382.90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18 </w:t>
            </w:r>
            <w:r>
              <w:t xml:space="preserve">- </w:t>
            </w:r>
            <w:r w:rsidRPr="006C3B88">
              <w:t>Brent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12231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£765,538.29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£7,655,382.90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19 </w:t>
            </w:r>
            <w:r>
              <w:t xml:space="preserve">- </w:t>
            </w:r>
            <w:r w:rsidRPr="006C3B88">
              <w:t>Ealing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18998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£1,189,084.82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£11,890,848.20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20 </w:t>
            </w:r>
            <w:r>
              <w:t xml:space="preserve">– </w:t>
            </w:r>
            <w:r w:rsidRPr="006C3B88">
              <w:t>H</w:t>
            </w:r>
            <w:r>
              <w:t xml:space="preserve">ammersmith </w:t>
            </w:r>
            <w:r w:rsidRPr="006C3B88">
              <w:t>&amp;</w:t>
            </w:r>
            <w:r>
              <w:t xml:space="preserve"> </w:t>
            </w:r>
            <w:r w:rsidRPr="006C3B88">
              <w:t>F</w:t>
            </w:r>
            <w:r>
              <w:t>ulham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10114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£633,035.26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£6,330,352.60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21 </w:t>
            </w:r>
            <w:r>
              <w:t xml:space="preserve">- </w:t>
            </w:r>
            <w:r w:rsidRPr="006C3B88">
              <w:t>Harrow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18860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£1,180,447.40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£11,804,474.00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22 </w:t>
            </w:r>
            <w:r>
              <w:t xml:space="preserve">- </w:t>
            </w:r>
            <w:r w:rsidRPr="006C3B88">
              <w:t>Hillingdon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11072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£692,996.48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£6,929,964.80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23 </w:t>
            </w:r>
            <w:r>
              <w:t xml:space="preserve">- </w:t>
            </w:r>
            <w:r w:rsidRPr="006C3B88">
              <w:t>Hillingdon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11072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£692,996.48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£6,929,964.80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24 </w:t>
            </w:r>
            <w:r>
              <w:t xml:space="preserve">- </w:t>
            </w:r>
            <w:r w:rsidRPr="006C3B88">
              <w:t>Hounslow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18148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£1,135,883.32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£11,358,833.20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>Lot 25</w:t>
            </w:r>
            <w:r>
              <w:t xml:space="preserve"> –</w:t>
            </w:r>
            <w:r w:rsidRPr="006C3B88">
              <w:t xml:space="preserve"> K</w:t>
            </w:r>
            <w:r>
              <w:t xml:space="preserve">ensington </w:t>
            </w:r>
            <w:r w:rsidRPr="006C3B88">
              <w:t>&amp;</w:t>
            </w:r>
            <w:r>
              <w:t xml:space="preserve"> </w:t>
            </w:r>
            <w:r w:rsidRPr="006C3B88">
              <w:t>C</w:t>
            </w:r>
            <w:r>
              <w:t xml:space="preserve">helsea 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9855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£616,824.45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£6,168,244.50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6C3B88">
              <w:t xml:space="preserve">Lot 26 </w:t>
            </w:r>
            <w:r>
              <w:t xml:space="preserve">- </w:t>
            </w:r>
            <w:r w:rsidRPr="006C3B88">
              <w:t>Westminster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13992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6C3B88">
              <w:t>£875,759.28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£8,757,592.80</w:t>
            </w:r>
          </w:p>
        </w:tc>
      </w:tr>
      <w:tr w:rsidR="00F3020C" w:rsidRPr="00544481" w:rsidTr="004D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rPr>
                <w:bCs w:val="0"/>
                <w:highlight w:val="yellow"/>
              </w:rPr>
            </w:pPr>
            <w:r w:rsidRPr="007A09AD">
              <w:t xml:space="preserve"> North West </w:t>
            </w:r>
            <w:r>
              <w:t xml:space="preserve">London STP </w:t>
            </w:r>
            <w:r w:rsidRPr="007A09AD">
              <w:t>Total</w:t>
            </w:r>
            <w:r>
              <w:t xml:space="preserve"> - 10</w:t>
            </w:r>
          </w:p>
        </w:tc>
        <w:tc>
          <w:tcPr>
            <w:tcW w:w="1984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7A09AD">
              <w:rPr>
                <w:b/>
              </w:rPr>
              <w:t>136,573</w:t>
            </w:r>
          </w:p>
        </w:tc>
        <w:tc>
          <w:tcPr>
            <w:tcW w:w="184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7A09AD">
              <w:rPr>
                <w:b/>
              </w:rPr>
              <w:t>£8,548,104.07</w:t>
            </w:r>
          </w:p>
        </w:tc>
        <w:tc>
          <w:tcPr>
            <w:tcW w:w="2126" w:type="dxa"/>
            <w:shd w:val="clear" w:color="auto" w:fill="92D050"/>
            <w:vAlign w:val="bottom"/>
          </w:tcPr>
          <w:p w:rsidR="00F3020C" w:rsidRPr="004D2F24" w:rsidRDefault="004D2F24" w:rsidP="004D2F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2F24">
              <w:rPr>
                <w:b/>
                <w:bCs/>
              </w:rPr>
              <w:t>£85,481,040.70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27 </w:t>
            </w:r>
            <w:r>
              <w:t xml:space="preserve">- </w:t>
            </w:r>
            <w:r w:rsidRPr="00A0222C">
              <w:t>Bexley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18,906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£1,183,326.54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£11,833,265.40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>Lot 28</w:t>
            </w:r>
            <w:r>
              <w:t xml:space="preserve"> -</w:t>
            </w:r>
            <w:r w:rsidRPr="00A0222C">
              <w:t xml:space="preserve"> Bromley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12600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£788,634.00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£7,886,340.00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29 </w:t>
            </w:r>
            <w:r>
              <w:t xml:space="preserve">- </w:t>
            </w:r>
            <w:r w:rsidRPr="00A0222C">
              <w:t>Bromley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12600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£788,634.00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£7,886,340.00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30 </w:t>
            </w:r>
            <w:r>
              <w:t xml:space="preserve">- </w:t>
            </w:r>
            <w:r w:rsidRPr="00A0222C">
              <w:t>Greenwich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19048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£1,192,214.32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£11,922,143.20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31 </w:t>
            </w:r>
            <w:r>
              <w:t xml:space="preserve">- </w:t>
            </w:r>
            <w:r w:rsidRPr="00A0222C">
              <w:t>Lambeth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9878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£618,264.02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£6,182,640.20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32 </w:t>
            </w:r>
            <w:r>
              <w:t xml:space="preserve">- </w:t>
            </w:r>
            <w:r w:rsidRPr="00A0222C">
              <w:t>Lambeth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9878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£618,264.02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£6,182,640.20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33 </w:t>
            </w:r>
            <w:r>
              <w:t xml:space="preserve">- </w:t>
            </w:r>
            <w:r w:rsidRPr="00A0222C">
              <w:t>Lewisham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10192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£637,917.28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£6,379,172.80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34 </w:t>
            </w:r>
            <w:r>
              <w:t xml:space="preserve">- </w:t>
            </w:r>
            <w:r w:rsidRPr="00A0222C">
              <w:t>Lewisham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10192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£637,917.28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£6,379,172.80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A0222C">
              <w:t xml:space="preserve">Lot 35 </w:t>
            </w:r>
            <w:r>
              <w:t xml:space="preserve">- </w:t>
            </w:r>
            <w:r w:rsidRPr="00A0222C">
              <w:t>Southwark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18,961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A0222C">
              <w:t>£1,186,768.99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£11,867,689.90</w:t>
            </w:r>
          </w:p>
        </w:tc>
      </w:tr>
      <w:tr w:rsidR="00F3020C" w:rsidRPr="00544481" w:rsidTr="004D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rPr>
                <w:bCs w:val="0"/>
                <w:highlight w:val="yellow"/>
              </w:rPr>
            </w:pPr>
            <w:r w:rsidRPr="007A09AD">
              <w:t xml:space="preserve"> South East</w:t>
            </w:r>
            <w:r>
              <w:t xml:space="preserve"> London STP</w:t>
            </w:r>
            <w:r w:rsidRPr="007A09AD">
              <w:t xml:space="preserve"> Total</w:t>
            </w:r>
            <w:r>
              <w:t xml:space="preserve"> - 9</w:t>
            </w:r>
          </w:p>
        </w:tc>
        <w:tc>
          <w:tcPr>
            <w:tcW w:w="1984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7A09AD">
              <w:rPr>
                <w:b/>
              </w:rPr>
              <w:t>122,255</w:t>
            </w:r>
          </w:p>
        </w:tc>
        <w:tc>
          <w:tcPr>
            <w:tcW w:w="184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7A09AD">
              <w:rPr>
                <w:b/>
              </w:rPr>
              <w:t>£7,651,940.45</w:t>
            </w:r>
          </w:p>
        </w:tc>
        <w:tc>
          <w:tcPr>
            <w:tcW w:w="2126" w:type="dxa"/>
            <w:shd w:val="clear" w:color="auto" w:fill="92D050"/>
            <w:vAlign w:val="bottom"/>
          </w:tcPr>
          <w:p w:rsidR="00F3020C" w:rsidRPr="004D2F24" w:rsidRDefault="004D2F24" w:rsidP="004D2F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2F24">
              <w:rPr>
                <w:b/>
              </w:rPr>
              <w:t>£76,519,404.50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C019E">
              <w:t xml:space="preserve">Lot 36 </w:t>
            </w:r>
            <w:r>
              <w:t xml:space="preserve">- </w:t>
            </w:r>
            <w:r w:rsidRPr="003C019E">
              <w:t>Kingston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11,948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£747,825.32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£7,478,253.20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C019E">
              <w:t xml:space="preserve">Lot 37 </w:t>
            </w:r>
            <w:r>
              <w:t xml:space="preserve">- </w:t>
            </w:r>
            <w:r w:rsidRPr="003C019E">
              <w:t>Richmond and Twickenham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14,250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£891,907.50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£8,919,075.00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C019E">
              <w:t xml:space="preserve">Lot 38 </w:t>
            </w:r>
            <w:r>
              <w:t xml:space="preserve">- </w:t>
            </w:r>
            <w:r w:rsidRPr="003C019E">
              <w:t>Merton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14,273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£893,347.07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£8,933,470.70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C019E">
              <w:t xml:space="preserve">Lot 39 </w:t>
            </w:r>
            <w:r>
              <w:t xml:space="preserve">- </w:t>
            </w:r>
            <w:r w:rsidRPr="003C019E">
              <w:t>Sutton</w:t>
            </w:r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15,482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£969,018.38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20C">
              <w:t>£9,690,183.80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rPr>
                <w:color w:val="000000"/>
                <w:highlight w:val="yellow"/>
              </w:rPr>
            </w:pPr>
            <w:r w:rsidRPr="003C019E">
              <w:t>Lot 40</w:t>
            </w:r>
            <w:r>
              <w:t xml:space="preserve"> -</w:t>
            </w:r>
            <w:r w:rsidRPr="003C019E">
              <w:t xml:space="preserve"> </w:t>
            </w:r>
            <w:proofErr w:type="spellStart"/>
            <w:r w:rsidRPr="003C019E">
              <w:t>Wandsworth</w:t>
            </w:r>
            <w:proofErr w:type="spellEnd"/>
          </w:p>
        </w:tc>
        <w:tc>
          <w:tcPr>
            <w:tcW w:w="1984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13,159</w:t>
            </w:r>
          </w:p>
        </w:tc>
        <w:tc>
          <w:tcPr>
            <w:tcW w:w="1843" w:type="dxa"/>
            <w:noWrap/>
            <w:hideMark/>
          </w:tcPr>
          <w:p w:rsidR="00F3020C" w:rsidRPr="00544481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3C019E">
              <w:t>£823,621.81</w:t>
            </w:r>
          </w:p>
        </w:tc>
        <w:tc>
          <w:tcPr>
            <w:tcW w:w="2126" w:type="dxa"/>
            <w:vAlign w:val="bottom"/>
          </w:tcPr>
          <w:p w:rsidR="00F3020C" w:rsidRPr="00F3020C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20C">
              <w:t>£8,236,218.10</w:t>
            </w:r>
          </w:p>
        </w:tc>
      </w:tr>
      <w:tr w:rsidR="00F3020C" w:rsidRPr="00544481" w:rsidTr="00F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rPr>
                <w:bCs w:val="0"/>
                <w:color w:val="000000"/>
                <w:highlight w:val="yellow"/>
              </w:rPr>
            </w:pPr>
            <w:r w:rsidRPr="007A09AD">
              <w:t xml:space="preserve"> South West </w:t>
            </w:r>
            <w:r>
              <w:t xml:space="preserve">STP </w:t>
            </w:r>
            <w:r w:rsidRPr="007A09AD">
              <w:t>Total</w:t>
            </w:r>
            <w:r>
              <w:t xml:space="preserve"> - 5</w:t>
            </w:r>
          </w:p>
        </w:tc>
        <w:tc>
          <w:tcPr>
            <w:tcW w:w="1984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highlight w:val="yellow"/>
              </w:rPr>
            </w:pPr>
            <w:r w:rsidRPr="007A09AD">
              <w:rPr>
                <w:b/>
              </w:rPr>
              <w:t>69,119</w:t>
            </w:r>
          </w:p>
        </w:tc>
        <w:tc>
          <w:tcPr>
            <w:tcW w:w="1843" w:type="dxa"/>
            <w:shd w:val="clear" w:color="auto" w:fill="92D050"/>
            <w:noWrap/>
            <w:hideMark/>
          </w:tcPr>
          <w:p w:rsidR="00F3020C" w:rsidRPr="007A09AD" w:rsidRDefault="00F3020C" w:rsidP="00F302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highlight w:val="yellow"/>
              </w:rPr>
            </w:pPr>
            <w:r w:rsidRPr="007A09AD">
              <w:rPr>
                <w:b/>
              </w:rPr>
              <w:t>£4,325,720.08</w:t>
            </w:r>
          </w:p>
        </w:tc>
        <w:tc>
          <w:tcPr>
            <w:tcW w:w="2126" w:type="dxa"/>
            <w:shd w:val="clear" w:color="auto" w:fill="92D050"/>
          </w:tcPr>
          <w:p w:rsidR="00F3020C" w:rsidRPr="004D2F24" w:rsidRDefault="004D2F24" w:rsidP="004D2F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2F24">
              <w:rPr>
                <w:b/>
                <w:bCs/>
              </w:rPr>
              <w:t>£43,257,200.80</w:t>
            </w:r>
          </w:p>
        </w:tc>
      </w:tr>
      <w:tr w:rsidR="00F3020C" w:rsidRPr="00544481" w:rsidTr="00F3020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  <w:noWrap/>
            <w:hideMark/>
          </w:tcPr>
          <w:p w:rsidR="00F3020C" w:rsidRPr="00B62056" w:rsidRDefault="00F3020C" w:rsidP="00F3020C">
            <w:pPr>
              <w:spacing w:after="0" w:line="240" w:lineRule="auto"/>
              <w:rPr>
                <w:color w:val="C00000"/>
              </w:rPr>
            </w:pPr>
            <w:r w:rsidRPr="00B62056">
              <w:rPr>
                <w:color w:val="C00000"/>
              </w:rPr>
              <w:t xml:space="preserve">Total </w:t>
            </w:r>
            <w:r>
              <w:rPr>
                <w:color w:val="C00000"/>
              </w:rPr>
              <w:t>- 40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3020C" w:rsidRPr="00B62056" w:rsidRDefault="00F3020C" w:rsidP="00F302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F3020C" w:rsidRPr="00B62056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4D2F24">
              <w:rPr>
                <w:b/>
                <w:bCs/>
                <w:color w:val="C00000"/>
              </w:rPr>
              <w:t>£33,528,774.51</w:t>
            </w:r>
          </w:p>
        </w:tc>
        <w:tc>
          <w:tcPr>
            <w:tcW w:w="2126" w:type="dxa"/>
          </w:tcPr>
          <w:p w:rsidR="00F3020C" w:rsidRPr="00B62056" w:rsidRDefault="00F3020C" w:rsidP="00F30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F3020C">
              <w:rPr>
                <w:b/>
                <w:bCs/>
                <w:color w:val="C00000"/>
              </w:rPr>
              <w:t>£335,287,745.10</w:t>
            </w:r>
          </w:p>
        </w:tc>
      </w:tr>
    </w:tbl>
    <w:p w:rsidR="00C937CB" w:rsidRPr="00086057" w:rsidRDefault="00086057" w:rsidP="004D2F24">
      <w:pPr>
        <w:spacing w:after="0" w:line="24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Theme="minorBidi" w:hAnsiTheme="minorBidi" w:cstheme="minorBidi"/>
          <w:sz w:val="18"/>
          <w:szCs w:val="18"/>
        </w:rPr>
      </w:pPr>
      <w:bookmarkStart w:id="0" w:name="_GoBack"/>
      <w:r w:rsidRPr="00086057">
        <w:rPr>
          <w:rFonts w:asciiTheme="minorBidi" w:hAnsiTheme="minorBidi" w:cstheme="minorBidi"/>
          <w:sz w:val="18"/>
          <w:szCs w:val="18"/>
        </w:rPr>
        <w:t xml:space="preserve">Please note where a borough is divided into two Lots, a bidder can bid for one or both Lots. Same premises can be </w:t>
      </w:r>
      <w:bookmarkEnd w:id="0"/>
      <w:r w:rsidRPr="00086057">
        <w:rPr>
          <w:rFonts w:asciiTheme="minorBidi" w:hAnsiTheme="minorBidi" w:cstheme="minorBidi"/>
          <w:sz w:val="18"/>
          <w:szCs w:val="18"/>
        </w:rPr>
        <w:t>used to deliver both Lots as the Lot geography is the same (same borough). In any case, each Lot would be evaluated separately.</w:t>
      </w:r>
    </w:p>
    <w:sectPr w:rsidR="00C937CB" w:rsidRPr="00086057" w:rsidSect="00086057">
      <w:headerReference w:type="default" r:id="rId6"/>
      <w:pgSz w:w="11906" w:h="16838"/>
      <w:pgMar w:top="851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BF" w:rsidRDefault="00CD38BF" w:rsidP="00CD38BF">
      <w:pPr>
        <w:spacing w:after="0" w:line="240" w:lineRule="auto"/>
      </w:pPr>
      <w:r>
        <w:separator/>
      </w:r>
    </w:p>
  </w:endnote>
  <w:endnote w:type="continuationSeparator" w:id="0">
    <w:p w:rsidR="00CD38BF" w:rsidRDefault="00CD38BF" w:rsidP="00CD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BF" w:rsidRDefault="00CD38BF" w:rsidP="00CD38BF">
      <w:pPr>
        <w:spacing w:after="0" w:line="240" w:lineRule="auto"/>
      </w:pPr>
      <w:r>
        <w:separator/>
      </w:r>
    </w:p>
  </w:footnote>
  <w:footnote w:type="continuationSeparator" w:id="0">
    <w:p w:rsidR="00CD38BF" w:rsidRDefault="00CD38BF" w:rsidP="00CD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BF" w:rsidRPr="00CD38BF" w:rsidRDefault="00CD38BF">
    <w:pPr>
      <w:pStyle w:val="Header"/>
      <w:rPr>
        <w:b/>
        <w:color w:val="FF0000"/>
      </w:rPr>
    </w:pPr>
    <w:r w:rsidRPr="00CD38BF">
      <w:rPr>
        <w:b/>
        <w:color w:val="FF0000"/>
      </w:rPr>
      <w:t xml:space="preserve">RTL088P – ORTHODONTIC </w:t>
    </w:r>
    <w:r>
      <w:rPr>
        <w:b/>
        <w:color w:val="FF0000"/>
      </w:rPr>
      <w:t>SERVICES IN LONDON - LOTS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BF"/>
    <w:rsid w:val="00086057"/>
    <w:rsid w:val="000924B0"/>
    <w:rsid w:val="00322E1C"/>
    <w:rsid w:val="004D2F24"/>
    <w:rsid w:val="0050370E"/>
    <w:rsid w:val="00544045"/>
    <w:rsid w:val="00B03F42"/>
    <w:rsid w:val="00CD38BF"/>
    <w:rsid w:val="00F3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4D7EAD"/>
  <w15:chartTrackingRefBased/>
  <w15:docId w15:val="{68ABF18E-C077-43D0-9CBE-9F784313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8BF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CD38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8BF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8BF"/>
    <w:rPr>
      <w:rFonts w:ascii="Calibri" w:eastAsia="Times New Roman" w:hAnsi="Calibri" w:cs="Times New Roman"/>
      <w:lang w:eastAsia="en-GB"/>
    </w:rPr>
  </w:style>
  <w:style w:type="table" w:customStyle="1" w:styleId="ListTable4-Accent51">
    <w:name w:val="List Table 4 - Accent 51"/>
    <w:basedOn w:val="TableNormal"/>
    <w:uiPriority w:val="49"/>
    <w:rsid w:val="0008605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2346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Haji, Ahsan - Procurement Manager</dc:creator>
  <cp:keywords/>
  <dc:description/>
  <cp:lastModifiedBy>Haji, Ahsan - Procurement Manager</cp:lastModifiedBy>
  <cp:revision>2</cp:revision>
  <dcterms:created xsi:type="dcterms:W3CDTF">2018-05-03T11:25:00Z</dcterms:created>
  <dcterms:modified xsi:type="dcterms:W3CDTF">2018-05-03T11:25:00Z</dcterms:modified>
</cp:coreProperties>
</file>